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5E95B" w14:textId="0C4E0456" w:rsidR="00E34020" w:rsidRPr="00C83355" w:rsidRDefault="00E34020" w:rsidP="00E34020">
      <w:pPr>
        <w:pStyle w:val="Heading1"/>
        <w:jc w:val="center"/>
        <w:rPr>
          <w:sz w:val="40"/>
          <w:szCs w:val="40"/>
        </w:rPr>
      </w:pPr>
      <w:r w:rsidRPr="00C83355">
        <w:rPr>
          <w:sz w:val="40"/>
          <w:szCs w:val="40"/>
        </w:rPr>
        <w:t>Assignment 1</w:t>
      </w:r>
    </w:p>
    <w:p w14:paraId="19119842" w14:textId="77777777" w:rsidR="00E34020" w:rsidRDefault="00E34020" w:rsidP="00E34020"/>
    <w:p w14:paraId="645A5D8E" w14:textId="77777777" w:rsidR="00E34020" w:rsidRDefault="00E34020" w:rsidP="00E34020"/>
    <w:p w14:paraId="7029D98C" w14:textId="77777777" w:rsidR="00E34020" w:rsidRDefault="00E34020" w:rsidP="00E34020"/>
    <w:p w14:paraId="5AFF727E" w14:textId="77777777" w:rsidR="00E34020" w:rsidRDefault="00E34020" w:rsidP="00E34020"/>
    <w:p w14:paraId="47F3327C" w14:textId="77777777" w:rsidR="00E34020" w:rsidRDefault="00E34020" w:rsidP="00E34020"/>
    <w:p w14:paraId="34A65D8F" w14:textId="77777777" w:rsidR="00E34020" w:rsidRDefault="00E34020" w:rsidP="00E34020"/>
    <w:p w14:paraId="1A9339FF" w14:textId="77777777" w:rsidR="00E34020" w:rsidRDefault="00E34020" w:rsidP="00E34020"/>
    <w:p w14:paraId="21C7E3E6" w14:textId="77777777" w:rsidR="00E34020" w:rsidRDefault="00E34020" w:rsidP="00E34020"/>
    <w:p w14:paraId="72908DC3" w14:textId="77777777" w:rsidR="00E34020" w:rsidRDefault="00E34020" w:rsidP="00E34020"/>
    <w:p w14:paraId="7879663F" w14:textId="77777777" w:rsidR="00E34020" w:rsidRDefault="00E34020" w:rsidP="00E34020"/>
    <w:p w14:paraId="155DAC8E" w14:textId="14C4F988" w:rsidR="00E34020" w:rsidRDefault="00E34020" w:rsidP="00E34020">
      <w:pPr>
        <w:jc w:val="center"/>
      </w:pPr>
      <w:r>
        <w:t xml:space="preserve">Student Name </w:t>
      </w:r>
      <w:proofErr w:type="spellStart"/>
      <w:r w:rsidR="008900BB">
        <w:t>Andreea-Iuliana</w:t>
      </w:r>
      <w:proofErr w:type="spellEnd"/>
      <w:r w:rsidR="008900BB">
        <w:t xml:space="preserve"> </w:t>
      </w:r>
      <w:proofErr w:type="spellStart"/>
      <w:r w:rsidR="008900BB">
        <w:t>Miron</w:t>
      </w:r>
      <w:proofErr w:type="spellEnd"/>
    </w:p>
    <w:p w14:paraId="78192312" w14:textId="3FEA4288" w:rsidR="00E34020" w:rsidRDefault="00E34020" w:rsidP="00E34020">
      <w:pPr>
        <w:jc w:val="center"/>
      </w:pPr>
      <w:r>
        <w:t xml:space="preserve">ID </w:t>
      </w:r>
      <w:r w:rsidR="008900BB">
        <w:t>2232376</w:t>
      </w:r>
    </w:p>
    <w:p w14:paraId="1C956032" w14:textId="77777777" w:rsidR="00E34020" w:rsidRDefault="00E34020" w:rsidP="00E34020">
      <w:pPr>
        <w:jc w:val="center"/>
      </w:pPr>
    </w:p>
    <w:p w14:paraId="493A3A23" w14:textId="77777777" w:rsidR="00E34020" w:rsidRDefault="00E34020" w:rsidP="00E34020">
      <w:pPr>
        <w:jc w:val="center"/>
      </w:pPr>
    </w:p>
    <w:p w14:paraId="64EA976F" w14:textId="77777777" w:rsidR="00E34020" w:rsidRDefault="00E34020" w:rsidP="00E34020">
      <w:pPr>
        <w:jc w:val="center"/>
      </w:pPr>
    </w:p>
    <w:p w14:paraId="6D32C88A" w14:textId="77777777" w:rsidR="00E34020" w:rsidRDefault="00E34020" w:rsidP="00E34020">
      <w:pPr>
        <w:jc w:val="center"/>
      </w:pPr>
    </w:p>
    <w:p w14:paraId="45E6ABB3" w14:textId="77777777" w:rsidR="00E34020" w:rsidRDefault="00E34020" w:rsidP="00E34020"/>
    <w:p w14:paraId="2143E0C2" w14:textId="77777777" w:rsidR="00E34020" w:rsidRDefault="00E34020" w:rsidP="00E34020"/>
    <w:p w14:paraId="0C7F772E" w14:textId="77777777" w:rsidR="00E34020" w:rsidRDefault="00E34020" w:rsidP="00E34020"/>
    <w:p w14:paraId="0DE847A8" w14:textId="77777777" w:rsidR="00E34020" w:rsidRDefault="00E34020" w:rsidP="00E34020"/>
    <w:p w14:paraId="779FCF63" w14:textId="77777777" w:rsidR="00E34020" w:rsidRDefault="00E34020" w:rsidP="00E34020"/>
    <w:p w14:paraId="6E9CAFD0" w14:textId="77777777" w:rsidR="00E34020" w:rsidRDefault="00E34020" w:rsidP="00E34020"/>
    <w:p w14:paraId="1CCAF9D1" w14:textId="77777777" w:rsidR="00E34020" w:rsidRDefault="00E34020" w:rsidP="00E34020"/>
    <w:p w14:paraId="4077A2AA" w14:textId="77777777" w:rsidR="00E34020" w:rsidRPr="00E34020" w:rsidRDefault="00E34020" w:rsidP="00E34020"/>
    <w:p w14:paraId="65FA3710" w14:textId="64CF0529" w:rsidR="00950725" w:rsidRPr="00C83355" w:rsidRDefault="00C82082" w:rsidP="00E34020">
      <w:pPr>
        <w:pStyle w:val="Heading1"/>
        <w:rPr>
          <w:sz w:val="36"/>
          <w:szCs w:val="36"/>
        </w:rPr>
      </w:pPr>
      <w:r w:rsidRPr="00C83355">
        <w:rPr>
          <w:sz w:val="36"/>
          <w:szCs w:val="36"/>
        </w:rPr>
        <w:lastRenderedPageBreak/>
        <w:t xml:space="preserve">Introduction </w:t>
      </w:r>
    </w:p>
    <w:p w14:paraId="47435A12" w14:textId="65EDA1D4" w:rsidR="00F34624" w:rsidRPr="00C83355" w:rsidRDefault="00C82082" w:rsidP="00E34020">
      <w:pPr>
        <w:spacing w:line="360" w:lineRule="auto"/>
        <w:jc w:val="both"/>
        <w:rPr>
          <w:rFonts w:ascii="Times New Roman" w:hAnsi="Times New Roman" w:cs="Times New Roman"/>
          <w:sz w:val="32"/>
          <w:szCs w:val="32"/>
        </w:rPr>
      </w:pPr>
      <w:r w:rsidRPr="00C83355">
        <w:rPr>
          <w:rFonts w:ascii="Times New Roman" w:hAnsi="Times New Roman" w:cs="Times New Roman"/>
          <w:sz w:val="32"/>
          <w:szCs w:val="32"/>
        </w:rPr>
        <w:t>The common law murder statutes in England and Wales attempt to protect life while outlawing all forms of illegal killing. Homicide legislation generally includes manslaughter, murder, and fatalities brought on by reckless driving. Homicide legislation in England and Wales might see murder as legal if the amount of force used to execute the victim was reasonable given the need for defence. However, all murder cases are regarded as terrible and repugnant in front of a court of law. According to the 1965 Act, everyone responsible for the murder must serve a mandatory term. If a person is found guilty of murder, the court may sentence them to a maximum of life in prison</w:t>
      </w:r>
      <w:r w:rsidR="00A11E36" w:rsidRPr="00C83355">
        <w:rPr>
          <w:rFonts w:ascii="Times New Roman" w:hAnsi="Times New Roman" w:cs="Times New Roman"/>
          <w:sz w:val="32"/>
          <w:szCs w:val="32"/>
        </w:rPr>
        <w:t xml:space="preserve"> </w:t>
      </w:r>
      <w:r w:rsidR="00A11E36" w:rsidRPr="00C83355">
        <w:rPr>
          <w:rFonts w:ascii="Times New Roman" w:hAnsi="Times New Roman" w:cs="Times New Roman"/>
          <w:color w:val="222222"/>
          <w:sz w:val="32"/>
          <w:szCs w:val="32"/>
          <w:shd w:val="clear" w:color="auto" w:fill="FFFFFF"/>
        </w:rPr>
        <w:t>(Clough and Fitz-Gibbon, 2021)</w:t>
      </w:r>
      <w:r w:rsidRPr="00C83355">
        <w:rPr>
          <w:rFonts w:ascii="Times New Roman" w:hAnsi="Times New Roman" w:cs="Times New Roman"/>
          <w:sz w:val="32"/>
          <w:szCs w:val="32"/>
        </w:rPr>
        <w:t>.</w:t>
      </w:r>
    </w:p>
    <w:p w14:paraId="6A70842B" w14:textId="7FC3ADDC" w:rsidR="00BF7F7B" w:rsidRPr="005A4D24" w:rsidRDefault="00C82082" w:rsidP="00E34020">
      <w:pPr>
        <w:pStyle w:val="Heading1"/>
        <w:rPr>
          <w:sz w:val="36"/>
          <w:szCs w:val="36"/>
        </w:rPr>
      </w:pPr>
      <w:r w:rsidRPr="005A4D24">
        <w:rPr>
          <w:sz w:val="36"/>
          <w:szCs w:val="36"/>
        </w:rPr>
        <w:t xml:space="preserve">Main body </w:t>
      </w:r>
    </w:p>
    <w:p w14:paraId="4259DD6E" w14:textId="5E7E6854" w:rsidR="00F34624"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In English and Welsh criminal law, where the definition of murder is such as to be vague and diverse as that laid down in its legislation, Actus Reus and Mens Rea are two main factors used for establishing a homicide. Murder is defined as the maliciously thought-out, intentional taking of another person's life. This concept is recognised as an accepted definition of murder in England and Wales. If a killing meets certain criteria, it is considered murder. One of the elements is Actus Reus, which creates a wide range of problems</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(Hyams, 2021)</w:t>
      </w:r>
      <w:r w:rsidRPr="000725B0">
        <w:rPr>
          <w:rFonts w:ascii="Times New Roman" w:hAnsi="Times New Roman" w:cs="Times New Roman"/>
          <w:sz w:val="32"/>
          <w:szCs w:val="32"/>
        </w:rPr>
        <w:t>. The possibility of a killer, as well as the probable scene of the crime, are taken into account. The murderer should have been there when the crime was committed, according to the accuser. Additionally, it evaluates who the murder victim is most likely to be. It also takes into account whether the murder was a legal or illegal act. Mens Rea, the external component of murder, calls for substantial evidence that the defendant was personally accountable for the crime. In Mens Rea, the defendant was required to exhibit premeditated malice if they planned to kill the victim</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(Douglas and Reed, 2021)</w:t>
      </w:r>
      <w:r w:rsidRPr="000725B0">
        <w:rPr>
          <w:rFonts w:ascii="Times New Roman" w:hAnsi="Times New Roman" w:cs="Times New Roman"/>
          <w:sz w:val="32"/>
          <w:szCs w:val="32"/>
        </w:rPr>
        <w:t>.</w:t>
      </w:r>
    </w:p>
    <w:p w14:paraId="113E18E0" w14:textId="15A5F2FC" w:rsidR="00F34624"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Wales and England, as they stand today There are certain shortcomings in the legislation on murder which call for a wide range of amendments. Because murder is regarded as a common law crime, judges must follow precedents when making decisions in murder cases. The murder laws in England and Wales are still under fire. Statute Some fundamental problems with the homicide legislation were highlighted in an investigation conducted by the Commission. The discussion about murder is going, to begin with the absence of a precise definition. Even if brain cells were kept alive artificially, the death of such cells results in murder. Since just a portion of Tony Bland's brain was still functioning while the cortex was badly injured, this decision caused criticism. This case showed inconsistencies in homicide law since cases do not go to trial based on a set of rules</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lastRenderedPageBreak/>
        <w:t>(Tracy, 2021)</w:t>
      </w:r>
      <w:r w:rsidRPr="000725B0">
        <w:rPr>
          <w:rFonts w:ascii="Times New Roman" w:hAnsi="Times New Roman" w:cs="Times New Roman"/>
          <w:sz w:val="32"/>
          <w:szCs w:val="32"/>
        </w:rPr>
        <w:t xml:space="preserve">. </w:t>
      </w:r>
      <w:r w:rsidR="00A11E36" w:rsidRPr="000725B0">
        <w:rPr>
          <w:rFonts w:ascii="Times New Roman" w:hAnsi="Times New Roman" w:cs="Times New Roman"/>
          <w:sz w:val="32"/>
          <w:szCs w:val="32"/>
        </w:rPr>
        <w:t xml:space="preserve">In respect of the murder law, there are some flaws are showing by the Rea Men's component. </w:t>
      </w:r>
      <w:r w:rsidRPr="000725B0">
        <w:rPr>
          <w:rFonts w:ascii="Times New Roman" w:hAnsi="Times New Roman" w:cs="Times New Roman"/>
          <w:sz w:val="32"/>
          <w:szCs w:val="32"/>
        </w:rPr>
        <w:t>In DPP v. Smith and R v. Vickers, it was claimed that D was found guilty of murder because he cautioned the victim about breaking his, and the victim later passed away from the injuries sustained while she sought medical attention. Under homicide legislation, the defendant should consider alternatives and consequences for his actions before he commits a crime</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(Bows and Herring, 2020)</w:t>
      </w:r>
      <w:r w:rsidRPr="000725B0">
        <w:rPr>
          <w:rFonts w:ascii="Times New Roman" w:hAnsi="Times New Roman" w:cs="Times New Roman"/>
          <w:sz w:val="32"/>
          <w:szCs w:val="32"/>
        </w:rPr>
        <w:t>. The judge must infer hypothetical meaning despite the difficulty the court encounters in showing the prior intention to commit murder. Because each judge may have a different motive for the murder, jurors may reach varying conclusions about the same sorts of murder in this regard. Mens Rea is frequently applied incorrectly, and judges and the maximum sentence are seen as being very rigid since they do not apply punishment commensurate with the murder's actual circumstances. For instance, a regular citizen who uses excessive force is sentenced similarly to a serial killer who has killed a large number of people</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(Pike, 2022)</w:t>
      </w:r>
      <w:r w:rsidRPr="000725B0">
        <w:rPr>
          <w:rFonts w:ascii="Times New Roman" w:hAnsi="Times New Roman" w:cs="Times New Roman"/>
          <w:sz w:val="32"/>
          <w:szCs w:val="32"/>
        </w:rPr>
        <w:t>.</w:t>
      </w:r>
    </w:p>
    <w:p w14:paraId="581BAE08" w14:textId="394AC8F8" w:rsidR="00F34624"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Moreover, some gaps in the full defence and provocation defence have been left by the Homicide Act of 1957. The Homicide Act of 1957 made it possible for those who suffer from mental illnesses to receive a lesser penalty than other citizens. For individuals who are not mentally ill, the provocation defence was available. If a defendant meets the requirements of self-defence and control, he may be allowed to defend himself in part. However, the defence of provocation has failed to provide a benchmark in terms of self-defense and control due to its failure to take into account certain mental characteristics. For instance, a person with moderate schizophrenia may become irrational and kill someone. The court could prosecute him similarly to a regular person despite his having modest indications of schizophrenia</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(Reed, Wake and Simpson, 2021)</w:t>
      </w:r>
      <w:r w:rsidRPr="000725B0">
        <w:rPr>
          <w:rFonts w:ascii="Times New Roman" w:hAnsi="Times New Roman" w:cs="Times New Roman"/>
          <w:sz w:val="32"/>
          <w:szCs w:val="32"/>
        </w:rPr>
        <w:t>. A normal person and a person with schizophrenia cannot both exercise standard self-control. In the case of R v. Smith, the Lords of the House of Lords argued that there was a conflict between provocation and reduced culpability because the defendant had not established mental incapacity. In this situation, it was observed that normal controls were not in place. Even if he did not prove his reduced responsibility, the defendant had been able to apply for a provocation defence. The judgment of the House of Lords is condemned since a high level of provocation could have resulted in an appellant losing his temper. For all defendants in the present case, the defence of provocation is a common one, which can be detrimental to the accused</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(Roper, 2022)</w:t>
      </w:r>
      <w:r w:rsidRPr="000725B0">
        <w:rPr>
          <w:rFonts w:ascii="Times New Roman" w:hAnsi="Times New Roman" w:cs="Times New Roman"/>
          <w:sz w:val="32"/>
          <w:szCs w:val="32"/>
        </w:rPr>
        <w:t>.</w:t>
      </w:r>
    </w:p>
    <w:p w14:paraId="4C9D89ED" w14:textId="0C7707C3" w:rsidR="00F34624"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 xml:space="preserve">The legislation commission proposed changes to homicide law in its report. The Commission would like to discriminate between different levels of homicide to obtain just judgement and </w:t>
      </w:r>
      <w:r w:rsidRPr="000725B0">
        <w:rPr>
          <w:rFonts w:ascii="Times New Roman" w:hAnsi="Times New Roman" w:cs="Times New Roman"/>
          <w:sz w:val="32"/>
          <w:szCs w:val="32"/>
        </w:rPr>
        <w:lastRenderedPageBreak/>
        <w:t>punishment. First-degree murder, for instance, is when someone kills someone with malice aforethought. The defendant faces an automatic life sentence for first-degree murder, which is regarded as the most serious type of murder. When someone intends to do serious injury but instead commits murder, it is considered second-degree murder. When a person murders the second degree, they do it carelessly, and provocation is thought to be the main factor in their conduct. In addition, provisions on murder by omission must be included in the Criminal Code</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 xml:space="preserve">(Todd </w:t>
      </w:r>
      <w:r w:rsidR="00A11E36" w:rsidRPr="000725B0">
        <w:rPr>
          <w:rFonts w:ascii="Times New Roman" w:hAnsi="Times New Roman" w:cs="Times New Roman"/>
          <w:i/>
          <w:iCs/>
          <w:color w:val="222222"/>
          <w:sz w:val="32"/>
          <w:szCs w:val="32"/>
          <w:shd w:val="clear" w:color="auto" w:fill="FFFFFF"/>
        </w:rPr>
        <w:t>et al.,</w:t>
      </w:r>
      <w:r w:rsidR="00A11E36" w:rsidRPr="000725B0">
        <w:rPr>
          <w:rFonts w:ascii="Times New Roman" w:hAnsi="Times New Roman" w:cs="Times New Roman"/>
          <w:color w:val="222222"/>
          <w:sz w:val="32"/>
          <w:szCs w:val="32"/>
          <w:shd w:val="clear" w:color="auto" w:fill="FFFFFF"/>
        </w:rPr>
        <w:t xml:space="preserve"> 2019)</w:t>
      </w:r>
      <w:r w:rsidRPr="000725B0">
        <w:rPr>
          <w:rFonts w:ascii="Times New Roman" w:hAnsi="Times New Roman" w:cs="Times New Roman"/>
          <w:sz w:val="32"/>
          <w:szCs w:val="32"/>
        </w:rPr>
        <w:t>. The CJJ Act of 2009 has amended the 1957 murder law's provocation defence. The CJJA 2009 substituted the defence of self-control for the provocation defence. This modification is significant since it got rid of the flimsy defence of provocation, such as sexual infidelity. In conjunction with self-control, provocation can be used although some restrictions are placed on it. According to the 2009 Coroners and Justice Act, medical awareness was allowed. Consequently, it is appropriate to take into account the defendant's mental condition when deciding on a case. Involuntary manslaughter was changed by the Coroners and Justice Act of 2009 because a mental illness can be the primary cause of murder</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(Rock, 2023)</w:t>
      </w:r>
      <w:r w:rsidRPr="000725B0">
        <w:rPr>
          <w:rFonts w:ascii="Times New Roman" w:hAnsi="Times New Roman" w:cs="Times New Roman"/>
          <w:sz w:val="32"/>
          <w:szCs w:val="32"/>
        </w:rPr>
        <w:t>.</w:t>
      </w:r>
      <w:r w:rsidR="00A11E36" w:rsidRPr="000725B0">
        <w:rPr>
          <w:rFonts w:ascii="Times New Roman" w:hAnsi="Times New Roman" w:cs="Times New Roman"/>
          <w:sz w:val="32"/>
          <w:szCs w:val="32"/>
        </w:rPr>
        <w:t xml:space="preserve"> </w:t>
      </w:r>
    </w:p>
    <w:p w14:paraId="13E3D0A4" w14:textId="4C17B4EB" w:rsidR="00BA17D3"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However, the Commission has proposed amendments to be made with regard to voluntary manslaughter. In cases of unintentional manslaughter, the accused is thought to be devoid of men's rea, or intent to kill. The Commission recommended that Lloyd clarify the term 'voluntary manslaughter', to mitigate any uncertainty. For instance, shoving someone to death is seen as a minor offence; as a result, the degree of blameworthiness might vary depending on how the murder was committed. The Law Commission mandates that, in its decision, the court must take into consideration severe negligence manslaughter. The court should, for instance, determine if the defendant's interaction was the reason for the death</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(Bradford, 2020)</w:t>
      </w:r>
      <w:r w:rsidRPr="000725B0">
        <w:rPr>
          <w:rFonts w:ascii="Times New Roman" w:hAnsi="Times New Roman" w:cs="Times New Roman"/>
          <w:sz w:val="32"/>
          <w:szCs w:val="32"/>
        </w:rPr>
        <w:t>.</w:t>
      </w:r>
    </w:p>
    <w:p w14:paraId="3EB7DC70" w14:textId="618B546E" w:rsidR="00BA17D3"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The proposals of the Law Commission are crucial because they will help to reverse the murder of actus reus. Because the traditional common law views certain murder cases as more serious than others, the inclusion of gross negligence manslaughter will aid in standardising murder cases. The correspondence principle, which mandates that criminal culpability be imposed if mens rea directly correlates with actus Reus, is typically violated by the purpose to inflict significant physical injury</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(Funk, 2023)</w:t>
      </w:r>
      <w:r w:rsidRPr="000725B0">
        <w:rPr>
          <w:rFonts w:ascii="Times New Roman" w:hAnsi="Times New Roman" w:cs="Times New Roman"/>
          <w:sz w:val="32"/>
          <w:szCs w:val="32"/>
        </w:rPr>
        <w:t xml:space="preserve">. As a result, if someone injures someone severely before killing them, they are responsible for the death that follows. The distinction between direct and indirect purposes should be made, however. For instance, the House Lords argued in R v. Woollin that the defendant's behaviour may be seen as having a direct purpose if the defendant anticipated the results of his </w:t>
      </w:r>
      <w:r w:rsidRPr="000725B0">
        <w:rPr>
          <w:rFonts w:ascii="Times New Roman" w:hAnsi="Times New Roman" w:cs="Times New Roman"/>
          <w:sz w:val="32"/>
          <w:szCs w:val="32"/>
        </w:rPr>
        <w:lastRenderedPageBreak/>
        <w:t>acts</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 xml:space="preserve">(Baird </w:t>
      </w:r>
      <w:r w:rsidR="00A11E36" w:rsidRPr="000725B0">
        <w:rPr>
          <w:rFonts w:ascii="Times New Roman" w:hAnsi="Times New Roman" w:cs="Times New Roman"/>
          <w:i/>
          <w:iCs/>
          <w:color w:val="222222"/>
          <w:sz w:val="32"/>
          <w:szCs w:val="32"/>
          <w:shd w:val="clear" w:color="auto" w:fill="FFFFFF"/>
        </w:rPr>
        <w:t>et al.,</w:t>
      </w:r>
      <w:r w:rsidR="00A11E36" w:rsidRPr="000725B0">
        <w:rPr>
          <w:rFonts w:ascii="Times New Roman" w:hAnsi="Times New Roman" w:cs="Times New Roman"/>
          <w:color w:val="222222"/>
          <w:sz w:val="32"/>
          <w:szCs w:val="32"/>
          <w:shd w:val="clear" w:color="auto" w:fill="FFFFFF"/>
        </w:rPr>
        <w:t xml:space="preserve"> 2019)</w:t>
      </w:r>
      <w:r w:rsidRPr="000725B0">
        <w:rPr>
          <w:rFonts w:ascii="Times New Roman" w:hAnsi="Times New Roman" w:cs="Times New Roman"/>
          <w:sz w:val="32"/>
          <w:szCs w:val="32"/>
        </w:rPr>
        <w:t>. For instance, even if the owner of a building did not intend to kill anyone, he will still be held responsible for murder if he decides to burn down the structure to get his insurance money. In fact, according to the R vs. Mathews and Alleyne case, Woollin's test can be regarded as evidence rather than an important principle of law because the defendant is unable to predict how his acts will go down. For instance, a person cannot determine if a certain amount of physical injury can result in death</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(Reed and Simpson, 2021)</w:t>
      </w:r>
      <w:r w:rsidRPr="000725B0">
        <w:rPr>
          <w:rFonts w:ascii="Times New Roman" w:hAnsi="Times New Roman" w:cs="Times New Roman"/>
          <w:sz w:val="32"/>
          <w:szCs w:val="32"/>
        </w:rPr>
        <w:t>.</w:t>
      </w:r>
    </w:p>
    <w:p w14:paraId="4459C619" w14:textId="4EEE943E" w:rsidR="00BA17D3" w:rsidRPr="000725B0" w:rsidRDefault="00C82082" w:rsidP="00E34020">
      <w:pPr>
        <w:spacing w:line="360" w:lineRule="auto"/>
        <w:jc w:val="both"/>
        <w:rPr>
          <w:rFonts w:ascii="Times New Roman" w:hAnsi="Times New Roman" w:cs="Times New Roman"/>
          <w:sz w:val="32"/>
          <w:szCs w:val="32"/>
        </w:rPr>
      </w:pPr>
      <w:r w:rsidRPr="000725B0">
        <w:rPr>
          <w:rFonts w:ascii="Times New Roman" w:hAnsi="Times New Roman" w:cs="Times New Roman"/>
          <w:sz w:val="32"/>
          <w:szCs w:val="32"/>
        </w:rPr>
        <w:t>Murder is defined as the maliciously motivated purposeful taking of another person's life. At the same time, a homicide law is complicated and unintelligible. In other words, the defence of provocation could not have set a common limit on both self-defense and control because it did not take into account certain types of psychosomatic characteristics. According to the Law Commission, voluntary manslaughter legislation should be amended because it is unfair. For instance, judges can interpret the intent to kill in a way that may lead to mistaken convictions</w:t>
      </w:r>
      <w:r w:rsidR="00A11E36" w:rsidRPr="000725B0">
        <w:rPr>
          <w:rFonts w:ascii="Times New Roman" w:hAnsi="Times New Roman" w:cs="Times New Roman"/>
          <w:sz w:val="32"/>
          <w:szCs w:val="32"/>
        </w:rPr>
        <w:t xml:space="preserve"> </w:t>
      </w:r>
      <w:r w:rsidR="00A11E36" w:rsidRPr="000725B0">
        <w:rPr>
          <w:rFonts w:ascii="Times New Roman" w:hAnsi="Times New Roman" w:cs="Times New Roman"/>
          <w:color w:val="222222"/>
          <w:sz w:val="32"/>
          <w:szCs w:val="32"/>
          <w:shd w:val="clear" w:color="auto" w:fill="FFFFFF"/>
        </w:rPr>
        <w:t>(Clark, 2020)</w:t>
      </w:r>
      <w:r w:rsidRPr="000725B0">
        <w:rPr>
          <w:rFonts w:ascii="Times New Roman" w:hAnsi="Times New Roman" w:cs="Times New Roman"/>
          <w:sz w:val="32"/>
          <w:szCs w:val="32"/>
        </w:rPr>
        <w:t>.</w:t>
      </w:r>
    </w:p>
    <w:p w14:paraId="3933E6F5" w14:textId="77777777" w:rsidR="00E34020" w:rsidRDefault="00E34020">
      <w:pPr>
        <w:rPr>
          <w:rFonts w:asciiTheme="majorHAnsi" w:eastAsiaTheme="majorEastAsia" w:hAnsiTheme="majorHAnsi" w:cstheme="majorBidi"/>
          <w:b/>
          <w:bCs/>
          <w:color w:val="2F5496" w:themeColor="accent1" w:themeShade="BF"/>
          <w:sz w:val="28"/>
          <w:szCs w:val="28"/>
        </w:rPr>
      </w:pPr>
      <w:r>
        <w:br w:type="page"/>
      </w:r>
    </w:p>
    <w:p w14:paraId="0A318F02" w14:textId="3C76EB76" w:rsidR="00C82082" w:rsidRPr="00E34020" w:rsidRDefault="00C82082" w:rsidP="00E34020">
      <w:pPr>
        <w:pStyle w:val="Heading1"/>
      </w:pPr>
      <w:r w:rsidRPr="00E34020">
        <w:t>References</w:t>
      </w:r>
    </w:p>
    <w:p w14:paraId="1F08A99E"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 xml:space="preserve">Baird, A., While, D., Flynn, S., Ibrahim, S., </w:t>
      </w:r>
      <w:proofErr w:type="spellStart"/>
      <w:r w:rsidRPr="00DF4036">
        <w:rPr>
          <w:rFonts w:ascii="Times New Roman" w:hAnsi="Times New Roman" w:cs="Times New Roman"/>
          <w:color w:val="222222"/>
          <w:sz w:val="28"/>
          <w:szCs w:val="28"/>
          <w:shd w:val="clear" w:color="auto" w:fill="FFFFFF"/>
        </w:rPr>
        <w:t>Kapur</w:t>
      </w:r>
      <w:proofErr w:type="spellEnd"/>
      <w:r w:rsidRPr="00DF4036">
        <w:rPr>
          <w:rFonts w:ascii="Times New Roman" w:hAnsi="Times New Roman" w:cs="Times New Roman"/>
          <w:color w:val="222222"/>
          <w:sz w:val="28"/>
          <w:szCs w:val="28"/>
          <w:shd w:val="clear" w:color="auto" w:fill="FFFFFF"/>
        </w:rPr>
        <w:t>, N., Appleby, L. and Shaw, J., 2019. Do homicide rates increase during weekends and national holidays?. </w:t>
      </w:r>
      <w:r w:rsidRPr="00DF4036">
        <w:rPr>
          <w:rFonts w:ascii="Times New Roman" w:hAnsi="Times New Roman" w:cs="Times New Roman"/>
          <w:i/>
          <w:iCs/>
          <w:color w:val="222222"/>
          <w:sz w:val="28"/>
          <w:szCs w:val="28"/>
          <w:shd w:val="clear" w:color="auto" w:fill="FFFFFF"/>
        </w:rPr>
        <w:t>The Journal of Forensic Psychiatry &amp; Psychology</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30</w:t>
      </w:r>
      <w:r w:rsidRPr="00DF4036">
        <w:rPr>
          <w:rFonts w:ascii="Times New Roman" w:hAnsi="Times New Roman" w:cs="Times New Roman"/>
          <w:color w:val="222222"/>
          <w:sz w:val="28"/>
          <w:szCs w:val="28"/>
          <w:shd w:val="clear" w:color="auto" w:fill="FFFFFF"/>
        </w:rPr>
        <w:t>(3), pp.367-380.</w:t>
      </w:r>
    </w:p>
    <w:p w14:paraId="2A5FCAE5"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Bows, H. and Herring, J., 2020. Getting away with murder? A review of the ‘rough sex defence’. </w:t>
      </w:r>
      <w:r w:rsidRPr="00DF4036">
        <w:rPr>
          <w:rFonts w:ascii="Times New Roman" w:hAnsi="Times New Roman" w:cs="Times New Roman"/>
          <w:i/>
          <w:iCs/>
          <w:color w:val="222222"/>
          <w:sz w:val="28"/>
          <w:szCs w:val="28"/>
          <w:shd w:val="clear" w:color="auto" w:fill="FFFFFF"/>
        </w:rPr>
        <w:t>The Journal of Criminal Law</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84</w:t>
      </w:r>
      <w:r w:rsidRPr="00DF4036">
        <w:rPr>
          <w:rFonts w:ascii="Times New Roman" w:hAnsi="Times New Roman" w:cs="Times New Roman"/>
          <w:color w:val="222222"/>
          <w:sz w:val="28"/>
          <w:szCs w:val="28"/>
          <w:shd w:val="clear" w:color="auto" w:fill="FFFFFF"/>
        </w:rPr>
        <w:t>(6), pp.525-538.</w:t>
      </w:r>
    </w:p>
    <w:p w14:paraId="37F78B62"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Bradford, L., 2020. </w:t>
      </w:r>
      <w:r w:rsidRPr="00DF4036">
        <w:rPr>
          <w:rFonts w:ascii="Times New Roman" w:hAnsi="Times New Roman" w:cs="Times New Roman"/>
          <w:i/>
          <w:iCs/>
          <w:color w:val="222222"/>
          <w:sz w:val="28"/>
          <w:szCs w:val="28"/>
          <w:shd w:val="clear" w:color="auto" w:fill="FFFFFF"/>
        </w:rPr>
        <w:t>Hidden Victims: An exploration of the criminal justice experiences of homicide bereaved people in England and Wales</w:t>
      </w:r>
      <w:r w:rsidRPr="00DF4036">
        <w:rPr>
          <w:rFonts w:ascii="Times New Roman" w:hAnsi="Times New Roman" w:cs="Times New Roman"/>
          <w:color w:val="222222"/>
          <w:sz w:val="28"/>
          <w:szCs w:val="28"/>
          <w:shd w:val="clear" w:color="auto" w:fill="FFFFFF"/>
        </w:rPr>
        <w:t> (Doctoral dissertation, University of Sheffield).</w:t>
      </w:r>
    </w:p>
    <w:p w14:paraId="2EAB006D"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Clark, S., 2020. Making Murder Public: Homicide in Early Modern England, 1480–1680 by KJ Kesselring. </w:t>
      </w:r>
      <w:r w:rsidRPr="00DF4036">
        <w:rPr>
          <w:rFonts w:ascii="Times New Roman" w:hAnsi="Times New Roman" w:cs="Times New Roman"/>
          <w:i/>
          <w:iCs/>
          <w:color w:val="222222"/>
          <w:sz w:val="28"/>
          <w:szCs w:val="28"/>
          <w:shd w:val="clear" w:color="auto" w:fill="FFFFFF"/>
        </w:rPr>
        <w:t>Canadian Journal of History</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55</w:t>
      </w:r>
      <w:r w:rsidRPr="00DF4036">
        <w:rPr>
          <w:rFonts w:ascii="Times New Roman" w:hAnsi="Times New Roman" w:cs="Times New Roman"/>
          <w:color w:val="222222"/>
          <w:sz w:val="28"/>
          <w:szCs w:val="28"/>
          <w:shd w:val="clear" w:color="auto" w:fill="FFFFFF"/>
        </w:rPr>
        <w:t>(1), pp.132-134.</w:t>
      </w:r>
    </w:p>
    <w:p w14:paraId="713C168F"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Clough, A. and Fitz-Gibbon, K., 2021. The Outdated Defence of Non-Violent Homosexual Advance: Australian Provocation Reform and Lessons for English Homicide Law. </w:t>
      </w:r>
      <w:r w:rsidRPr="00DF4036">
        <w:rPr>
          <w:rFonts w:ascii="Times New Roman" w:hAnsi="Times New Roman" w:cs="Times New Roman"/>
          <w:i/>
          <w:iCs/>
          <w:color w:val="222222"/>
          <w:sz w:val="28"/>
          <w:szCs w:val="28"/>
          <w:shd w:val="clear" w:color="auto" w:fill="FFFFFF"/>
        </w:rPr>
        <w:t>J. Int'l &amp; Comp. L.</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8</w:t>
      </w:r>
      <w:r w:rsidRPr="00DF4036">
        <w:rPr>
          <w:rFonts w:ascii="Times New Roman" w:hAnsi="Times New Roman" w:cs="Times New Roman"/>
          <w:color w:val="222222"/>
          <w:sz w:val="28"/>
          <w:szCs w:val="28"/>
          <w:shd w:val="clear" w:color="auto" w:fill="FFFFFF"/>
        </w:rPr>
        <w:t>, p.121.</w:t>
      </w:r>
    </w:p>
    <w:p w14:paraId="293A584C"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Douglas, H. and Reed, A., 2021. The role of loss of self-control in defences to homicide: a critical analysis of Anglo-Australian developments. </w:t>
      </w:r>
      <w:r w:rsidRPr="00DF4036">
        <w:rPr>
          <w:rFonts w:ascii="Times New Roman" w:hAnsi="Times New Roman" w:cs="Times New Roman"/>
          <w:i/>
          <w:iCs/>
          <w:color w:val="222222"/>
          <w:sz w:val="28"/>
          <w:szCs w:val="28"/>
          <w:shd w:val="clear" w:color="auto" w:fill="FFFFFF"/>
        </w:rPr>
        <w:t>Northern Ireland Legal Quarterly</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72</w:t>
      </w:r>
      <w:r w:rsidRPr="00DF4036">
        <w:rPr>
          <w:rFonts w:ascii="Times New Roman" w:hAnsi="Times New Roman" w:cs="Times New Roman"/>
          <w:color w:val="222222"/>
          <w:sz w:val="28"/>
          <w:szCs w:val="28"/>
          <w:shd w:val="clear" w:color="auto" w:fill="FFFFFF"/>
        </w:rPr>
        <w:t>(2), p.271.</w:t>
      </w:r>
    </w:p>
    <w:p w14:paraId="3E5A2843" w14:textId="77777777" w:rsidR="00E34020" w:rsidRPr="00DF4036" w:rsidRDefault="00E34020" w:rsidP="00E34020">
      <w:pPr>
        <w:spacing w:line="360" w:lineRule="auto"/>
        <w:ind w:left="720" w:hanging="720"/>
        <w:jc w:val="both"/>
        <w:rPr>
          <w:rFonts w:ascii="Times New Roman" w:hAnsi="Times New Roman" w:cs="Times New Roman"/>
          <w:sz w:val="28"/>
          <w:szCs w:val="28"/>
        </w:rPr>
      </w:pPr>
      <w:r w:rsidRPr="00DF4036">
        <w:rPr>
          <w:rFonts w:ascii="Times New Roman" w:hAnsi="Times New Roman" w:cs="Times New Roman"/>
          <w:color w:val="222222"/>
          <w:sz w:val="28"/>
          <w:szCs w:val="28"/>
          <w:shd w:val="clear" w:color="auto" w:fill="FFFFFF"/>
        </w:rPr>
        <w:t>Funk, T.M., 2023. Understanding the Development (and Surprising Deficiencies) of England's Storied Self-Defense Law. </w:t>
      </w:r>
      <w:r w:rsidRPr="00DF4036">
        <w:rPr>
          <w:rFonts w:ascii="Times New Roman" w:hAnsi="Times New Roman" w:cs="Times New Roman"/>
          <w:i/>
          <w:iCs/>
          <w:color w:val="222222"/>
          <w:sz w:val="28"/>
          <w:szCs w:val="28"/>
          <w:shd w:val="clear" w:color="auto" w:fill="FFFFFF"/>
        </w:rPr>
        <w:t>Colum. J. Eur. L.</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29</w:t>
      </w:r>
      <w:r w:rsidRPr="00DF4036">
        <w:rPr>
          <w:rFonts w:ascii="Times New Roman" w:hAnsi="Times New Roman" w:cs="Times New Roman"/>
          <w:color w:val="222222"/>
          <w:sz w:val="28"/>
          <w:szCs w:val="28"/>
          <w:shd w:val="clear" w:color="auto" w:fill="FFFFFF"/>
        </w:rPr>
        <w:t>, p.1.</w:t>
      </w:r>
    </w:p>
    <w:p w14:paraId="23C76536"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proofErr w:type="spellStart"/>
      <w:r w:rsidRPr="00DF4036">
        <w:rPr>
          <w:rFonts w:ascii="Times New Roman" w:hAnsi="Times New Roman" w:cs="Times New Roman"/>
          <w:color w:val="222222"/>
          <w:sz w:val="28"/>
          <w:szCs w:val="28"/>
          <w:shd w:val="clear" w:color="auto" w:fill="FFFFFF"/>
        </w:rPr>
        <w:t>Hyams</w:t>
      </w:r>
      <w:proofErr w:type="spellEnd"/>
      <w:r w:rsidRPr="00DF4036">
        <w:rPr>
          <w:rFonts w:ascii="Times New Roman" w:hAnsi="Times New Roman" w:cs="Times New Roman"/>
          <w:color w:val="222222"/>
          <w:sz w:val="28"/>
          <w:szCs w:val="28"/>
          <w:shd w:val="clear" w:color="auto" w:fill="FFFFFF"/>
        </w:rPr>
        <w:t>, P., 2021. Concluding Thoughts from England and the ‘Western Legal Tradition’. In </w:t>
      </w:r>
      <w:r w:rsidRPr="00DF4036">
        <w:rPr>
          <w:rFonts w:ascii="Times New Roman" w:hAnsi="Times New Roman" w:cs="Times New Roman"/>
          <w:i/>
          <w:iCs/>
          <w:color w:val="222222"/>
          <w:sz w:val="28"/>
          <w:szCs w:val="28"/>
          <w:shd w:val="clear" w:color="auto" w:fill="FFFFFF"/>
        </w:rPr>
        <w:t>Wergild, Compensation and Penance</w:t>
      </w:r>
      <w:r w:rsidRPr="00DF4036">
        <w:rPr>
          <w:rFonts w:ascii="Times New Roman" w:hAnsi="Times New Roman" w:cs="Times New Roman"/>
          <w:color w:val="222222"/>
          <w:sz w:val="28"/>
          <w:szCs w:val="28"/>
          <w:shd w:val="clear" w:color="auto" w:fill="FFFFFF"/>
        </w:rPr>
        <w:t> (pp. 293-322). Brill.</w:t>
      </w:r>
    </w:p>
    <w:p w14:paraId="33829E69"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Pike, S., 2022. </w:t>
      </w:r>
      <w:r w:rsidRPr="00DF4036">
        <w:rPr>
          <w:rFonts w:ascii="Times New Roman" w:hAnsi="Times New Roman" w:cs="Times New Roman"/>
          <w:i/>
          <w:iCs/>
          <w:color w:val="222222"/>
          <w:sz w:val="28"/>
          <w:szCs w:val="28"/>
          <w:shd w:val="clear" w:color="auto" w:fill="FFFFFF"/>
        </w:rPr>
        <w:t>A recent history of homicide investigation: changes and implications for criminal justice in England and Wales</w:t>
      </w:r>
      <w:r w:rsidRPr="00DF4036">
        <w:rPr>
          <w:rFonts w:ascii="Times New Roman" w:hAnsi="Times New Roman" w:cs="Times New Roman"/>
          <w:color w:val="222222"/>
          <w:sz w:val="28"/>
          <w:szCs w:val="28"/>
          <w:shd w:val="clear" w:color="auto" w:fill="FFFFFF"/>
        </w:rPr>
        <w:t>. Taylor &amp; Francis.</w:t>
      </w:r>
    </w:p>
    <w:p w14:paraId="3503FB29"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Reed, A. and Simpson, B., 2021. Criminalisation and the Contours of Liability: Current Legal Issues and Comparative Reform Solutions. </w:t>
      </w:r>
      <w:r w:rsidRPr="00DF4036">
        <w:rPr>
          <w:rFonts w:ascii="Times New Roman" w:hAnsi="Times New Roman" w:cs="Times New Roman"/>
          <w:i/>
          <w:iCs/>
          <w:color w:val="222222"/>
          <w:sz w:val="28"/>
          <w:szCs w:val="28"/>
          <w:shd w:val="clear" w:color="auto" w:fill="FFFFFF"/>
        </w:rPr>
        <w:t>J. Int'l &amp; Comp. L.</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8</w:t>
      </w:r>
      <w:r w:rsidRPr="00DF4036">
        <w:rPr>
          <w:rFonts w:ascii="Times New Roman" w:hAnsi="Times New Roman" w:cs="Times New Roman"/>
          <w:color w:val="222222"/>
          <w:sz w:val="28"/>
          <w:szCs w:val="28"/>
          <w:shd w:val="clear" w:color="auto" w:fill="FFFFFF"/>
        </w:rPr>
        <w:t>, p.1.</w:t>
      </w:r>
    </w:p>
    <w:p w14:paraId="74C725A3"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 xml:space="preserve">Reed, A., Wake, N. and Simpson, B., 2021. </w:t>
      </w:r>
      <w:proofErr w:type="spellStart"/>
      <w:r w:rsidRPr="00DF4036">
        <w:rPr>
          <w:rFonts w:ascii="Times New Roman" w:hAnsi="Times New Roman" w:cs="Times New Roman"/>
          <w:color w:val="222222"/>
          <w:sz w:val="28"/>
          <w:szCs w:val="28"/>
          <w:shd w:val="clear" w:color="auto" w:fill="FFFFFF"/>
        </w:rPr>
        <w:t>Introduction:‘Domestic</w:t>
      </w:r>
      <w:proofErr w:type="spellEnd"/>
      <w:r w:rsidRPr="00DF4036">
        <w:rPr>
          <w:rFonts w:ascii="Times New Roman" w:hAnsi="Times New Roman" w:cs="Times New Roman"/>
          <w:color w:val="222222"/>
          <w:sz w:val="28"/>
          <w:szCs w:val="28"/>
          <w:shd w:val="clear" w:color="auto" w:fill="FFFFFF"/>
        </w:rPr>
        <w:t xml:space="preserve"> and comparative perspectives on loss of self-control and diminished responsibility as partial defences to murder: a 10-year review of the Coroners and Justice Act 2009 reform framework’. </w:t>
      </w:r>
      <w:r w:rsidRPr="00DF4036">
        <w:rPr>
          <w:rFonts w:ascii="Times New Roman" w:hAnsi="Times New Roman" w:cs="Times New Roman"/>
          <w:i/>
          <w:iCs/>
          <w:color w:val="222222"/>
          <w:sz w:val="28"/>
          <w:szCs w:val="28"/>
          <w:shd w:val="clear" w:color="auto" w:fill="FFFFFF"/>
        </w:rPr>
        <w:t>Northern Ireland Legal Quarterly</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72</w:t>
      </w:r>
      <w:r w:rsidRPr="00DF4036">
        <w:rPr>
          <w:rFonts w:ascii="Times New Roman" w:hAnsi="Times New Roman" w:cs="Times New Roman"/>
          <w:color w:val="222222"/>
          <w:sz w:val="28"/>
          <w:szCs w:val="28"/>
          <w:shd w:val="clear" w:color="auto" w:fill="FFFFFF"/>
        </w:rPr>
        <w:t>(2), pp.161-170.</w:t>
      </w:r>
    </w:p>
    <w:p w14:paraId="16FBE4F0"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Rock, P., 2023. The Role of Victim Advocacy in Criminal Justice Reform in England and Wales. </w:t>
      </w:r>
      <w:r w:rsidRPr="00DF4036">
        <w:rPr>
          <w:rFonts w:ascii="Times New Roman" w:hAnsi="Times New Roman" w:cs="Times New Roman"/>
          <w:i/>
          <w:iCs/>
          <w:color w:val="222222"/>
          <w:sz w:val="28"/>
          <w:szCs w:val="28"/>
          <w:shd w:val="clear" w:color="auto" w:fill="FFFFFF"/>
        </w:rPr>
        <w:t>Annual Review of Criminology</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6</w:t>
      </w:r>
      <w:r w:rsidRPr="00DF4036">
        <w:rPr>
          <w:rFonts w:ascii="Times New Roman" w:hAnsi="Times New Roman" w:cs="Times New Roman"/>
          <w:color w:val="222222"/>
          <w:sz w:val="28"/>
          <w:szCs w:val="28"/>
          <w:shd w:val="clear" w:color="auto" w:fill="FFFFFF"/>
        </w:rPr>
        <w:t>, pp.499-527.</w:t>
      </w:r>
    </w:p>
    <w:p w14:paraId="588A9571"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Roper, V., 2022. The Corporate Manslaughter and Corporate Homicide Act 2007: A re-evaluation 10 years on from the first case. </w:t>
      </w:r>
      <w:r w:rsidRPr="00DF4036">
        <w:rPr>
          <w:rFonts w:ascii="Times New Roman" w:hAnsi="Times New Roman" w:cs="Times New Roman"/>
          <w:i/>
          <w:iCs/>
          <w:color w:val="222222"/>
          <w:sz w:val="28"/>
          <w:szCs w:val="28"/>
          <w:shd w:val="clear" w:color="auto" w:fill="FFFFFF"/>
        </w:rPr>
        <w:t>Criminal Law Review</w:t>
      </w:r>
      <w:r w:rsidRPr="00DF4036">
        <w:rPr>
          <w:rFonts w:ascii="Times New Roman" w:hAnsi="Times New Roman" w:cs="Times New Roman"/>
          <w:color w:val="222222"/>
          <w:sz w:val="28"/>
          <w:szCs w:val="28"/>
          <w:shd w:val="clear" w:color="auto" w:fill="FFFFFF"/>
        </w:rPr>
        <w:t>, (4), pp.290-306.</w:t>
      </w:r>
    </w:p>
    <w:p w14:paraId="5793EA1D"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 xml:space="preserve">Todd, L., Usman, K., Tyler, F., </w:t>
      </w:r>
      <w:proofErr w:type="spellStart"/>
      <w:r w:rsidRPr="00DF4036">
        <w:rPr>
          <w:rFonts w:ascii="Times New Roman" w:hAnsi="Times New Roman" w:cs="Times New Roman"/>
          <w:color w:val="222222"/>
          <w:sz w:val="28"/>
          <w:szCs w:val="28"/>
          <w:shd w:val="clear" w:color="auto" w:fill="FFFFFF"/>
        </w:rPr>
        <w:t>Toffolo</w:t>
      </w:r>
      <w:proofErr w:type="spellEnd"/>
      <w:r w:rsidRPr="00DF4036">
        <w:rPr>
          <w:rFonts w:ascii="Times New Roman" w:hAnsi="Times New Roman" w:cs="Times New Roman"/>
          <w:color w:val="222222"/>
          <w:sz w:val="28"/>
          <w:szCs w:val="28"/>
          <w:shd w:val="clear" w:color="auto" w:fill="FFFFFF"/>
        </w:rPr>
        <w:t>, L. and Temple, A., 2019. Should the laws on involuntary manslaughter in England and Wales be reformed?. </w:t>
      </w:r>
      <w:r w:rsidRPr="00DF4036">
        <w:rPr>
          <w:rFonts w:ascii="Times New Roman" w:hAnsi="Times New Roman" w:cs="Times New Roman"/>
          <w:i/>
          <w:iCs/>
          <w:color w:val="222222"/>
          <w:sz w:val="28"/>
          <w:szCs w:val="28"/>
          <w:shd w:val="clear" w:color="auto" w:fill="FFFFFF"/>
        </w:rPr>
        <w:t>The Student Journal of Professional Practice and Academic Research</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1</w:t>
      </w:r>
      <w:r w:rsidRPr="00DF4036">
        <w:rPr>
          <w:rFonts w:ascii="Times New Roman" w:hAnsi="Times New Roman" w:cs="Times New Roman"/>
          <w:color w:val="222222"/>
          <w:sz w:val="28"/>
          <w:szCs w:val="28"/>
          <w:shd w:val="clear" w:color="auto" w:fill="FFFFFF"/>
        </w:rPr>
        <w:t>(1), pp.65-73.</w:t>
      </w:r>
    </w:p>
    <w:p w14:paraId="6089411C" w14:textId="77777777" w:rsidR="00E34020" w:rsidRPr="00DF4036" w:rsidRDefault="00E34020" w:rsidP="00E34020">
      <w:pPr>
        <w:spacing w:line="360" w:lineRule="auto"/>
        <w:ind w:left="720" w:hanging="720"/>
        <w:jc w:val="both"/>
        <w:rPr>
          <w:rFonts w:ascii="Times New Roman" w:hAnsi="Times New Roman" w:cs="Times New Roman"/>
          <w:color w:val="222222"/>
          <w:sz w:val="28"/>
          <w:szCs w:val="28"/>
          <w:shd w:val="clear" w:color="auto" w:fill="FFFFFF"/>
        </w:rPr>
      </w:pPr>
      <w:r w:rsidRPr="00DF4036">
        <w:rPr>
          <w:rFonts w:ascii="Times New Roman" w:hAnsi="Times New Roman" w:cs="Times New Roman"/>
          <w:color w:val="222222"/>
          <w:sz w:val="28"/>
          <w:szCs w:val="28"/>
          <w:shd w:val="clear" w:color="auto" w:fill="FFFFFF"/>
        </w:rPr>
        <w:t>Tracy, L., 2021. KJ Kesselring. Making Murder Public: Homicide in Early Modern England, 1480–1680. Oxford: Oxford University Press, 2019. Pp. 208. $85.00 (cloth). </w:t>
      </w:r>
      <w:r w:rsidRPr="00DF4036">
        <w:rPr>
          <w:rFonts w:ascii="Times New Roman" w:hAnsi="Times New Roman" w:cs="Times New Roman"/>
          <w:i/>
          <w:iCs/>
          <w:color w:val="222222"/>
          <w:sz w:val="28"/>
          <w:szCs w:val="28"/>
          <w:shd w:val="clear" w:color="auto" w:fill="FFFFFF"/>
        </w:rPr>
        <w:t>Journal of British Studies</w:t>
      </w:r>
      <w:r w:rsidRPr="00DF4036">
        <w:rPr>
          <w:rFonts w:ascii="Times New Roman" w:hAnsi="Times New Roman" w:cs="Times New Roman"/>
          <w:color w:val="222222"/>
          <w:sz w:val="28"/>
          <w:szCs w:val="28"/>
          <w:shd w:val="clear" w:color="auto" w:fill="FFFFFF"/>
        </w:rPr>
        <w:t>, </w:t>
      </w:r>
      <w:r w:rsidRPr="00DF4036">
        <w:rPr>
          <w:rFonts w:ascii="Times New Roman" w:hAnsi="Times New Roman" w:cs="Times New Roman"/>
          <w:i/>
          <w:iCs/>
          <w:color w:val="222222"/>
          <w:sz w:val="28"/>
          <w:szCs w:val="28"/>
          <w:shd w:val="clear" w:color="auto" w:fill="FFFFFF"/>
        </w:rPr>
        <w:t>60</w:t>
      </w:r>
      <w:r w:rsidRPr="00DF4036">
        <w:rPr>
          <w:rFonts w:ascii="Times New Roman" w:hAnsi="Times New Roman" w:cs="Times New Roman"/>
          <w:color w:val="222222"/>
          <w:sz w:val="28"/>
          <w:szCs w:val="28"/>
          <w:shd w:val="clear" w:color="auto" w:fill="FFFFFF"/>
        </w:rPr>
        <w:t>(1), pp.202-203.</w:t>
      </w:r>
    </w:p>
    <w:sectPr w:rsidR="00E34020" w:rsidRPr="00DF40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F7B"/>
    <w:rsid w:val="000577C9"/>
    <w:rsid w:val="000725B0"/>
    <w:rsid w:val="00506B63"/>
    <w:rsid w:val="005A4D24"/>
    <w:rsid w:val="008900BB"/>
    <w:rsid w:val="00950725"/>
    <w:rsid w:val="00957880"/>
    <w:rsid w:val="009619C1"/>
    <w:rsid w:val="00A11E36"/>
    <w:rsid w:val="00A90285"/>
    <w:rsid w:val="00BA17D3"/>
    <w:rsid w:val="00BB1238"/>
    <w:rsid w:val="00BF7F7B"/>
    <w:rsid w:val="00C82082"/>
    <w:rsid w:val="00C83355"/>
    <w:rsid w:val="00DF4036"/>
    <w:rsid w:val="00E34020"/>
    <w:rsid w:val="00F34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4DF3"/>
  <w15:chartTrackingRefBased/>
  <w15:docId w15:val="{843FA93D-FE11-469E-AD76-909261590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020"/>
  </w:style>
  <w:style w:type="paragraph" w:styleId="Heading1">
    <w:name w:val="heading 1"/>
    <w:basedOn w:val="Normal"/>
    <w:next w:val="Normal"/>
    <w:link w:val="Heading1Char"/>
    <w:uiPriority w:val="9"/>
    <w:qFormat/>
    <w:rsid w:val="00E3402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3402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34020"/>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34020"/>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3402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3402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3402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34020"/>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E3402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02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34020"/>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34020"/>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34020"/>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34020"/>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34020"/>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3402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34020"/>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E3402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34020"/>
    <w:pPr>
      <w:spacing w:line="240" w:lineRule="auto"/>
    </w:pPr>
    <w:rPr>
      <w:b/>
      <w:bCs/>
      <w:color w:val="4472C4" w:themeColor="accent1"/>
      <w:sz w:val="18"/>
      <w:szCs w:val="18"/>
    </w:rPr>
  </w:style>
  <w:style w:type="paragraph" w:styleId="Title">
    <w:name w:val="Title"/>
    <w:basedOn w:val="Normal"/>
    <w:next w:val="Normal"/>
    <w:link w:val="TitleChar"/>
    <w:uiPriority w:val="10"/>
    <w:qFormat/>
    <w:rsid w:val="00E3402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E3402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E34020"/>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E34020"/>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34020"/>
    <w:rPr>
      <w:b/>
      <w:bCs/>
    </w:rPr>
  </w:style>
  <w:style w:type="character" w:styleId="Emphasis">
    <w:name w:val="Emphasis"/>
    <w:basedOn w:val="DefaultParagraphFont"/>
    <w:uiPriority w:val="20"/>
    <w:qFormat/>
    <w:rsid w:val="00E34020"/>
    <w:rPr>
      <w:i/>
      <w:iCs/>
    </w:rPr>
  </w:style>
  <w:style w:type="paragraph" w:styleId="NoSpacing">
    <w:name w:val="No Spacing"/>
    <w:uiPriority w:val="1"/>
    <w:qFormat/>
    <w:rsid w:val="00E34020"/>
    <w:pPr>
      <w:spacing w:after="0" w:line="240" w:lineRule="auto"/>
    </w:pPr>
  </w:style>
  <w:style w:type="paragraph" w:styleId="Quote">
    <w:name w:val="Quote"/>
    <w:basedOn w:val="Normal"/>
    <w:next w:val="Normal"/>
    <w:link w:val="QuoteChar"/>
    <w:uiPriority w:val="29"/>
    <w:qFormat/>
    <w:rsid w:val="00E34020"/>
    <w:rPr>
      <w:i/>
      <w:iCs/>
      <w:color w:val="000000" w:themeColor="text1"/>
    </w:rPr>
  </w:style>
  <w:style w:type="character" w:customStyle="1" w:styleId="QuoteChar">
    <w:name w:val="Quote Char"/>
    <w:basedOn w:val="DefaultParagraphFont"/>
    <w:link w:val="Quote"/>
    <w:uiPriority w:val="29"/>
    <w:rsid w:val="00E34020"/>
    <w:rPr>
      <w:i/>
      <w:iCs/>
      <w:color w:val="000000" w:themeColor="text1"/>
    </w:rPr>
  </w:style>
  <w:style w:type="paragraph" w:styleId="IntenseQuote">
    <w:name w:val="Intense Quote"/>
    <w:basedOn w:val="Normal"/>
    <w:next w:val="Normal"/>
    <w:link w:val="IntenseQuoteChar"/>
    <w:uiPriority w:val="30"/>
    <w:qFormat/>
    <w:rsid w:val="00E3402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E34020"/>
    <w:rPr>
      <w:b/>
      <w:bCs/>
      <w:i/>
      <w:iCs/>
      <w:color w:val="4472C4" w:themeColor="accent1"/>
    </w:rPr>
  </w:style>
  <w:style w:type="character" w:styleId="SubtleEmphasis">
    <w:name w:val="Subtle Emphasis"/>
    <w:basedOn w:val="DefaultParagraphFont"/>
    <w:uiPriority w:val="19"/>
    <w:qFormat/>
    <w:rsid w:val="00E34020"/>
    <w:rPr>
      <w:i/>
      <w:iCs/>
      <w:color w:val="808080" w:themeColor="text1" w:themeTint="7F"/>
    </w:rPr>
  </w:style>
  <w:style w:type="character" w:styleId="IntenseEmphasis">
    <w:name w:val="Intense Emphasis"/>
    <w:basedOn w:val="DefaultParagraphFont"/>
    <w:uiPriority w:val="21"/>
    <w:qFormat/>
    <w:rsid w:val="00E34020"/>
    <w:rPr>
      <w:b/>
      <w:bCs/>
      <w:i/>
      <w:iCs/>
      <w:color w:val="4472C4" w:themeColor="accent1"/>
    </w:rPr>
  </w:style>
  <w:style w:type="character" w:styleId="SubtleReference">
    <w:name w:val="Subtle Reference"/>
    <w:basedOn w:val="DefaultParagraphFont"/>
    <w:uiPriority w:val="31"/>
    <w:qFormat/>
    <w:rsid w:val="00E34020"/>
    <w:rPr>
      <w:smallCaps/>
      <w:color w:val="ED7D31" w:themeColor="accent2"/>
      <w:u w:val="single"/>
    </w:rPr>
  </w:style>
  <w:style w:type="character" w:styleId="IntenseReference">
    <w:name w:val="Intense Reference"/>
    <w:basedOn w:val="DefaultParagraphFont"/>
    <w:uiPriority w:val="32"/>
    <w:qFormat/>
    <w:rsid w:val="00E34020"/>
    <w:rPr>
      <w:b/>
      <w:bCs/>
      <w:smallCaps/>
      <w:color w:val="ED7D31" w:themeColor="accent2"/>
      <w:spacing w:val="5"/>
      <w:u w:val="single"/>
    </w:rPr>
  </w:style>
  <w:style w:type="character" w:styleId="BookTitle">
    <w:name w:val="Book Title"/>
    <w:basedOn w:val="DefaultParagraphFont"/>
    <w:uiPriority w:val="33"/>
    <w:qFormat/>
    <w:rsid w:val="00E34020"/>
    <w:rPr>
      <w:b/>
      <w:bCs/>
      <w:smallCaps/>
      <w:spacing w:val="5"/>
    </w:rPr>
  </w:style>
  <w:style w:type="paragraph" w:styleId="TOCHeading">
    <w:name w:val="TOC Heading"/>
    <w:basedOn w:val="Heading1"/>
    <w:next w:val="Normal"/>
    <w:uiPriority w:val="39"/>
    <w:semiHidden/>
    <w:unhideWhenUsed/>
    <w:qFormat/>
    <w:rsid w:val="00E3402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1868</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 miron</cp:lastModifiedBy>
  <cp:revision>2</cp:revision>
  <dcterms:created xsi:type="dcterms:W3CDTF">2023-06-22T11:42:00Z</dcterms:created>
  <dcterms:modified xsi:type="dcterms:W3CDTF">2023-06-22T11:42:00Z</dcterms:modified>
</cp:coreProperties>
</file>