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74B04" w14:textId="7F8B4432" w:rsidR="0055146B" w:rsidRPr="00543E82" w:rsidRDefault="005624AE" w:rsidP="00543E82">
      <w:pPr>
        <w:spacing w:line="480" w:lineRule="auto"/>
        <w:rPr>
          <w:rFonts w:ascii="Arial" w:hAnsi="Arial" w:cs="Arial"/>
          <w:sz w:val="24"/>
          <w:szCs w:val="24"/>
        </w:rPr>
      </w:pPr>
      <w:r w:rsidRPr="00543E82">
        <w:rPr>
          <w:rFonts w:ascii="Arial" w:hAnsi="Arial" w:cs="Arial"/>
          <w:sz w:val="24"/>
          <w:szCs w:val="24"/>
        </w:rPr>
        <w:t>Law firm</w:t>
      </w:r>
    </w:p>
    <w:p w14:paraId="2C5A42A8" w14:textId="59DBE87E" w:rsidR="005624AE" w:rsidRPr="00543E82" w:rsidRDefault="002E0EA7" w:rsidP="00543E82">
      <w:pPr>
        <w:spacing w:line="480" w:lineRule="auto"/>
        <w:rPr>
          <w:rFonts w:ascii="Arial" w:hAnsi="Arial" w:cs="Arial"/>
          <w:sz w:val="24"/>
          <w:szCs w:val="24"/>
        </w:rPr>
      </w:pPr>
      <w:r w:rsidRPr="00543E82">
        <w:rPr>
          <w:rFonts w:ascii="Arial" w:hAnsi="Arial" w:cs="Arial"/>
          <w:sz w:val="24"/>
          <w:szCs w:val="24"/>
        </w:rPr>
        <w:t xml:space="preserve">54 </w:t>
      </w:r>
      <w:r w:rsidR="005624AE" w:rsidRPr="00543E82">
        <w:rPr>
          <w:rFonts w:ascii="Arial" w:hAnsi="Arial" w:cs="Arial"/>
          <w:sz w:val="24"/>
          <w:szCs w:val="24"/>
        </w:rPr>
        <w:t xml:space="preserve">Fleet Street </w:t>
      </w:r>
    </w:p>
    <w:p w14:paraId="754FED88" w14:textId="0B110040" w:rsidR="00CA4E16" w:rsidRPr="00543E82" w:rsidRDefault="00CA4E16" w:rsidP="00543E82">
      <w:pPr>
        <w:spacing w:line="480" w:lineRule="auto"/>
        <w:rPr>
          <w:rFonts w:ascii="Arial" w:hAnsi="Arial" w:cs="Arial"/>
          <w:sz w:val="24"/>
          <w:szCs w:val="24"/>
        </w:rPr>
      </w:pPr>
      <w:r w:rsidRPr="00543E82">
        <w:rPr>
          <w:rFonts w:ascii="Arial" w:hAnsi="Arial" w:cs="Arial"/>
          <w:sz w:val="24"/>
          <w:szCs w:val="24"/>
        </w:rPr>
        <w:t xml:space="preserve">Swansea, </w:t>
      </w:r>
      <w:r w:rsidR="002E0EA7" w:rsidRPr="00543E82">
        <w:rPr>
          <w:rFonts w:ascii="Arial" w:hAnsi="Arial" w:cs="Arial"/>
          <w:sz w:val="24"/>
          <w:szCs w:val="24"/>
        </w:rPr>
        <w:t xml:space="preserve">SA1 </w:t>
      </w:r>
      <w:r w:rsidR="00474767" w:rsidRPr="00543E82">
        <w:rPr>
          <w:rFonts w:ascii="Arial" w:hAnsi="Arial" w:cs="Arial"/>
          <w:sz w:val="24"/>
          <w:szCs w:val="24"/>
        </w:rPr>
        <w:t>3UT</w:t>
      </w:r>
    </w:p>
    <w:p w14:paraId="7FC185CA" w14:textId="77777777" w:rsidR="00474767" w:rsidRPr="00543E82" w:rsidRDefault="00474767" w:rsidP="00543E82">
      <w:pPr>
        <w:spacing w:line="480" w:lineRule="auto"/>
        <w:rPr>
          <w:rFonts w:ascii="Arial" w:hAnsi="Arial" w:cs="Arial"/>
          <w:sz w:val="24"/>
          <w:szCs w:val="24"/>
        </w:rPr>
      </w:pPr>
    </w:p>
    <w:p w14:paraId="5199FBE7" w14:textId="63C15D3C" w:rsidR="00054315" w:rsidRPr="00543E82" w:rsidRDefault="00054315" w:rsidP="00543E82">
      <w:pPr>
        <w:spacing w:line="480" w:lineRule="auto"/>
        <w:rPr>
          <w:rFonts w:ascii="Arial" w:hAnsi="Arial" w:cs="Arial"/>
          <w:sz w:val="24"/>
          <w:szCs w:val="24"/>
        </w:rPr>
      </w:pPr>
      <w:r w:rsidRPr="00543E82">
        <w:rPr>
          <w:rFonts w:ascii="Arial" w:hAnsi="Arial" w:cs="Arial"/>
          <w:sz w:val="24"/>
          <w:szCs w:val="24"/>
        </w:rPr>
        <w:t>Private and Confidential</w:t>
      </w:r>
    </w:p>
    <w:p w14:paraId="28BE3046" w14:textId="583EF310" w:rsidR="00054315" w:rsidRPr="00543E82" w:rsidRDefault="00054315" w:rsidP="00543E82">
      <w:pPr>
        <w:spacing w:line="480" w:lineRule="auto"/>
        <w:rPr>
          <w:rFonts w:ascii="Arial" w:hAnsi="Arial" w:cs="Arial"/>
          <w:sz w:val="24"/>
          <w:szCs w:val="24"/>
        </w:rPr>
      </w:pPr>
      <w:r w:rsidRPr="00543E82">
        <w:rPr>
          <w:rFonts w:ascii="Arial" w:hAnsi="Arial" w:cs="Arial"/>
          <w:sz w:val="24"/>
          <w:szCs w:val="24"/>
        </w:rPr>
        <w:t>Michelle Wayne</w:t>
      </w:r>
    </w:p>
    <w:p w14:paraId="42FA450C" w14:textId="724B77F8" w:rsidR="00054315" w:rsidRPr="00543E82" w:rsidRDefault="006750BA" w:rsidP="00543E82">
      <w:pPr>
        <w:spacing w:line="480" w:lineRule="auto"/>
        <w:rPr>
          <w:rFonts w:ascii="Arial" w:hAnsi="Arial" w:cs="Arial"/>
          <w:sz w:val="24"/>
          <w:szCs w:val="24"/>
        </w:rPr>
      </w:pPr>
      <w:r w:rsidRPr="00543E82">
        <w:rPr>
          <w:rFonts w:ascii="Arial" w:hAnsi="Arial" w:cs="Arial"/>
          <w:sz w:val="24"/>
          <w:szCs w:val="24"/>
        </w:rPr>
        <w:t>45 Brunswick Street</w:t>
      </w:r>
    </w:p>
    <w:p w14:paraId="27737B1C" w14:textId="5BF1440B" w:rsidR="006750BA" w:rsidRPr="00543E82" w:rsidRDefault="00937834" w:rsidP="00543E82">
      <w:pPr>
        <w:spacing w:line="480" w:lineRule="auto"/>
        <w:rPr>
          <w:rFonts w:ascii="Arial" w:hAnsi="Arial" w:cs="Arial"/>
          <w:sz w:val="24"/>
          <w:szCs w:val="24"/>
        </w:rPr>
      </w:pPr>
      <w:r w:rsidRPr="00543E82">
        <w:rPr>
          <w:rFonts w:ascii="Arial" w:hAnsi="Arial" w:cs="Arial"/>
          <w:sz w:val="24"/>
          <w:szCs w:val="24"/>
        </w:rPr>
        <w:t>Swansea, Sa1 4JP</w:t>
      </w:r>
    </w:p>
    <w:p w14:paraId="21B3ED01" w14:textId="77777777" w:rsidR="00937834" w:rsidRPr="00543E82" w:rsidRDefault="00937834" w:rsidP="00543E82">
      <w:pPr>
        <w:spacing w:line="480" w:lineRule="auto"/>
        <w:rPr>
          <w:rFonts w:ascii="Arial" w:hAnsi="Arial" w:cs="Arial"/>
          <w:sz w:val="24"/>
          <w:szCs w:val="24"/>
        </w:rPr>
      </w:pPr>
    </w:p>
    <w:p w14:paraId="77152AB9" w14:textId="77777777" w:rsidR="00937834" w:rsidRPr="00543E82" w:rsidRDefault="00937834" w:rsidP="00543E82">
      <w:pPr>
        <w:spacing w:line="480" w:lineRule="auto"/>
        <w:rPr>
          <w:rFonts w:ascii="Arial" w:hAnsi="Arial" w:cs="Arial"/>
          <w:sz w:val="24"/>
          <w:szCs w:val="24"/>
        </w:rPr>
      </w:pPr>
    </w:p>
    <w:p w14:paraId="76EFE011" w14:textId="3D92305F" w:rsidR="00937834" w:rsidRPr="00543E82" w:rsidRDefault="00937834" w:rsidP="00543E82">
      <w:pPr>
        <w:spacing w:line="480" w:lineRule="auto"/>
        <w:rPr>
          <w:rFonts w:ascii="Arial" w:hAnsi="Arial" w:cs="Arial"/>
          <w:sz w:val="24"/>
          <w:szCs w:val="24"/>
        </w:rPr>
      </w:pPr>
      <w:r w:rsidRPr="00543E82">
        <w:rPr>
          <w:rFonts w:ascii="Arial" w:hAnsi="Arial" w:cs="Arial"/>
          <w:sz w:val="24"/>
          <w:szCs w:val="24"/>
        </w:rPr>
        <w:t xml:space="preserve">Subject: Funding Options </w:t>
      </w:r>
      <w:r w:rsidR="00241EA1" w:rsidRPr="00543E82">
        <w:rPr>
          <w:rFonts w:ascii="Arial" w:hAnsi="Arial" w:cs="Arial"/>
          <w:sz w:val="24"/>
          <w:szCs w:val="24"/>
        </w:rPr>
        <w:t>for</w:t>
      </w:r>
      <w:r w:rsidRPr="00543E82">
        <w:rPr>
          <w:rFonts w:ascii="Arial" w:hAnsi="Arial" w:cs="Arial"/>
          <w:sz w:val="24"/>
          <w:szCs w:val="24"/>
        </w:rPr>
        <w:t xml:space="preserve"> Your Personal Injury </w:t>
      </w:r>
      <w:r w:rsidR="00241EA1" w:rsidRPr="00543E82">
        <w:rPr>
          <w:rFonts w:ascii="Arial" w:hAnsi="Arial" w:cs="Arial"/>
          <w:sz w:val="24"/>
          <w:szCs w:val="24"/>
        </w:rPr>
        <w:t>Claim</w:t>
      </w:r>
    </w:p>
    <w:p w14:paraId="0A2C3B80" w14:textId="77777777" w:rsidR="00241EA1" w:rsidRPr="00543E82" w:rsidRDefault="00241EA1" w:rsidP="00543E82">
      <w:pPr>
        <w:spacing w:line="480" w:lineRule="auto"/>
        <w:rPr>
          <w:rFonts w:ascii="Arial" w:hAnsi="Arial" w:cs="Arial"/>
          <w:sz w:val="24"/>
          <w:szCs w:val="24"/>
        </w:rPr>
      </w:pPr>
    </w:p>
    <w:p w14:paraId="5AAA162A" w14:textId="3755B455" w:rsidR="00241EA1" w:rsidRPr="00543E82" w:rsidRDefault="00241EA1" w:rsidP="00543E82">
      <w:pPr>
        <w:spacing w:line="480" w:lineRule="auto"/>
        <w:rPr>
          <w:rFonts w:ascii="Arial" w:hAnsi="Arial" w:cs="Arial"/>
          <w:sz w:val="24"/>
          <w:szCs w:val="24"/>
        </w:rPr>
      </w:pPr>
      <w:r w:rsidRPr="00543E82">
        <w:rPr>
          <w:rFonts w:ascii="Arial" w:hAnsi="Arial" w:cs="Arial"/>
          <w:sz w:val="24"/>
          <w:szCs w:val="24"/>
        </w:rPr>
        <w:t xml:space="preserve">Dear Ms. Wayne, </w:t>
      </w:r>
    </w:p>
    <w:p w14:paraId="075B4E44" w14:textId="77777777" w:rsidR="00065F5C" w:rsidRPr="00543E82" w:rsidRDefault="00065F5C" w:rsidP="00543E82">
      <w:pPr>
        <w:spacing w:line="480" w:lineRule="auto"/>
        <w:rPr>
          <w:rFonts w:ascii="Arial" w:hAnsi="Arial" w:cs="Arial"/>
          <w:sz w:val="24"/>
          <w:szCs w:val="24"/>
        </w:rPr>
      </w:pPr>
      <w:r w:rsidRPr="00543E82">
        <w:rPr>
          <w:rFonts w:ascii="Arial" w:hAnsi="Arial" w:cs="Arial"/>
          <w:sz w:val="24"/>
          <w:szCs w:val="24"/>
        </w:rPr>
        <w:t xml:space="preserve">Following our previous meeting with my supervisor, Andrew Newman, I am writing to provide you with advice regarding the various funding options available for funding your personal injury claim. This letter will clearly outline the variety of funding options available, your liability for different legal costs and disbursements and my recommendations based on your circumstances and financial situation. </w:t>
      </w:r>
    </w:p>
    <w:p w14:paraId="67DE042B" w14:textId="6DD7B583" w:rsidR="00810ED9" w:rsidRPr="00543E82" w:rsidRDefault="00A85BC0" w:rsidP="00543E82">
      <w:pPr>
        <w:spacing w:line="480" w:lineRule="auto"/>
        <w:rPr>
          <w:rFonts w:ascii="Arial" w:hAnsi="Arial" w:cs="Arial"/>
          <w:sz w:val="24"/>
          <w:szCs w:val="24"/>
        </w:rPr>
      </w:pPr>
      <w:r w:rsidRPr="00543E82">
        <w:rPr>
          <w:rFonts w:ascii="Arial" w:hAnsi="Arial" w:cs="Arial"/>
          <w:sz w:val="24"/>
          <w:szCs w:val="24"/>
        </w:rPr>
        <w:t>Firstly, as a brief overview, there are several different funding options available in the UK</w:t>
      </w:r>
      <w:r w:rsidR="00085D1D" w:rsidRPr="00543E82">
        <w:rPr>
          <w:rFonts w:ascii="Arial" w:hAnsi="Arial" w:cs="Arial"/>
          <w:sz w:val="24"/>
          <w:szCs w:val="24"/>
        </w:rPr>
        <w:t xml:space="preserve">, for instance, </w:t>
      </w:r>
      <w:r w:rsidRPr="00543E82">
        <w:rPr>
          <w:rFonts w:ascii="Arial" w:hAnsi="Arial" w:cs="Arial"/>
          <w:sz w:val="24"/>
          <w:szCs w:val="24"/>
        </w:rPr>
        <w:t>Conditional Fee A</w:t>
      </w:r>
      <w:r w:rsidR="009940B4" w:rsidRPr="00543E82">
        <w:rPr>
          <w:rFonts w:ascii="Arial" w:hAnsi="Arial" w:cs="Arial"/>
          <w:sz w:val="24"/>
          <w:szCs w:val="24"/>
        </w:rPr>
        <w:t>greements (CFA), Trade Union</w:t>
      </w:r>
      <w:r w:rsidR="001E0DFC" w:rsidRPr="00543E82">
        <w:rPr>
          <w:rFonts w:ascii="Arial" w:hAnsi="Arial" w:cs="Arial"/>
          <w:sz w:val="24"/>
          <w:szCs w:val="24"/>
        </w:rPr>
        <w:t xml:space="preserve"> Free Legal Assistance, Legal Expenses Insurance (Before the event- BTE, After the Event- </w:t>
      </w:r>
      <w:r w:rsidR="001E0DFC" w:rsidRPr="00543E82">
        <w:rPr>
          <w:rFonts w:ascii="Arial" w:hAnsi="Arial" w:cs="Arial"/>
          <w:sz w:val="24"/>
          <w:szCs w:val="24"/>
        </w:rPr>
        <w:lastRenderedPageBreak/>
        <w:t>ATE)</w:t>
      </w:r>
      <w:r w:rsidR="00B927FE" w:rsidRPr="00543E82">
        <w:rPr>
          <w:rFonts w:ascii="Arial" w:hAnsi="Arial" w:cs="Arial"/>
          <w:sz w:val="24"/>
          <w:szCs w:val="24"/>
        </w:rPr>
        <w:t xml:space="preserve">, Legal Aid and Private Funding, I will </w:t>
      </w:r>
      <w:r w:rsidR="002D0DE8" w:rsidRPr="00543E82">
        <w:rPr>
          <w:rFonts w:ascii="Arial" w:hAnsi="Arial" w:cs="Arial"/>
          <w:sz w:val="24"/>
          <w:szCs w:val="24"/>
        </w:rPr>
        <w:t xml:space="preserve">dissect each option and discuss the implications </w:t>
      </w:r>
      <w:r w:rsidR="00085D1D" w:rsidRPr="00543E82">
        <w:rPr>
          <w:rFonts w:ascii="Arial" w:hAnsi="Arial" w:cs="Arial"/>
          <w:sz w:val="24"/>
          <w:szCs w:val="24"/>
        </w:rPr>
        <w:t>t</w:t>
      </w:r>
      <w:r w:rsidR="002D0DE8" w:rsidRPr="00543E82">
        <w:rPr>
          <w:rFonts w:ascii="Arial" w:hAnsi="Arial" w:cs="Arial"/>
          <w:sz w:val="24"/>
          <w:szCs w:val="24"/>
        </w:rPr>
        <w:t>hroughout th</w:t>
      </w:r>
      <w:r w:rsidR="00085D1D" w:rsidRPr="00543E82">
        <w:rPr>
          <w:rFonts w:ascii="Arial" w:hAnsi="Arial" w:cs="Arial"/>
          <w:sz w:val="24"/>
          <w:szCs w:val="24"/>
        </w:rPr>
        <w:t xml:space="preserve">e letter so you can </w:t>
      </w:r>
      <w:r w:rsidR="0090138B" w:rsidRPr="00543E82">
        <w:rPr>
          <w:rFonts w:ascii="Arial" w:hAnsi="Arial" w:cs="Arial"/>
          <w:sz w:val="24"/>
          <w:szCs w:val="24"/>
        </w:rPr>
        <w:t>compare and contrast and ultimately, come to a decision which is best for you.</w:t>
      </w:r>
    </w:p>
    <w:p w14:paraId="72FB3F01" w14:textId="77777777" w:rsidR="00D7553E" w:rsidRPr="00543E82" w:rsidRDefault="00D7553E" w:rsidP="00543E82">
      <w:pPr>
        <w:spacing w:line="480" w:lineRule="auto"/>
        <w:rPr>
          <w:rFonts w:ascii="Arial" w:hAnsi="Arial" w:cs="Arial"/>
          <w:sz w:val="24"/>
          <w:szCs w:val="24"/>
        </w:rPr>
      </w:pPr>
      <w:r w:rsidRPr="00543E82">
        <w:rPr>
          <w:rFonts w:ascii="Arial" w:hAnsi="Arial" w:cs="Arial"/>
          <w:sz w:val="24"/>
          <w:szCs w:val="24"/>
        </w:rPr>
        <w:t xml:space="preserve">To start, a Conditional Fee Agreement is a commonly used method of funding; under s.58 of the </w:t>
      </w:r>
      <w:r w:rsidRPr="00543E82">
        <w:rPr>
          <w:rFonts w:ascii="Arial" w:hAnsi="Arial" w:cs="Arial"/>
          <w:i/>
          <w:iCs/>
          <w:sz w:val="24"/>
          <w:szCs w:val="24"/>
        </w:rPr>
        <w:t>Courts and Legal Services Act 1990</w:t>
      </w:r>
      <w:r w:rsidRPr="00543E82">
        <w:rPr>
          <w:rFonts w:ascii="Arial" w:hAnsi="Arial" w:cs="Arial"/>
          <w:sz w:val="24"/>
          <w:szCs w:val="24"/>
        </w:rPr>
        <w:t xml:space="preserve">, the act outlines a CFE as a legally binding contract between you, the client and the solicitor which allows for us to provide legal services without upfront payments. You will not pay legal fees if your case is unsuccessful. If you are successful, part 44.2(2a) of the </w:t>
      </w:r>
      <w:r w:rsidRPr="00543E82">
        <w:rPr>
          <w:rFonts w:ascii="Arial" w:hAnsi="Arial" w:cs="Arial"/>
          <w:i/>
          <w:iCs/>
          <w:sz w:val="24"/>
          <w:szCs w:val="24"/>
        </w:rPr>
        <w:t>Civil Procedure Rules 1998</w:t>
      </w:r>
      <w:r w:rsidRPr="00543E82">
        <w:rPr>
          <w:rFonts w:ascii="Arial" w:hAnsi="Arial" w:cs="Arial"/>
          <w:sz w:val="24"/>
          <w:szCs w:val="24"/>
        </w:rPr>
        <w:t xml:space="preserve"> highlights that the unsuccessful party usually will be ordered to pay the successful party legal costs; however, there will be a success fee, as an additional amount solicitor can charge in specific circumstances which would not be payable in certain circumstances (</w:t>
      </w:r>
      <w:r w:rsidRPr="00543E82">
        <w:rPr>
          <w:rFonts w:ascii="Arial" w:hAnsi="Arial" w:cs="Arial"/>
          <w:i/>
          <w:iCs/>
          <w:sz w:val="24"/>
          <w:szCs w:val="24"/>
        </w:rPr>
        <w:t>Courts and Legal Services Act 1990, s.58</w:t>
      </w:r>
      <w:r w:rsidRPr="00543E82">
        <w:rPr>
          <w:rFonts w:ascii="Arial" w:hAnsi="Arial" w:cs="Arial"/>
          <w:sz w:val="24"/>
          <w:szCs w:val="24"/>
        </w:rPr>
        <w:t>I) in this case, a 100% success fee will be charged, this is the maximum amount available permitted (</w:t>
      </w:r>
      <w:r w:rsidRPr="00543E82">
        <w:rPr>
          <w:rFonts w:ascii="Arial" w:hAnsi="Arial" w:cs="Arial"/>
          <w:i/>
          <w:iCs/>
          <w:sz w:val="24"/>
          <w:szCs w:val="24"/>
        </w:rPr>
        <w:t xml:space="preserve">Conditional Fee Agreements Order 2013) </w:t>
      </w:r>
      <w:r w:rsidRPr="00543E82">
        <w:rPr>
          <w:rFonts w:ascii="Arial" w:hAnsi="Arial" w:cs="Arial"/>
          <w:sz w:val="24"/>
          <w:szCs w:val="24"/>
        </w:rPr>
        <w:t xml:space="preserve">but will only be charged if the case is successful, this may sound like a large quantity despite this, under regulation 4 of the Conditional fee Agreements Order 2013 in personal injury cases the amount that we can deduct is capped at 25% of your damages, meaning you will keep at least 75% of your compensation. </w:t>
      </w:r>
    </w:p>
    <w:p w14:paraId="69E22437" w14:textId="77777777" w:rsidR="00AC58B6" w:rsidRPr="00543E82" w:rsidRDefault="00AC58B6" w:rsidP="00543E82">
      <w:pPr>
        <w:spacing w:line="480" w:lineRule="auto"/>
        <w:rPr>
          <w:rFonts w:ascii="Arial" w:hAnsi="Arial" w:cs="Arial"/>
          <w:sz w:val="24"/>
          <w:szCs w:val="24"/>
        </w:rPr>
      </w:pPr>
      <w:r w:rsidRPr="00543E82">
        <w:rPr>
          <w:rFonts w:ascii="Arial" w:hAnsi="Arial" w:cs="Arial"/>
          <w:sz w:val="24"/>
          <w:szCs w:val="24"/>
        </w:rPr>
        <w:t xml:space="preserve">Despite this, even though you will not have to pay legal costs with a CFA, there may be other legal costs you incur associated with your case; we would encourage you to take out ATE insurance, which we could arrange for £500, according to Halsbury's Laws of England (2020) after the event insurance enables a claimant to know that if they are not successful or the costs are not recoverable, the costs can be paid by the insurer. Before </w:t>
      </w:r>
      <w:r w:rsidRPr="00543E82">
        <w:rPr>
          <w:rFonts w:ascii="Arial" w:hAnsi="Arial" w:cs="Arial"/>
          <w:i/>
          <w:iCs/>
          <w:sz w:val="24"/>
          <w:szCs w:val="24"/>
        </w:rPr>
        <w:t xml:space="preserve">Legal Aid, Sentencing and Punishment of Offenders Act 2012, </w:t>
      </w:r>
      <w:r w:rsidRPr="00543E82">
        <w:rPr>
          <w:rFonts w:ascii="Arial" w:hAnsi="Arial" w:cs="Arial"/>
          <w:sz w:val="24"/>
          <w:szCs w:val="24"/>
        </w:rPr>
        <w:lastRenderedPageBreak/>
        <w:t xml:space="preserve">claimants could recover ATE insurance from the losing party; however, in the present, you, the claimant, must pay it. </w:t>
      </w:r>
    </w:p>
    <w:p w14:paraId="43FB8DCE" w14:textId="77777777" w:rsidR="00673716" w:rsidRPr="00543E82" w:rsidRDefault="00673716" w:rsidP="00543E82">
      <w:pPr>
        <w:spacing w:line="480" w:lineRule="auto"/>
        <w:rPr>
          <w:rFonts w:ascii="Arial" w:hAnsi="Arial" w:cs="Arial"/>
          <w:sz w:val="24"/>
          <w:szCs w:val="24"/>
        </w:rPr>
      </w:pPr>
      <w:r w:rsidRPr="00543E82">
        <w:rPr>
          <w:rFonts w:ascii="Arial" w:hAnsi="Arial" w:cs="Arial"/>
          <w:sz w:val="24"/>
          <w:szCs w:val="24"/>
        </w:rPr>
        <w:t>Next, as a member of a trade union, in this case, Unison, you qualify for free legal advice and representation for personal injury claims, as long as it is not after a period of 3 years, have been a member of Unison longer than 4 weeks and have been paying the proper amount and are up to date with payments (</w:t>
      </w:r>
      <w:r w:rsidRPr="00543E82">
        <w:rPr>
          <w:rFonts w:ascii="Arial" w:hAnsi="Arial" w:cs="Arial"/>
          <w:i/>
          <w:iCs/>
          <w:sz w:val="24"/>
          <w:szCs w:val="24"/>
        </w:rPr>
        <w:t>Legal services: Member support and services</w:t>
      </w:r>
      <w:r w:rsidRPr="00543E82">
        <w:rPr>
          <w:rFonts w:ascii="Arial" w:hAnsi="Arial" w:cs="Arial"/>
          <w:sz w:val="24"/>
          <w:szCs w:val="24"/>
        </w:rPr>
        <w:t xml:space="preserve">, no date), this is vital to mention due to </w:t>
      </w:r>
      <w:r w:rsidRPr="00543E82">
        <w:rPr>
          <w:rFonts w:ascii="Arial" w:hAnsi="Arial" w:cs="Arial"/>
          <w:i/>
          <w:iCs/>
          <w:sz w:val="24"/>
          <w:szCs w:val="24"/>
        </w:rPr>
        <w:t>Hollins v Russell</w:t>
      </w:r>
      <w:r w:rsidRPr="00543E82">
        <w:rPr>
          <w:rFonts w:ascii="Arial" w:hAnsi="Arial" w:cs="Arial"/>
          <w:sz w:val="24"/>
          <w:szCs w:val="24"/>
        </w:rPr>
        <w:t xml:space="preserve"> (2003) which means that solicitors must advise the client about other available funding options prior to recommending a CFA so you as the client are not subjected to unnecessary cost. The trade union would be your best option due to having to pay no legal fees, having no success fee or deductions from the compensation you receive if you are successful, and having no necessity for ATE.</w:t>
      </w:r>
    </w:p>
    <w:p w14:paraId="57C4182C" w14:textId="2A601B14" w:rsidR="003C3FFD" w:rsidRPr="00543E82" w:rsidRDefault="00711A31" w:rsidP="00543E82">
      <w:pPr>
        <w:spacing w:line="480" w:lineRule="auto"/>
        <w:rPr>
          <w:rFonts w:ascii="Arial" w:hAnsi="Arial" w:cs="Arial"/>
          <w:sz w:val="24"/>
          <w:szCs w:val="24"/>
        </w:rPr>
      </w:pPr>
      <w:r w:rsidRPr="00543E82">
        <w:rPr>
          <w:rFonts w:ascii="Arial" w:hAnsi="Arial" w:cs="Arial"/>
          <w:sz w:val="24"/>
          <w:szCs w:val="24"/>
        </w:rPr>
        <w:t>Similarly,</w:t>
      </w:r>
      <w:r w:rsidR="00DD6EFC" w:rsidRPr="00543E82">
        <w:rPr>
          <w:rFonts w:ascii="Arial" w:hAnsi="Arial" w:cs="Arial"/>
          <w:sz w:val="24"/>
          <w:szCs w:val="24"/>
        </w:rPr>
        <w:t xml:space="preserve"> you may already have</w:t>
      </w:r>
      <w:r w:rsidRPr="00543E82">
        <w:rPr>
          <w:rFonts w:ascii="Arial" w:hAnsi="Arial" w:cs="Arial"/>
          <w:sz w:val="24"/>
          <w:szCs w:val="24"/>
        </w:rPr>
        <w:t xml:space="preserve"> </w:t>
      </w:r>
      <w:r w:rsidR="00DD6EFC" w:rsidRPr="00543E82">
        <w:rPr>
          <w:rFonts w:ascii="Arial" w:hAnsi="Arial" w:cs="Arial"/>
          <w:sz w:val="24"/>
          <w:szCs w:val="24"/>
        </w:rPr>
        <w:t>Before The Event (BTE) insurance</w:t>
      </w:r>
      <w:r w:rsidR="00F77616" w:rsidRPr="00543E82">
        <w:rPr>
          <w:rFonts w:ascii="Arial" w:hAnsi="Arial" w:cs="Arial"/>
          <w:sz w:val="24"/>
          <w:szCs w:val="24"/>
        </w:rPr>
        <w:t>.</w:t>
      </w:r>
      <w:r w:rsidR="00DD6EFC" w:rsidRPr="00543E82">
        <w:rPr>
          <w:rFonts w:ascii="Arial" w:hAnsi="Arial" w:cs="Arial"/>
          <w:sz w:val="24"/>
          <w:szCs w:val="24"/>
        </w:rPr>
        <w:t xml:space="preserve"> </w:t>
      </w:r>
      <w:r w:rsidR="00F77616" w:rsidRPr="00543E82">
        <w:rPr>
          <w:rFonts w:ascii="Arial" w:hAnsi="Arial" w:cs="Arial"/>
          <w:sz w:val="24"/>
          <w:szCs w:val="24"/>
        </w:rPr>
        <w:t>Barton, A. (2015) </w:t>
      </w:r>
      <w:r w:rsidR="00DD6EFC" w:rsidRPr="00543E82">
        <w:rPr>
          <w:rFonts w:ascii="Arial" w:hAnsi="Arial" w:cs="Arial"/>
          <w:sz w:val="24"/>
          <w:szCs w:val="24"/>
        </w:rPr>
        <w:t xml:space="preserve">conveys </w:t>
      </w:r>
      <w:r w:rsidR="00463631" w:rsidRPr="00543E82">
        <w:rPr>
          <w:rFonts w:ascii="Arial" w:hAnsi="Arial" w:cs="Arial"/>
          <w:sz w:val="24"/>
          <w:szCs w:val="24"/>
        </w:rPr>
        <w:t xml:space="preserve">that BTE insurance </w:t>
      </w:r>
      <w:r w:rsidR="0092490A" w:rsidRPr="00543E82">
        <w:rPr>
          <w:rFonts w:ascii="Arial" w:hAnsi="Arial" w:cs="Arial"/>
          <w:sz w:val="24"/>
          <w:szCs w:val="24"/>
        </w:rPr>
        <w:t>is often included</w:t>
      </w:r>
      <w:r w:rsidR="00463631" w:rsidRPr="00543E82">
        <w:rPr>
          <w:rFonts w:ascii="Arial" w:hAnsi="Arial" w:cs="Arial"/>
          <w:sz w:val="24"/>
          <w:szCs w:val="24"/>
        </w:rPr>
        <w:t xml:space="preserve"> or purchased as an extra with home or car insurance</w:t>
      </w:r>
      <w:r w:rsidR="0092490A" w:rsidRPr="00543E82">
        <w:rPr>
          <w:rFonts w:ascii="Arial" w:hAnsi="Arial" w:cs="Arial"/>
          <w:sz w:val="24"/>
          <w:szCs w:val="24"/>
        </w:rPr>
        <w:t>; many</w:t>
      </w:r>
      <w:r w:rsidR="00646942" w:rsidRPr="00543E82">
        <w:rPr>
          <w:rFonts w:ascii="Arial" w:hAnsi="Arial" w:cs="Arial"/>
          <w:sz w:val="24"/>
          <w:szCs w:val="24"/>
        </w:rPr>
        <w:t xml:space="preserve"> individuals who have it may not be aware of what it provides, </w:t>
      </w:r>
      <w:r w:rsidR="0092490A" w:rsidRPr="00543E82">
        <w:rPr>
          <w:rFonts w:ascii="Arial" w:hAnsi="Arial" w:cs="Arial"/>
          <w:sz w:val="24"/>
          <w:szCs w:val="24"/>
        </w:rPr>
        <w:t xml:space="preserve">and </w:t>
      </w:r>
      <w:r w:rsidR="00646942" w:rsidRPr="00543E82">
        <w:rPr>
          <w:rFonts w:ascii="Arial" w:hAnsi="Arial" w:cs="Arial"/>
          <w:sz w:val="24"/>
          <w:szCs w:val="24"/>
        </w:rPr>
        <w:t xml:space="preserve">this makes it </w:t>
      </w:r>
      <w:r w:rsidR="00E310D7" w:rsidRPr="00543E82">
        <w:rPr>
          <w:rFonts w:ascii="Arial" w:hAnsi="Arial" w:cs="Arial"/>
          <w:sz w:val="24"/>
          <w:szCs w:val="24"/>
        </w:rPr>
        <w:t xml:space="preserve">crucial that we ask you to check your home insurance policy </w:t>
      </w:r>
      <w:r w:rsidR="00935326" w:rsidRPr="00543E82">
        <w:rPr>
          <w:rFonts w:ascii="Arial" w:hAnsi="Arial" w:cs="Arial"/>
          <w:sz w:val="24"/>
          <w:szCs w:val="24"/>
        </w:rPr>
        <w:t>and contact</w:t>
      </w:r>
      <w:r w:rsidR="00E168DE" w:rsidRPr="00543E82">
        <w:rPr>
          <w:rFonts w:ascii="Arial" w:hAnsi="Arial" w:cs="Arial"/>
          <w:sz w:val="24"/>
          <w:szCs w:val="24"/>
        </w:rPr>
        <w:t xml:space="preserve"> </w:t>
      </w:r>
      <w:r w:rsidR="00935326" w:rsidRPr="00543E82">
        <w:rPr>
          <w:rFonts w:ascii="Arial" w:hAnsi="Arial" w:cs="Arial"/>
          <w:sz w:val="24"/>
          <w:szCs w:val="24"/>
        </w:rPr>
        <w:t xml:space="preserve">your insurer </w:t>
      </w:r>
      <w:r w:rsidR="002B75CE" w:rsidRPr="00543E82">
        <w:rPr>
          <w:rFonts w:ascii="Arial" w:hAnsi="Arial" w:cs="Arial"/>
          <w:sz w:val="24"/>
          <w:szCs w:val="24"/>
        </w:rPr>
        <w:t xml:space="preserve">to confirm </w:t>
      </w:r>
      <w:r w:rsidR="0092490A" w:rsidRPr="00543E82">
        <w:rPr>
          <w:rFonts w:ascii="Arial" w:hAnsi="Arial" w:cs="Arial"/>
          <w:sz w:val="24"/>
          <w:szCs w:val="24"/>
        </w:rPr>
        <w:t xml:space="preserve">if legal expenses for personal injury are covered or not. </w:t>
      </w:r>
      <w:r w:rsidR="00892A82" w:rsidRPr="00543E82">
        <w:rPr>
          <w:rFonts w:ascii="Arial" w:hAnsi="Arial" w:cs="Arial"/>
          <w:sz w:val="24"/>
          <w:szCs w:val="24"/>
        </w:rPr>
        <w:t xml:space="preserve">In </w:t>
      </w:r>
      <w:r w:rsidR="00892A82" w:rsidRPr="00543E82">
        <w:rPr>
          <w:rFonts w:ascii="Arial" w:hAnsi="Arial" w:cs="Arial"/>
          <w:i/>
          <w:iCs/>
          <w:sz w:val="24"/>
          <w:szCs w:val="24"/>
        </w:rPr>
        <w:t>Sarwar v Alam</w:t>
      </w:r>
      <w:r w:rsidR="00892A82" w:rsidRPr="00543E82">
        <w:rPr>
          <w:rFonts w:ascii="Arial" w:hAnsi="Arial" w:cs="Arial"/>
          <w:sz w:val="24"/>
          <w:szCs w:val="24"/>
        </w:rPr>
        <w:t xml:space="preserve"> </w:t>
      </w:r>
      <w:r w:rsidR="004E2C97" w:rsidRPr="00543E82">
        <w:rPr>
          <w:rFonts w:ascii="Arial" w:hAnsi="Arial" w:cs="Arial"/>
          <w:sz w:val="24"/>
          <w:szCs w:val="24"/>
        </w:rPr>
        <w:t>(</w:t>
      </w:r>
      <w:r w:rsidR="00892A82" w:rsidRPr="00543E82">
        <w:rPr>
          <w:rFonts w:ascii="Arial" w:hAnsi="Arial" w:cs="Arial"/>
          <w:sz w:val="24"/>
          <w:szCs w:val="24"/>
        </w:rPr>
        <w:t>200</w:t>
      </w:r>
      <w:r w:rsidR="004E2C97" w:rsidRPr="00543E82">
        <w:rPr>
          <w:rFonts w:ascii="Arial" w:hAnsi="Arial" w:cs="Arial"/>
          <w:sz w:val="24"/>
          <w:szCs w:val="24"/>
        </w:rPr>
        <w:t>2)</w:t>
      </w:r>
      <w:r w:rsidR="0051089C" w:rsidRPr="00543E82">
        <w:rPr>
          <w:rFonts w:ascii="Arial" w:hAnsi="Arial" w:cs="Arial"/>
          <w:sz w:val="24"/>
          <w:szCs w:val="24"/>
        </w:rPr>
        <w:t xml:space="preserve">, it was determined in the court of appeal that failure to check to see if the client has BTE could undermine the client's best interest and invoke unnecessary costs. </w:t>
      </w:r>
    </w:p>
    <w:p w14:paraId="3D1D5AF7" w14:textId="4632729A" w:rsidR="009B6D89" w:rsidRPr="00543E82" w:rsidRDefault="009B6D89" w:rsidP="00543E82">
      <w:pPr>
        <w:spacing w:line="480" w:lineRule="auto"/>
        <w:rPr>
          <w:rFonts w:ascii="Arial" w:hAnsi="Arial" w:cs="Arial"/>
          <w:sz w:val="24"/>
          <w:szCs w:val="24"/>
        </w:rPr>
      </w:pPr>
      <w:r w:rsidRPr="00543E82">
        <w:rPr>
          <w:rFonts w:ascii="Arial" w:hAnsi="Arial" w:cs="Arial"/>
          <w:sz w:val="24"/>
          <w:szCs w:val="24"/>
        </w:rPr>
        <w:t xml:space="preserve">In contrast, legal aid is no longer an option. Prior to the Legal Aid, Sentencing and Punishment of Offenders Act 2012, legal aid was available for personal injury claims. However, section 1 of the act removed legal aid unless the case involved abuse or extreme clinical negligence. Lastly, private funding is an option; </w:t>
      </w:r>
      <w:r w:rsidRPr="00543E82">
        <w:rPr>
          <w:rFonts w:ascii="Arial" w:hAnsi="Arial" w:cs="Arial"/>
          <w:i/>
          <w:iCs/>
          <w:sz w:val="24"/>
          <w:szCs w:val="24"/>
        </w:rPr>
        <w:t>Coventry v Lawrence</w:t>
      </w:r>
      <w:r w:rsidRPr="00543E82">
        <w:rPr>
          <w:rFonts w:ascii="Arial" w:hAnsi="Arial" w:cs="Arial"/>
          <w:sz w:val="24"/>
          <w:szCs w:val="24"/>
        </w:rPr>
        <w:t xml:space="preserve"> </w:t>
      </w:r>
      <w:r w:rsidR="006E2A21" w:rsidRPr="00543E82">
        <w:rPr>
          <w:rFonts w:ascii="Arial" w:hAnsi="Arial" w:cs="Arial"/>
          <w:sz w:val="24"/>
          <w:szCs w:val="24"/>
        </w:rPr>
        <w:lastRenderedPageBreak/>
        <w:t>(</w:t>
      </w:r>
      <w:r w:rsidRPr="00543E82">
        <w:rPr>
          <w:rFonts w:ascii="Arial" w:hAnsi="Arial" w:cs="Arial"/>
          <w:sz w:val="24"/>
          <w:szCs w:val="24"/>
        </w:rPr>
        <w:t>2015</w:t>
      </w:r>
      <w:r w:rsidR="006E2A21" w:rsidRPr="00543E82">
        <w:rPr>
          <w:rFonts w:ascii="Arial" w:hAnsi="Arial" w:cs="Arial"/>
          <w:sz w:val="24"/>
          <w:szCs w:val="24"/>
        </w:rPr>
        <w:t>)</w:t>
      </w:r>
      <w:r w:rsidRPr="00543E82">
        <w:rPr>
          <w:rFonts w:ascii="Arial" w:hAnsi="Arial" w:cs="Arial"/>
          <w:sz w:val="24"/>
          <w:szCs w:val="24"/>
        </w:rPr>
        <w:t xml:space="preserve"> displays the financial risks; unlike CFA, you will have to pay if you are unsuccessful.</w:t>
      </w:r>
    </w:p>
    <w:p w14:paraId="443820D1" w14:textId="77777777" w:rsidR="00DA680E" w:rsidRPr="00543E82" w:rsidRDefault="00DA680E" w:rsidP="00543E82">
      <w:pPr>
        <w:spacing w:line="480" w:lineRule="auto"/>
        <w:rPr>
          <w:rFonts w:ascii="Arial" w:hAnsi="Arial" w:cs="Arial"/>
          <w:sz w:val="24"/>
          <w:szCs w:val="24"/>
        </w:rPr>
      </w:pPr>
      <w:r w:rsidRPr="00543E82">
        <w:rPr>
          <w:rFonts w:ascii="Arial" w:hAnsi="Arial" w:cs="Arial"/>
          <w:sz w:val="24"/>
          <w:szCs w:val="24"/>
        </w:rPr>
        <w:t xml:space="preserve">To conclude, you should first check with Unison to see if they are willing to fund and provide legal representation for your case; this will save you money and potential financial burden if you are not successful; if Unison can't help you, you should then check your home insurance to see if BTE insurance is included, similarly to Unison, this will cover your costs. If neither of these options is applicable, a conditional fee agreement could be the best option. You may lose 25% of your success fees, but you will be protected financially and won't face financial implications if your claim fails. </w:t>
      </w:r>
    </w:p>
    <w:p w14:paraId="4BDE07C8" w14:textId="67A8725C" w:rsidR="00956A73" w:rsidRPr="00543E82" w:rsidRDefault="00956A73" w:rsidP="00543E82">
      <w:pPr>
        <w:spacing w:line="480" w:lineRule="auto"/>
        <w:rPr>
          <w:rFonts w:ascii="Arial" w:hAnsi="Arial" w:cs="Arial"/>
          <w:sz w:val="24"/>
          <w:szCs w:val="24"/>
        </w:rPr>
      </w:pPr>
      <w:r w:rsidRPr="00543E82">
        <w:rPr>
          <w:rFonts w:ascii="Arial" w:hAnsi="Arial" w:cs="Arial"/>
          <w:sz w:val="24"/>
          <w:szCs w:val="24"/>
        </w:rPr>
        <w:t xml:space="preserve">Please let me know if there is anything that needs </w:t>
      </w:r>
      <w:r w:rsidR="000047BE" w:rsidRPr="00543E82">
        <w:rPr>
          <w:rFonts w:ascii="Arial" w:hAnsi="Arial" w:cs="Arial"/>
          <w:sz w:val="24"/>
          <w:szCs w:val="24"/>
        </w:rPr>
        <w:t xml:space="preserve">further clarification </w:t>
      </w:r>
      <w:r w:rsidRPr="00543E82">
        <w:rPr>
          <w:rFonts w:ascii="Arial" w:hAnsi="Arial" w:cs="Arial"/>
          <w:sz w:val="24"/>
          <w:szCs w:val="24"/>
        </w:rPr>
        <w:t xml:space="preserve">and how you would like to proceed. </w:t>
      </w:r>
    </w:p>
    <w:p w14:paraId="50EA198A" w14:textId="265D0425" w:rsidR="00956A73" w:rsidRPr="00543E82" w:rsidRDefault="00956A73" w:rsidP="00543E82">
      <w:pPr>
        <w:spacing w:line="480" w:lineRule="auto"/>
        <w:rPr>
          <w:rFonts w:ascii="Arial" w:hAnsi="Arial" w:cs="Arial"/>
          <w:sz w:val="24"/>
          <w:szCs w:val="24"/>
        </w:rPr>
      </w:pPr>
      <w:r w:rsidRPr="00543E82">
        <w:rPr>
          <w:rFonts w:ascii="Arial" w:hAnsi="Arial" w:cs="Arial"/>
          <w:sz w:val="24"/>
          <w:szCs w:val="24"/>
        </w:rPr>
        <w:t xml:space="preserve">Yours sincerely, </w:t>
      </w:r>
    </w:p>
    <w:p w14:paraId="471DD911" w14:textId="70281A6D" w:rsidR="00956A73" w:rsidRPr="00543E82" w:rsidRDefault="00956A73" w:rsidP="00543E82">
      <w:pPr>
        <w:spacing w:line="480" w:lineRule="auto"/>
        <w:rPr>
          <w:rFonts w:ascii="Arial" w:hAnsi="Arial" w:cs="Arial"/>
          <w:sz w:val="24"/>
          <w:szCs w:val="24"/>
        </w:rPr>
      </w:pPr>
      <w:r w:rsidRPr="00543E82">
        <w:rPr>
          <w:rFonts w:ascii="Arial" w:hAnsi="Arial" w:cs="Arial"/>
          <w:sz w:val="24"/>
          <w:szCs w:val="24"/>
        </w:rPr>
        <w:t>Shannon Davies</w:t>
      </w:r>
      <w:r w:rsidR="000047BE" w:rsidRPr="00543E82">
        <w:rPr>
          <w:rFonts w:ascii="Arial" w:hAnsi="Arial" w:cs="Arial"/>
          <w:sz w:val="24"/>
          <w:szCs w:val="24"/>
        </w:rPr>
        <w:t>.</w:t>
      </w:r>
    </w:p>
    <w:p w14:paraId="3C882D08" w14:textId="77777777" w:rsidR="00A53B5A" w:rsidRPr="00543E82" w:rsidRDefault="00A53B5A" w:rsidP="00543E82">
      <w:pPr>
        <w:spacing w:line="480" w:lineRule="auto"/>
        <w:rPr>
          <w:rFonts w:ascii="Arial" w:hAnsi="Arial" w:cs="Arial"/>
          <w:sz w:val="24"/>
          <w:szCs w:val="24"/>
        </w:rPr>
      </w:pPr>
    </w:p>
    <w:p w14:paraId="25F41BCC" w14:textId="77777777" w:rsidR="00A53B5A" w:rsidRPr="00543E82" w:rsidRDefault="00A53B5A" w:rsidP="00543E82">
      <w:pPr>
        <w:spacing w:line="480" w:lineRule="auto"/>
        <w:rPr>
          <w:rFonts w:ascii="Arial" w:hAnsi="Arial" w:cs="Arial"/>
          <w:sz w:val="24"/>
          <w:szCs w:val="24"/>
        </w:rPr>
      </w:pPr>
    </w:p>
    <w:p w14:paraId="11CB17FC" w14:textId="77777777" w:rsidR="00A53B5A" w:rsidRPr="00543E82" w:rsidRDefault="00A53B5A" w:rsidP="00543E82">
      <w:pPr>
        <w:spacing w:line="480" w:lineRule="auto"/>
        <w:rPr>
          <w:rFonts w:ascii="Arial" w:hAnsi="Arial" w:cs="Arial"/>
          <w:sz w:val="24"/>
          <w:szCs w:val="24"/>
        </w:rPr>
      </w:pPr>
    </w:p>
    <w:p w14:paraId="0AEA6873" w14:textId="77777777" w:rsidR="00A53B5A" w:rsidRPr="00543E82" w:rsidRDefault="00A53B5A" w:rsidP="00543E82">
      <w:pPr>
        <w:spacing w:line="480" w:lineRule="auto"/>
        <w:rPr>
          <w:rFonts w:ascii="Arial" w:hAnsi="Arial" w:cs="Arial"/>
          <w:sz w:val="24"/>
          <w:szCs w:val="24"/>
        </w:rPr>
      </w:pPr>
    </w:p>
    <w:p w14:paraId="21F30B61" w14:textId="77777777" w:rsidR="00A53B5A" w:rsidRPr="00543E82" w:rsidRDefault="00A53B5A" w:rsidP="00543E82">
      <w:pPr>
        <w:spacing w:line="480" w:lineRule="auto"/>
        <w:rPr>
          <w:rFonts w:ascii="Arial" w:hAnsi="Arial" w:cs="Arial"/>
          <w:sz w:val="24"/>
          <w:szCs w:val="24"/>
        </w:rPr>
      </w:pPr>
    </w:p>
    <w:p w14:paraId="66708CB0" w14:textId="77777777" w:rsidR="006E2A21" w:rsidRDefault="006E2A21" w:rsidP="00543E82">
      <w:pPr>
        <w:spacing w:line="480" w:lineRule="auto"/>
        <w:rPr>
          <w:rFonts w:ascii="Arial" w:hAnsi="Arial" w:cs="Arial"/>
          <w:sz w:val="24"/>
          <w:szCs w:val="24"/>
        </w:rPr>
      </w:pPr>
    </w:p>
    <w:p w14:paraId="189D5B8E" w14:textId="77777777" w:rsidR="00543E82" w:rsidRDefault="00543E82" w:rsidP="00543E82">
      <w:pPr>
        <w:spacing w:line="480" w:lineRule="auto"/>
        <w:rPr>
          <w:rFonts w:ascii="Arial" w:hAnsi="Arial" w:cs="Arial"/>
          <w:sz w:val="24"/>
          <w:szCs w:val="24"/>
        </w:rPr>
      </w:pPr>
    </w:p>
    <w:p w14:paraId="675C0E5C" w14:textId="77777777" w:rsidR="00543E82" w:rsidRPr="00543E82" w:rsidRDefault="00543E82" w:rsidP="00543E82">
      <w:pPr>
        <w:spacing w:line="480" w:lineRule="auto"/>
        <w:rPr>
          <w:rFonts w:ascii="Arial" w:hAnsi="Arial" w:cs="Arial"/>
          <w:sz w:val="24"/>
          <w:szCs w:val="24"/>
        </w:rPr>
      </w:pPr>
    </w:p>
    <w:p w14:paraId="4CB67855" w14:textId="3DA7B8FD" w:rsidR="00A53B5A" w:rsidRPr="00543E82" w:rsidRDefault="008D394A" w:rsidP="00543E82">
      <w:pPr>
        <w:spacing w:line="480" w:lineRule="auto"/>
        <w:rPr>
          <w:rFonts w:ascii="Arial" w:hAnsi="Arial" w:cs="Arial"/>
          <w:sz w:val="24"/>
          <w:szCs w:val="24"/>
        </w:rPr>
      </w:pPr>
      <w:r w:rsidRPr="00543E82">
        <w:rPr>
          <w:rFonts w:ascii="Arial" w:hAnsi="Arial" w:cs="Arial"/>
          <w:sz w:val="24"/>
          <w:szCs w:val="24"/>
        </w:rPr>
        <w:lastRenderedPageBreak/>
        <w:t xml:space="preserve">To: Andrew </w:t>
      </w:r>
      <w:r w:rsidR="00E4273F" w:rsidRPr="00543E82">
        <w:rPr>
          <w:rFonts w:ascii="Arial" w:hAnsi="Arial" w:cs="Arial"/>
          <w:sz w:val="24"/>
          <w:szCs w:val="24"/>
        </w:rPr>
        <w:t>Newman</w:t>
      </w:r>
    </w:p>
    <w:p w14:paraId="0DD3D1D8" w14:textId="53D8CC58" w:rsidR="00E4273F" w:rsidRPr="00543E82" w:rsidRDefault="00E4273F" w:rsidP="00543E82">
      <w:pPr>
        <w:spacing w:line="480" w:lineRule="auto"/>
        <w:rPr>
          <w:rFonts w:ascii="Arial" w:hAnsi="Arial" w:cs="Arial"/>
          <w:sz w:val="24"/>
          <w:szCs w:val="24"/>
        </w:rPr>
      </w:pPr>
      <w:r w:rsidRPr="00543E82">
        <w:rPr>
          <w:rFonts w:ascii="Arial" w:hAnsi="Arial" w:cs="Arial"/>
          <w:sz w:val="24"/>
          <w:szCs w:val="24"/>
        </w:rPr>
        <w:t>From: Shannon Davies</w:t>
      </w:r>
    </w:p>
    <w:p w14:paraId="6B3B0BCE" w14:textId="53B68C3E" w:rsidR="00E4273F" w:rsidRPr="00543E82" w:rsidRDefault="00E4273F" w:rsidP="00543E82">
      <w:pPr>
        <w:spacing w:line="480" w:lineRule="auto"/>
        <w:rPr>
          <w:rFonts w:ascii="Arial" w:hAnsi="Arial" w:cs="Arial"/>
          <w:sz w:val="24"/>
          <w:szCs w:val="24"/>
        </w:rPr>
      </w:pPr>
    </w:p>
    <w:p w14:paraId="6F8C7172" w14:textId="716A1CA2" w:rsidR="009A2B65" w:rsidRPr="00543E82" w:rsidRDefault="009A2B65" w:rsidP="00543E82">
      <w:pPr>
        <w:spacing w:line="480" w:lineRule="auto"/>
        <w:rPr>
          <w:rFonts w:ascii="Arial" w:hAnsi="Arial" w:cs="Arial"/>
          <w:sz w:val="24"/>
          <w:szCs w:val="24"/>
        </w:rPr>
      </w:pPr>
      <w:r w:rsidRPr="00543E82">
        <w:rPr>
          <w:rFonts w:ascii="Arial" w:hAnsi="Arial" w:cs="Arial"/>
          <w:sz w:val="24"/>
          <w:szCs w:val="24"/>
        </w:rPr>
        <w:t xml:space="preserve">Subject: </w:t>
      </w:r>
      <w:r w:rsidR="003F6752" w:rsidRPr="00543E82">
        <w:rPr>
          <w:rFonts w:ascii="Arial" w:hAnsi="Arial" w:cs="Arial"/>
          <w:sz w:val="24"/>
          <w:szCs w:val="24"/>
        </w:rPr>
        <w:t>Next Step in Personal Injury Claims- Michelle Wayne</w:t>
      </w:r>
    </w:p>
    <w:p w14:paraId="43B5D926" w14:textId="77777777" w:rsidR="003F6752" w:rsidRPr="00543E82" w:rsidRDefault="003F6752" w:rsidP="00543E82">
      <w:pPr>
        <w:spacing w:line="480" w:lineRule="auto"/>
        <w:rPr>
          <w:rFonts w:ascii="Arial" w:hAnsi="Arial" w:cs="Arial"/>
          <w:sz w:val="24"/>
          <w:szCs w:val="24"/>
        </w:rPr>
      </w:pPr>
    </w:p>
    <w:p w14:paraId="51C20687" w14:textId="77777777" w:rsidR="00C87236" w:rsidRPr="00C87236" w:rsidRDefault="00C87236" w:rsidP="00543E82">
      <w:pPr>
        <w:spacing w:line="480" w:lineRule="auto"/>
        <w:rPr>
          <w:rFonts w:ascii="Arial" w:hAnsi="Arial" w:cs="Arial"/>
          <w:sz w:val="24"/>
          <w:szCs w:val="24"/>
        </w:rPr>
      </w:pPr>
      <w:r w:rsidRPr="00C87236">
        <w:rPr>
          <w:rFonts w:ascii="Arial" w:hAnsi="Arial" w:cs="Arial"/>
          <w:sz w:val="24"/>
          <w:szCs w:val="24"/>
        </w:rPr>
        <w:t xml:space="preserve">This briefing note will aim to outline the following steps to be taken in a personal injury claim on behalf of Michelle Wayne. It will set out procedural requirements under the </w:t>
      </w:r>
      <w:r w:rsidRPr="00C87236">
        <w:rPr>
          <w:rFonts w:ascii="Arial" w:hAnsi="Arial" w:cs="Arial"/>
          <w:i/>
          <w:iCs/>
          <w:sz w:val="24"/>
          <w:szCs w:val="24"/>
        </w:rPr>
        <w:t>Civil Procedure Rules 1999</w:t>
      </w:r>
      <w:r w:rsidRPr="00C87236">
        <w:rPr>
          <w:rFonts w:ascii="Arial" w:hAnsi="Arial" w:cs="Arial"/>
          <w:sz w:val="24"/>
          <w:szCs w:val="24"/>
        </w:rPr>
        <w:t xml:space="preserve"> (CPR) and any required pre-action protocol; the aim of pre-action compliance according to CPR 1.1 is cost-effectiveness, proportionality, fairness, and to promote or use alternative ways to resolve a dispute.</w:t>
      </w:r>
    </w:p>
    <w:p w14:paraId="1B8141D6" w14:textId="77777777" w:rsidR="00C87236" w:rsidRPr="00C87236" w:rsidRDefault="00C87236" w:rsidP="00543E82">
      <w:pPr>
        <w:spacing w:line="480" w:lineRule="auto"/>
        <w:rPr>
          <w:rFonts w:ascii="Arial" w:hAnsi="Arial" w:cs="Arial"/>
          <w:sz w:val="24"/>
          <w:szCs w:val="24"/>
        </w:rPr>
      </w:pPr>
      <w:r w:rsidRPr="00C87236">
        <w:rPr>
          <w:rFonts w:ascii="Arial" w:hAnsi="Arial" w:cs="Arial"/>
          <w:sz w:val="24"/>
          <w:szCs w:val="24"/>
        </w:rPr>
        <w:t xml:space="preserve">Firstly, the Civil Procedure Rules govern the Pre-Action Protocol for personal injury claims. The aim of this protocol is to encourage the early exchange of information, promote settlement without proceedings, reduce unnecessary costs, and ensure proportionality (Ministry of Justice, 2022). If we fail to comply with this protocol, we may be subject to procedural disadvantages and fines, as seen in </w:t>
      </w:r>
      <w:r w:rsidRPr="00C87236">
        <w:rPr>
          <w:rFonts w:ascii="Arial" w:hAnsi="Arial" w:cs="Arial"/>
          <w:i/>
          <w:iCs/>
          <w:sz w:val="24"/>
          <w:szCs w:val="24"/>
        </w:rPr>
        <w:t>Michelle V News Group Newspapers Ltd</w:t>
      </w:r>
      <w:r w:rsidRPr="00C87236">
        <w:rPr>
          <w:rFonts w:ascii="Arial" w:hAnsi="Arial" w:cs="Arial"/>
          <w:sz w:val="24"/>
          <w:szCs w:val="24"/>
        </w:rPr>
        <w:t xml:space="preserve"> (2013).</w:t>
      </w:r>
    </w:p>
    <w:p w14:paraId="6A0D8F2F" w14:textId="12DD9E0E" w:rsidR="00F960BD" w:rsidRPr="00543E82" w:rsidRDefault="00F960BD" w:rsidP="00543E82">
      <w:pPr>
        <w:spacing w:line="480" w:lineRule="auto"/>
        <w:rPr>
          <w:rFonts w:ascii="Arial" w:hAnsi="Arial" w:cs="Arial"/>
          <w:sz w:val="24"/>
          <w:szCs w:val="24"/>
        </w:rPr>
      </w:pPr>
      <w:r w:rsidRPr="00543E82">
        <w:rPr>
          <w:rFonts w:ascii="Arial" w:hAnsi="Arial" w:cs="Arial"/>
          <w:sz w:val="24"/>
          <w:szCs w:val="24"/>
        </w:rPr>
        <w:t xml:space="preserve">Next, since the initial interview has been </w:t>
      </w:r>
      <w:r w:rsidR="00AB7EC7" w:rsidRPr="00543E82">
        <w:rPr>
          <w:rFonts w:ascii="Arial" w:hAnsi="Arial" w:cs="Arial"/>
          <w:sz w:val="24"/>
          <w:szCs w:val="24"/>
        </w:rPr>
        <w:t>completed</w:t>
      </w:r>
      <w:r w:rsidRPr="00543E82">
        <w:rPr>
          <w:rFonts w:ascii="Arial" w:hAnsi="Arial" w:cs="Arial"/>
          <w:sz w:val="24"/>
          <w:szCs w:val="24"/>
        </w:rPr>
        <w:t xml:space="preserve"> </w:t>
      </w:r>
      <w:r w:rsidR="008530D5" w:rsidRPr="00543E82">
        <w:rPr>
          <w:rFonts w:ascii="Arial" w:hAnsi="Arial" w:cs="Arial"/>
          <w:sz w:val="24"/>
          <w:szCs w:val="24"/>
        </w:rPr>
        <w:t xml:space="preserve">and funding advice has been given, the following actions we must take are </w:t>
      </w:r>
      <w:r w:rsidR="005540AE" w:rsidRPr="00543E82">
        <w:rPr>
          <w:rFonts w:ascii="Arial" w:hAnsi="Arial" w:cs="Arial"/>
          <w:sz w:val="24"/>
          <w:szCs w:val="24"/>
        </w:rPr>
        <w:t xml:space="preserve">checking if the client is eligible for UNISON legal assistance, </w:t>
      </w:r>
      <w:r w:rsidR="005577BC" w:rsidRPr="00543E82">
        <w:rPr>
          <w:rFonts w:ascii="Arial" w:hAnsi="Arial" w:cs="Arial"/>
          <w:sz w:val="24"/>
          <w:szCs w:val="24"/>
        </w:rPr>
        <w:t xml:space="preserve">seeing if the </w:t>
      </w:r>
      <w:r w:rsidR="00AB7EC7" w:rsidRPr="00543E82">
        <w:rPr>
          <w:rFonts w:ascii="Arial" w:hAnsi="Arial" w:cs="Arial"/>
          <w:sz w:val="24"/>
          <w:szCs w:val="24"/>
        </w:rPr>
        <w:t>client's</w:t>
      </w:r>
      <w:r w:rsidR="005577BC" w:rsidRPr="00543E82">
        <w:rPr>
          <w:rFonts w:ascii="Arial" w:hAnsi="Arial" w:cs="Arial"/>
          <w:sz w:val="24"/>
          <w:szCs w:val="24"/>
        </w:rPr>
        <w:t xml:space="preserve"> </w:t>
      </w:r>
      <w:r w:rsidR="00AB7EC7" w:rsidRPr="00543E82">
        <w:rPr>
          <w:rFonts w:ascii="Arial" w:hAnsi="Arial" w:cs="Arial"/>
          <w:sz w:val="24"/>
          <w:szCs w:val="24"/>
        </w:rPr>
        <w:t>household</w:t>
      </w:r>
      <w:r w:rsidR="005577BC" w:rsidRPr="00543E82">
        <w:rPr>
          <w:rFonts w:ascii="Arial" w:hAnsi="Arial" w:cs="Arial"/>
          <w:sz w:val="24"/>
          <w:szCs w:val="24"/>
        </w:rPr>
        <w:t xml:space="preserve"> insurance holds Before-The-Event Insurance</w:t>
      </w:r>
      <w:r w:rsidR="0062589F" w:rsidRPr="00543E82">
        <w:rPr>
          <w:rFonts w:ascii="Arial" w:hAnsi="Arial" w:cs="Arial"/>
          <w:sz w:val="24"/>
          <w:szCs w:val="24"/>
        </w:rPr>
        <w:t xml:space="preserve">, </w:t>
      </w:r>
      <w:r w:rsidR="00AB7EC7" w:rsidRPr="00543E82">
        <w:rPr>
          <w:rFonts w:ascii="Arial" w:hAnsi="Arial" w:cs="Arial"/>
          <w:sz w:val="24"/>
          <w:szCs w:val="24"/>
        </w:rPr>
        <w:t>getting</w:t>
      </w:r>
      <w:r w:rsidR="005B28AF" w:rsidRPr="00543E82">
        <w:rPr>
          <w:rFonts w:ascii="Arial" w:hAnsi="Arial" w:cs="Arial"/>
          <w:sz w:val="24"/>
          <w:szCs w:val="24"/>
        </w:rPr>
        <w:t xml:space="preserve"> a medical expert to initiate independent medical reporting</w:t>
      </w:r>
      <w:r w:rsidR="00A7678F" w:rsidRPr="00543E82">
        <w:rPr>
          <w:rFonts w:ascii="Arial" w:hAnsi="Arial" w:cs="Arial"/>
          <w:sz w:val="24"/>
          <w:szCs w:val="24"/>
        </w:rPr>
        <w:t xml:space="preserve">, </w:t>
      </w:r>
      <w:r w:rsidR="005B28AF" w:rsidRPr="00543E82">
        <w:rPr>
          <w:rFonts w:ascii="Arial" w:hAnsi="Arial" w:cs="Arial"/>
          <w:sz w:val="24"/>
          <w:szCs w:val="24"/>
        </w:rPr>
        <w:t xml:space="preserve">compile evidence </w:t>
      </w:r>
      <w:r w:rsidR="00AB7EC7" w:rsidRPr="00543E82">
        <w:rPr>
          <w:rFonts w:ascii="Arial" w:hAnsi="Arial" w:cs="Arial"/>
          <w:sz w:val="24"/>
          <w:szCs w:val="24"/>
        </w:rPr>
        <w:t>to support general and special damages</w:t>
      </w:r>
      <w:r w:rsidR="00A7678F" w:rsidRPr="00543E82">
        <w:rPr>
          <w:rFonts w:ascii="Arial" w:hAnsi="Arial" w:cs="Arial"/>
          <w:sz w:val="24"/>
          <w:szCs w:val="24"/>
        </w:rPr>
        <w:t xml:space="preserve"> and a request for </w:t>
      </w:r>
      <w:r w:rsidR="009F3F68" w:rsidRPr="00543E82">
        <w:rPr>
          <w:rFonts w:ascii="Arial" w:hAnsi="Arial" w:cs="Arial"/>
          <w:sz w:val="24"/>
          <w:szCs w:val="24"/>
        </w:rPr>
        <w:t>disclosure</w:t>
      </w:r>
      <w:r w:rsidR="00AB7EC7" w:rsidRPr="00543E82">
        <w:rPr>
          <w:rFonts w:ascii="Arial" w:hAnsi="Arial" w:cs="Arial"/>
          <w:sz w:val="24"/>
          <w:szCs w:val="24"/>
        </w:rPr>
        <w:t xml:space="preserve">. </w:t>
      </w:r>
    </w:p>
    <w:p w14:paraId="4070B20C" w14:textId="1A301886" w:rsidR="00F035F3" w:rsidRPr="00543E82" w:rsidRDefault="00B346FC" w:rsidP="00543E82">
      <w:pPr>
        <w:spacing w:line="480" w:lineRule="auto"/>
        <w:rPr>
          <w:rFonts w:ascii="Arial" w:hAnsi="Arial" w:cs="Arial"/>
          <w:sz w:val="24"/>
          <w:szCs w:val="24"/>
        </w:rPr>
      </w:pPr>
      <w:r w:rsidRPr="00543E82">
        <w:rPr>
          <w:rFonts w:ascii="Arial" w:hAnsi="Arial" w:cs="Arial"/>
          <w:sz w:val="24"/>
          <w:szCs w:val="24"/>
        </w:rPr>
        <w:lastRenderedPageBreak/>
        <w:t xml:space="preserve">A letter of claim (LOC) should </w:t>
      </w:r>
      <w:r w:rsidR="00692992" w:rsidRPr="00543E82">
        <w:rPr>
          <w:rFonts w:ascii="Arial" w:hAnsi="Arial" w:cs="Arial"/>
          <w:sz w:val="24"/>
          <w:szCs w:val="24"/>
        </w:rPr>
        <w:t>now be sent to the defendant</w:t>
      </w:r>
      <w:r w:rsidR="00397658" w:rsidRPr="00543E82">
        <w:rPr>
          <w:rFonts w:ascii="Arial" w:hAnsi="Arial" w:cs="Arial"/>
          <w:sz w:val="24"/>
          <w:szCs w:val="24"/>
        </w:rPr>
        <w:t>; this</w:t>
      </w:r>
      <w:r w:rsidR="003D3EBD" w:rsidRPr="00543E82">
        <w:rPr>
          <w:rFonts w:ascii="Arial" w:hAnsi="Arial" w:cs="Arial"/>
          <w:sz w:val="24"/>
          <w:szCs w:val="24"/>
        </w:rPr>
        <w:t xml:space="preserve"> must contain a summary of the facts</w:t>
      </w:r>
      <w:r w:rsidR="00624025" w:rsidRPr="00543E82">
        <w:rPr>
          <w:rFonts w:ascii="Arial" w:hAnsi="Arial" w:cs="Arial"/>
          <w:sz w:val="24"/>
          <w:szCs w:val="24"/>
        </w:rPr>
        <w:t xml:space="preserve">, the location and date the accident took place, </w:t>
      </w:r>
      <w:r w:rsidR="00461AD9" w:rsidRPr="00543E82">
        <w:rPr>
          <w:rFonts w:ascii="Arial" w:hAnsi="Arial" w:cs="Arial"/>
          <w:sz w:val="24"/>
          <w:szCs w:val="24"/>
        </w:rPr>
        <w:t xml:space="preserve">details </w:t>
      </w:r>
      <w:r w:rsidR="00397658" w:rsidRPr="00543E82">
        <w:rPr>
          <w:rFonts w:ascii="Arial" w:hAnsi="Arial" w:cs="Arial"/>
          <w:sz w:val="24"/>
          <w:szCs w:val="24"/>
        </w:rPr>
        <w:t>outlining</w:t>
      </w:r>
      <w:r w:rsidR="00461AD9" w:rsidRPr="00543E82">
        <w:rPr>
          <w:rFonts w:ascii="Arial" w:hAnsi="Arial" w:cs="Arial"/>
          <w:sz w:val="24"/>
          <w:szCs w:val="24"/>
        </w:rPr>
        <w:t xml:space="preserve"> how the </w:t>
      </w:r>
      <w:r w:rsidR="00397658" w:rsidRPr="00543E82">
        <w:rPr>
          <w:rFonts w:ascii="Arial" w:hAnsi="Arial" w:cs="Arial"/>
          <w:sz w:val="24"/>
          <w:szCs w:val="24"/>
        </w:rPr>
        <w:t>injury</w:t>
      </w:r>
      <w:r w:rsidR="00461AD9" w:rsidRPr="00543E82">
        <w:rPr>
          <w:rFonts w:ascii="Arial" w:hAnsi="Arial" w:cs="Arial"/>
          <w:sz w:val="24"/>
          <w:szCs w:val="24"/>
        </w:rPr>
        <w:t xml:space="preserve"> has infected </w:t>
      </w:r>
      <w:r w:rsidR="00397658" w:rsidRPr="00543E82">
        <w:rPr>
          <w:rFonts w:ascii="Arial" w:hAnsi="Arial" w:cs="Arial"/>
          <w:sz w:val="24"/>
          <w:szCs w:val="24"/>
        </w:rPr>
        <w:t>Michelle’s</w:t>
      </w:r>
      <w:r w:rsidR="00461AD9" w:rsidRPr="00543E82">
        <w:rPr>
          <w:rFonts w:ascii="Arial" w:hAnsi="Arial" w:cs="Arial"/>
          <w:sz w:val="24"/>
          <w:szCs w:val="24"/>
        </w:rPr>
        <w:t xml:space="preserve"> </w:t>
      </w:r>
      <w:r w:rsidR="0037666D" w:rsidRPr="00543E82">
        <w:rPr>
          <w:rFonts w:ascii="Arial" w:hAnsi="Arial" w:cs="Arial"/>
          <w:sz w:val="24"/>
          <w:szCs w:val="24"/>
        </w:rPr>
        <w:t>everyday</w:t>
      </w:r>
      <w:r w:rsidR="00461AD9" w:rsidRPr="00543E82">
        <w:rPr>
          <w:rFonts w:ascii="Arial" w:hAnsi="Arial" w:cs="Arial"/>
          <w:sz w:val="24"/>
          <w:szCs w:val="24"/>
        </w:rPr>
        <w:t xml:space="preserve"> life, </w:t>
      </w:r>
      <w:r w:rsidR="00397658" w:rsidRPr="00543E82">
        <w:rPr>
          <w:rFonts w:ascii="Arial" w:hAnsi="Arial" w:cs="Arial"/>
          <w:sz w:val="24"/>
          <w:szCs w:val="24"/>
        </w:rPr>
        <w:t>whether</w:t>
      </w:r>
      <w:r w:rsidR="002C33BB" w:rsidRPr="00543E82">
        <w:rPr>
          <w:rFonts w:ascii="Arial" w:hAnsi="Arial" w:cs="Arial"/>
          <w:sz w:val="24"/>
          <w:szCs w:val="24"/>
        </w:rPr>
        <w:t xml:space="preserve"> treatment was sought after and if so when and from who, </w:t>
      </w:r>
      <w:r w:rsidR="00F72BCD" w:rsidRPr="00543E82">
        <w:rPr>
          <w:rFonts w:ascii="Arial" w:hAnsi="Arial" w:cs="Arial"/>
          <w:sz w:val="24"/>
          <w:szCs w:val="24"/>
        </w:rPr>
        <w:t xml:space="preserve">hospital and GP attendance records and any treatments </w:t>
      </w:r>
      <w:r w:rsidR="00397658" w:rsidRPr="00543E82">
        <w:rPr>
          <w:rFonts w:ascii="Arial" w:hAnsi="Arial" w:cs="Arial"/>
          <w:sz w:val="24"/>
          <w:szCs w:val="24"/>
        </w:rPr>
        <w:t>Michelle</w:t>
      </w:r>
      <w:r w:rsidR="00F72BCD" w:rsidRPr="00543E82">
        <w:rPr>
          <w:rFonts w:ascii="Arial" w:hAnsi="Arial" w:cs="Arial"/>
          <w:sz w:val="24"/>
          <w:szCs w:val="24"/>
        </w:rPr>
        <w:t xml:space="preserve"> received</w:t>
      </w:r>
      <w:r w:rsidR="00397658" w:rsidRPr="00543E82">
        <w:rPr>
          <w:rFonts w:ascii="Arial" w:hAnsi="Arial" w:cs="Arial"/>
          <w:sz w:val="24"/>
          <w:szCs w:val="24"/>
        </w:rPr>
        <w:t xml:space="preserve"> and </w:t>
      </w:r>
      <w:r w:rsidR="00F72BCD" w:rsidRPr="00543E82">
        <w:rPr>
          <w:rFonts w:ascii="Arial" w:hAnsi="Arial" w:cs="Arial"/>
          <w:sz w:val="24"/>
          <w:szCs w:val="24"/>
        </w:rPr>
        <w:t xml:space="preserve">a record of financial loss that </w:t>
      </w:r>
      <w:r w:rsidR="00397658" w:rsidRPr="00543E82">
        <w:rPr>
          <w:rFonts w:ascii="Arial" w:hAnsi="Arial" w:cs="Arial"/>
          <w:sz w:val="24"/>
          <w:szCs w:val="24"/>
        </w:rPr>
        <w:t>Michelle</w:t>
      </w:r>
      <w:r w:rsidR="00F72BCD" w:rsidRPr="00543E82">
        <w:rPr>
          <w:rFonts w:ascii="Arial" w:hAnsi="Arial" w:cs="Arial"/>
          <w:sz w:val="24"/>
          <w:szCs w:val="24"/>
        </w:rPr>
        <w:t xml:space="preserve"> has incurred due to the </w:t>
      </w:r>
      <w:r w:rsidR="00397658" w:rsidRPr="00543E82">
        <w:rPr>
          <w:rFonts w:ascii="Arial" w:hAnsi="Arial" w:cs="Arial"/>
          <w:sz w:val="24"/>
          <w:szCs w:val="24"/>
        </w:rPr>
        <w:t>breach</w:t>
      </w:r>
      <w:r w:rsidR="00D12F73" w:rsidRPr="00543E82">
        <w:rPr>
          <w:rFonts w:ascii="Arial" w:hAnsi="Arial" w:cs="Arial"/>
          <w:sz w:val="24"/>
          <w:szCs w:val="24"/>
        </w:rPr>
        <w:t xml:space="preserve"> (</w:t>
      </w:r>
      <w:r w:rsidR="00474ED8" w:rsidRPr="00543E82">
        <w:rPr>
          <w:rFonts w:ascii="Arial" w:hAnsi="Arial" w:cs="Arial"/>
          <w:sz w:val="24"/>
          <w:szCs w:val="24"/>
        </w:rPr>
        <w:t xml:space="preserve">Bacon </w:t>
      </w:r>
      <w:r w:rsidR="00EF6052" w:rsidRPr="00543E82">
        <w:rPr>
          <w:rFonts w:ascii="Arial" w:hAnsi="Arial" w:cs="Arial"/>
          <w:sz w:val="24"/>
          <w:szCs w:val="24"/>
        </w:rPr>
        <w:t>et al.</w:t>
      </w:r>
      <w:r w:rsidR="00474ED8" w:rsidRPr="00543E82">
        <w:rPr>
          <w:rFonts w:ascii="Arial" w:hAnsi="Arial" w:cs="Arial"/>
          <w:sz w:val="24"/>
          <w:szCs w:val="24"/>
        </w:rPr>
        <w:t>, 2023)</w:t>
      </w:r>
      <w:r w:rsidR="00E7473F" w:rsidRPr="00543E82">
        <w:rPr>
          <w:rFonts w:ascii="Arial" w:hAnsi="Arial" w:cs="Arial"/>
          <w:sz w:val="24"/>
          <w:szCs w:val="24"/>
        </w:rPr>
        <w:t>. Paragraph 6.</w:t>
      </w:r>
      <w:r w:rsidR="00B02F36" w:rsidRPr="00543E82">
        <w:rPr>
          <w:rFonts w:ascii="Arial" w:hAnsi="Arial" w:cs="Arial"/>
          <w:sz w:val="24"/>
          <w:szCs w:val="24"/>
        </w:rPr>
        <w:t xml:space="preserve">2 </w:t>
      </w:r>
      <w:r w:rsidR="00E7473F" w:rsidRPr="00543E82">
        <w:rPr>
          <w:rFonts w:ascii="Arial" w:hAnsi="Arial" w:cs="Arial"/>
          <w:sz w:val="24"/>
          <w:szCs w:val="24"/>
        </w:rPr>
        <w:t xml:space="preserve">of the </w:t>
      </w:r>
      <w:r w:rsidR="00AD2934" w:rsidRPr="00543E82">
        <w:rPr>
          <w:rFonts w:ascii="Arial" w:hAnsi="Arial" w:cs="Arial"/>
          <w:sz w:val="24"/>
          <w:szCs w:val="24"/>
        </w:rPr>
        <w:t>pre-action</w:t>
      </w:r>
      <w:r w:rsidR="00E7473F" w:rsidRPr="00543E82">
        <w:rPr>
          <w:rFonts w:ascii="Arial" w:hAnsi="Arial" w:cs="Arial"/>
          <w:sz w:val="24"/>
          <w:szCs w:val="24"/>
        </w:rPr>
        <w:t xml:space="preserve"> protocol </w:t>
      </w:r>
      <w:r w:rsidR="00037FB5" w:rsidRPr="00543E82">
        <w:rPr>
          <w:rFonts w:ascii="Arial" w:hAnsi="Arial" w:cs="Arial"/>
          <w:sz w:val="24"/>
          <w:szCs w:val="24"/>
        </w:rPr>
        <w:t xml:space="preserve">(Ministry of Justice, 2024) </w:t>
      </w:r>
      <w:r w:rsidR="00AD2934" w:rsidRPr="00543E82">
        <w:rPr>
          <w:rFonts w:ascii="Arial" w:hAnsi="Arial" w:cs="Arial"/>
          <w:sz w:val="24"/>
          <w:szCs w:val="24"/>
        </w:rPr>
        <w:t>ensures that the defendant acknowledges the claim before 21 days of the posting date</w:t>
      </w:r>
      <w:r w:rsidR="0037666D" w:rsidRPr="00543E82">
        <w:rPr>
          <w:rFonts w:ascii="Arial" w:hAnsi="Arial" w:cs="Arial"/>
          <w:sz w:val="24"/>
          <w:szCs w:val="24"/>
        </w:rPr>
        <w:t>,</w:t>
      </w:r>
      <w:r w:rsidR="00504F7C" w:rsidRPr="00543E82">
        <w:rPr>
          <w:rFonts w:ascii="Arial" w:hAnsi="Arial" w:cs="Arial"/>
          <w:sz w:val="24"/>
          <w:szCs w:val="24"/>
        </w:rPr>
        <w:t xml:space="preserve"> and paragraph </w:t>
      </w:r>
      <w:r w:rsidR="00570EAD" w:rsidRPr="00543E82">
        <w:rPr>
          <w:rFonts w:ascii="Arial" w:hAnsi="Arial" w:cs="Arial"/>
          <w:sz w:val="24"/>
          <w:szCs w:val="24"/>
        </w:rPr>
        <w:t>6.3 allows the defendant 3 months from the</w:t>
      </w:r>
      <w:r w:rsidR="00955C2B" w:rsidRPr="00543E82">
        <w:rPr>
          <w:rFonts w:ascii="Arial" w:hAnsi="Arial" w:cs="Arial"/>
          <w:sz w:val="24"/>
          <w:szCs w:val="24"/>
        </w:rPr>
        <w:t xml:space="preserve"> date of acknowledgement to investigate the claim made against them</w:t>
      </w:r>
      <w:r w:rsidR="00EA4064" w:rsidRPr="00543E82">
        <w:rPr>
          <w:rFonts w:ascii="Arial" w:hAnsi="Arial" w:cs="Arial"/>
          <w:sz w:val="24"/>
          <w:szCs w:val="24"/>
        </w:rPr>
        <w:t xml:space="preserve"> and </w:t>
      </w:r>
      <w:r w:rsidR="0037666D" w:rsidRPr="00543E82">
        <w:rPr>
          <w:rFonts w:ascii="Arial" w:hAnsi="Arial" w:cs="Arial"/>
          <w:sz w:val="24"/>
          <w:szCs w:val="24"/>
        </w:rPr>
        <w:t>send a letter of response</w:t>
      </w:r>
      <w:r w:rsidR="00AD2934" w:rsidRPr="00543E82">
        <w:rPr>
          <w:rFonts w:ascii="Arial" w:hAnsi="Arial" w:cs="Arial"/>
          <w:sz w:val="24"/>
          <w:szCs w:val="24"/>
        </w:rPr>
        <w:t>.</w:t>
      </w:r>
      <w:r w:rsidR="00246A93" w:rsidRPr="00543E82">
        <w:rPr>
          <w:rFonts w:ascii="Arial" w:hAnsi="Arial" w:cs="Arial"/>
          <w:sz w:val="24"/>
          <w:szCs w:val="24"/>
        </w:rPr>
        <w:t xml:space="preserve"> Within a letter of response</w:t>
      </w:r>
      <w:r w:rsidR="00CE7909" w:rsidRPr="00543E82">
        <w:rPr>
          <w:rFonts w:ascii="Arial" w:hAnsi="Arial" w:cs="Arial"/>
          <w:sz w:val="24"/>
          <w:szCs w:val="24"/>
        </w:rPr>
        <w:t>, the defendant will either admit liability and the claim will proceed to a settlement, or they will deny the claim and provide their reasoning and any supporting evidence</w:t>
      </w:r>
      <w:r w:rsidR="00500847" w:rsidRPr="00543E82">
        <w:rPr>
          <w:rFonts w:ascii="Arial" w:hAnsi="Arial" w:cs="Arial"/>
          <w:sz w:val="24"/>
          <w:szCs w:val="24"/>
        </w:rPr>
        <w:t xml:space="preserve"> </w:t>
      </w:r>
      <w:r w:rsidR="00A170ED" w:rsidRPr="00543E82">
        <w:rPr>
          <w:rFonts w:ascii="Arial" w:hAnsi="Arial" w:cs="Arial"/>
          <w:sz w:val="24"/>
          <w:szCs w:val="24"/>
        </w:rPr>
        <w:t>(</w:t>
      </w:r>
      <w:r w:rsidR="00500847" w:rsidRPr="00543E82">
        <w:rPr>
          <w:rFonts w:ascii="Arial" w:hAnsi="Arial" w:cs="Arial"/>
          <w:sz w:val="24"/>
          <w:szCs w:val="24"/>
        </w:rPr>
        <w:t>LexisPSL Dispute, ‘Resolution Precedents, Defendant’s response to a letter of claim’</w:t>
      </w:r>
      <w:r w:rsidR="00A170ED" w:rsidRPr="00543E82">
        <w:rPr>
          <w:rFonts w:ascii="Arial" w:hAnsi="Arial" w:cs="Arial"/>
          <w:sz w:val="24"/>
          <w:szCs w:val="24"/>
        </w:rPr>
        <w:t>)</w:t>
      </w:r>
      <w:r w:rsidR="00CE7909" w:rsidRPr="00543E82">
        <w:rPr>
          <w:rFonts w:ascii="Arial" w:hAnsi="Arial" w:cs="Arial"/>
          <w:sz w:val="24"/>
          <w:szCs w:val="24"/>
        </w:rPr>
        <w:t xml:space="preserve">. </w:t>
      </w:r>
    </w:p>
    <w:p w14:paraId="1EF13118" w14:textId="77777777" w:rsidR="00142EE2" w:rsidRPr="00543E82" w:rsidRDefault="00142EE2" w:rsidP="00543E82">
      <w:pPr>
        <w:spacing w:line="480" w:lineRule="auto"/>
        <w:rPr>
          <w:rFonts w:ascii="Arial" w:hAnsi="Arial" w:cs="Arial"/>
          <w:sz w:val="24"/>
          <w:szCs w:val="24"/>
        </w:rPr>
      </w:pPr>
      <w:r w:rsidRPr="00543E82">
        <w:rPr>
          <w:rFonts w:ascii="Arial" w:hAnsi="Arial" w:cs="Arial"/>
          <w:sz w:val="24"/>
          <w:szCs w:val="24"/>
        </w:rPr>
        <w:t xml:space="preserve">Next, the </w:t>
      </w:r>
      <w:r w:rsidRPr="00543E82">
        <w:rPr>
          <w:rFonts w:ascii="Arial" w:hAnsi="Arial" w:cs="Arial"/>
          <w:i/>
          <w:iCs/>
          <w:sz w:val="24"/>
          <w:szCs w:val="24"/>
        </w:rPr>
        <w:t>Civil Procedure Rules</w:t>
      </w:r>
      <w:r w:rsidRPr="00543E82">
        <w:rPr>
          <w:rFonts w:ascii="Arial" w:hAnsi="Arial" w:cs="Arial"/>
          <w:sz w:val="24"/>
          <w:szCs w:val="24"/>
        </w:rPr>
        <w:t xml:space="preserve"> 1998 (s31.16) allows pre-action disclosure to be ordered if the documents are relevant, the respondent is likely to be a party in future proceedings and if it will save cost or help resolve the case without litigation going ahead. N</w:t>
      </w:r>
      <w:r w:rsidRPr="00543E82">
        <w:rPr>
          <w:rFonts w:ascii="Arial" w:hAnsi="Arial" w:cs="Arial"/>
          <w:i/>
          <w:iCs/>
          <w:sz w:val="24"/>
          <w:szCs w:val="24"/>
        </w:rPr>
        <w:t xml:space="preserve">orwich Pharmacal Co v Customs &amp; Excise Commissioners </w:t>
      </w:r>
      <w:r w:rsidRPr="00543E82">
        <w:rPr>
          <w:rFonts w:ascii="Arial" w:hAnsi="Arial" w:cs="Arial"/>
          <w:sz w:val="24"/>
          <w:szCs w:val="24"/>
        </w:rPr>
        <w:t xml:space="preserve">(1974) highlights how pre-action disclosure can play a significant role in early resolution and help assess the claim adequately. Prior to making an application to the court for pre-action disclosure, it is imperative to reach out to the defendant and try to gain voluntary disclosure; in </w:t>
      </w:r>
      <w:r w:rsidRPr="00543E82">
        <w:rPr>
          <w:rFonts w:ascii="Arial" w:hAnsi="Arial" w:cs="Arial"/>
          <w:i/>
          <w:iCs/>
          <w:sz w:val="24"/>
          <w:szCs w:val="24"/>
        </w:rPr>
        <w:t>Black V Sumitomo Corp</w:t>
      </w:r>
      <w:r w:rsidRPr="00543E82">
        <w:rPr>
          <w:rFonts w:ascii="Arial" w:hAnsi="Arial" w:cs="Arial"/>
          <w:sz w:val="24"/>
          <w:szCs w:val="24"/>
        </w:rPr>
        <w:t xml:space="preserve"> (2001), it was determined that pre-action disclosure should be a last resort and in </w:t>
      </w:r>
      <w:r w:rsidRPr="00543E82">
        <w:rPr>
          <w:rFonts w:ascii="Arial" w:hAnsi="Arial" w:cs="Arial"/>
          <w:i/>
          <w:iCs/>
          <w:sz w:val="24"/>
          <w:szCs w:val="24"/>
        </w:rPr>
        <w:t>Smith v Secretary of State for Energy and Climate change (</w:t>
      </w:r>
      <w:r w:rsidRPr="00543E82">
        <w:rPr>
          <w:rFonts w:ascii="Arial" w:hAnsi="Arial" w:cs="Arial"/>
          <w:sz w:val="24"/>
          <w:szCs w:val="24"/>
        </w:rPr>
        <w:t xml:space="preserve">2013) it was determined that a formal warning should be sent prior to making an application. If you do not reach out and try to gain voluntary </w:t>
      </w:r>
      <w:r w:rsidRPr="00543E82">
        <w:rPr>
          <w:rFonts w:ascii="Arial" w:hAnsi="Arial" w:cs="Arial"/>
          <w:sz w:val="24"/>
          <w:szCs w:val="24"/>
        </w:rPr>
        <w:lastRenderedPageBreak/>
        <w:t>disclosure but make an application, it may result in cost sanctions under the</w:t>
      </w:r>
      <w:r w:rsidRPr="00543E82">
        <w:rPr>
          <w:rFonts w:ascii="Arial" w:hAnsi="Arial" w:cs="Arial"/>
          <w:i/>
          <w:iCs/>
          <w:sz w:val="24"/>
          <w:szCs w:val="24"/>
        </w:rPr>
        <w:t xml:space="preserve"> Civil Procedure Rules 1998 </w:t>
      </w:r>
      <w:r w:rsidRPr="00543E82">
        <w:rPr>
          <w:rFonts w:ascii="Arial" w:hAnsi="Arial" w:cs="Arial"/>
          <w:sz w:val="24"/>
          <w:szCs w:val="24"/>
        </w:rPr>
        <w:t>(s.44.2).</w:t>
      </w:r>
    </w:p>
    <w:p w14:paraId="7C814E82" w14:textId="6973EA52" w:rsidR="00D93C4C" w:rsidRPr="00543E82" w:rsidRDefault="00D93C4C" w:rsidP="00543E82">
      <w:pPr>
        <w:spacing w:line="480" w:lineRule="auto"/>
        <w:rPr>
          <w:rFonts w:ascii="Arial" w:hAnsi="Arial" w:cs="Arial"/>
          <w:sz w:val="24"/>
          <w:szCs w:val="24"/>
        </w:rPr>
      </w:pPr>
      <w:r w:rsidRPr="00543E82">
        <w:rPr>
          <w:rFonts w:ascii="Arial" w:hAnsi="Arial" w:cs="Arial"/>
          <w:sz w:val="24"/>
          <w:szCs w:val="24"/>
        </w:rPr>
        <w:t xml:space="preserve">The court has </w:t>
      </w:r>
      <w:r w:rsidR="00CD19D7" w:rsidRPr="00543E82">
        <w:rPr>
          <w:rFonts w:ascii="Arial" w:hAnsi="Arial" w:cs="Arial"/>
          <w:sz w:val="24"/>
          <w:szCs w:val="24"/>
        </w:rPr>
        <w:t xml:space="preserve">the </w:t>
      </w:r>
      <w:r w:rsidRPr="00543E82">
        <w:rPr>
          <w:rFonts w:ascii="Arial" w:hAnsi="Arial" w:cs="Arial"/>
          <w:sz w:val="24"/>
          <w:szCs w:val="24"/>
        </w:rPr>
        <w:t xml:space="preserve">power to </w:t>
      </w:r>
      <w:r w:rsidR="000E0F0B" w:rsidRPr="00543E82">
        <w:rPr>
          <w:rFonts w:ascii="Arial" w:hAnsi="Arial" w:cs="Arial"/>
          <w:sz w:val="24"/>
          <w:szCs w:val="24"/>
        </w:rPr>
        <w:t xml:space="preserve">order </w:t>
      </w:r>
      <w:r w:rsidR="006801A3" w:rsidRPr="00543E82">
        <w:rPr>
          <w:rFonts w:ascii="Arial" w:hAnsi="Arial" w:cs="Arial"/>
          <w:sz w:val="24"/>
          <w:szCs w:val="24"/>
        </w:rPr>
        <w:t xml:space="preserve">pre-action disclosure under the Senior Courts Act 1981; the application can be made under the </w:t>
      </w:r>
      <w:r w:rsidR="006801A3" w:rsidRPr="00543E82">
        <w:rPr>
          <w:rFonts w:ascii="Arial" w:hAnsi="Arial" w:cs="Arial"/>
          <w:i/>
          <w:iCs/>
          <w:sz w:val="24"/>
          <w:szCs w:val="24"/>
        </w:rPr>
        <w:t>Civil Procedure Rules 1998</w:t>
      </w:r>
      <w:r w:rsidR="006801A3" w:rsidRPr="00543E82">
        <w:rPr>
          <w:rFonts w:ascii="Arial" w:hAnsi="Arial" w:cs="Arial"/>
          <w:sz w:val="24"/>
          <w:szCs w:val="24"/>
        </w:rPr>
        <w:t xml:space="preserve"> (s31.16),</w:t>
      </w:r>
      <w:r w:rsidR="00560C1B" w:rsidRPr="00543E82">
        <w:rPr>
          <w:rFonts w:ascii="Arial" w:hAnsi="Arial" w:cs="Arial"/>
          <w:sz w:val="24"/>
          <w:szCs w:val="24"/>
        </w:rPr>
        <w:t xml:space="preserve"> but despite this, voluntary disclosure is </w:t>
      </w:r>
      <w:r w:rsidR="005A1E40" w:rsidRPr="00543E82">
        <w:rPr>
          <w:rFonts w:ascii="Arial" w:hAnsi="Arial" w:cs="Arial"/>
          <w:sz w:val="24"/>
          <w:szCs w:val="24"/>
        </w:rPr>
        <w:t>encouraged</w:t>
      </w:r>
      <w:r w:rsidR="00FE7E48" w:rsidRPr="00543E82">
        <w:rPr>
          <w:rFonts w:ascii="Arial" w:hAnsi="Arial" w:cs="Arial"/>
          <w:sz w:val="24"/>
          <w:szCs w:val="24"/>
        </w:rPr>
        <w:t xml:space="preserve"> </w:t>
      </w:r>
      <w:r w:rsidR="006801A3" w:rsidRPr="00543E82">
        <w:rPr>
          <w:rFonts w:ascii="Arial" w:hAnsi="Arial" w:cs="Arial"/>
          <w:sz w:val="24"/>
          <w:szCs w:val="24"/>
        </w:rPr>
        <w:t xml:space="preserve">under section 6.5 of the Pre-action protocol for personal injury claims where they state that if the defendant denies </w:t>
      </w:r>
      <w:r w:rsidR="00306815" w:rsidRPr="00543E82">
        <w:rPr>
          <w:rFonts w:ascii="Arial" w:hAnsi="Arial" w:cs="Arial"/>
          <w:sz w:val="24"/>
          <w:szCs w:val="24"/>
        </w:rPr>
        <w:t>liability</w:t>
      </w:r>
      <w:r w:rsidR="00B446AE" w:rsidRPr="00543E82">
        <w:rPr>
          <w:rFonts w:ascii="Arial" w:hAnsi="Arial" w:cs="Arial"/>
          <w:sz w:val="24"/>
          <w:szCs w:val="24"/>
        </w:rPr>
        <w:t>,</w:t>
      </w:r>
      <w:r w:rsidR="00306815" w:rsidRPr="00543E82">
        <w:rPr>
          <w:rFonts w:ascii="Arial" w:hAnsi="Arial" w:cs="Arial"/>
          <w:sz w:val="24"/>
          <w:szCs w:val="24"/>
        </w:rPr>
        <w:t xml:space="preserve"> they should inform the claimant of any documents in their case that are relevant to the two parties and </w:t>
      </w:r>
      <w:r w:rsidR="00B446AE" w:rsidRPr="00543E82">
        <w:rPr>
          <w:rFonts w:ascii="Arial" w:hAnsi="Arial" w:cs="Arial"/>
          <w:sz w:val="24"/>
          <w:szCs w:val="24"/>
        </w:rPr>
        <w:t>which would be ordered if the court did issue a pre-action disclosure</w:t>
      </w:r>
      <w:r w:rsidR="009152C7" w:rsidRPr="00543E82">
        <w:rPr>
          <w:rFonts w:ascii="Arial" w:hAnsi="Arial" w:cs="Arial"/>
          <w:sz w:val="24"/>
          <w:szCs w:val="24"/>
        </w:rPr>
        <w:t xml:space="preserve"> (Ministry of Justice, 2024)</w:t>
      </w:r>
      <w:r w:rsidR="00B446AE" w:rsidRPr="00543E82">
        <w:rPr>
          <w:rFonts w:ascii="Arial" w:hAnsi="Arial" w:cs="Arial"/>
          <w:sz w:val="24"/>
          <w:szCs w:val="24"/>
        </w:rPr>
        <w:t xml:space="preserve">. </w:t>
      </w:r>
    </w:p>
    <w:p w14:paraId="1B887272" w14:textId="77777777" w:rsidR="00476A66" w:rsidRPr="00543E82" w:rsidRDefault="00476A66" w:rsidP="00543E82">
      <w:pPr>
        <w:spacing w:line="480" w:lineRule="auto"/>
        <w:rPr>
          <w:rFonts w:ascii="Arial" w:hAnsi="Arial" w:cs="Arial"/>
          <w:sz w:val="24"/>
          <w:szCs w:val="24"/>
        </w:rPr>
      </w:pPr>
      <w:r w:rsidRPr="00543E82">
        <w:rPr>
          <w:rFonts w:ascii="Arial" w:hAnsi="Arial" w:cs="Arial"/>
          <w:sz w:val="24"/>
          <w:szCs w:val="24"/>
        </w:rPr>
        <w:t xml:space="preserve">The Pre-Action Protocol for Personal Injury Claims section 7.2 (Ministry of Justice, 2024) encourages the claimant to get a medical report and disclose it to the defendant; if more than one expert report is necessary, then under section 35.12 of the </w:t>
      </w:r>
      <w:r w:rsidRPr="00543E82">
        <w:rPr>
          <w:rFonts w:ascii="Arial" w:hAnsi="Arial" w:cs="Arial"/>
          <w:i/>
          <w:iCs/>
          <w:sz w:val="24"/>
          <w:szCs w:val="24"/>
        </w:rPr>
        <w:t>Civil Procedure Rules 1998</w:t>
      </w:r>
      <w:r w:rsidRPr="00543E82">
        <w:rPr>
          <w:rFonts w:ascii="Arial" w:hAnsi="Arial" w:cs="Arial"/>
          <w:sz w:val="24"/>
          <w:szCs w:val="24"/>
        </w:rPr>
        <w:t xml:space="preserve"> both parties may agree to share one expert.</w:t>
      </w:r>
      <w:r w:rsidRPr="00543E82">
        <w:rPr>
          <w:rFonts w:ascii="Arial" w:hAnsi="Arial" w:cs="Arial"/>
          <w:b/>
          <w:bCs/>
          <w:sz w:val="24"/>
          <w:szCs w:val="24"/>
        </w:rPr>
        <w:t xml:space="preserve"> </w:t>
      </w:r>
      <w:r w:rsidRPr="00543E82">
        <w:rPr>
          <w:rFonts w:ascii="Arial" w:hAnsi="Arial" w:cs="Arial"/>
          <w:sz w:val="24"/>
          <w:szCs w:val="24"/>
        </w:rPr>
        <w:t>LexisPSL Personal Injury Precedents Illustrates that within the report, there will be multiple things for instance, the claimant's pre-accident condition (medical history, if they had the ability to work, sports, hobbies and family life, and the impact the accident had on their pre-existing injuries), if a pre-existing medical issue was affected, considerations of the accident, the claimant's current condition and a prognosis of the clients future (extent and duration of harm caused, the claimant's ability to work and the extent there every day life will be different).</w:t>
      </w:r>
    </w:p>
    <w:p w14:paraId="3CFB8B2F" w14:textId="77777777" w:rsidR="004C6448" w:rsidRPr="00543E82" w:rsidRDefault="004C6448" w:rsidP="00543E82">
      <w:pPr>
        <w:spacing w:line="480" w:lineRule="auto"/>
        <w:rPr>
          <w:rFonts w:ascii="Arial" w:hAnsi="Arial" w:cs="Arial"/>
          <w:sz w:val="24"/>
          <w:szCs w:val="24"/>
        </w:rPr>
      </w:pPr>
      <w:r w:rsidRPr="00543E82">
        <w:rPr>
          <w:rFonts w:ascii="Arial" w:hAnsi="Arial" w:cs="Arial"/>
          <w:sz w:val="24"/>
          <w:szCs w:val="24"/>
        </w:rPr>
        <w:t xml:space="preserve">Next, Alternative Dispute Resolution (ADR) is highly encouraged under section 1.4 of the </w:t>
      </w:r>
      <w:r w:rsidRPr="00543E82">
        <w:rPr>
          <w:rFonts w:ascii="Arial" w:hAnsi="Arial" w:cs="Arial"/>
          <w:i/>
          <w:iCs/>
          <w:sz w:val="24"/>
          <w:szCs w:val="24"/>
        </w:rPr>
        <w:t>Civil Procedure Rules 1998</w:t>
      </w:r>
      <w:r w:rsidRPr="00543E82">
        <w:rPr>
          <w:rFonts w:ascii="Arial" w:hAnsi="Arial" w:cs="Arial"/>
          <w:sz w:val="24"/>
          <w:szCs w:val="24"/>
        </w:rPr>
        <w:t xml:space="preserve">; the court must encourage both parties to use ADR when the court considers it appropriate. In </w:t>
      </w:r>
      <w:r w:rsidRPr="00543E82">
        <w:rPr>
          <w:rFonts w:ascii="Arial" w:hAnsi="Arial" w:cs="Arial"/>
          <w:i/>
          <w:iCs/>
          <w:sz w:val="24"/>
          <w:szCs w:val="24"/>
        </w:rPr>
        <w:t>Dunnet V Railtrack</w:t>
      </w:r>
      <w:r w:rsidRPr="00543E82">
        <w:rPr>
          <w:rFonts w:ascii="Arial" w:hAnsi="Arial" w:cs="Arial"/>
          <w:sz w:val="24"/>
          <w:szCs w:val="24"/>
        </w:rPr>
        <w:t xml:space="preserve"> (2002), despite the claimant winning, she was refused a cost due to her refusal to offer to mediate. </w:t>
      </w:r>
    </w:p>
    <w:p w14:paraId="291DDDB0" w14:textId="2CCC8448" w:rsidR="00570DF2" w:rsidRPr="00543E82" w:rsidRDefault="00570DF2" w:rsidP="00543E82">
      <w:pPr>
        <w:spacing w:line="480" w:lineRule="auto"/>
        <w:rPr>
          <w:rFonts w:ascii="Arial" w:hAnsi="Arial" w:cs="Arial"/>
          <w:sz w:val="24"/>
          <w:szCs w:val="24"/>
        </w:rPr>
      </w:pPr>
      <w:r w:rsidRPr="00543E82">
        <w:rPr>
          <w:rFonts w:ascii="Arial" w:hAnsi="Arial" w:cs="Arial"/>
          <w:sz w:val="24"/>
          <w:szCs w:val="24"/>
        </w:rPr>
        <w:lastRenderedPageBreak/>
        <w:t xml:space="preserve">It is vital </w:t>
      </w:r>
      <w:r w:rsidR="009D1A7A" w:rsidRPr="00543E82">
        <w:rPr>
          <w:rFonts w:ascii="Arial" w:hAnsi="Arial" w:cs="Arial"/>
          <w:sz w:val="24"/>
          <w:szCs w:val="24"/>
        </w:rPr>
        <w:t xml:space="preserve">that </w:t>
      </w:r>
      <w:r w:rsidRPr="00543E82">
        <w:rPr>
          <w:rFonts w:ascii="Arial" w:hAnsi="Arial" w:cs="Arial"/>
          <w:sz w:val="24"/>
          <w:szCs w:val="24"/>
        </w:rPr>
        <w:t xml:space="preserve">we comply with </w:t>
      </w:r>
      <w:r w:rsidR="009D1A7A" w:rsidRPr="00543E82">
        <w:rPr>
          <w:rFonts w:ascii="Arial" w:hAnsi="Arial" w:cs="Arial"/>
          <w:sz w:val="24"/>
          <w:szCs w:val="24"/>
        </w:rPr>
        <w:t xml:space="preserve">the </w:t>
      </w:r>
      <w:r w:rsidRPr="00543E82">
        <w:rPr>
          <w:rFonts w:ascii="Arial" w:hAnsi="Arial" w:cs="Arial"/>
          <w:sz w:val="24"/>
          <w:szCs w:val="24"/>
        </w:rPr>
        <w:t>Pre-Action Prot</w:t>
      </w:r>
      <w:r w:rsidR="00EC44A8" w:rsidRPr="00543E82">
        <w:rPr>
          <w:rFonts w:ascii="Arial" w:hAnsi="Arial" w:cs="Arial"/>
          <w:sz w:val="24"/>
          <w:szCs w:val="24"/>
        </w:rPr>
        <w:t>ocol, obtain medical evidence</w:t>
      </w:r>
      <w:r w:rsidR="009D1A7A" w:rsidRPr="00543E82">
        <w:rPr>
          <w:rFonts w:ascii="Arial" w:hAnsi="Arial" w:cs="Arial"/>
          <w:sz w:val="24"/>
          <w:szCs w:val="24"/>
        </w:rPr>
        <w:t>,</w:t>
      </w:r>
      <w:r w:rsidR="00EC44A8" w:rsidRPr="00543E82">
        <w:rPr>
          <w:rFonts w:ascii="Arial" w:hAnsi="Arial" w:cs="Arial"/>
          <w:sz w:val="24"/>
          <w:szCs w:val="24"/>
        </w:rPr>
        <w:t xml:space="preserve"> disclose it and consider alternative dispute </w:t>
      </w:r>
      <w:r w:rsidR="00B452FD" w:rsidRPr="00543E82">
        <w:rPr>
          <w:rFonts w:ascii="Arial" w:hAnsi="Arial" w:cs="Arial"/>
          <w:sz w:val="24"/>
          <w:szCs w:val="24"/>
        </w:rPr>
        <w:t>resolutions</w:t>
      </w:r>
      <w:r w:rsidR="009B2BE3" w:rsidRPr="00543E82">
        <w:rPr>
          <w:rFonts w:ascii="Arial" w:hAnsi="Arial" w:cs="Arial"/>
          <w:sz w:val="24"/>
          <w:szCs w:val="24"/>
        </w:rPr>
        <w:t>; we must first send a LOC and wait for a letter of response</w:t>
      </w:r>
      <w:r w:rsidR="009D1A7A" w:rsidRPr="00543E82">
        <w:rPr>
          <w:rFonts w:ascii="Arial" w:hAnsi="Arial" w:cs="Arial"/>
          <w:sz w:val="24"/>
          <w:szCs w:val="24"/>
        </w:rPr>
        <w:t>; based</w:t>
      </w:r>
      <w:r w:rsidR="00C6232A" w:rsidRPr="00543E82">
        <w:rPr>
          <w:rFonts w:ascii="Arial" w:hAnsi="Arial" w:cs="Arial"/>
          <w:sz w:val="24"/>
          <w:szCs w:val="24"/>
        </w:rPr>
        <w:t xml:space="preserve"> </w:t>
      </w:r>
      <w:r w:rsidR="009D1A7A" w:rsidRPr="00543E82">
        <w:rPr>
          <w:rFonts w:ascii="Arial" w:hAnsi="Arial" w:cs="Arial"/>
          <w:sz w:val="24"/>
          <w:szCs w:val="24"/>
        </w:rPr>
        <w:t>on</w:t>
      </w:r>
      <w:r w:rsidR="00C6232A" w:rsidRPr="00543E82">
        <w:rPr>
          <w:rFonts w:ascii="Arial" w:hAnsi="Arial" w:cs="Arial"/>
          <w:sz w:val="24"/>
          <w:szCs w:val="24"/>
        </w:rPr>
        <w:t xml:space="preserve"> the </w:t>
      </w:r>
      <w:r w:rsidR="009D1A7A" w:rsidRPr="00543E82">
        <w:rPr>
          <w:rFonts w:ascii="Arial" w:hAnsi="Arial" w:cs="Arial"/>
          <w:sz w:val="24"/>
          <w:szCs w:val="24"/>
        </w:rPr>
        <w:t>defendant’s</w:t>
      </w:r>
      <w:r w:rsidR="00C6232A" w:rsidRPr="00543E82">
        <w:rPr>
          <w:rFonts w:ascii="Arial" w:hAnsi="Arial" w:cs="Arial"/>
          <w:sz w:val="24"/>
          <w:szCs w:val="24"/>
        </w:rPr>
        <w:t xml:space="preserve"> admission or denial</w:t>
      </w:r>
      <w:r w:rsidR="009D1A7A" w:rsidRPr="00543E82">
        <w:rPr>
          <w:rFonts w:ascii="Arial" w:hAnsi="Arial" w:cs="Arial"/>
          <w:sz w:val="24"/>
          <w:szCs w:val="24"/>
        </w:rPr>
        <w:t>,</w:t>
      </w:r>
      <w:r w:rsidR="005474DF" w:rsidRPr="00543E82">
        <w:rPr>
          <w:rFonts w:ascii="Arial" w:hAnsi="Arial" w:cs="Arial"/>
          <w:sz w:val="24"/>
          <w:szCs w:val="24"/>
        </w:rPr>
        <w:t xml:space="preserve"> we will act accordingly</w:t>
      </w:r>
      <w:r w:rsidR="009D1A7A" w:rsidRPr="00543E82">
        <w:rPr>
          <w:rFonts w:ascii="Arial" w:hAnsi="Arial" w:cs="Arial"/>
          <w:sz w:val="24"/>
          <w:szCs w:val="24"/>
        </w:rPr>
        <w:t>,</w:t>
      </w:r>
      <w:r w:rsidR="005474DF" w:rsidRPr="00543E82">
        <w:rPr>
          <w:rFonts w:ascii="Arial" w:hAnsi="Arial" w:cs="Arial"/>
          <w:sz w:val="24"/>
          <w:szCs w:val="24"/>
        </w:rPr>
        <w:t xml:space="preserve"> gathering medical reports from an expert</w:t>
      </w:r>
      <w:r w:rsidR="009D1A7A" w:rsidRPr="00543E82">
        <w:rPr>
          <w:rFonts w:ascii="Arial" w:hAnsi="Arial" w:cs="Arial"/>
          <w:sz w:val="24"/>
          <w:szCs w:val="24"/>
        </w:rPr>
        <w:t xml:space="preserve"> and submitting a pre-action disclosure if it is necessary. </w:t>
      </w:r>
    </w:p>
    <w:p w14:paraId="0A660909" w14:textId="77777777" w:rsidR="009D1A7A" w:rsidRPr="00543E82" w:rsidRDefault="009D1A7A" w:rsidP="00543E82">
      <w:pPr>
        <w:spacing w:line="480" w:lineRule="auto"/>
        <w:rPr>
          <w:rFonts w:ascii="Arial" w:hAnsi="Arial" w:cs="Arial"/>
          <w:sz w:val="24"/>
          <w:szCs w:val="24"/>
        </w:rPr>
      </w:pPr>
    </w:p>
    <w:p w14:paraId="3B40D8E3" w14:textId="578E18CE" w:rsidR="009D1A7A" w:rsidRPr="00543E82" w:rsidRDefault="009D1A7A" w:rsidP="00543E82">
      <w:pPr>
        <w:spacing w:line="480" w:lineRule="auto"/>
        <w:rPr>
          <w:rFonts w:ascii="Arial" w:hAnsi="Arial" w:cs="Arial"/>
          <w:sz w:val="24"/>
          <w:szCs w:val="24"/>
        </w:rPr>
      </w:pPr>
      <w:r w:rsidRPr="00543E82">
        <w:rPr>
          <w:rFonts w:ascii="Arial" w:hAnsi="Arial" w:cs="Arial"/>
          <w:sz w:val="24"/>
          <w:szCs w:val="24"/>
        </w:rPr>
        <w:t xml:space="preserve">Sincerely, </w:t>
      </w:r>
    </w:p>
    <w:p w14:paraId="08648EB6" w14:textId="4C403332" w:rsidR="009D1A7A" w:rsidRPr="00543E82" w:rsidRDefault="009D1A7A" w:rsidP="00543E82">
      <w:pPr>
        <w:spacing w:line="480" w:lineRule="auto"/>
        <w:rPr>
          <w:rFonts w:ascii="Arial" w:hAnsi="Arial" w:cs="Arial"/>
          <w:sz w:val="24"/>
          <w:szCs w:val="24"/>
        </w:rPr>
      </w:pPr>
      <w:r w:rsidRPr="00543E82">
        <w:rPr>
          <w:rFonts w:ascii="Arial" w:hAnsi="Arial" w:cs="Arial"/>
          <w:sz w:val="24"/>
          <w:szCs w:val="24"/>
        </w:rPr>
        <w:t>Shannon Davies</w:t>
      </w:r>
      <w:r w:rsidR="004841CF" w:rsidRPr="00543E82">
        <w:rPr>
          <w:rFonts w:ascii="Arial" w:hAnsi="Arial" w:cs="Arial"/>
          <w:sz w:val="24"/>
          <w:szCs w:val="24"/>
        </w:rPr>
        <w:t>.</w:t>
      </w:r>
    </w:p>
    <w:p w14:paraId="35DB65BF" w14:textId="77777777" w:rsidR="00740824" w:rsidRDefault="00740824" w:rsidP="00BF67C1"/>
    <w:p w14:paraId="3BEA8788" w14:textId="77777777" w:rsidR="00740824" w:rsidRPr="00740824" w:rsidRDefault="00740824" w:rsidP="00BF67C1">
      <w:pPr>
        <w:rPr>
          <w:b/>
          <w:bCs/>
        </w:rPr>
      </w:pPr>
    </w:p>
    <w:p w14:paraId="604CEA06" w14:textId="77777777" w:rsidR="001A2C4E" w:rsidRDefault="001A2C4E"/>
    <w:p w14:paraId="743C30CA" w14:textId="6BE1708F" w:rsidR="001A2C4E" w:rsidRDefault="001A2C4E"/>
    <w:p w14:paraId="545150F9" w14:textId="77777777" w:rsidR="006801A3" w:rsidRDefault="006801A3"/>
    <w:p w14:paraId="5AE8421B" w14:textId="6D23F12D" w:rsidR="006801A3" w:rsidRDefault="006801A3"/>
    <w:p w14:paraId="7BE2DF59" w14:textId="77777777" w:rsidR="00543E82" w:rsidRPr="00543E82" w:rsidRDefault="00543E82" w:rsidP="00543E82"/>
    <w:p w14:paraId="7FB97FD8" w14:textId="77777777" w:rsidR="00543E82" w:rsidRPr="00543E82" w:rsidRDefault="00543E82" w:rsidP="00543E82"/>
    <w:p w14:paraId="307C71FF" w14:textId="77777777" w:rsidR="00543E82" w:rsidRPr="00543E82" w:rsidRDefault="00543E82" w:rsidP="00543E82"/>
    <w:p w14:paraId="50DA46BE" w14:textId="77777777" w:rsidR="00543E82" w:rsidRPr="00543E82" w:rsidRDefault="00543E82" w:rsidP="00543E82"/>
    <w:p w14:paraId="7704091A" w14:textId="77777777" w:rsidR="00543E82" w:rsidRPr="00543E82" w:rsidRDefault="00543E82" w:rsidP="00543E82"/>
    <w:p w14:paraId="120942D1" w14:textId="77777777" w:rsidR="00543E82" w:rsidRPr="00543E82" w:rsidRDefault="00543E82" w:rsidP="00543E82"/>
    <w:p w14:paraId="409A5B4C" w14:textId="77777777" w:rsidR="00543E82" w:rsidRPr="00543E82" w:rsidRDefault="00543E82" w:rsidP="00543E82"/>
    <w:p w14:paraId="1D88FE67" w14:textId="77777777" w:rsidR="00543E82" w:rsidRDefault="00543E82" w:rsidP="00543E82"/>
    <w:p w14:paraId="79C7D0FF" w14:textId="01A9B3D0" w:rsidR="00543E82" w:rsidRDefault="00543E82" w:rsidP="00543E82">
      <w:pPr>
        <w:tabs>
          <w:tab w:val="left" w:pos="1140"/>
        </w:tabs>
      </w:pPr>
      <w:r>
        <w:tab/>
      </w:r>
    </w:p>
    <w:p w14:paraId="1F7D3654" w14:textId="77777777" w:rsidR="00543E82" w:rsidRDefault="00543E82" w:rsidP="00543E82">
      <w:pPr>
        <w:tabs>
          <w:tab w:val="left" w:pos="1140"/>
        </w:tabs>
      </w:pPr>
    </w:p>
    <w:p w14:paraId="2ABE91EB" w14:textId="77777777" w:rsidR="00543E82" w:rsidRDefault="00543E82" w:rsidP="00543E82">
      <w:pPr>
        <w:tabs>
          <w:tab w:val="left" w:pos="1140"/>
        </w:tabs>
      </w:pPr>
    </w:p>
    <w:p w14:paraId="0B14ADF1" w14:textId="77777777" w:rsidR="00543E82" w:rsidRDefault="00543E82" w:rsidP="00543E82">
      <w:pPr>
        <w:tabs>
          <w:tab w:val="left" w:pos="1140"/>
        </w:tabs>
      </w:pPr>
    </w:p>
    <w:p w14:paraId="4759C278" w14:textId="77777777" w:rsidR="00543E82" w:rsidRDefault="00543E82" w:rsidP="00543E82">
      <w:pPr>
        <w:tabs>
          <w:tab w:val="left" w:pos="1140"/>
        </w:tabs>
      </w:pPr>
    </w:p>
    <w:p w14:paraId="12401460" w14:textId="77777777" w:rsidR="00543E82" w:rsidRDefault="00543E82" w:rsidP="00543E82">
      <w:pPr>
        <w:tabs>
          <w:tab w:val="left" w:pos="1140"/>
        </w:tabs>
      </w:pPr>
    </w:p>
    <w:p w14:paraId="4700A54B" w14:textId="17B892A8" w:rsidR="00543E82" w:rsidRPr="0074225D" w:rsidRDefault="00543E82" w:rsidP="0074225D">
      <w:pPr>
        <w:tabs>
          <w:tab w:val="left" w:pos="1140"/>
        </w:tabs>
        <w:spacing w:line="480" w:lineRule="auto"/>
        <w:rPr>
          <w:rFonts w:ascii="Arial" w:hAnsi="Arial" w:cs="Arial"/>
          <w:sz w:val="24"/>
          <w:szCs w:val="24"/>
        </w:rPr>
      </w:pPr>
      <w:r w:rsidRPr="0074225D">
        <w:rPr>
          <w:rFonts w:ascii="Arial" w:hAnsi="Arial" w:cs="Arial"/>
          <w:sz w:val="24"/>
          <w:szCs w:val="24"/>
        </w:rPr>
        <w:lastRenderedPageBreak/>
        <w:t xml:space="preserve">Reference list </w:t>
      </w:r>
    </w:p>
    <w:p w14:paraId="705E1197" w14:textId="77777777" w:rsidR="0074225D" w:rsidRDefault="0074225D" w:rsidP="0074225D">
      <w:pPr>
        <w:tabs>
          <w:tab w:val="left" w:pos="1140"/>
        </w:tabs>
        <w:spacing w:line="480" w:lineRule="auto"/>
        <w:rPr>
          <w:rFonts w:ascii="Arial" w:hAnsi="Arial" w:cs="Arial"/>
          <w:sz w:val="24"/>
          <w:szCs w:val="24"/>
        </w:rPr>
      </w:pPr>
    </w:p>
    <w:p w14:paraId="7DD030F1" w14:textId="55F342FF" w:rsidR="00562988" w:rsidRPr="00562988" w:rsidRDefault="00562988" w:rsidP="0074225D">
      <w:pPr>
        <w:tabs>
          <w:tab w:val="left" w:pos="1140"/>
        </w:tabs>
        <w:spacing w:line="480" w:lineRule="auto"/>
        <w:rPr>
          <w:rFonts w:ascii="Arial" w:hAnsi="Arial" w:cs="Arial"/>
          <w:sz w:val="24"/>
          <w:szCs w:val="24"/>
        </w:rPr>
      </w:pPr>
      <w:r w:rsidRPr="00562988">
        <w:rPr>
          <w:rFonts w:ascii="Arial" w:hAnsi="Arial" w:cs="Arial"/>
          <w:sz w:val="24"/>
          <w:szCs w:val="24"/>
        </w:rPr>
        <w:t xml:space="preserve">Bacon, N et al., (2023) The Civil Court Practice (The Green Book) London: </w:t>
      </w:r>
      <w:r w:rsidRPr="0074225D">
        <w:rPr>
          <w:rFonts w:ascii="Arial" w:hAnsi="Arial" w:cs="Arial"/>
          <w:i/>
          <w:iCs/>
          <w:sz w:val="24"/>
          <w:szCs w:val="24"/>
        </w:rPr>
        <w:t>LexisNexis.</w:t>
      </w:r>
      <w:r w:rsidRPr="00562988">
        <w:rPr>
          <w:rFonts w:ascii="Arial" w:hAnsi="Arial" w:cs="Arial"/>
          <w:i/>
          <w:iCs/>
          <w:sz w:val="24"/>
          <w:szCs w:val="24"/>
        </w:rPr>
        <w:t xml:space="preserve"> </w:t>
      </w:r>
    </w:p>
    <w:p w14:paraId="36F292B3" w14:textId="77777777" w:rsidR="00562988" w:rsidRPr="00562988" w:rsidRDefault="00562988" w:rsidP="0074225D">
      <w:pPr>
        <w:tabs>
          <w:tab w:val="left" w:pos="1140"/>
        </w:tabs>
        <w:spacing w:line="480" w:lineRule="auto"/>
        <w:rPr>
          <w:rFonts w:ascii="Arial" w:hAnsi="Arial" w:cs="Arial"/>
          <w:sz w:val="24"/>
          <w:szCs w:val="24"/>
        </w:rPr>
      </w:pPr>
      <w:r w:rsidRPr="00562988">
        <w:rPr>
          <w:rFonts w:ascii="Arial" w:hAnsi="Arial" w:cs="Arial"/>
          <w:sz w:val="24"/>
          <w:szCs w:val="24"/>
        </w:rPr>
        <w:t xml:space="preserve">Available at: </w:t>
      </w:r>
    </w:p>
    <w:p w14:paraId="12F2B9DE" w14:textId="77777777" w:rsidR="00562988" w:rsidRPr="00562988" w:rsidRDefault="00562988" w:rsidP="0074225D">
      <w:pPr>
        <w:tabs>
          <w:tab w:val="left" w:pos="1140"/>
        </w:tabs>
        <w:spacing w:line="480" w:lineRule="auto"/>
        <w:rPr>
          <w:rFonts w:ascii="Arial" w:hAnsi="Arial" w:cs="Arial"/>
          <w:sz w:val="24"/>
          <w:szCs w:val="24"/>
        </w:rPr>
      </w:pPr>
      <w:hyperlink r:id="rId8" w:history="1">
        <w:r w:rsidRPr="00562988">
          <w:rPr>
            <w:rStyle w:val="Hyperlink"/>
            <w:rFonts w:ascii="Arial" w:hAnsi="Arial" w:cs="Arial"/>
            <w:sz w:val="24"/>
            <w:szCs w:val="24"/>
          </w:rPr>
          <w:t>https://plus-lexis-com.ezproxy.uwtsd.ac.uk/uk/analytical-materials-uk/a2-letter-of-response_3/?crid=53ca0fb3-56b9-48c6-b428-6b4456998d66&amp;pddocumentnumber=5</w:t>
        </w:r>
      </w:hyperlink>
    </w:p>
    <w:p w14:paraId="04D12F27" w14:textId="77777777" w:rsidR="00562988" w:rsidRPr="0074225D" w:rsidRDefault="00562988" w:rsidP="0074225D">
      <w:pPr>
        <w:tabs>
          <w:tab w:val="left" w:pos="1140"/>
        </w:tabs>
        <w:spacing w:line="480" w:lineRule="auto"/>
        <w:rPr>
          <w:rFonts w:ascii="Arial" w:hAnsi="Arial" w:cs="Arial"/>
          <w:sz w:val="24"/>
          <w:szCs w:val="24"/>
        </w:rPr>
      </w:pPr>
      <w:r w:rsidRPr="00562988">
        <w:rPr>
          <w:rFonts w:ascii="Arial" w:hAnsi="Arial" w:cs="Arial"/>
          <w:sz w:val="24"/>
          <w:szCs w:val="24"/>
        </w:rPr>
        <w:t>Accessed:07/03/2025</w:t>
      </w:r>
    </w:p>
    <w:p w14:paraId="30DE29B8" w14:textId="77777777" w:rsidR="0074225D" w:rsidRDefault="0074225D" w:rsidP="0074225D">
      <w:pPr>
        <w:tabs>
          <w:tab w:val="left" w:pos="1140"/>
        </w:tabs>
        <w:spacing w:line="480" w:lineRule="auto"/>
        <w:rPr>
          <w:rFonts w:ascii="Arial" w:hAnsi="Arial" w:cs="Arial"/>
          <w:sz w:val="24"/>
          <w:szCs w:val="24"/>
        </w:rPr>
      </w:pPr>
    </w:p>
    <w:p w14:paraId="6FE839F9" w14:textId="47C6CE1E" w:rsidR="00131F87" w:rsidRPr="00131F87" w:rsidRDefault="00131F87" w:rsidP="0074225D">
      <w:pPr>
        <w:tabs>
          <w:tab w:val="left" w:pos="1140"/>
        </w:tabs>
        <w:spacing w:line="480" w:lineRule="auto"/>
        <w:rPr>
          <w:rFonts w:ascii="Arial" w:hAnsi="Arial" w:cs="Arial"/>
          <w:sz w:val="24"/>
          <w:szCs w:val="24"/>
        </w:rPr>
      </w:pPr>
      <w:r w:rsidRPr="00131F87">
        <w:rPr>
          <w:rFonts w:ascii="Arial" w:hAnsi="Arial" w:cs="Arial"/>
          <w:sz w:val="24"/>
          <w:szCs w:val="24"/>
        </w:rPr>
        <w:t>Barton, A. (2015) </w:t>
      </w:r>
      <w:r w:rsidRPr="00131F87">
        <w:rPr>
          <w:rFonts w:ascii="Arial" w:hAnsi="Arial" w:cs="Arial"/>
          <w:i/>
          <w:iCs/>
          <w:sz w:val="24"/>
          <w:szCs w:val="24"/>
        </w:rPr>
        <w:t>Clinical Negligence</w:t>
      </w:r>
      <w:r w:rsidRPr="00131F87">
        <w:rPr>
          <w:rFonts w:ascii="Arial" w:hAnsi="Arial" w:cs="Arial"/>
          <w:sz w:val="24"/>
          <w:szCs w:val="24"/>
        </w:rPr>
        <w:t>. West Sussex: Bloomsbury Publishing. Available at:</w:t>
      </w:r>
    </w:p>
    <w:p w14:paraId="3B04EBE2" w14:textId="77777777" w:rsidR="00131F87" w:rsidRPr="00131F87" w:rsidRDefault="00131F87" w:rsidP="0074225D">
      <w:pPr>
        <w:tabs>
          <w:tab w:val="left" w:pos="1140"/>
        </w:tabs>
        <w:spacing w:line="480" w:lineRule="auto"/>
        <w:rPr>
          <w:rFonts w:ascii="Arial" w:hAnsi="Arial" w:cs="Arial"/>
          <w:sz w:val="24"/>
          <w:szCs w:val="24"/>
        </w:rPr>
      </w:pPr>
      <w:r w:rsidRPr="00131F87">
        <w:rPr>
          <w:rFonts w:ascii="Arial" w:hAnsi="Arial" w:cs="Arial"/>
          <w:sz w:val="24"/>
          <w:szCs w:val="24"/>
        </w:rPr>
        <w:t xml:space="preserve"> </w:t>
      </w:r>
      <w:hyperlink r:id="rId9" w:history="1">
        <w:r w:rsidRPr="00131F87">
          <w:rPr>
            <w:rStyle w:val="Hyperlink"/>
            <w:rFonts w:ascii="Arial" w:hAnsi="Arial" w:cs="Arial"/>
            <w:sz w:val="24"/>
            <w:szCs w:val="24"/>
          </w:rPr>
          <w:t>https://plus-lexis-com.ezproxy.uwtsd.ac.uk/uk/document/?pdmfid=1001073&amp;crid=1ca9de43-2880-470b-bec8-20de7178d449&amp;pddocfullpath=%2Fshared%2Fdocument%2Fanalytical-materials-uk%2Furn:contentItem:691B-TKR3-RSRJ-X1DT-00000-00&amp;pdcontentcomponentid=436288&amp;pdteaserkey=&amp;pdislpamode=false&amp;pddocumentnumber=4&amp;ecomp=5t5k&amp;earg=sr3&amp;prid=ce17b671-cc2b-4213-b5fc-933a907abb20</w:t>
        </w:r>
      </w:hyperlink>
    </w:p>
    <w:p w14:paraId="46DA22A1" w14:textId="77777777" w:rsidR="00131F87" w:rsidRPr="00131F87" w:rsidRDefault="00131F87" w:rsidP="0074225D">
      <w:pPr>
        <w:tabs>
          <w:tab w:val="left" w:pos="1140"/>
        </w:tabs>
        <w:spacing w:line="480" w:lineRule="auto"/>
        <w:rPr>
          <w:rFonts w:ascii="Arial" w:hAnsi="Arial" w:cs="Arial"/>
          <w:sz w:val="24"/>
          <w:szCs w:val="24"/>
        </w:rPr>
      </w:pPr>
      <w:r w:rsidRPr="00131F87">
        <w:rPr>
          <w:rFonts w:ascii="Arial" w:hAnsi="Arial" w:cs="Arial"/>
          <w:sz w:val="24"/>
          <w:szCs w:val="24"/>
        </w:rPr>
        <w:t>Accessed 07/03/2025</w:t>
      </w:r>
    </w:p>
    <w:p w14:paraId="00FDDC15" w14:textId="77777777" w:rsidR="00131F87" w:rsidRPr="0074225D" w:rsidRDefault="00131F87" w:rsidP="0074225D">
      <w:pPr>
        <w:tabs>
          <w:tab w:val="left" w:pos="1140"/>
        </w:tabs>
        <w:spacing w:line="480" w:lineRule="auto"/>
        <w:rPr>
          <w:rFonts w:ascii="Arial" w:hAnsi="Arial" w:cs="Arial"/>
          <w:sz w:val="24"/>
          <w:szCs w:val="24"/>
        </w:rPr>
      </w:pPr>
    </w:p>
    <w:p w14:paraId="00070D14" w14:textId="77777777" w:rsidR="00857A4F" w:rsidRPr="00857A4F" w:rsidRDefault="00857A4F" w:rsidP="0074225D">
      <w:pPr>
        <w:tabs>
          <w:tab w:val="left" w:pos="1140"/>
        </w:tabs>
        <w:spacing w:line="480" w:lineRule="auto"/>
        <w:rPr>
          <w:rFonts w:ascii="Arial" w:hAnsi="Arial" w:cs="Arial"/>
          <w:sz w:val="24"/>
          <w:szCs w:val="24"/>
        </w:rPr>
      </w:pPr>
      <w:r w:rsidRPr="00857A4F">
        <w:rPr>
          <w:rFonts w:ascii="Arial" w:hAnsi="Arial" w:cs="Arial"/>
          <w:sz w:val="24"/>
          <w:szCs w:val="24"/>
        </w:rPr>
        <w:t xml:space="preserve">Black V Sumitomo Corp (2001), England and Wales Court of Appeal, Civ 1819. </w:t>
      </w:r>
    </w:p>
    <w:p w14:paraId="298D64A0" w14:textId="77777777" w:rsidR="00857A4F" w:rsidRPr="0074225D" w:rsidRDefault="00857A4F" w:rsidP="0074225D">
      <w:pPr>
        <w:tabs>
          <w:tab w:val="left" w:pos="1140"/>
        </w:tabs>
        <w:spacing w:line="480" w:lineRule="auto"/>
        <w:rPr>
          <w:rFonts w:ascii="Arial" w:hAnsi="Arial" w:cs="Arial"/>
          <w:sz w:val="24"/>
          <w:szCs w:val="24"/>
        </w:rPr>
      </w:pPr>
      <w:r w:rsidRPr="00857A4F">
        <w:rPr>
          <w:rFonts w:ascii="Arial" w:hAnsi="Arial" w:cs="Arial"/>
          <w:sz w:val="24"/>
          <w:szCs w:val="24"/>
        </w:rPr>
        <w:t>Accessed:08/03/2025</w:t>
      </w:r>
    </w:p>
    <w:p w14:paraId="03247DA2" w14:textId="77777777" w:rsidR="00131F87" w:rsidRPr="0074225D" w:rsidRDefault="00131F87" w:rsidP="0074225D">
      <w:pPr>
        <w:tabs>
          <w:tab w:val="left" w:pos="1140"/>
        </w:tabs>
        <w:spacing w:line="480" w:lineRule="auto"/>
        <w:rPr>
          <w:rFonts w:ascii="Arial" w:hAnsi="Arial" w:cs="Arial"/>
          <w:sz w:val="24"/>
          <w:szCs w:val="24"/>
        </w:rPr>
      </w:pPr>
    </w:p>
    <w:p w14:paraId="3F26E13A" w14:textId="77777777" w:rsidR="00FA28CE" w:rsidRPr="00FA28CE" w:rsidRDefault="00FA28CE" w:rsidP="0074225D">
      <w:pPr>
        <w:tabs>
          <w:tab w:val="left" w:pos="1140"/>
        </w:tabs>
        <w:spacing w:line="480" w:lineRule="auto"/>
        <w:rPr>
          <w:rFonts w:ascii="Arial" w:hAnsi="Arial" w:cs="Arial"/>
          <w:sz w:val="24"/>
          <w:szCs w:val="24"/>
        </w:rPr>
      </w:pPr>
      <w:r w:rsidRPr="00FA28CE">
        <w:rPr>
          <w:rFonts w:ascii="Arial" w:hAnsi="Arial" w:cs="Arial"/>
          <w:i/>
          <w:iCs/>
          <w:sz w:val="24"/>
          <w:szCs w:val="24"/>
        </w:rPr>
        <w:t>Civil Procedure Rules 1998</w:t>
      </w:r>
      <w:r w:rsidRPr="00FA28CE">
        <w:rPr>
          <w:rFonts w:ascii="Arial" w:hAnsi="Arial" w:cs="Arial"/>
          <w:sz w:val="24"/>
          <w:szCs w:val="24"/>
        </w:rPr>
        <w:t xml:space="preserve">, 3132, Available at: </w:t>
      </w:r>
      <w:hyperlink r:id="rId10" w:history="1">
        <w:r w:rsidRPr="00FA28CE">
          <w:rPr>
            <w:rStyle w:val="Hyperlink"/>
            <w:rFonts w:ascii="Arial" w:hAnsi="Arial" w:cs="Arial"/>
            <w:sz w:val="24"/>
            <w:szCs w:val="24"/>
          </w:rPr>
          <w:t>https://www.legislation.gov.uk/uksi/1998/3132/rule/44.2</w:t>
        </w:r>
      </w:hyperlink>
    </w:p>
    <w:p w14:paraId="1CAAE0B0" w14:textId="77777777" w:rsidR="00131F87" w:rsidRPr="0074225D" w:rsidRDefault="00131F87" w:rsidP="0074225D">
      <w:pPr>
        <w:tabs>
          <w:tab w:val="left" w:pos="1140"/>
        </w:tabs>
        <w:spacing w:line="480" w:lineRule="auto"/>
        <w:rPr>
          <w:rFonts w:ascii="Arial" w:hAnsi="Arial" w:cs="Arial"/>
          <w:sz w:val="24"/>
          <w:szCs w:val="24"/>
        </w:rPr>
      </w:pPr>
    </w:p>
    <w:p w14:paraId="2EE899F6" w14:textId="77777777" w:rsidR="00B42120" w:rsidRPr="00B42120" w:rsidRDefault="00B42120" w:rsidP="0074225D">
      <w:pPr>
        <w:tabs>
          <w:tab w:val="left" w:pos="1140"/>
        </w:tabs>
        <w:spacing w:line="480" w:lineRule="auto"/>
        <w:rPr>
          <w:rFonts w:ascii="Arial" w:hAnsi="Arial" w:cs="Arial"/>
          <w:sz w:val="24"/>
          <w:szCs w:val="24"/>
        </w:rPr>
      </w:pPr>
      <w:r w:rsidRPr="00B42120">
        <w:rPr>
          <w:rFonts w:ascii="Arial" w:hAnsi="Arial" w:cs="Arial"/>
          <w:i/>
          <w:iCs/>
          <w:sz w:val="24"/>
          <w:szCs w:val="24"/>
        </w:rPr>
        <w:t xml:space="preserve">Conditional Fee Agreements Order 2013, </w:t>
      </w:r>
      <w:r w:rsidRPr="00B42120">
        <w:rPr>
          <w:rFonts w:ascii="Arial" w:hAnsi="Arial" w:cs="Arial"/>
          <w:sz w:val="24"/>
          <w:szCs w:val="24"/>
        </w:rPr>
        <w:t xml:space="preserve">c. 41, Available at: </w:t>
      </w:r>
      <w:hyperlink r:id="rId11" w:history="1">
        <w:r w:rsidRPr="00B42120">
          <w:rPr>
            <w:rStyle w:val="Hyperlink"/>
            <w:rFonts w:ascii="Arial" w:hAnsi="Arial" w:cs="Arial"/>
            <w:sz w:val="24"/>
            <w:szCs w:val="24"/>
          </w:rPr>
          <w:t>https://www.legislation.gov.uk/ukdsi/2013/9780111533437</w:t>
        </w:r>
      </w:hyperlink>
    </w:p>
    <w:p w14:paraId="3B31E782" w14:textId="77777777" w:rsidR="00FA28CE" w:rsidRPr="0074225D" w:rsidRDefault="00FA28CE" w:rsidP="0074225D">
      <w:pPr>
        <w:tabs>
          <w:tab w:val="left" w:pos="1140"/>
        </w:tabs>
        <w:spacing w:line="480" w:lineRule="auto"/>
        <w:rPr>
          <w:rFonts w:ascii="Arial" w:hAnsi="Arial" w:cs="Arial"/>
          <w:sz w:val="24"/>
          <w:szCs w:val="24"/>
        </w:rPr>
      </w:pPr>
    </w:p>
    <w:p w14:paraId="038F8BD5" w14:textId="77777777" w:rsidR="00770AC0" w:rsidRPr="00770AC0" w:rsidRDefault="00770AC0" w:rsidP="0074225D">
      <w:pPr>
        <w:tabs>
          <w:tab w:val="left" w:pos="1140"/>
        </w:tabs>
        <w:spacing w:line="480" w:lineRule="auto"/>
        <w:rPr>
          <w:rFonts w:ascii="Arial" w:hAnsi="Arial" w:cs="Arial"/>
          <w:sz w:val="24"/>
          <w:szCs w:val="24"/>
        </w:rPr>
      </w:pPr>
      <w:r w:rsidRPr="00770AC0">
        <w:rPr>
          <w:rFonts w:ascii="Arial" w:hAnsi="Arial" w:cs="Arial"/>
          <w:i/>
          <w:iCs/>
          <w:sz w:val="24"/>
          <w:szCs w:val="24"/>
        </w:rPr>
        <w:t>Courts and Legal Services Act 1990,</w:t>
      </w:r>
      <w:r w:rsidRPr="00770AC0">
        <w:rPr>
          <w:rFonts w:ascii="Arial" w:hAnsi="Arial" w:cs="Arial"/>
          <w:sz w:val="24"/>
          <w:szCs w:val="24"/>
        </w:rPr>
        <w:t xml:space="preserve"> c. 41, Available at:</w:t>
      </w:r>
    </w:p>
    <w:p w14:paraId="34F41730" w14:textId="77777777" w:rsidR="00770AC0" w:rsidRPr="0074225D" w:rsidRDefault="00770AC0" w:rsidP="0074225D">
      <w:pPr>
        <w:tabs>
          <w:tab w:val="left" w:pos="1140"/>
        </w:tabs>
        <w:spacing w:line="480" w:lineRule="auto"/>
        <w:rPr>
          <w:rFonts w:ascii="Arial" w:hAnsi="Arial" w:cs="Arial"/>
          <w:sz w:val="24"/>
          <w:szCs w:val="24"/>
        </w:rPr>
      </w:pPr>
      <w:hyperlink r:id="rId12" w:history="1">
        <w:r w:rsidRPr="00770AC0">
          <w:rPr>
            <w:rStyle w:val="Hyperlink"/>
            <w:rFonts w:ascii="Arial" w:hAnsi="Arial" w:cs="Arial"/>
            <w:sz w:val="24"/>
            <w:szCs w:val="24"/>
          </w:rPr>
          <w:t>https://www.legislation.gov.uk/ukpga/1990/41/section/58</w:t>
        </w:r>
      </w:hyperlink>
    </w:p>
    <w:p w14:paraId="180CDF58" w14:textId="77777777" w:rsidR="00770AC0" w:rsidRPr="0074225D" w:rsidRDefault="00770AC0" w:rsidP="0074225D">
      <w:pPr>
        <w:tabs>
          <w:tab w:val="left" w:pos="1140"/>
        </w:tabs>
        <w:spacing w:line="480" w:lineRule="auto"/>
        <w:rPr>
          <w:rFonts w:ascii="Arial" w:hAnsi="Arial" w:cs="Arial"/>
          <w:sz w:val="24"/>
          <w:szCs w:val="24"/>
        </w:rPr>
      </w:pPr>
    </w:p>
    <w:p w14:paraId="2A0CC8FA" w14:textId="7BCBAD30" w:rsidR="00A064A5" w:rsidRPr="00A064A5" w:rsidRDefault="00A064A5" w:rsidP="0074225D">
      <w:pPr>
        <w:tabs>
          <w:tab w:val="left" w:pos="1140"/>
        </w:tabs>
        <w:spacing w:line="480" w:lineRule="auto"/>
        <w:rPr>
          <w:rFonts w:ascii="Arial" w:hAnsi="Arial" w:cs="Arial"/>
          <w:sz w:val="24"/>
          <w:szCs w:val="24"/>
        </w:rPr>
      </w:pPr>
      <w:r w:rsidRPr="00A064A5">
        <w:rPr>
          <w:rFonts w:ascii="Arial" w:hAnsi="Arial" w:cs="Arial"/>
          <w:sz w:val="24"/>
          <w:szCs w:val="24"/>
        </w:rPr>
        <w:t>Halsbury's Laws of England (2020) 'Legal aid'</w:t>
      </w:r>
      <w:r w:rsidRPr="00A064A5">
        <w:rPr>
          <w:rFonts w:ascii="Arial" w:hAnsi="Arial" w:cs="Arial"/>
          <w:i/>
          <w:iCs/>
          <w:sz w:val="24"/>
          <w:szCs w:val="24"/>
        </w:rPr>
        <w:t>,</w:t>
      </w:r>
      <w:r w:rsidRPr="00A064A5">
        <w:rPr>
          <w:rFonts w:ascii="Arial" w:hAnsi="Arial" w:cs="Arial"/>
          <w:sz w:val="24"/>
          <w:szCs w:val="24"/>
        </w:rPr>
        <w:t xml:space="preserve"> </w:t>
      </w:r>
      <w:r w:rsidRPr="00A064A5">
        <w:rPr>
          <w:rFonts w:ascii="Arial" w:hAnsi="Arial" w:cs="Arial"/>
          <w:i/>
          <w:iCs/>
          <w:sz w:val="24"/>
          <w:szCs w:val="24"/>
        </w:rPr>
        <w:t>Halsbury's Laws of England</w:t>
      </w:r>
      <w:r w:rsidRPr="00A064A5">
        <w:rPr>
          <w:rFonts w:ascii="Arial" w:hAnsi="Arial" w:cs="Arial"/>
          <w:sz w:val="24"/>
          <w:szCs w:val="24"/>
        </w:rPr>
        <w:t xml:space="preserve">, 65. Available at: </w:t>
      </w:r>
    </w:p>
    <w:p w14:paraId="4786DBF6" w14:textId="77777777" w:rsidR="00A064A5" w:rsidRPr="00A064A5" w:rsidRDefault="00A064A5" w:rsidP="0074225D">
      <w:pPr>
        <w:tabs>
          <w:tab w:val="left" w:pos="1140"/>
        </w:tabs>
        <w:spacing w:line="480" w:lineRule="auto"/>
        <w:rPr>
          <w:rFonts w:ascii="Arial" w:hAnsi="Arial" w:cs="Arial"/>
          <w:sz w:val="24"/>
          <w:szCs w:val="24"/>
        </w:rPr>
      </w:pPr>
      <w:hyperlink r:id="rId13" w:history="1">
        <w:r w:rsidRPr="00A064A5">
          <w:rPr>
            <w:rStyle w:val="Hyperlink"/>
            <w:rFonts w:ascii="Arial" w:hAnsi="Arial" w:cs="Arial"/>
            <w:sz w:val="24"/>
            <w:szCs w:val="24"/>
          </w:rPr>
          <w:t>https://plus-lexis-com.ezproxy.uwtsd.ac.uk/uk/analytical-materials-uk/13-private-legal-expenses-insurance/?crid=c11039be-fce5-4a07-9137-d1684eab908f&amp;pddocumentnumber=16</w:t>
        </w:r>
      </w:hyperlink>
    </w:p>
    <w:p w14:paraId="1BB14E9A" w14:textId="77777777" w:rsidR="00A064A5" w:rsidRPr="0074225D" w:rsidRDefault="00A064A5" w:rsidP="0074225D">
      <w:pPr>
        <w:tabs>
          <w:tab w:val="left" w:pos="1140"/>
        </w:tabs>
        <w:spacing w:line="480" w:lineRule="auto"/>
        <w:rPr>
          <w:rFonts w:ascii="Arial" w:hAnsi="Arial" w:cs="Arial"/>
          <w:sz w:val="24"/>
          <w:szCs w:val="24"/>
        </w:rPr>
      </w:pPr>
      <w:r w:rsidRPr="00A064A5">
        <w:rPr>
          <w:rFonts w:ascii="Arial" w:hAnsi="Arial" w:cs="Arial"/>
          <w:sz w:val="24"/>
          <w:szCs w:val="24"/>
        </w:rPr>
        <w:t xml:space="preserve">Accessed: 05/03/2025 </w:t>
      </w:r>
    </w:p>
    <w:p w14:paraId="46C2CF3B" w14:textId="77777777" w:rsidR="00A064A5" w:rsidRPr="0074225D" w:rsidRDefault="00A064A5" w:rsidP="0074225D">
      <w:pPr>
        <w:tabs>
          <w:tab w:val="left" w:pos="1140"/>
        </w:tabs>
        <w:spacing w:line="480" w:lineRule="auto"/>
        <w:rPr>
          <w:rFonts w:ascii="Arial" w:hAnsi="Arial" w:cs="Arial"/>
          <w:sz w:val="24"/>
          <w:szCs w:val="24"/>
        </w:rPr>
      </w:pPr>
    </w:p>
    <w:p w14:paraId="2722C9A0" w14:textId="77777777" w:rsidR="00845D6E" w:rsidRPr="00845D6E" w:rsidRDefault="00845D6E" w:rsidP="0074225D">
      <w:pPr>
        <w:tabs>
          <w:tab w:val="left" w:pos="1140"/>
        </w:tabs>
        <w:spacing w:line="480" w:lineRule="auto"/>
        <w:rPr>
          <w:rFonts w:ascii="Arial" w:hAnsi="Arial" w:cs="Arial"/>
          <w:sz w:val="24"/>
          <w:szCs w:val="24"/>
        </w:rPr>
      </w:pPr>
      <w:r w:rsidRPr="00845D6E">
        <w:rPr>
          <w:rFonts w:ascii="Arial" w:hAnsi="Arial" w:cs="Arial"/>
          <w:i/>
          <w:iCs/>
          <w:sz w:val="24"/>
          <w:szCs w:val="24"/>
        </w:rPr>
        <w:t>Hollins v Russell</w:t>
      </w:r>
      <w:r w:rsidRPr="00845D6E">
        <w:rPr>
          <w:rFonts w:ascii="Arial" w:hAnsi="Arial" w:cs="Arial"/>
          <w:sz w:val="24"/>
          <w:szCs w:val="24"/>
        </w:rPr>
        <w:t xml:space="preserve"> (2003), England and Wales Court of Appeal, 718.  </w:t>
      </w:r>
    </w:p>
    <w:p w14:paraId="7C9DC481" w14:textId="77777777" w:rsidR="00845D6E" w:rsidRPr="00845D6E" w:rsidRDefault="00845D6E" w:rsidP="0074225D">
      <w:pPr>
        <w:tabs>
          <w:tab w:val="left" w:pos="1140"/>
        </w:tabs>
        <w:spacing w:line="480" w:lineRule="auto"/>
        <w:rPr>
          <w:rFonts w:ascii="Arial" w:hAnsi="Arial" w:cs="Arial"/>
          <w:sz w:val="24"/>
          <w:szCs w:val="24"/>
        </w:rPr>
      </w:pPr>
      <w:r w:rsidRPr="00845D6E">
        <w:rPr>
          <w:rFonts w:ascii="Arial" w:hAnsi="Arial" w:cs="Arial"/>
          <w:sz w:val="24"/>
          <w:szCs w:val="24"/>
        </w:rPr>
        <w:t>Available at:</w:t>
      </w:r>
    </w:p>
    <w:p w14:paraId="4B8890B5" w14:textId="77777777" w:rsidR="00845D6E" w:rsidRPr="00845D6E" w:rsidRDefault="00845D6E" w:rsidP="0074225D">
      <w:pPr>
        <w:tabs>
          <w:tab w:val="left" w:pos="1140"/>
        </w:tabs>
        <w:spacing w:line="480" w:lineRule="auto"/>
        <w:rPr>
          <w:rFonts w:ascii="Arial" w:hAnsi="Arial" w:cs="Arial"/>
          <w:sz w:val="24"/>
          <w:szCs w:val="24"/>
        </w:rPr>
      </w:pPr>
      <w:hyperlink r:id="rId14" w:history="1">
        <w:r w:rsidRPr="00845D6E">
          <w:rPr>
            <w:rStyle w:val="Hyperlink"/>
            <w:rFonts w:ascii="Arial" w:hAnsi="Arial" w:cs="Arial"/>
            <w:sz w:val="24"/>
            <w:szCs w:val="24"/>
          </w:rPr>
          <w:t>https://www.casemine.com/judgement/uk/5b46f1f72c94e0775e7ef2ae</w:t>
        </w:r>
      </w:hyperlink>
    </w:p>
    <w:p w14:paraId="512455BB" w14:textId="77777777" w:rsidR="00845D6E" w:rsidRPr="00845D6E" w:rsidRDefault="00845D6E" w:rsidP="0074225D">
      <w:pPr>
        <w:tabs>
          <w:tab w:val="left" w:pos="1140"/>
        </w:tabs>
        <w:spacing w:line="480" w:lineRule="auto"/>
        <w:rPr>
          <w:rFonts w:ascii="Arial" w:hAnsi="Arial" w:cs="Arial"/>
          <w:sz w:val="24"/>
          <w:szCs w:val="24"/>
        </w:rPr>
      </w:pPr>
      <w:r w:rsidRPr="00845D6E">
        <w:rPr>
          <w:rFonts w:ascii="Arial" w:hAnsi="Arial" w:cs="Arial"/>
          <w:sz w:val="24"/>
          <w:szCs w:val="24"/>
        </w:rPr>
        <w:t>Accessed:07/03/2025</w:t>
      </w:r>
    </w:p>
    <w:p w14:paraId="7BF7EF41" w14:textId="77777777" w:rsidR="00A064A5" w:rsidRPr="0074225D" w:rsidRDefault="00A064A5" w:rsidP="0074225D">
      <w:pPr>
        <w:tabs>
          <w:tab w:val="left" w:pos="1140"/>
        </w:tabs>
        <w:spacing w:line="480" w:lineRule="auto"/>
        <w:rPr>
          <w:rFonts w:ascii="Arial" w:hAnsi="Arial" w:cs="Arial"/>
          <w:sz w:val="24"/>
          <w:szCs w:val="24"/>
        </w:rPr>
      </w:pPr>
    </w:p>
    <w:p w14:paraId="189F0537" w14:textId="77777777" w:rsidR="00C03F8B" w:rsidRPr="00C03F8B" w:rsidRDefault="00C03F8B" w:rsidP="0074225D">
      <w:pPr>
        <w:tabs>
          <w:tab w:val="left" w:pos="1140"/>
        </w:tabs>
        <w:spacing w:line="480" w:lineRule="auto"/>
        <w:rPr>
          <w:rFonts w:ascii="Arial" w:hAnsi="Arial" w:cs="Arial"/>
          <w:sz w:val="24"/>
          <w:szCs w:val="24"/>
        </w:rPr>
      </w:pPr>
      <w:r w:rsidRPr="00C03F8B">
        <w:rPr>
          <w:rFonts w:ascii="Arial" w:hAnsi="Arial" w:cs="Arial"/>
          <w:i/>
          <w:iCs/>
          <w:sz w:val="24"/>
          <w:szCs w:val="24"/>
        </w:rPr>
        <w:t xml:space="preserve">Legal Aid, Sentencing and Punishment of Offenders Act 2012, </w:t>
      </w:r>
      <w:r w:rsidRPr="00C03F8B">
        <w:rPr>
          <w:rFonts w:ascii="Arial" w:hAnsi="Arial" w:cs="Arial"/>
          <w:sz w:val="24"/>
          <w:szCs w:val="24"/>
        </w:rPr>
        <w:t xml:space="preserve">c. 10, Available at: </w:t>
      </w:r>
    </w:p>
    <w:p w14:paraId="5381833C" w14:textId="2797D411" w:rsidR="00C03F8B" w:rsidRPr="0074225D" w:rsidRDefault="00C03F8B" w:rsidP="0074225D">
      <w:pPr>
        <w:tabs>
          <w:tab w:val="left" w:pos="1140"/>
        </w:tabs>
        <w:spacing w:line="480" w:lineRule="auto"/>
        <w:rPr>
          <w:rFonts w:ascii="Arial" w:hAnsi="Arial" w:cs="Arial"/>
          <w:sz w:val="24"/>
          <w:szCs w:val="24"/>
        </w:rPr>
      </w:pPr>
      <w:hyperlink r:id="rId15" w:history="1">
        <w:r w:rsidRPr="0074225D">
          <w:rPr>
            <w:rStyle w:val="Hyperlink"/>
            <w:rFonts w:ascii="Arial" w:hAnsi="Arial" w:cs="Arial"/>
            <w:sz w:val="24"/>
            <w:szCs w:val="24"/>
          </w:rPr>
          <w:t>https://www.legislation.gov.uk/ukpga/2012/10/contents</w:t>
        </w:r>
      </w:hyperlink>
    </w:p>
    <w:p w14:paraId="43ADECCF" w14:textId="77777777" w:rsidR="00C03F8B" w:rsidRPr="0074225D" w:rsidRDefault="00C03F8B" w:rsidP="0074225D">
      <w:pPr>
        <w:tabs>
          <w:tab w:val="left" w:pos="1140"/>
        </w:tabs>
        <w:spacing w:line="480" w:lineRule="auto"/>
        <w:rPr>
          <w:rFonts w:ascii="Arial" w:hAnsi="Arial" w:cs="Arial"/>
          <w:sz w:val="24"/>
          <w:szCs w:val="24"/>
        </w:rPr>
      </w:pPr>
    </w:p>
    <w:p w14:paraId="04B7EB95" w14:textId="77777777" w:rsidR="00B129F6" w:rsidRPr="0074225D" w:rsidRDefault="00B129F6" w:rsidP="0074225D">
      <w:pPr>
        <w:tabs>
          <w:tab w:val="left" w:pos="1140"/>
        </w:tabs>
        <w:spacing w:line="480" w:lineRule="auto"/>
        <w:rPr>
          <w:rFonts w:ascii="Arial" w:hAnsi="Arial" w:cs="Arial"/>
          <w:sz w:val="24"/>
          <w:szCs w:val="24"/>
        </w:rPr>
      </w:pPr>
      <w:r w:rsidRPr="00B129F6">
        <w:rPr>
          <w:rFonts w:ascii="Arial" w:hAnsi="Arial" w:cs="Arial"/>
          <w:i/>
          <w:iCs/>
          <w:sz w:val="24"/>
          <w:szCs w:val="24"/>
        </w:rPr>
        <w:t>Legal services: Member support and services</w:t>
      </w:r>
      <w:r w:rsidRPr="00B129F6">
        <w:rPr>
          <w:rFonts w:ascii="Arial" w:hAnsi="Arial" w:cs="Arial"/>
          <w:sz w:val="24"/>
          <w:szCs w:val="24"/>
        </w:rPr>
        <w:t xml:space="preserve"> (no date) </w:t>
      </w:r>
      <w:r w:rsidRPr="00B129F6">
        <w:rPr>
          <w:rFonts w:ascii="Arial" w:hAnsi="Arial" w:cs="Arial"/>
          <w:i/>
          <w:iCs/>
          <w:sz w:val="24"/>
          <w:szCs w:val="24"/>
        </w:rPr>
        <w:t>UNISON National</w:t>
      </w:r>
      <w:r w:rsidRPr="00B129F6">
        <w:rPr>
          <w:rFonts w:ascii="Arial" w:hAnsi="Arial" w:cs="Arial"/>
          <w:sz w:val="24"/>
          <w:szCs w:val="24"/>
        </w:rPr>
        <w:t xml:space="preserve">. Available at: https://www.unison.org.uk/get-help/services-support/legal-services/ (Accessed: 06 March 2025). </w:t>
      </w:r>
    </w:p>
    <w:p w14:paraId="6AB6DB0F" w14:textId="187B5F6F" w:rsidR="009E2782" w:rsidRPr="00B129F6" w:rsidRDefault="009E2782" w:rsidP="0074225D">
      <w:pPr>
        <w:tabs>
          <w:tab w:val="left" w:pos="1140"/>
        </w:tabs>
        <w:spacing w:line="480" w:lineRule="auto"/>
        <w:rPr>
          <w:rFonts w:ascii="Arial" w:hAnsi="Arial" w:cs="Arial"/>
          <w:sz w:val="24"/>
          <w:szCs w:val="24"/>
        </w:rPr>
      </w:pPr>
    </w:p>
    <w:p w14:paraId="51BFF3D0" w14:textId="77777777" w:rsidR="00832524" w:rsidRPr="00832524" w:rsidRDefault="00832524" w:rsidP="0074225D">
      <w:pPr>
        <w:tabs>
          <w:tab w:val="left" w:pos="1140"/>
        </w:tabs>
        <w:spacing w:line="480" w:lineRule="auto"/>
        <w:rPr>
          <w:rFonts w:ascii="Arial" w:hAnsi="Arial" w:cs="Arial"/>
          <w:sz w:val="24"/>
          <w:szCs w:val="24"/>
        </w:rPr>
      </w:pPr>
      <w:r w:rsidRPr="00832524">
        <w:rPr>
          <w:rFonts w:ascii="Arial" w:hAnsi="Arial" w:cs="Arial"/>
          <w:sz w:val="24"/>
          <w:szCs w:val="24"/>
        </w:rPr>
        <w:t>LexisPSL Dispute, ‘Resolution Precedents, Defendant’s response to a letter of claim’ (</w:t>
      </w:r>
      <w:bookmarkStart w:id="0" w:name="_Hlk193485601"/>
      <w:r w:rsidRPr="00832524">
        <w:rPr>
          <w:rFonts w:ascii="Arial" w:hAnsi="Arial" w:cs="Arial"/>
          <w:sz w:val="24"/>
          <w:szCs w:val="24"/>
        </w:rPr>
        <w:t>Precedents, LexisNexis)</w:t>
      </w:r>
    </w:p>
    <w:bookmarkEnd w:id="0"/>
    <w:p w14:paraId="4BF95CA9" w14:textId="77777777" w:rsidR="00832524" w:rsidRPr="00832524" w:rsidRDefault="00832524" w:rsidP="0074225D">
      <w:pPr>
        <w:tabs>
          <w:tab w:val="left" w:pos="1140"/>
        </w:tabs>
        <w:spacing w:line="480" w:lineRule="auto"/>
        <w:rPr>
          <w:rFonts w:ascii="Arial" w:hAnsi="Arial" w:cs="Arial"/>
          <w:sz w:val="24"/>
          <w:szCs w:val="24"/>
        </w:rPr>
      </w:pPr>
      <w:r w:rsidRPr="00832524">
        <w:rPr>
          <w:rFonts w:ascii="Arial" w:hAnsi="Arial" w:cs="Arial"/>
          <w:sz w:val="24"/>
          <w:szCs w:val="24"/>
        </w:rPr>
        <w:t xml:space="preserve"> Available at: </w:t>
      </w:r>
    </w:p>
    <w:p w14:paraId="3864A107" w14:textId="77777777" w:rsidR="00832524" w:rsidRPr="00832524" w:rsidRDefault="00832524" w:rsidP="0074225D">
      <w:pPr>
        <w:tabs>
          <w:tab w:val="left" w:pos="1140"/>
        </w:tabs>
        <w:spacing w:line="480" w:lineRule="auto"/>
        <w:rPr>
          <w:rFonts w:ascii="Arial" w:hAnsi="Arial" w:cs="Arial"/>
          <w:sz w:val="24"/>
          <w:szCs w:val="24"/>
        </w:rPr>
      </w:pPr>
      <w:hyperlink r:id="rId16" w:history="1">
        <w:r w:rsidRPr="00832524">
          <w:rPr>
            <w:rStyle w:val="Hyperlink"/>
            <w:rFonts w:ascii="Arial" w:hAnsi="Arial" w:cs="Arial"/>
            <w:sz w:val="24"/>
            <w:szCs w:val="24"/>
          </w:rPr>
          <w:t>https://plus-lexis-com.ezproxy.uwtsd.ac.uk/uk/forms-uk/defendants-response-to-a-letter-of-claim/?crid=8d7ebd23-413b-45f3-85f0-72649a779769&amp;pddocumentnumber=4</w:t>
        </w:r>
      </w:hyperlink>
    </w:p>
    <w:p w14:paraId="07825706" w14:textId="77777777" w:rsidR="00832524" w:rsidRPr="00832524" w:rsidRDefault="00832524" w:rsidP="0074225D">
      <w:pPr>
        <w:tabs>
          <w:tab w:val="left" w:pos="1140"/>
        </w:tabs>
        <w:spacing w:line="480" w:lineRule="auto"/>
        <w:rPr>
          <w:rFonts w:ascii="Arial" w:hAnsi="Arial" w:cs="Arial"/>
          <w:sz w:val="24"/>
          <w:szCs w:val="24"/>
        </w:rPr>
      </w:pPr>
      <w:r w:rsidRPr="00832524">
        <w:rPr>
          <w:rFonts w:ascii="Arial" w:hAnsi="Arial" w:cs="Arial"/>
          <w:sz w:val="24"/>
          <w:szCs w:val="24"/>
        </w:rPr>
        <w:t>Accessed: 08/03/2025</w:t>
      </w:r>
    </w:p>
    <w:p w14:paraId="7E19EBF4" w14:textId="77777777" w:rsidR="00B129F6" w:rsidRPr="0074225D" w:rsidRDefault="00B129F6" w:rsidP="0074225D">
      <w:pPr>
        <w:tabs>
          <w:tab w:val="left" w:pos="1140"/>
        </w:tabs>
        <w:spacing w:line="480" w:lineRule="auto"/>
        <w:rPr>
          <w:rFonts w:ascii="Arial" w:hAnsi="Arial" w:cs="Arial"/>
          <w:sz w:val="24"/>
          <w:szCs w:val="24"/>
        </w:rPr>
      </w:pPr>
    </w:p>
    <w:p w14:paraId="2D099194" w14:textId="77777777" w:rsidR="00AA23EB" w:rsidRPr="00AA23EB" w:rsidRDefault="00AA23EB" w:rsidP="0074225D">
      <w:pPr>
        <w:tabs>
          <w:tab w:val="left" w:pos="1140"/>
        </w:tabs>
        <w:spacing w:line="480" w:lineRule="auto"/>
        <w:rPr>
          <w:rFonts w:ascii="Arial" w:hAnsi="Arial" w:cs="Arial"/>
          <w:sz w:val="24"/>
          <w:szCs w:val="24"/>
        </w:rPr>
      </w:pPr>
      <w:r w:rsidRPr="00AA23EB">
        <w:rPr>
          <w:rFonts w:ascii="Arial" w:hAnsi="Arial" w:cs="Arial"/>
          <w:sz w:val="24"/>
          <w:szCs w:val="24"/>
        </w:rPr>
        <w:t>LexisPSL Personal Injury Precedents, ‘Detailed letter of instruction to a personal injury medical expert’ (Precedents, LexisNexis)</w:t>
      </w:r>
    </w:p>
    <w:p w14:paraId="632297C1" w14:textId="77777777" w:rsidR="00AA23EB" w:rsidRPr="00AA23EB" w:rsidRDefault="00AA23EB" w:rsidP="0074225D">
      <w:pPr>
        <w:tabs>
          <w:tab w:val="left" w:pos="1140"/>
        </w:tabs>
        <w:spacing w:line="480" w:lineRule="auto"/>
        <w:rPr>
          <w:rFonts w:ascii="Arial" w:hAnsi="Arial" w:cs="Arial"/>
          <w:sz w:val="24"/>
          <w:szCs w:val="24"/>
        </w:rPr>
      </w:pPr>
      <w:r w:rsidRPr="00AA23EB">
        <w:rPr>
          <w:rFonts w:ascii="Arial" w:hAnsi="Arial" w:cs="Arial"/>
          <w:sz w:val="24"/>
          <w:szCs w:val="24"/>
        </w:rPr>
        <w:t>Available at:</w:t>
      </w:r>
    </w:p>
    <w:p w14:paraId="4124C1C5" w14:textId="77777777" w:rsidR="00AA23EB" w:rsidRPr="00AA23EB" w:rsidRDefault="00AA23EB" w:rsidP="0074225D">
      <w:pPr>
        <w:tabs>
          <w:tab w:val="left" w:pos="1140"/>
        </w:tabs>
        <w:spacing w:line="480" w:lineRule="auto"/>
        <w:rPr>
          <w:rFonts w:ascii="Arial" w:hAnsi="Arial" w:cs="Arial"/>
          <w:sz w:val="24"/>
          <w:szCs w:val="24"/>
        </w:rPr>
      </w:pPr>
      <w:hyperlink r:id="rId17" w:history="1">
        <w:r w:rsidRPr="00AA23EB">
          <w:rPr>
            <w:rStyle w:val="Hyperlink"/>
            <w:rFonts w:ascii="Arial" w:hAnsi="Arial" w:cs="Arial"/>
            <w:sz w:val="24"/>
            <w:szCs w:val="24"/>
          </w:rPr>
          <w:t>https://plus-lexis-com.ezproxy.uwtsd.ac.uk/</w:t>
        </w:r>
        <w:r w:rsidRPr="00AA23EB">
          <w:rPr>
            <w:rStyle w:val="Hyperlink"/>
            <w:rFonts w:ascii="Arial" w:hAnsi="Arial" w:cs="Arial"/>
            <w:sz w:val="24"/>
            <w:szCs w:val="24"/>
          </w:rPr>
          <w:t>u</w:t>
        </w:r>
        <w:r w:rsidRPr="00AA23EB">
          <w:rPr>
            <w:rStyle w:val="Hyperlink"/>
            <w:rFonts w:ascii="Arial" w:hAnsi="Arial" w:cs="Arial"/>
            <w:sz w:val="24"/>
            <w:szCs w:val="24"/>
          </w:rPr>
          <w:t>k/document/?pdmfid=1001073&amp;crid=e405c025-8919-4ff8-8647-14a8dfd748a4&amp;pddocfullpath=%2Fshared%2Fdocument%2Fforms-</w:t>
        </w:r>
        <w:r w:rsidRPr="00AA23EB">
          <w:rPr>
            <w:rStyle w:val="Hyperlink"/>
            <w:rFonts w:ascii="Arial" w:hAnsi="Arial" w:cs="Arial"/>
            <w:sz w:val="24"/>
            <w:szCs w:val="24"/>
          </w:rPr>
          <w:lastRenderedPageBreak/>
          <w:t>uk%2Furn:contentItem:5JYW-B7W1-F189-D0J9-00000-00&amp;pdcontentcomponentid=393738&amp;pdteaserkey=&amp;pdislpamode=false&amp;pddocumentnumber=1&amp;ecomp=5t5k&amp;earg=sr0&amp;prid=aec348d5-8a13-419a-8638-9f3f4a982789</w:t>
        </w:r>
      </w:hyperlink>
    </w:p>
    <w:p w14:paraId="3A2A89AB" w14:textId="77777777" w:rsidR="00AA23EB" w:rsidRPr="0074225D" w:rsidRDefault="00AA23EB" w:rsidP="0074225D">
      <w:pPr>
        <w:tabs>
          <w:tab w:val="left" w:pos="1140"/>
        </w:tabs>
        <w:spacing w:line="480" w:lineRule="auto"/>
        <w:rPr>
          <w:rFonts w:ascii="Arial" w:hAnsi="Arial" w:cs="Arial"/>
          <w:sz w:val="24"/>
          <w:szCs w:val="24"/>
        </w:rPr>
      </w:pPr>
      <w:r w:rsidRPr="00AA23EB">
        <w:rPr>
          <w:rFonts w:ascii="Arial" w:hAnsi="Arial" w:cs="Arial"/>
          <w:sz w:val="24"/>
          <w:szCs w:val="24"/>
        </w:rPr>
        <w:t>Accessed:08/03/2025</w:t>
      </w:r>
    </w:p>
    <w:p w14:paraId="4CFE4C95" w14:textId="77777777" w:rsidR="00C03F8B" w:rsidRPr="0074225D" w:rsidRDefault="00C03F8B" w:rsidP="0074225D">
      <w:pPr>
        <w:tabs>
          <w:tab w:val="left" w:pos="1140"/>
        </w:tabs>
        <w:spacing w:line="480" w:lineRule="auto"/>
        <w:rPr>
          <w:rFonts w:ascii="Arial" w:hAnsi="Arial" w:cs="Arial"/>
          <w:sz w:val="24"/>
          <w:szCs w:val="24"/>
        </w:rPr>
      </w:pPr>
    </w:p>
    <w:p w14:paraId="5B2BF8B5" w14:textId="77777777" w:rsidR="00A45C7E" w:rsidRPr="00A45C7E" w:rsidRDefault="00A45C7E" w:rsidP="0074225D">
      <w:pPr>
        <w:tabs>
          <w:tab w:val="left" w:pos="1140"/>
        </w:tabs>
        <w:spacing w:line="480" w:lineRule="auto"/>
        <w:rPr>
          <w:rFonts w:ascii="Arial" w:hAnsi="Arial" w:cs="Arial"/>
          <w:sz w:val="24"/>
          <w:szCs w:val="24"/>
        </w:rPr>
      </w:pPr>
      <w:r w:rsidRPr="00A45C7E">
        <w:rPr>
          <w:rFonts w:ascii="Arial" w:hAnsi="Arial" w:cs="Arial"/>
          <w:sz w:val="24"/>
          <w:szCs w:val="24"/>
        </w:rPr>
        <w:t>Ministry Of Justice (2022) PRACTICE DIRECTION – PRE-ACTION CONDUCT AND PROTOCOLS, Available at:</w:t>
      </w:r>
    </w:p>
    <w:p w14:paraId="40F12ED1" w14:textId="77777777" w:rsidR="00A45C7E" w:rsidRPr="00A45C7E" w:rsidRDefault="00A45C7E" w:rsidP="0074225D">
      <w:pPr>
        <w:tabs>
          <w:tab w:val="left" w:pos="1140"/>
        </w:tabs>
        <w:spacing w:line="480" w:lineRule="auto"/>
        <w:rPr>
          <w:rFonts w:ascii="Arial" w:hAnsi="Arial" w:cs="Arial"/>
          <w:sz w:val="24"/>
          <w:szCs w:val="24"/>
        </w:rPr>
      </w:pPr>
      <w:hyperlink r:id="rId18" w:history="1">
        <w:r w:rsidRPr="00A45C7E">
          <w:rPr>
            <w:rStyle w:val="Hyperlink"/>
            <w:rFonts w:ascii="Arial" w:hAnsi="Arial" w:cs="Arial"/>
            <w:sz w:val="24"/>
            <w:szCs w:val="24"/>
          </w:rPr>
          <w:t>https://www.justice.gov.uk/courts/procedure-rules/civil/rules/pd_pre-action_conduct</w:t>
        </w:r>
      </w:hyperlink>
    </w:p>
    <w:p w14:paraId="7F9DD373" w14:textId="77777777" w:rsidR="00A45C7E" w:rsidRPr="00A45C7E" w:rsidRDefault="00A45C7E" w:rsidP="0074225D">
      <w:pPr>
        <w:tabs>
          <w:tab w:val="left" w:pos="1140"/>
        </w:tabs>
        <w:spacing w:line="480" w:lineRule="auto"/>
        <w:rPr>
          <w:rFonts w:ascii="Arial" w:hAnsi="Arial" w:cs="Arial"/>
          <w:sz w:val="24"/>
          <w:szCs w:val="24"/>
        </w:rPr>
      </w:pPr>
      <w:r w:rsidRPr="00A45C7E">
        <w:rPr>
          <w:rFonts w:ascii="Arial" w:hAnsi="Arial" w:cs="Arial"/>
          <w:sz w:val="24"/>
          <w:szCs w:val="24"/>
        </w:rPr>
        <w:t>Accessed:07/03/2025</w:t>
      </w:r>
    </w:p>
    <w:p w14:paraId="14A98990" w14:textId="77777777" w:rsidR="00C03F8B" w:rsidRPr="00AA23EB" w:rsidRDefault="00C03F8B" w:rsidP="0074225D">
      <w:pPr>
        <w:tabs>
          <w:tab w:val="left" w:pos="1140"/>
        </w:tabs>
        <w:spacing w:line="480" w:lineRule="auto"/>
        <w:rPr>
          <w:rFonts w:ascii="Arial" w:hAnsi="Arial" w:cs="Arial"/>
          <w:sz w:val="24"/>
          <w:szCs w:val="24"/>
        </w:rPr>
      </w:pPr>
    </w:p>
    <w:p w14:paraId="380D3E07" w14:textId="77777777" w:rsidR="007D2B52" w:rsidRPr="007D2B52" w:rsidRDefault="007D2B52" w:rsidP="0074225D">
      <w:pPr>
        <w:tabs>
          <w:tab w:val="left" w:pos="1140"/>
        </w:tabs>
        <w:spacing w:line="480" w:lineRule="auto"/>
        <w:rPr>
          <w:rFonts w:ascii="Arial" w:hAnsi="Arial" w:cs="Arial"/>
          <w:sz w:val="24"/>
          <w:szCs w:val="24"/>
        </w:rPr>
      </w:pPr>
      <w:r w:rsidRPr="007D2B52">
        <w:rPr>
          <w:rFonts w:ascii="Arial" w:hAnsi="Arial" w:cs="Arial"/>
          <w:sz w:val="24"/>
          <w:szCs w:val="24"/>
        </w:rPr>
        <w:t xml:space="preserve">Ministry of Justice (2024) Pre-Action Protocol for Personal Injury Claims </w:t>
      </w:r>
    </w:p>
    <w:p w14:paraId="6F117153" w14:textId="77777777" w:rsidR="007D2B52" w:rsidRPr="007D2B52" w:rsidRDefault="007D2B52" w:rsidP="0074225D">
      <w:pPr>
        <w:tabs>
          <w:tab w:val="left" w:pos="1140"/>
        </w:tabs>
        <w:spacing w:line="480" w:lineRule="auto"/>
        <w:rPr>
          <w:rFonts w:ascii="Arial" w:hAnsi="Arial" w:cs="Arial"/>
          <w:sz w:val="24"/>
          <w:szCs w:val="24"/>
        </w:rPr>
      </w:pPr>
      <w:r w:rsidRPr="007D2B52">
        <w:rPr>
          <w:rFonts w:ascii="Arial" w:hAnsi="Arial" w:cs="Arial"/>
          <w:sz w:val="24"/>
          <w:szCs w:val="24"/>
        </w:rPr>
        <w:t>Available at:</w:t>
      </w:r>
    </w:p>
    <w:p w14:paraId="0B3574BE" w14:textId="77777777" w:rsidR="007D2B52" w:rsidRPr="007D2B52" w:rsidRDefault="007D2B52" w:rsidP="0074225D">
      <w:pPr>
        <w:tabs>
          <w:tab w:val="left" w:pos="1140"/>
        </w:tabs>
        <w:spacing w:line="480" w:lineRule="auto"/>
        <w:rPr>
          <w:rFonts w:ascii="Arial" w:hAnsi="Arial" w:cs="Arial"/>
          <w:sz w:val="24"/>
          <w:szCs w:val="24"/>
        </w:rPr>
      </w:pPr>
      <w:hyperlink r:id="rId19" w:anchor="6.1" w:history="1">
        <w:r w:rsidRPr="007D2B52">
          <w:rPr>
            <w:rStyle w:val="Hyperlink"/>
            <w:rFonts w:ascii="Arial" w:hAnsi="Arial" w:cs="Arial"/>
            <w:sz w:val="24"/>
            <w:szCs w:val="24"/>
          </w:rPr>
          <w:t>https://www.justice.gov.uk/courts/procedure-rules/civil/protocol/prot_pic#6.1</w:t>
        </w:r>
      </w:hyperlink>
    </w:p>
    <w:p w14:paraId="1CCC4C9B" w14:textId="77777777" w:rsidR="007D2B52" w:rsidRPr="007D2B52" w:rsidRDefault="007D2B52" w:rsidP="0074225D">
      <w:pPr>
        <w:tabs>
          <w:tab w:val="left" w:pos="1140"/>
        </w:tabs>
        <w:spacing w:line="480" w:lineRule="auto"/>
        <w:rPr>
          <w:rFonts w:ascii="Arial" w:hAnsi="Arial" w:cs="Arial"/>
          <w:sz w:val="24"/>
          <w:szCs w:val="24"/>
        </w:rPr>
      </w:pPr>
      <w:r w:rsidRPr="007D2B52">
        <w:rPr>
          <w:rFonts w:ascii="Arial" w:hAnsi="Arial" w:cs="Arial"/>
          <w:sz w:val="24"/>
          <w:szCs w:val="24"/>
        </w:rPr>
        <w:t>Accessed/07/03/2025</w:t>
      </w:r>
    </w:p>
    <w:p w14:paraId="24F7A2EF" w14:textId="77777777" w:rsidR="00832524" w:rsidRPr="0074225D" w:rsidRDefault="00832524" w:rsidP="0074225D">
      <w:pPr>
        <w:tabs>
          <w:tab w:val="left" w:pos="1140"/>
        </w:tabs>
        <w:spacing w:line="480" w:lineRule="auto"/>
        <w:rPr>
          <w:rFonts w:ascii="Arial" w:hAnsi="Arial" w:cs="Arial"/>
          <w:sz w:val="24"/>
          <w:szCs w:val="24"/>
        </w:rPr>
      </w:pPr>
    </w:p>
    <w:p w14:paraId="047F05B4" w14:textId="77777777" w:rsidR="00D04B95" w:rsidRPr="00D04B95" w:rsidRDefault="00D04B95" w:rsidP="0074225D">
      <w:pPr>
        <w:tabs>
          <w:tab w:val="left" w:pos="1140"/>
        </w:tabs>
        <w:spacing w:line="480" w:lineRule="auto"/>
        <w:rPr>
          <w:rFonts w:ascii="Arial" w:hAnsi="Arial" w:cs="Arial"/>
          <w:sz w:val="24"/>
          <w:szCs w:val="24"/>
        </w:rPr>
      </w:pPr>
      <w:r w:rsidRPr="00D04B95">
        <w:rPr>
          <w:rFonts w:ascii="Arial" w:hAnsi="Arial" w:cs="Arial"/>
          <w:sz w:val="24"/>
          <w:szCs w:val="24"/>
        </w:rPr>
        <w:t>N</w:t>
      </w:r>
      <w:r w:rsidRPr="00D04B95">
        <w:rPr>
          <w:rFonts w:ascii="Arial" w:hAnsi="Arial" w:cs="Arial"/>
          <w:i/>
          <w:iCs/>
          <w:sz w:val="24"/>
          <w:szCs w:val="24"/>
        </w:rPr>
        <w:t xml:space="preserve">orwich Pharmacal Co v Customs &amp; Excise Commissioners </w:t>
      </w:r>
      <w:r w:rsidRPr="00D04B95">
        <w:rPr>
          <w:rFonts w:ascii="Arial" w:hAnsi="Arial" w:cs="Arial"/>
          <w:sz w:val="24"/>
          <w:szCs w:val="24"/>
        </w:rPr>
        <w:t>(1974), appeal court, 133, house of lords.</w:t>
      </w:r>
    </w:p>
    <w:p w14:paraId="180A6C09" w14:textId="77777777" w:rsidR="00D04B95" w:rsidRPr="00D04B95" w:rsidRDefault="00D04B95" w:rsidP="0074225D">
      <w:pPr>
        <w:tabs>
          <w:tab w:val="left" w:pos="1140"/>
        </w:tabs>
        <w:spacing w:line="480" w:lineRule="auto"/>
        <w:rPr>
          <w:rFonts w:ascii="Arial" w:hAnsi="Arial" w:cs="Arial"/>
          <w:sz w:val="24"/>
          <w:szCs w:val="24"/>
        </w:rPr>
      </w:pPr>
      <w:r w:rsidRPr="00D04B95">
        <w:rPr>
          <w:rFonts w:ascii="Arial" w:hAnsi="Arial" w:cs="Arial"/>
          <w:sz w:val="24"/>
          <w:szCs w:val="24"/>
        </w:rPr>
        <w:t>Accessed:08/03/2025</w:t>
      </w:r>
    </w:p>
    <w:p w14:paraId="52414D1A" w14:textId="77777777" w:rsidR="007D2B52" w:rsidRPr="0074225D" w:rsidRDefault="007D2B52" w:rsidP="0074225D">
      <w:pPr>
        <w:tabs>
          <w:tab w:val="left" w:pos="1140"/>
        </w:tabs>
        <w:spacing w:line="480" w:lineRule="auto"/>
        <w:rPr>
          <w:rFonts w:ascii="Arial" w:hAnsi="Arial" w:cs="Arial"/>
          <w:sz w:val="24"/>
          <w:szCs w:val="24"/>
        </w:rPr>
      </w:pPr>
    </w:p>
    <w:p w14:paraId="61343C04" w14:textId="77777777" w:rsidR="006076B8" w:rsidRPr="006076B8" w:rsidRDefault="006076B8" w:rsidP="0074225D">
      <w:pPr>
        <w:tabs>
          <w:tab w:val="left" w:pos="1140"/>
        </w:tabs>
        <w:spacing w:line="480" w:lineRule="auto"/>
        <w:rPr>
          <w:rFonts w:ascii="Arial" w:hAnsi="Arial" w:cs="Arial"/>
          <w:sz w:val="24"/>
          <w:szCs w:val="24"/>
        </w:rPr>
      </w:pPr>
      <w:r w:rsidRPr="006076B8">
        <w:rPr>
          <w:rFonts w:ascii="Arial" w:hAnsi="Arial" w:cs="Arial"/>
          <w:i/>
          <w:iCs/>
          <w:sz w:val="24"/>
          <w:szCs w:val="24"/>
        </w:rPr>
        <w:t>Sarwar v Alam</w:t>
      </w:r>
      <w:r w:rsidRPr="006076B8">
        <w:rPr>
          <w:rFonts w:ascii="Arial" w:hAnsi="Arial" w:cs="Arial"/>
          <w:sz w:val="24"/>
          <w:szCs w:val="24"/>
        </w:rPr>
        <w:t xml:space="preserve"> (2002), Weekly law reports, 125.</w:t>
      </w:r>
    </w:p>
    <w:p w14:paraId="2BEF3CE5" w14:textId="77777777" w:rsidR="006076B8" w:rsidRPr="006076B8" w:rsidRDefault="006076B8" w:rsidP="0074225D">
      <w:pPr>
        <w:tabs>
          <w:tab w:val="left" w:pos="1140"/>
        </w:tabs>
        <w:spacing w:line="480" w:lineRule="auto"/>
        <w:rPr>
          <w:rFonts w:ascii="Arial" w:hAnsi="Arial" w:cs="Arial"/>
          <w:sz w:val="24"/>
          <w:szCs w:val="24"/>
        </w:rPr>
      </w:pPr>
      <w:r w:rsidRPr="006076B8">
        <w:rPr>
          <w:rFonts w:ascii="Arial" w:hAnsi="Arial" w:cs="Arial"/>
          <w:sz w:val="24"/>
          <w:szCs w:val="24"/>
        </w:rPr>
        <w:t>Accessed:07/03/2025</w:t>
      </w:r>
    </w:p>
    <w:p w14:paraId="68935920" w14:textId="77777777" w:rsidR="00D04B95" w:rsidRPr="0074225D" w:rsidRDefault="00D04B95" w:rsidP="0074225D">
      <w:pPr>
        <w:tabs>
          <w:tab w:val="left" w:pos="1140"/>
        </w:tabs>
        <w:spacing w:line="480" w:lineRule="auto"/>
        <w:rPr>
          <w:rFonts w:ascii="Arial" w:hAnsi="Arial" w:cs="Arial"/>
          <w:sz w:val="24"/>
          <w:szCs w:val="24"/>
        </w:rPr>
      </w:pPr>
    </w:p>
    <w:p w14:paraId="3C8BC3E9" w14:textId="77777777" w:rsidR="002A7C92" w:rsidRPr="002A7C92" w:rsidRDefault="002A7C92" w:rsidP="0074225D">
      <w:pPr>
        <w:tabs>
          <w:tab w:val="left" w:pos="1140"/>
        </w:tabs>
        <w:spacing w:line="480" w:lineRule="auto"/>
        <w:rPr>
          <w:rFonts w:ascii="Arial" w:hAnsi="Arial" w:cs="Arial"/>
          <w:sz w:val="24"/>
          <w:szCs w:val="24"/>
        </w:rPr>
      </w:pPr>
      <w:r w:rsidRPr="002A7C92">
        <w:rPr>
          <w:rFonts w:ascii="Arial" w:hAnsi="Arial" w:cs="Arial"/>
          <w:sz w:val="24"/>
          <w:szCs w:val="24"/>
        </w:rPr>
        <w:t>Senior Courts Act 1981, c. 54.</w:t>
      </w:r>
    </w:p>
    <w:p w14:paraId="58E7927E" w14:textId="77777777" w:rsidR="002A7C92" w:rsidRPr="002A7C92" w:rsidRDefault="002A7C92" w:rsidP="0074225D">
      <w:pPr>
        <w:tabs>
          <w:tab w:val="left" w:pos="1140"/>
        </w:tabs>
        <w:spacing w:line="480" w:lineRule="auto"/>
        <w:rPr>
          <w:rFonts w:ascii="Arial" w:hAnsi="Arial" w:cs="Arial"/>
          <w:sz w:val="24"/>
          <w:szCs w:val="24"/>
        </w:rPr>
      </w:pPr>
      <w:r w:rsidRPr="002A7C92">
        <w:rPr>
          <w:rFonts w:ascii="Arial" w:hAnsi="Arial" w:cs="Arial"/>
          <w:sz w:val="24"/>
          <w:szCs w:val="24"/>
        </w:rPr>
        <w:t xml:space="preserve">Available at: </w:t>
      </w:r>
      <w:hyperlink r:id="rId20" w:history="1">
        <w:r w:rsidRPr="002A7C92">
          <w:rPr>
            <w:rStyle w:val="Hyperlink"/>
            <w:rFonts w:ascii="Arial" w:hAnsi="Arial" w:cs="Arial"/>
            <w:sz w:val="24"/>
            <w:szCs w:val="24"/>
          </w:rPr>
          <w:t>https://www.legislation.gov.uk/ukpga/1981/54/contents</w:t>
        </w:r>
      </w:hyperlink>
    </w:p>
    <w:p w14:paraId="46EBC53D" w14:textId="77777777" w:rsidR="002A7C92" w:rsidRPr="002A7C92" w:rsidRDefault="002A7C92" w:rsidP="0074225D">
      <w:pPr>
        <w:tabs>
          <w:tab w:val="left" w:pos="1140"/>
        </w:tabs>
        <w:spacing w:line="480" w:lineRule="auto"/>
        <w:rPr>
          <w:rFonts w:ascii="Arial" w:hAnsi="Arial" w:cs="Arial"/>
          <w:sz w:val="24"/>
          <w:szCs w:val="24"/>
        </w:rPr>
      </w:pPr>
      <w:r w:rsidRPr="002A7C92">
        <w:rPr>
          <w:rFonts w:ascii="Arial" w:hAnsi="Arial" w:cs="Arial"/>
          <w:sz w:val="24"/>
          <w:szCs w:val="24"/>
        </w:rPr>
        <w:t>Accessed:08/03/2025</w:t>
      </w:r>
    </w:p>
    <w:p w14:paraId="777B312B" w14:textId="77777777" w:rsidR="006076B8" w:rsidRPr="0074225D" w:rsidRDefault="006076B8" w:rsidP="0074225D">
      <w:pPr>
        <w:tabs>
          <w:tab w:val="left" w:pos="1140"/>
        </w:tabs>
        <w:spacing w:line="480" w:lineRule="auto"/>
        <w:rPr>
          <w:rFonts w:ascii="Arial" w:hAnsi="Arial" w:cs="Arial"/>
          <w:sz w:val="24"/>
          <w:szCs w:val="24"/>
        </w:rPr>
      </w:pPr>
    </w:p>
    <w:p w14:paraId="61A101C4" w14:textId="77777777" w:rsidR="0074225D" w:rsidRPr="0074225D" w:rsidRDefault="0074225D" w:rsidP="0074225D">
      <w:pPr>
        <w:tabs>
          <w:tab w:val="left" w:pos="1140"/>
        </w:tabs>
        <w:spacing w:line="480" w:lineRule="auto"/>
        <w:rPr>
          <w:rFonts w:ascii="Arial" w:hAnsi="Arial" w:cs="Arial"/>
          <w:sz w:val="24"/>
          <w:szCs w:val="24"/>
        </w:rPr>
      </w:pPr>
      <w:r w:rsidRPr="0074225D">
        <w:rPr>
          <w:rFonts w:ascii="Arial" w:hAnsi="Arial" w:cs="Arial"/>
          <w:i/>
          <w:iCs/>
          <w:sz w:val="24"/>
          <w:szCs w:val="24"/>
        </w:rPr>
        <w:t xml:space="preserve">Smith v Secretary of State for Energy and Climate Change </w:t>
      </w:r>
      <w:r w:rsidRPr="0074225D">
        <w:rPr>
          <w:rFonts w:ascii="Arial" w:hAnsi="Arial" w:cs="Arial"/>
          <w:sz w:val="24"/>
          <w:szCs w:val="24"/>
        </w:rPr>
        <w:t xml:space="preserve">(1956) England and Wales High Court, Queens Bench Division, 1956. </w:t>
      </w:r>
    </w:p>
    <w:p w14:paraId="78CD9BF5" w14:textId="77777777" w:rsidR="0074225D" w:rsidRPr="0074225D" w:rsidRDefault="0074225D" w:rsidP="0074225D">
      <w:pPr>
        <w:tabs>
          <w:tab w:val="left" w:pos="1140"/>
        </w:tabs>
        <w:spacing w:line="480" w:lineRule="auto"/>
        <w:rPr>
          <w:rFonts w:ascii="Arial" w:hAnsi="Arial" w:cs="Arial"/>
          <w:sz w:val="24"/>
          <w:szCs w:val="24"/>
        </w:rPr>
      </w:pPr>
      <w:r w:rsidRPr="0074225D">
        <w:rPr>
          <w:rFonts w:ascii="Arial" w:hAnsi="Arial" w:cs="Arial"/>
          <w:sz w:val="24"/>
          <w:szCs w:val="24"/>
        </w:rPr>
        <w:t>Accessed: 08/03/2025</w:t>
      </w:r>
    </w:p>
    <w:p w14:paraId="2E2A5B9E" w14:textId="77777777" w:rsidR="002A7C92" w:rsidRPr="00A064A5" w:rsidRDefault="002A7C92" w:rsidP="00A064A5">
      <w:pPr>
        <w:tabs>
          <w:tab w:val="left" w:pos="1140"/>
        </w:tabs>
        <w:rPr>
          <w:rFonts w:ascii="Arial" w:hAnsi="Arial" w:cs="Arial"/>
          <w:sz w:val="24"/>
          <w:szCs w:val="24"/>
        </w:rPr>
      </w:pPr>
    </w:p>
    <w:p w14:paraId="0E1DDECA" w14:textId="77777777" w:rsidR="00770AC0" w:rsidRPr="00770AC0" w:rsidRDefault="00770AC0" w:rsidP="00770AC0">
      <w:pPr>
        <w:tabs>
          <w:tab w:val="left" w:pos="1140"/>
        </w:tabs>
        <w:rPr>
          <w:rFonts w:ascii="Arial" w:hAnsi="Arial" w:cs="Arial"/>
          <w:sz w:val="24"/>
          <w:szCs w:val="24"/>
        </w:rPr>
      </w:pPr>
    </w:p>
    <w:p w14:paraId="6106CF77" w14:textId="77777777" w:rsidR="00B42120" w:rsidRPr="00857A4F" w:rsidRDefault="00B42120" w:rsidP="00857A4F">
      <w:pPr>
        <w:tabs>
          <w:tab w:val="left" w:pos="1140"/>
        </w:tabs>
        <w:rPr>
          <w:rFonts w:ascii="Arial" w:hAnsi="Arial" w:cs="Arial"/>
          <w:sz w:val="24"/>
          <w:szCs w:val="24"/>
        </w:rPr>
      </w:pPr>
    </w:p>
    <w:p w14:paraId="161A1DCD" w14:textId="77777777" w:rsidR="00562988" w:rsidRDefault="00562988" w:rsidP="00562988">
      <w:pPr>
        <w:tabs>
          <w:tab w:val="left" w:pos="1140"/>
        </w:tabs>
        <w:rPr>
          <w:rFonts w:ascii="Arial" w:hAnsi="Arial" w:cs="Arial"/>
          <w:sz w:val="24"/>
          <w:szCs w:val="24"/>
        </w:rPr>
      </w:pPr>
    </w:p>
    <w:p w14:paraId="05ADB794" w14:textId="77777777" w:rsidR="00857A4F" w:rsidRPr="00562988" w:rsidRDefault="00857A4F" w:rsidP="00562988">
      <w:pPr>
        <w:tabs>
          <w:tab w:val="left" w:pos="1140"/>
        </w:tabs>
        <w:rPr>
          <w:rFonts w:ascii="Arial" w:hAnsi="Arial" w:cs="Arial"/>
          <w:sz w:val="24"/>
          <w:szCs w:val="24"/>
        </w:rPr>
      </w:pPr>
    </w:p>
    <w:p w14:paraId="51CDC637" w14:textId="72F91ED5" w:rsidR="00543E82" w:rsidRPr="00543E82" w:rsidRDefault="00543E82" w:rsidP="00543E82">
      <w:pPr>
        <w:tabs>
          <w:tab w:val="left" w:pos="1140"/>
        </w:tabs>
        <w:rPr>
          <w:rFonts w:ascii="Arial" w:hAnsi="Arial" w:cs="Arial"/>
          <w:sz w:val="24"/>
          <w:szCs w:val="24"/>
        </w:rPr>
      </w:pPr>
    </w:p>
    <w:sectPr w:rsidR="00543E82" w:rsidRPr="00543E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7165"/>
    <w:multiLevelType w:val="multilevel"/>
    <w:tmpl w:val="E22AE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DB0282"/>
    <w:multiLevelType w:val="multilevel"/>
    <w:tmpl w:val="E208D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D4044B"/>
    <w:multiLevelType w:val="multilevel"/>
    <w:tmpl w:val="BDBE9F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3F2E93"/>
    <w:multiLevelType w:val="multilevel"/>
    <w:tmpl w:val="0B680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2813437">
    <w:abstractNumId w:val="1"/>
  </w:num>
  <w:num w:numId="2" w16cid:durableId="1205601738">
    <w:abstractNumId w:val="3"/>
  </w:num>
  <w:num w:numId="3" w16cid:durableId="1449548205">
    <w:abstractNumId w:val="0"/>
  </w:num>
  <w:num w:numId="4" w16cid:durableId="1106080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A7A"/>
    <w:rsid w:val="000047BE"/>
    <w:rsid w:val="00004E35"/>
    <w:rsid w:val="00026CD3"/>
    <w:rsid w:val="000310C1"/>
    <w:rsid w:val="00037FB5"/>
    <w:rsid w:val="00041E97"/>
    <w:rsid w:val="000422D7"/>
    <w:rsid w:val="00054315"/>
    <w:rsid w:val="00061E0C"/>
    <w:rsid w:val="0006254A"/>
    <w:rsid w:val="00065F5C"/>
    <w:rsid w:val="00071AA6"/>
    <w:rsid w:val="00075795"/>
    <w:rsid w:val="00085D1D"/>
    <w:rsid w:val="000906B0"/>
    <w:rsid w:val="000A32D4"/>
    <w:rsid w:val="000A3FD1"/>
    <w:rsid w:val="000B1EED"/>
    <w:rsid w:val="000B719C"/>
    <w:rsid w:val="000E0F0B"/>
    <w:rsid w:val="000E3B61"/>
    <w:rsid w:val="00102F9B"/>
    <w:rsid w:val="00107042"/>
    <w:rsid w:val="00115070"/>
    <w:rsid w:val="00117E0B"/>
    <w:rsid w:val="00130A19"/>
    <w:rsid w:val="00131F87"/>
    <w:rsid w:val="001411AB"/>
    <w:rsid w:val="00142EE2"/>
    <w:rsid w:val="001431A9"/>
    <w:rsid w:val="001750CE"/>
    <w:rsid w:val="001775BE"/>
    <w:rsid w:val="001A2C4E"/>
    <w:rsid w:val="001C73DB"/>
    <w:rsid w:val="001D46E9"/>
    <w:rsid w:val="001D58F2"/>
    <w:rsid w:val="001E0DFC"/>
    <w:rsid w:val="001F0F10"/>
    <w:rsid w:val="001F26C6"/>
    <w:rsid w:val="001F2E8F"/>
    <w:rsid w:val="001F3A04"/>
    <w:rsid w:val="00207A75"/>
    <w:rsid w:val="00220528"/>
    <w:rsid w:val="00234C4B"/>
    <w:rsid w:val="00235CDC"/>
    <w:rsid w:val="00241EA1"/>
    <w:rsid w:val="00245B8A"/>
    <w:rsid w:val="00246A93"/>
    <w:rsid w:val="0026274C"/>
    <w:rsid w:val="00262E1F"/>
    <w:rsid w:val="00263863"/>
    <w:rsid w:val="00270249"/>
    <w:rsid w:val="00270E2F"/>
    <w:rsid w:val="002A7C92"/>
    <w:rsid w:val="002B75CE"/>
    <w:rsid w:val="002C33BB"/>
    <w:rsid w:val="002D0DE8"/>
    <w:rsid w:val="002E0201"/>
    <w:rsid w:val="002E0EA7"/>
    <w:rsid w:val="002E4363"/>
    <w:rsid w:val="002E439F"/>
    <w:rsid w:val="002F7E08"/>
    <w:rsid w:val="00304D22"/>
    <w:rsid w:val="00306815"/>
    <w:rsid w:val="00312905"/>
    <w:rsid w:val="00322F4D"/>
    <w:rsid w:val="00326F53"/>
    <w:rsid w:val="003308AB"/>
    <w:rsid w:val="0037666D"/>
    <w:rsid w:val="003813DB"/>
    <w:rsid w:val="003871EA"/>
    <w:rsid w:val="00397658"/>
    <w:rsid w:val="003A1EAF"/>
    <w:rsid w:val="003C0EAF"/>
    <w:rsid w:val="003C3FFD"/>
    <w:rsid w:val="003D3A6A"/>
    <w:rsid w:val="003D3EBD"/>
    <w:rsid w:val="003F6752"/>
    <w:rsid w:val="004035D5"/>
    <w:rsid w:val="0040560B"/>
    <w:rsid w:val="0041570D"/>
    <w:rsid w:val="00420044"/>
    <w:rsid w:val="00421860"/>
    <w:rsid w:val="004445BD"/>
    <w:rsid w:val="00454F35"/>
    <w:rsid w:val="00461AD9"/>
    <w:rsid w:val="00463631"/>
    <w:rsid w:val="00471A59"/>
    <w:rsid w:val="00474767"/>
    <w:rsid w:val="00474ED8"/>
    <w:rsid w:val="00476A66"/>
    <w:rsid w:val="00476CA4"/>
    <w:rsid w:val="004822E8"/>
    <w:rsid w:val="004841CF"/>
    <w:rsid w:val="004933E9"/>
    <w:rsid w:val="004965F9"/>
    <w:rsid w:val="004A5C5A"/>
    <w:rsid w:val="004A6CE0"/>
    <w:rsid w:val="004C6448"/>
    <w:rsid w:val="004D1224"/>
    <w:rsid w:val="004E2C97"/>
    <w:rsid w:val="004E6975"/>
    <w:rsid w:val="004F27D6"/>
    <w:rsid w:val="00500847"/>
    <w:rsid w:val="00504F7C"/>
    <w:rsid w:val="0050625D"/>
    <w:rsid w:val="0051089C"/>
    <w:rsid w:val="00514E48"/>
    <w:rsid w:val="005364CD"/>
    <w:rsid w:val="00543E82"/>
    <w:rsid w:val="005474DF"/>
    <w:rsid w:val="0055146B"/>
    <w:rsid w:val="005540AE"/>
    <w:rsid w:val="005577BC"/>
    <w:rsid w:val="00560989"/>
    <w:rsid w:val="00560C1B"/>
    <w:rsid w:val="005624AE"/>
    <w:rsid w:val="00562988"/>
    <w:rsid w:val="00566551"/>
    <w:rsid w:val="0056716A"/>
    <w:rsid w:val="00570829"/>
    <w:rsid w:val="00570DF2"/>
    <w:rsid w:val="00570EAD"/>
    <w:rsid w:val="00590EE3"/>
    <w:rsid w:val="005A1E40"/>
    <w:rsid w:val="005B28AF"/>
    <w:rsid w:val="005B7010"/>
    <w:rsid w:val="005F1F4F"/>
    <w:rsid w:val="006076B8"/>
    <w:rsid w:val="006142EA"/>
    <w:rsid w:val="00624025"/>
    <w:rsid w:val="0062589F"/>
    <w:rsid w:val="006259E1"/>
    <w:rsid w:val="00631F1A"/>
    <w:rsid w:val="00635A0B"/>
    <w:rsid w:val="00636632"/>
    <w:rsid w:val="00640114"/>
    <w:rsid w:val="00640576"/>
    <w:rsid w:val="00646942"/>
    <w:rsid w:val="00652F9F"/>
    <w:rsid w:val="00657198"/>
    <w:rsid w:val="00664349"/>
    <w:rsid w:val="00673716"/>
    <w:rsid w:val="006750BA"/>
    <w:rsid w:val="006753C4"/>
    <w:rsid w:val="0067704D"/>
    <w:rsid w:val="006801A3"/>
    <w:rsid w:val="00684447"/>
    <w:rsid w:val="00692992"/>
    <w:rsid w:val="006B63C3"/>
    <w:rsid w:val="006C5CB3"/>
    <w:rsid w:val="006D4187"/>
    <w:rsid w:val="006E2A21"/>
    <w:rsid w:val="006E3907"/>
    <w:rsid w:val="00700534"/>
    <w:rsid w:val="00711A31"/>
    <w:rsid w:val="00711CE5"/>
    <w:rsid w:val="00723F29"/>
    <w:rsid w:val="007253C3"/>
    <w:rsid w:val="00731151"/>
    <w:rsid w:val="00736DFD"/>
    <w:rsid w:val="00737D8E"/>
    <w:rsid w:val="00740824"/>
    <w:rsid w:val="0074225D"/>
    <w:rsid w:val="007521D1"/>
    <w:rsid w:val="00770AC0"/>
    <w:rsid w:val="00773531"/>
    <w:rsid w:val="00774E9D"/>
    <w:rsid w:val="00785365"/>
    <w:rsid w:val="007921D6"/>
    <w:rsid w:val="007B749D"/>
    <w:rsid w:val="007D2B52"/>
    <w:rsid w:val="007F5953"/>
    <w:rsid w:val="008018F9"/>
    <w:rsid w:val="00807430"/>
    <w:rsid w:val="00810ED9"/>
    <w:rsid w:val="00824DB9"/>
    <w:rsid w:val="00832524"/>
    <w:rsid w:val="00845D6E"/>
    <w:rsid w:val="00850C15"/>
    <w:rsid w:val="008530D5"/>
    <w:rsid w:val="00857A4F"/>
    <w:rsid w:val="008659AE"/>
    <w:rsid w:val="00876379"/>
    <w:rsid w:val="00892A82"/>
    <w:rsid w:val="008956A6"/>
    <w:rsid w:val="008959BA"/>
    <w:rsid w:val="008C4A7A"/>
    <w:rsid w:val="008D394A"/>
    <w:rsid w:val="008E0729"/>
    <w:rsid w:val="008E24B2"/>
    <w:rsid w:val="008E5473"/>
    <w:rsid w:val="00900600"/>
    <w:rsid w:val="0090138B"/>
    <w:rsid w:val="009152C7"/>
    <w:rsid w:val="00920517"/>
    <w:rsid w:val="0092490A"/>
    <w:rsid w:val="00933543"/>
    <w:rsid w:val="00935326"/>
    <w:rsid w:val="00937834"/>
    <w:rsid w:val="0095174D"/>
    <w:rsid w:val="00953590"/>
    <w:rsid w:val="00955C2B"/>
    <w:rsid w:val="00956A73"/>
    <w:rsid w:val="00981263"/>
    <w:rsid w:val="009940B4"/>
    <w:rsid w:val="009A2B65"/>
    <w:rsid w:val="009B1F83"/>
    <w:rsid w:val="009B2BE3"/>
    <w:rsid w:val="009B6D89"/>
    <w:rsid w:val="009C336C"/>
    <w:rsid w:val="009D0C25"/>
    <w:rsid w:val="009D0F77"/>
    <w:rsid w:val="009D1A7A"/>
    <w:rsid w:val="009D39F3"/>
    <w:rsid w:val="009D7AA9"/>
    <w:rsid w:val="009E2782"/>
    <w:rsid w:val="009F0AF8"/>
    <w:rsid w:val="009F1246"/>
    <w:rsid w:val="009F2C90"/>
    <w:rsid w:val="009F3F68"/>
    <w:rsid w:val="009F7AE0"/>
    <w:rsid w:val="00A064A5"/>
    <w:rsid w:val="00A072F7"/>
    <w:rsid w:val="00A118E0"/>
    <w:rsid w:val="00A139FD"/>
    <w:rsid w:val="00A14966"/>
    <w:rsid w:val="00A170ED"/>
    <w:rsid w:val="00A45C7E"/>
    <w:rsid w:val="00A51749"/>
    <w:rsid w:val="00A5378B"/>
    <w:rsid w:val="00A53B5A"/>
    <w:rsid w:val="00A57AEA"/>
    <w:rsid w:val="00A7678F"/>
    <w:rsid w:val="00A85BC0"/>
    <w:rsid w:val="00AA0692"/>
    <w:rsid w:val="00AA23EB"/>
    <w:rsid w:val="00AB7EC7"/>
    <w:rsid w:val="00AC26D2"/>
    <w:rsid w:val="00AC58B6"/>
    <w:rsid w:val="00AD2934"/>
    <w:rsid w:val="00AD5701"/>
    <w:rsid w:val="00B02F36"/>
    <w:rsid w:val="00B1238F"/>
    <w:rsid w:val="00B129F6"/>
    <w:rsid w:val="00B241B8"/>
    <w:rsid w:val="00B3180D"/>
    <w:rsid w:val="00B31AC0"/>
    <w:rsid w:val="00B346FC"/>
    <w:rsid w:val="00B4071F"/>
    <w:rsid w:val="00B41150"/>
    <w:rsid w:val="00B42120"/>
    <w:rsid w:val="00B446AE"/>
    <w:rsid w:val="00B452FD"/>
    <w:rsid w:val="00B54CB2"/>
    <w:rsid w:val="00B76BD7"/>
    <w:rsid w:val="00B77B38"/>
    <w:rsid w:val="00B81FDA"/>
    <w:rsid w:val="00B83CF0"/>
    <w:rsid w:val="00B87878"/>
    <w:rsid w:val="00B90280"/>
    <w:rsid w:val="00B927FE"/>
    <w:rsid w:val="00BD44C6"/>
    <w:rsid w:val="00BE05E5"/>
    <w:rsid w:val="00BE66E5"/>
    <w:rsid w:val="00BF67C1"/>
    <w:rsid w:val="00C01B81"/>
    <w:rsid w:val="00C03F8B"/>
    <w:rsid w:val="00C053F1"/>
    <w:rsid w:val="00C147B2"/>
    <w:rsid w:val="00C2251B"/>
    <w:rsid w:val="00C243B5"/>
    <w:rsid w:val="00C35512"/>
    <w:rsid w:val="00C6232A"/>
    <w:rsid w:val="00C85B5C"/>
    <w:rsid w:val="00C87236"/>
    <w:rsid w:val="00CA4E16"/>
    <w:rsid w:val="00CD19D7"/>
    <w:rsid w:val="00CE7909"/>
    <w:rsid w:val="00D021B4"/>
    <w:rsid w:val="00D03160"/>
    <w:rsid w:val="00D04B95"/>
    <w:rsid w:val="00D12F73"/>
    <w:rsid w:val="00D1552E"/>
    <w:rsid w:val="00D25A7F"/>
    <w:rsid w:val="00D45538"/>
    <w:rsid w:val="00D550B7"/>
    <w:rsid w:val="00D562EC"/>
    <w:rsid w:val="00D67878"/>
    <w:rsid w:val="00D7553E"/>
    <w:rsid w:val="00D8166E"/>
    <w:rsid w:val="00D87EBB"/>
    <w:rsid w:val="00D9134E"/>
    <w:rsid w:val="00D93C4C"/>
    <w:rsid w:val="00D945DD"/>
    <w:rsid w:val="00DA680E"/>
    <w:rsid w:val="00DA6FB9"/>
    <w:rsid w:val="00DC0412"/>
    <w:rsid w:val="00DC1D36"/>
    <w:rsid w:val="00DD1552"/>
    <w:rsid w:val="00DD6EFC"/>
    <w:rsid w:val="00DE2E7A"/>
    <w:rsid w:val="00E03BB2"/>
    <w:rsid w:val="00E11745"/>
    <w:rsid w:val="00E168DE"/>
    <w:rsid w:val="00E30B54"/>
    <w:rsid w:val="00E310D7"/>
    <w:rsid w:val="00E31A02"/>
    <w:rsid w:val="00E4273F"/>
    <w:rsid w:val="00E42B37"/>
    <w:rsid w:val="00E54F69"/>
    <w:rsid w:val="00E66556"/>
    <w:rsid w:val="00E66B5A"/>
    <w:rsid w:val="00E67931"/>
    <w:rsid w:val="00E7473F"/>
    <w:rsid w:val="00EA3731"/>
    <w:rsid w:val="00EA4064"/>
    <w:rsid w:val="00EB4693"/>
    <w:rsid w:val="00EC44A8"/>
    <w:rsid w:val="00EE7FAF"/>
    <w:rsid w:val="00EF2F11"/>
    <w:rsid w:val="00EF4F7A"/>
    <w:rsid w:val="00EF6052"/>
    <w:rsid w:val="00F0005C"/>
    <w:rsid w:val="00F035F3"/>
    <w:rsid w:val="00F06FD2"/>
    <w:rsid w:val="00F11980"/>
    <w:rsid w:val="00F141AF"/>
    <w:rsid w:val="00F32078"/>
    <w:rsid w:val="00F358FB"/>
    <w:rsid w:val="00F41DE5"/>
    <w:rsid w:val="00F62B7B"/>
    <w:rsid w:val="00F72BCD"/>
    <w:rsid w:val="00F77616"/>
    <w:rsid w:val="00F960BD"/>
    <w:rsid w:val="00FA28CE"/>
    <w:rsid w:val="00FC4544"/>
    <w:rsid w:val="00FD3123"/>
    <w:rsid w:val="00FE6AC3"/>
    <w:rsid w:val="00FE7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1CCD75"/>
  <w15:chartTrackingRefBased/>
  <w15:docId w15:val="{9CCCCD14-93BF-4F26-A532-C77BD9754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4A7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4A7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4A7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4A7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4A7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4A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4A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4A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4A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A7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C4A7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4A7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4A7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C4A7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C4A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4A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4A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4A7A"/>
    <w:rPr>
      <w:rFonts w:eastAsiaTheme="majorEastAsia" w:cstheme="majorBidi"/>
      <w:color w:val="272727" w:themeColor="text1" w:themeTint="D8"/>
    </w:rPr>
  </w:style>
  <w:style w:type="paragraph" w:styleId="Title">
    <w:name w:val="Title"/>
    <w:basedOn w:val="Normal"/>
    <w:next w:val="Normal"/>
    <w:link w:val="TitleChar"/>
    <w:uiPriority w:val="10"/>
    <w:qFormat/>
    <w:rsid w:val="008C4A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A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4A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4A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4A7A"/>
    <w:pPr>
      <w:spacing w:before="160"/>
      <w:jc w:val="center"/>
    </w:pPr>
    <w:rPr>
      <w:i/>
      <w:iCs/>
      <w:color w:val="404040" w:themeColor="text1" w:themeTint="BF"/>
    </w:rPr>
  </w:style>
  <w:style w:type="character" w:customStyle="1" w:styleId="QuoteChar">
    <w:name w:val="Quote Char"/>
    <w:basedOn w:val="DefaultParagraphFont"/>
    <w:link w:val="Quote"/>
    <w:uiPriority w:val="29"/>
    <w:rsid w:val="008C4A7A"/>
    <w:rPr>
      <w:i/>
      <w:iCs/>
      <w:color w:val="404040" w:themeColor="text1" w:themeTint="BF"/>
    </w:rPr>
  </w:style>
  <w:style w:type="paragraph" w:styleId="ListParagraph">
    <w:name w:val="List Paragraph"/>
    <w:basedOn w:val="Normal"/>
    <w:uiPriority w:val="34"/>
    <w:qFormat/>
    <w:rsid w:val="008C4A7A"/>
    <w:pPr>
      <w:ind w:left="720"/>
      <w:contextualSpacing/>
    </w:pPr>
  </w:style>
  <w:style w:type="character" w:styleId="IntenseEmphasis">
    <w:name w:val="Intense Emphasis"/>
    <w:basedOn w:val="DefaultParagraphFont"/>
    <w:uiPriority w:val="21"/>
    <w:qFormat/>
    <w:rsid w:val="008C4A7A"/>
    <w:rPr>
      <w:i/>
      <w:iCs/>
      <w:color w:val="2F5496" w:themeColor="accent1" w:themeShade="BF"/>
    </w:rPr>
  </w:style>
  <w:style w:type="paragraph" w:styleId="IntenseQuote">
    <w:name w:val="Intense Quote"/>
    <w:basedOn w:val="Normal"/>
    <w:next w:val="Normal"/>
    <w:link w:val="IntenseQuoteChar"/>
    <w:uiPriority w:val="30"/>
    <w:qFormat/>
    <w:rsid w:val="008C4A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4A7A"/>
    <w:rPr>
      <w:i/>
      <w:iCs/>
      <w:color w:val="2F5496" w:themeColor="accent1" w:themeShade="BF"/>
    </w:rPr>
  </w:style>
  <w:style w:type="character" w:styleId="IntenseReference">
    <w:name w:val="Intense Reference"/>
    <w:basedOn w:val="DefaultParagraphFont"/>
    <w:uiPriority w:val="32"/>
    <w:qFormat/>
    <w:rsid w:val="008C4A7A"/>
    <w:rPr>
      <w:b/>
      <w:bCs/>
      <w:smallCaps/>
      <w:color w:val="2F5496" w:themeColor="accent1" w:themeShade="BF"/>
      <w:spacing w:val="5"/>
    </w:rPr>
  </w:style>
  <w:style w:type="character" w:styleId="Hyperlink">
    <w:name w:val="Hyperlink"/>
    <w:basedOn w:val="DefaultParagraphFont"/>
    <w:uiPriority w:val="99"/>
    <w:unhideWhenUsed/>
    <w:rsid w:val="00562988"/>
    <w:rPr>
      <w:color w:val="0563C1" w:themeColor="hyperlink"/>
      <w:u w:val="single"/>
    </w:rPr>
  </w:style>
  <w:style w:type="character" w:styleId="UnresolvedMention">
    <w:name w:val="Unresolved Mention"/>
    <w:basedOn w:val="DefaultParagraphFont"/>
    <w:uiPriority w:val="99"/>
    <w:semiHidden/>
    <w:unhideWhenUsed/>
    <w:rsid w:val="00562988"/>
    <w:rPr>
      <w:color w:val="605E5C"/>
      <w:shd w:val="clear" w:color="auto" w:fill="E1DFDD"/>
    </w:rPr>
  </w:style>
  <w:style w:type="character" w:styleId="FollowedHyperlink">
    <w:name w:val="FollowedHyperlink"/>
    <w:basedOn w:val="DefaultParagraphFont"/>
    <w:uiPriority w:val="99"/>
    <w:semiHidden/>
    <w:unhideWhenUsed/>
    <w:rsid w:val="00AA23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435714">
      <w:bodyDiv w:val="1"/>
      <w:marLeft w:val="0"/>
      <w:marRight w:val="0"/>
      <w:marTop w:val="0"/>
      <w:marBottom w:val="0"/>
      <w:divBdr>
        <w:top w:val="none" w:sz="0" w:space="0" w:color="auto"/>
        <w:left w:val="none" w:sz="0" w:space="0" w:color="auto"/>
        <w:bottom w:val="none" w:sz="0" w:space="0" w:color="auto"/>
        <w:right w:val="none" w:sz="0" w:space="0" w:color="auto"/>
      </w:divBdr>
    </w:div>
    <w:div w:id="166987488">
      <w:bodyDiv w:val="1"/>
      <w:marLeft w:val="0"/>
      <w:marRight w:val="0"/>
      <w:marTop w:val="0"/>
      <w:marBottom w:val="0"/>
      <w:divBdr>
        <w:top w:val="none" w:sz="0" w:space="0" w:color="auto"/>
        <w:left w:val="none" w:sz="0" w:space="0" w:color="auto"/>
        <w:bottom w:val="none" w:sz="0" w:space="0" w:color="auto"/>
        <w:right w:val="none" w:sz="0" w:space="0" w:color="auto"/>
      </w:divBdr>
    </w:div>
    <w:div w:id="433282203">
      <w:bodyDiv w:val="1"/>
      <w:marLeft w:val="0"/>
      <w:marRight w:val="0"/>
      <w:marTop w:val="0"/>
      <w:marBottom w:val="0"/>
      <w:divBdr>
        <w:top w:val="none" w:sz="0" w:space="0" w:color="auto"/>
        <w:left w:val="none" w:sz="0" w:space="0" w:color="auto"/>
        <w:bottom w:val="none" w:sz="0" w:space="0" w:color="auto"/>
        <w:right w:val="none" w:sz="0" w:space="0" w:color="auto"/>
      </w:divBdr>
    </w:div>
    <w:div w:id="541359806">
      <w:bodyDiv w:val="1"/>
      <w:marLeft w:val="0"/>
      <w:marRight w:val="0"/>
      <w:marTop w:val="0"/>
      <w:marBottom w:val="0"/>
      <w:divBdr>
        <w:top w:val="none" w:sz="0" w:space="0" w:color="auto"/>
        <w:left w:val="none" w:sz="0" w:space="0" w:color="auto"/>
        <w:bottom w:val="none" w:sz="0" w:space="0" w:color="auto"/>
        <w:right w:val="none" w:sz="0" w:space="0" w:color="auto"/>
      </w:divBdr>
    </w:div>
    <w:div w:id="578562955">
      <w:bodyDiv w:val="1"/>
      <w:marLeft w:val="0"/>
      <w:marRight w:val="0"/>
      <w:marTop w:val="0"/>
      <w:marBottom w:val="0"/>
      <w:divBdr>
        <w:top w:val="none" w:sz="0" w:space="0" w:color="auto"/>
        <w:left w:val="none" w:sz="0" w:space="0" w:color="auto"/>
        <w:bottom w:val="none" w:sz="0" w:space="0" w:color="auto"/>
        <w:right w:val="none" w:sz="0" w:space="0" w:color="auto"/>
      </w:divBdr>
    </w:div>
    <w:div w:id="869494490">
      <w:bodyDiv w:val="1"/>
      <w:marLeft w:val="0"/>
      <w:marRight w:val="0"/>
      <w:marTop w:val="0"/>
      <w:marBottom w:val="0"/>
      <w:divBdr>
        <w:top w:val="none" w:sz="0" w:space="0" w:color="auto"/>
        <w:left w:val="none" w:sz="0" w:space="0" w:color="auto"/>
        <w:bottom w:val="none" w:sz="0" w:space="0" w:color="auto"/>
        <w:right w:val="none" w:sz="0" w:space="0" w:color="auto"/>
      </w:divBdr>
    </w:div>
    <w:div w:id="899363668">
      <w:bodyDiv w:val="1"/>
      <w:marLeft w:val="0"/>
      <w:marRight w:val="0"/>
      <w:marTop w:val="0"/>
      <w:marBottom w:val="0"/>
      <w:divBdr>
        <w:top w:val="none" w:sz="0" w:space="0" w:color="auto"/>
        <w:left w:val="none" w:sz="0" w:space="0" w:color="auto"/>
        <w:bottom w:val="none" w:sz="0" w:space="0" w:color="auto"/>
        <w:right w:val="none" w:sz="0" w:space="0" w:color="auto"/>
      </w:divBdr>
    </w:div>
    <w:div w:id="961107969">
      <w:bodyDiv w:val="1"/>
      <w:marLeft w:val="0"/>
      <w:marRight w:val="0"/>
      <w:marTop w:val="0"/>
      <w:marBottom w:val="0"/>
      <w:divBdr>
        <w:top w:val="none" w:sz="0" w:space="0" w:color="auto"/>
        <w:left w:val="none" w:sz="0" w:space="0" w:color="auto"/>
        <w:bottom w:val="none" w:sz="0" w:space="0" w:color="auto"/>
        <w:right w:val="none" w:sz="0" w:space="0" w:color="auto"/>
      </w:divBdr>
      <w:divsChild>
        <w:div w:id="1699312981">
          <w:marLeft w:val="0"/>
          <w:marRight w:val="0"/>
          <w:marTop w:val="0"/>
          <w:marBottom w:val="0"/>
          <w:divBdr>
            <w:top w:val="none" w:sz="0" w:space="0" w:color="auto"/>
            <w:left w:val="none" w:sz="0" w:space="0" w:color="auto"/>
            <w:bottom w:val="none" w:sz="0" w:space="0" w:color="auto"/>
            <w:right w:val="none" w:sz="0" w:space="0" w:color="auto"/>
          </w:divBdr>
          <w:divsChild>
            <w:div w:id="1975714819">
              <w:marLeft w:val="0"/>
              <w:marRight w:val="0"/>
              <w:marTop w:val="0"/>
              <w:marBottom w:val="0"/>
              <w:divBdr>
                <w:top w:val="none" w:sz="0" w:space="0" w:color="auto"/>
                <w:left w:val="none" w:sz="0" w:space="0" w:color="auto"/>
                <w:bottom w:val="none" w:sz="0" w:space="0" w:color="auto"/>
                <w:right w:val="none" w:sz="0" w:space="0" w:color="auto"/>
              </w:divBdr>
              <w:divsChild>
                <w:div w:id="297995344">
                  <w:marLeft w:val="0"/>
                  <w:marRight w:val="0"/>
                  <w:marTop w:val="0"/>
                  <w:marBottom w:val="0"/>
                  <w:divBdr>
                    <w:top w:val="single" w:sz="6" w:space="0" w:color="DDDDDD"/>
                    <w:left w:val="none" w:sz="0" w:space="0" w:color="auto"/>
                    <w:bottom w:val="none" w:sz="0" w:space="0" w:color="auto"/>
                    <w:right w:val="none" w:sz="0" w:space="0" w:color="auto"/>
                  </w:divBdr>
                  <w:divsChild>
                    <w:div w:id="211581981">
                      <w:marLeft w:val="0"/>
                      <w:marRight w:val="0"/>
                      <w:marTop w:val="0"/>
                      <w:marBottom w:val="0"/>
                      <w:divBdr>
                        <w:top w:val="none" w:sz="0" w:space="0" w:color="auto"/>
                        <w:left w:val="none" w:sz="0" w:space="0" w:color="auto"/>
                        <w:bottom w:val="none" w:sz="0" w:space="0" w:color="auto"/>
                        <w:right w:val="none" w:sz="0" w:space="0" w:color="auto"/>
                      </w:divBdr>
                      <w:divsChild>
                        <w:div w:id="1998729822">
                          <w:marLeft w:val="0"/>
                          <w:marRight w:val="0"/>
                          <w:marTop w:val="0"/>
                          <w:marBottom w:val="0"/>
                          <w:divBdr>
                            <w:top w:val="none" w:sz="0" w:space="0" w:color="auto"/>
                            <w:left w:val="none" w:sz="0" w:space="0" w:color="auto"/>
                            <w:bottom w:val="none" w:sz="0" w:space="0" w:color="auto"/>
                            <w:right w:val="none" w:sz="0" w:space="0" w:color="auto"/>
                          </w:divBdr>
                          <w:divsChild>
                            <w:div w:id="1217930922">
                              <w:marLeft w:val="750"/>
                              <w:marRight w:val="750"/>
                              <w:marTop w:val="375"/>
                              <w:marBottom w:val="1050"/>
                              <w:divBdr>
                                <w:top w:val="none" w:sz="0" w:space="0" w:color="auto"/>
                                <w:left w:val="none" w:sz="0" w:space="0" w:color="auto"/>
                                <w:bottom w:val="none" w:sz="0" w:space="0" w:color="auto"/>
                                <w:right w:val="none" w:sz="0" w:space="0" w:color="auto"/>
                              </w:divBdr>
                              <w:divsChild>
                                <w:div w:id="1914653923">
                                  <w:marLeft w:val="0"/>
                                  <w:marRight w:val="0"/>
                                  <w:marTop w:val="0"/>
                                  <w:marBottom w:val="0"/>
                                  <w:divBdr>
                                    <w:top w:val="none" w:sz="0" w:space="0" w:color="auto"/>
                                    <w:left w:val="none" w:sz="0" w:space="0" w:color="auto"/>
                                    <w:bottom w:val="none" w:sz="0" w:space="0" w:color="auto"/>
                                    <w:right w:val="none" w:sz="0" w:space="0" w:color="auto"/>
                                  </w:divBdr>
                                  <w:divsChild>
                                    <w:div w:id="137103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887419">
                              <w:marLeft w:val="0"/>
                              <w:marRight w:val="0"/>
                              <w:marTop w:val="0"/>
                              <w:marBottom w:val="0"/>
                              <w:divBdr>
                                <w:top w:val="none" w:sz="0" w:space="0" w:color="auto"/>
                                <w:left w:val="none" w:sz="0" w:space="0" w:color="auto"/>
                                <w:bottom w:val="none" w:sz="0" w:space="0" w:color="auto"/>
                                <w:right w:val="none" w:sz="0" w:space="0" w:color="auto"/>
                              </w:divBdr>
                              <w:divsChild>
                                <w:div w:id="568611629">
                                  <w:marLeft w:val="180"/>
                                  <w:marRight w:val="180"/>
                                  <w:marTop w:val="180"/>
                                  <w:marBottom w:val="180"/>
                                  <w:divBdr>
                                    <w:top w:val="none" w:sz="0" w:space="0" w:color="auto"/>
                                    <w:left w:val="none" w:sz="0" w:space="0" w:color="auto"/>
                                    <w:bottom w:val="none" w:sz="0" w:space="0" w:color="auto"/>
                                    <w:right w:val="none" w:sz="0" w:space="0" w:color="auto"/>
                                  </w:divBdr>
                                  <w:divsChild>
                                    <w:div w:id="1466585531">
                                      <w:marLeft w:val="0"/>
                                      <w:marRight w:val="0"/>
                                      <w:marTop w:val="420"/>
                                      <w:marBottom w:val="0"/>
                                      <w:divBdr>
                                        <w:top w:val="none" w:sz="0" w:space="0" w:color="auto"/>
                                        <w:left w:val="none" w:sz="0" w:space="0" w:color="auto"/>
                                        <w:bottom w:val="none" w:sz="0" w:space="0" w:color="auto"/>
                                        <w:right w:val="none" w:sz="0" w:space="0" w:color="auto"/>
                                      </w:divBdr>
                                    </w:div>
                                  </w:divsChild>
                                </w:div>
                              </w:divsChild>
                            </w:div>
                          </w:divsChild>
                        </w:div>
                        <w:div w:id="1869247312">
                          <w:marLeft w:val="0"/>
                          <w:marRight w:val="0"/>
                          <w:marTop w:val="0"/>
                          <w:marBottom w:val="0"/>
                          <w:divBdr>
                            <w:top w:val="none" w:sz="0" w:space="0" w:color="auto"/>
                            <w:left w:val="none" w:sz="0" w:space="0" w:color="auto"/>
                            <w:bottom w:val="none" w:sz="0" w:space="0" w:color="auto"/>
                            <w:right w:val="none" w:sz="0" w:space="0" w:color="auto"/>
                          </w:divBdr>
                        </w:div>
                        <w:div w:id="631985008">
                          <w:marLeft w:val="0"/>
                          <w:marRight w:val="0"/>
                          <w:marTop w:val="0"/>
                          <w:marBottom w:val="0"/>
                          <w:divBdr>
                            <w:top w:val="none" w:sz="0" w:space="0" w:color="auto"/>
                            <w:left w:val="none" w:sz="0" w:space="0" w:color="auto"/>
                            <w:bottom w:val="none" w:sz="0" w:space="0" w:color="auto"/>
                            <w:right w:val="none" w:sz="0" w:space="0" w:color="auto"/>
                          </w:divBdr>
                          <w:divsChild>
                            <w:div w:id="1637756544">
                              <w:marLeft w:val="675"/>
                              <w:marRight w:val="0"/>
                              <w:marTop w:val="0"/>
                              <w:marBottom w:val="150"/>
                              <w:divBdr>
                                <w:top w:val="none" w:sz="0" w:space="0" w:color="auto"/>
                                <w:left w:val="none" w:sz="0" w:space="0" w:color="auto"/>
                                <w:bottom w:val="single" w:sz="6" w:space="0" w:color="CCCCCC"/>
                                <w:right w:val="none" w:sz="0" w:space="0" w:color="auto"/>
                              </w:divBdr>
                            </w:div>
                            <w:div w:id="1122960979">
                              <w:marLeft w:val="0"/>
                              <w:marRight w:val="0"/>
                              <w:marTop w:val="0"/>
                              <w:marBottom w:val="0"/>
                              <w:divBdr>
                                <w:top w:val="none" w:sz="0" w:space="0" w:color="auto"/>
                                <w:left w:val="none" w:sz="0" w:space="0" w:color="auto"/>
                                <w:bottom w:val="none" w:sz="0" w:space="0" w:color="auto"/>
                                <w:right w:val="none" w:sz="0" w:space="0" w:color="auto"/>
                              </w:divBdr>
                              <w:divsChild>
                                <w:div w:id="686760293">
                                  <w:marLeft w:val="0"/>
                                  <w:marRight w:val="0"/>
                                  <w:marTop w:val="0"/>
                                  <w:marBottom w:val="0"/>
                                  <w:divBdr>
                                    <w:top w:val="none" w:sz="0" w:space="0" w:color="auto"/>
                                    <w:left w:val="none" w:sz="0" w:space="0" w:color="auto"/>
                                    <w:bottom w:val="none" w:sz="0" w:space="0" w:color="auto"/>
                                    <w:right w:val="none" w:sz="0" w:space="0" w:color="auto"/>
                                  </w:divBdr>
                                  <w:divsChild>
                                    <w:div w:id="651442998">
                                      <w:marLeft w:val="0"/>
                                      <w:marRight w:val="0"/>
                                      <w:marTop w:val="0"/>
                                      <w:marBottom w:val="0"/>
                                      <w:divBdr>
                                        <w:top w:val="none" w:sz="0" w:space="0" w:color="auto"/>
                                        <w:left w:val="none" w:sz="0" w:space="0" w:color="auto"/>
                                        <w:bottom w:val="none" w:sz="0" w:space="0" w:color="auto"/>
                                        <w:right w:val="none" w:sz="0" w:space="0" w:color="auto"/>
                                      </w:divBdr>
                                      <w:divsChild>
                                        <w:div w:id="1242327165">
                                          <w:marLeft w:val="0"/>
                                          <w:marRight w:val="0"/>
                                          <w:marTop w:val="0"/>
                                          <w:marBottom w:val="7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2237335">
      <w:bodyDiv w:val="1"/>
      <w:marLeft w:val="0"/>
      <w:marRight w:val="0"/>
      <w:marTop w:val="0"/>
      <w:marBottom w:val="0"/>
      <w:divBdr>
        <w:top w:val="none" w:sz="0" w:space="0" w:color="auto"/>
        <w:left w:val="none" w:sz="0" w:space="0" w:color="auto"/>
        <w:bottom w:val="none" w:sz="0" w:space="0" w:color="auto"/>
        <w:right w:val="none" w:sz="0" w:space="0" w:color="auto"/>
      </w:divBdr>
    </w:div>
    <w:div w:id="1323124747">
      <w:bodyDiv w:val="1"/>
      <w:marLeft w:val="0"/>
      <w:marRight w:val="0"/>
      <w:marTop w:val="0"/>
      <w:marBottom w:val="0"/>
      <w:divBdr>
        <w:top w:val="none" w:sz="0" w:space="0" w:color="auto"/>
        <w:left w:val="none" w:sz="0" w:space="0" w:color="auto"/>
        <w:bottom w:val="none" w:sz="0" w:space="0" w:color="auto"/>
        <w:right w:val="none" w:sz="0" w:space="0" w:color="auto"/>
      </w:divBdr>
    </w:div>
    <w:div w:id="1516840732">
      <w:bodyDiv w:val="1"/>
      <w:marLeft w:val="0"/>
      <w:marRight w:val="0"/>
      <w:marTop w:val="0"/>
      <w:marBottom w:val="0"/>
      <w:divBdr>
        <w:top w:val="none" w:sz="0" w:space="0" w:color="auto"/>
        <w:left w:val="none" w:sz="0" w:space="0" w:color="auto"/>
        <w:bottom w:val="none" w:sz="0" w:space="0" w:color="auto"/>
        <w:right w:val="none" w:sz="0" w:space="0" w:color="auto"/>
      </w:divBdr>
    </w:div>
    <w:div w:id="1607078378">
      <w:bodyDiv w:val="1"/>
      <w:marLeft w:val="0"/>
      <w:marRight w:val="0"/>
      <w:marTop w:val="0"/>
      <w:marBottom w:val="0"/>
      <w:divBdr>
        <w:top w:val="none" w:sz="0" w:space="0" w:color="auto"/>
        <w:left w:val="none" w:sz="0" w:space="0" w:color="auto"/>
        <w:bottom w:val="none" w:sz="0" w:space="0" w:color="auto"/>
        <w:right w:val="none" w:sz="0" w:space="0" w:color="auto"/>
      </w:divBdr>
    </w:div>
    <w:div w:id="1656640082">
      <w:bodyDiv w:val="1"/>
      <w:marLeft w:val="0"/>
      <w:marRight w:val="0"/>
      <w:marTop w:val="0"/>
      <w:marBottom w:val="0"/>
      <w:divBdr>
        <w:top w:val="none" w:sz="0" w:space="0" w:color="auto"/>
        <w:left w:val="none" w:sz="0" w:space="0" w:color="auto"/>
        <w:bottom w:val="none" w:sz="0" w:space="0" w:color="auto"/>
        <w:right w:val="none" w:sz="0" w:space="0" w:color="auto"/>
      </w:divBdr>
    </w:div>
    <w:div w:id="1905214118">
      <w:bodyDiv w:val="1"/>
      <w:marLeft w:val="0"/>
      <w:marRight w:val="0"/>
      <w:marTop w:val="0"/>
      <w:marBottom w:val="0"/>
      <w:divBdr>
        <w:top w:val="none" w:sz="0" w:space="0" w:color="auto"/>
        <w:left w:val="none" w:sz="0" w:space="0" w:color="auto"/>
        <w:bottom w:val="none" w:sz="0" w:space="0" w:color="auto"/>
        <w:right w:val="none" w:sz="0" w:space="0" w:color="auto"/>
      </w:divBdr>
    </w:div>
    <w:div w:id="1946113708">
      <w:bodyDiv w:val="1"/>
      <w:marLeft w:val="0"/>
      <w:marRight w:val="0"/>
      <w:marTop w:val="0"/>
      <w:marBottom w:val="0"/>
      <w:divBdr>
        <w:top w:val="none" w:sz="0" w:space="0" w:color="auto"/>
        <w:left w:val="none" w:sz="0" w:space="0" w:color="auto"/>
        <w:bottom w:val="none" w:sz="0" w:space="0" w:color="auto"/>
        <w:right w:val="none" w:sz="0" w:space="0" w:color="auto"/>
      </w:divBdr>
    </w:div>
    <w:div w:id="2145730782">
      <w:bodyDiv w:val="1"/>
      <w:marLeft w:val="0"/>
      <w:marRight w:val="0"/>
      <w:marTop w:val="0"/>
      <w:marBottom w:val="0"/>
      <w:divBdr>
        <w:top w:val="none" w:sz="0" w:space="0" w:color="auto"/>
        <w:left w:val="none" w:sz="0" w:space="0" w:color="auto"/>
        <w:bottom w:val="none" w:sz="0" w:space="0" w:color="auto"/>
        <w:right w:val="none" w:sz="0" w:space="0" w:color="auto"/>
      </w:divBdr>
      <w:divsChild>
        <w:div w:id="1434663545">
          <w:marLeft w:val="0"/>
          <w:marRight w:val="0"/>
          <w:marTop w:val="0"/>
          <w:marBottom w:val="0"/>
          <w:divBdr>
            <w:top w:val="none" w:sz="0" w:space="0" w:color="auto"/>
            <w:left w:val="none" w:sz="0" w:space="0" w:color="auto"/>
            <w:bottom w:val="none" w:sz="0" w:space="0" w:color="auto"/>
            <w:right w:val="none" w:sz="0" w:space="0" w:color="auto"/>
          </w:divBdr>
          <w:divsChild>
            <w:div w:id="1483237716">
              <w:marLeft w:val="0"/>
              <w:marRight w:val="0"/>
              <w:marTop w:val="0"/>
              <w:marBottom w:val="0"/>
              <w:divBdr>
                <w:top w:val="none" w:sz="0" w:space="0" w:color="auto"/>
                <w:left w:val="none" w:sz="0" w:space="0" w:color="auto"/>
                <w:bottom w:val="none" w:sz="0" w:space="0" w:color="auto"/>
                <w:right w:val="none" w:sz="0" w:space="0" w:color="auto"/>
              </w:divBdr>
              <w:divsChild>
                <w:div w:id="1723559129">
                  <w:marLeft w:val="0"/>
                  <w:marRight w:val="0"/>
                  <w:marTop w:val="0"/>
                  <w:marBottom w:val="0"/>
                  <w:divBdr>
                    <w:top w:val="single" w:sz="6" w:space="0" w:color="DDDDDD"/>
                    <w:left w:val="none" w:sz="0" w:space="0" w:color="auto"/>
                    <w:bottom w:val="none" w:sz="0" w:space="0" w:color="auto"/>
                    <w:right w:val="none" w:sz="0" w:space="0" w:color="auto"/>
                  </w:divBdr>
                  <w:divsChild>
                    <w:div w:id="1590386807">
                      <w:marLeft w:val="0"/>
                      <w:marRight w:val="0"/>
                      <w:marTop w:val="0"/>
                      <w:marBottom w:val="0"/>
                      <w:divBdr>
                        <w:top w:val="none" w:sz="0" w:space="0" w:color="auto"/>
                        <w:left w:val="none" w:sz="0" w:space="0" w:color="auto"/>
                        <w:bottom w:val="none" w:sz="0" w:space="0" w:color="auto"/>
                        <w:right w:val="none" w:sz="0" w:space="0" w:color="auto"/>
                      </w:divBdr>
                      <w:divsChild>
                        <w:div w:id="1521553663">
                          <w:marLeft w:val="0"/>
                          <w:marRight w:val="0"/>
                          <w:marTop w:val="0"/>
                          <w:marBottom w:val="0"/>
                          <w:divBdr>
                            <w:top w:val="none" w:sz="0" w:space="0" w:color="auto"/>
                            <w:left w:val="none" w:sz="0" w:space="0" w:color="auto"/>
                            <w:bottom w:val="none" w:sz="0" w:space="0" w:color="auto"/>
                            <w:right w:val="none" w:sz="0" w:space="0" w:color="auto"/>
                          </w:divBdr>
                          <w:divsChild>
                            <w:div w:id="847210078">
                              <w:marLeft w:val="750"/>
                              <w:marRight w:val="750"/>
                              <w:marTop w:val="375"/>
                              <w:marBottom w:val="1050"/>
                              <w:divBdr>
                                <w:top w:val="none" w:sz="0" w:space="0" w:color="auto"/>
                                <w:left w:val="none" w:sz="0" w:space="0" w:color="auto"/>
                                <w:bottom w:val="none" w:sz="0" w:space="0" w:color="auto"/>
                                <w:right w:val="none" w:sz="0" w:space="0" w:color="auto"/>
                              </w:divBdr>
                              <w:divsChild>
                                <w:div w:id="1786726496">
                                  <w:marLeft w:val="0"/>
                                  <w:marRight w:val="0"/>
                                  <w:marTop w:val="0"/>
                                  <w:marBottom w:val="0"/>
                                  <w:divBdr>
                                    <w:top w:val="none" w:sz="0" w:space="0" w:color="auto"/>
                                    <w:left w:val="none" w:sz="0" w:space="0" w:color="auto"/>
                                    <w:bottom w:val="none" w:sz="0" w:space="0" w:color="auto"/>
                                    <w:right w:val="none" w:sz="0" w:space="0" w:color="auto"/>
                                  </w:divBdr>
                                  <w:divsChild>
                                    <w:div w:id="166574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287358">
                              <w:marLeft w:val="0"/>
                              <w:marRight w:val="0"/>
                              <w:marTop w:val="0"/>
                              <w:marBottom w:val="0"/>
                              <w:divBdr>
                                <w:top w:val="none" w:sz="0" w:space="0" w:color="auto"/>
                                <w:left w:val="none" w:sz="0" w:space="0" w:color="auto"/>
                                <w:bottom w:val="none" w:sz="0" w:space="0" w:color="auto"/>
                                <w:right w:val="none" w:sz="0" w:space="0" w:color="auto"/>
                              </w:divBdr>
                              <w:divsChild>
                                <w:div w:id="1384911229">
                                  <w:marLeft w:val="180"/>
                                  <w:marRight w:val="180"/>
                                  <w:marTop w:val="180"/>
                                  <w:marBottom w:val="180"/>
                                  <w:divBdr>
                                    <w:top w:val="none" w:sz="0" w:space="0" w:color="auto"/>
                                    <w:left w:val="none" w:sz="0" w:space="0" w:color="auto"/>
                                    <w:bottom w:val="none" w:sz="0" w:space="0" w:color="auto"/>
                                    <w:right w:val="none" w:sz="0" w:space="0" w:color="auto"/>
                                  </w:divBdr>
                                  <w:divsChild>
                                    <w:div w:id="1528172944">
                                      <w:marLeft w:val="0"/>
                                      <w:marRight w:val="0"/>
                                      <w:marTop w:val="420"/>
                                      <w:marBottom w:val="0"/>
                                      <w:divBdr>
                                        <w:top w:val="none" w:sz="0" w:space="0" w:color="auto"/>
                                        <w:left w:val="none" w:sz="0" w:space="0" w:color="auto"/>
                                        <w:bottom w:val="none" w:sz="0" w:space="0" w:color="auto"/>
                                        <w:right w:val="none" w:sz="0" w:space="0" w:color="auto"/>
                                      </w:divBdr>
                                    </w:div>
                                  </w:divsChild>
                                </w:div>
                              </w:divsChild>
                            </w:div>
                          </w:divsChild>
                        </w:div>
                        <w:div w:id="876897490">
                          <w:marLeft w:val="0"/>
                          <w:marRight w:val="0"/>
                          <w:marTop w:val="0"/>
                          <w:marBottom w:val="0"/>
                          <w:divBdr>
                            <w:top w:val="none" w:sz="0" w:space="0" w:color="auto"/>
                            <w:left w:val="none" w:sz="0" w:space="0" w:color="auto"/>
                            <w:bottom w:val="none" w:sz="0" w:space="0" w:color="auto"/>
                            <w:right w:val="none" w:sz="0" w:space="0" w:color="auto"/>
                          </w:divBdr>
                        </w:div>
                        <w:div w:id="240721708">
                          <w:marLeft w:val="0"/>
                          <w:marRight w:val="0"/>
                          <w:marTop w:val="0"/>
                          <w:marBottom w:val="0"/>
                          <w:divBdr>
                            <w:top w:val="none" w:sz="0" w:space="0" w:color="auto"/>
                            <w:left w:val="none" w:sz="0" w:space="0" w:color="auto"/>
                            <w:bottom w:val="none" w:sz="0" w:space="0" w:color="auto"/>
                            <w:right w:val="none" w:sz="0" w:space="0" w:color="auto"/>
                          </w:divBdr>
                          <w:divsChild>
                            <w:div w:id="1688287562">
                              <w:marLeft w:val="675"/>
                              <w:marRight w:val="0"/>
                              <w:marTop w:val="0"/>
                              <w:marBottom w:val="150"/>
                              <w:divBdr>
                                <w:top w:val="none" w:sz="0" w:space="0" w:color="auto"/>
                                <w:left w:val="none" w:sz="0" w:space="0" w:color="auto"/>
                                <w:bottom w:val="single" w:sz="6" w:space="0" w:color="CCCCCC"/>
                                <w:right w:val="none" w:sz="0" w:space="0" w:color="auto"/>
                              </w:divBdr>
                            </w:div>
                            <w:div w:id="1453667288">
                              <w:marLeft w:val="0"/>
                              <w:marRight w:val="0"/>
                              <w:marTop w:val="0"/>
                              <w:marBottom w:val="0"/>
                              <w:divBdr>
                                <w:top w:val="none" w:sz="0" w:space="0" w:color="auto"/>
                                <w:left w:val="none" w:sz="0" w:space="0" w:color="auto"/>
                                <w:bottom w:val="none" w:sz="0" w:space="0" w:color="auto"/>
                                <w:right w:val="none" w:sz="0" w:space="0" w:color="auto"/>
                              </w:divBdr>
                              <w:divsChild>
                                <w:div w:id="1455126909">
                                  <w:marLeft w:val="0"/>
                                  <w:marRight w:val="0"/>
                                  <w:marTop w:val="0"/>
                                  <w:marBottom w:val="0"/>
                                  <w:divBdr>
                                    <w:top w:val="none" w:sz="0" w:space="0" w:color="auto"/>
                                    <w:left w:val="none" w:sz="0" w:space="0" w:color="auto"/>
                                    <w:bottom w:val="none" w:sz="0" w:space="0" w:color="auto"/>
                                    <w:right w:val="none" w:sz="0" w:space="0" w:color="auto"/>
                                  </w:divBdr>
                                  <w:divsChild>
                                    <w:div w:id="1623463302">
                                      <w:marLeft w:val="0"/>
                                      <w:marRight w:val="0"/>
                                      <w:marTop w:val="0"/>
                                      <w:marBottom w:val="0"/>
                                      <w:divBdr>
                                        <w:top w:val="none" w:sz="0" w:space="0" w:color="auto"/>
                                        <w:left w:val="none" w:sz="0" w:space="0" w:color="auto"/>
                                        <w:bottom w:val="none" w:sz="0" w:space="0" w:color="auto"/>
                                        <w:right w:val="none" w:sz="0" w:space="0" w:color="auto"/>
                                      </w:divBdr>
                                      <w:divsChild>
                                        <w:div w:id="827209457">
                                          <w:marLeft w:val="0"/>
                                          <w:marRight w:val="0"/>
                                          <w:marTop w:val="0"/>
                                          <w:marBottom w:val="7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us-lexis-com.ezproxy.uwtsd.ac.uk/uk/analytical-materials-uk/a2-letter-of-response_3/?crid=53ca0fb3-56b9-48c6-b428-6b4456998d66&amp;pddocumentnumber=5" TargetMode="External"/><Relationship Id="rId13" Type="http://schemas.openxmlformats.org/officeDocument/2006/relationships/hyperlink" Target="https://plus-lexis-com.ezproxy.uwtsd.ac.uk/uk/analytical-materials-uk/13-private-legal-expenses-insurance/?crid=c11039be-fce5-4a07-9137-d1684eab908f&amp;pddocumentnumber=16" TargetMode="External"/><Relationship Id="rId18" Type="http://schemas.openxmlformats.org/officeDocument/2006/relationships/hyperlink" Target="https://www.justice.gov.uk/courts/procedure-rules/civil/rules/pd_pre-action_conduct"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legislation.gov.uk/ukpga/1990/41/section/58" TargetMode="External"/><Relationship Id="rId17" Type="http://schemas.openxmlformats.org/officeDocument/2006/relationships/hyperlink" Target="https://plus-lexis-com.ezproxy.uwtsd.ac.uk/uk/document/?pdmfid=1001073&amp;crid=e405c025-8919-4ff8-8647-14a8dfd748a4&amp;pddocfullpath=%2Fshared%2Fdocument%2Fforms-uk%2Furn:contentItem:5JYW-B7W1-F189-D0J9-00000-00&amp;pdcontentcomponentid=393738&amp;pdteaserkey=&amp;pdislpamode=false&amp;pddocumentnumber=1&amp;ecomp=5t5k&amp;earg=sr0&amp;prid=aec348d5-8a13-419a-8638-9f3f4a982789" TargetMode="External"/><Relationship Id="rId2" Type="http://schemas.openxmlformats.org/officeDocument/2006/relationships/customXml" Target="../customXml/item2.xml"/><Relationship Id="rId16" Type="http://schemas.openxmlformats.org/officeDocument/2006/relationships/hyperlink" Target="https://plus-lexis-com.ezproxy.uwtsd.ac.uk/uk/forms-uk/defendants-response-to-a-letter-of-claim/?crid=8d7ebd23-413b-45f3-85f0-72649a779769&amp;pddocumentnumber=4" TargetMode="External"/><Relationship Id="rId20" Type="http://schemas.openxmlformats.org/officeDocument/2006/relationships/hyperlink" Target="https://www.legislation.gov.uk/ukpga/1981/54/conten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dsi/2013/9780111533437" TargetMode="External"/><Relationship Id="rId5" Type="http://schemas.openxmlformats.org/officeDocument/2006/relationships/styles" Target="styles.xml"/><Relationship Id="rId15" Type="http://schemas.openxmlformats.org/officeDocument/2006/relationships/hyperlink" Target="https://www.legislation.gov.uk/ukpga/2012/10/contents" TargetMode="External"/><Relationship Id="rId10" Type="http://schemas.openxmlformats.org/officeDocument/2006/relationships/hyperlink" Target="https://www.legislation.gov.uk/uksi/1998/3132/rule/44.2" TargetMode="External"/><Relationship Id="rId19" Type="http://schemas.openxmlformats.org/officeDocument/2006/relationships/hyperlink" Target="https://www.justice.gov.uk/courts/procedure-rules/civil/protocol/prot_pic" TargetMode="External"/><Relationship Id="rId4" Type="http://schemas.openxmlformats.org/officeDocument/2006/relationships/numbering" Target="numbering.xml"/><Relationship Id="rId9" Type="http://schemas.openxmlformats.org/officeDocument/2006/relationships/hyperlink" Target="https://plus-lexis-com.ezproxy.uwtsd.ac.uk/uk/document/?pdmfid=1001073&amp;crid=1ca9de43-2880-470b-bec8-20de7178d449&amp;pddocfullpath=%2Fshared%2Fdocument%2Fanalytical-materials-uk%2Furn:contentItem:691B-TKR3-RSRJ-X1DT-00000-00&amp;pdcontentcomponentid=436288&amp;pdteaserkey=&amp;pdislpamode=false&amp;pddocumentnumber=4&amp;ecomp=5t5k&amp;earg=sr3&amp;prid=ce17b671-cc2b-4213-b5fc-933a907abb20" TargetMode="External"/><Relationship Id="rId14" Type="http://schemas.openxmlformats.org/officeDocument/2006/relationships/hyperlink" Target="https://www.casemine.com/judgement/uk/5b46f1f72c94e0775e7ef2a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cf453e58328fec31073bd3ee7d904aa3">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afeb4becee64491c29fba15b49cdb5fb"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EF757B-E486-4C70-82D1-9425E1A3AECA}">
  <ds:schemaRefs>
    <ds:schemaRef ds:uri="http://schemas.microsoft.com/office/2006/metadata/properties"/>
    <ds:schemaRef ds:uri="http://schemas.microsoft.com/office/infopath/2007/PartnerControls"/>
    <ds:schemaRef ds:uri="ad7316b1-23f1-480c-8fa6-cbf037f4db9c"/>
  </ds:schemaRefs>
</ds:datastoreItem>
</file>

<file path=customXml/itemProps2.xml><?xml version="1.0" encoding="utf-8"?>
<ds:datastoreItem xmlns:ds="http://schemas.openxmlformats.org/officeDocument/2006/customXml" ds:itemID="{C47DB70B-C989-4C72-8C51-9C26F735FF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C4D397-03BE-4445-B207-3A764B233B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13</Pages>
  <Words>2357</Words>
  <Characters>14290</Characters>
  <Application>Microsoft Office Word</Application>
  <DocSecurity>0</DocSecurity>
  <Lines>332</Lines>
  <Paragraphs>106</Paragraphs>
  <ScaleCrop>false</ScaleCrop>
  <Company/>
  <LinksUpToDate>false</LinksUpToDate>
  <CharactersWithSpaces>16541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Davies</dc:creator>
  <cp:keywords/>
  <dc:description/>
  <cp:lastModifiedBy>Shannon Davies</cp:lastModifiedBy>
  <cp:revision>333</cp:revision>
  <dcterms:created xsi:type="dcterms:W3CDTF">2025-03-20T23:36:00Z</dcterms:created>
  <dcterms:modified xsi:type="dcterms:W3CDTF">2025-03-21T22:20:00Z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