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51EE5" w:rsidRPr="00151EE5" w:rsidRDefault="00151EE5" w:rsidP="00151EE5">
      <w:pPr>
        <w:pStyle w:val="fixed"/>
        <w:ind w:left="0" w:firstLine="0"/>
        <w:rPr>
          <w:rFonts w:cs="Arial"/>
          <w:szCs w:val="22"/>
        </w:rPr>
      </w:pPr>
      <w:r w:rsidRPr="00151EE5">
        <w:rPr>
          <w:rFonts w:cs="Arial"/>
          <w:szCs w:val="22"/>
        </w:rPr>
        <w:t>MODULE CODE:</w:t>
      </w:r>
      <w:r w:rsidRPr="00151EE5">
        <w:rPr>
          <w:rFonts w:cs="Arial"/>
          <w:szCs w:val="22"/>
        </w:rPr>
        <w:tab/>
      </w:r>
      <w:r w:rsidRPr="00151EE5">
        <w:rPr>
          <w:rFonts w:cs="Arial"/>
          <w:szCs w:val="22"/>
        </w:rPr>
        <w:tab/>
        <w:t>AHLH7064</w:t>
      </w:r>
    </w:p>
    <w:p w:rsidR="00151EE5" w:rsidRPr="00151EE5" w:rsidRDefault="00151EE5" w:rsidP="00151EE5">
      <w:pPr>
        <w:pStyle w:val="fixed"/>
        <w:rPr>
          <w:rFonts w:cs="Arial"/>
          <w:szCs w:val="22"/>
        </w:rPr>
      </w:pPr>
      <w:r w:rsidRPr="00151EE5">
        <w:rPr>
          <w:rFonts w:cs="Arial"/>
          <w:szCs w:val="22"/>
        </w:rPr>
        <w:t>TITLE:</w:t>
      </w:r>
      <w:r w:rsidRPr="00151EE5">
        <w:rPr>
          <w:rFonts w:cs="Arial"/>
          <w:szCs w:val="22"/>
        </w:rPr>
        <w:tab/>
      </w:r>
      <w:r w:rsidRPr="00151EE5">
        <w:rPr>
          <w:rFonts w:cs="Arial"/>
          <w:szCs w:val="22"/>
        </w:rPr>
        <w:tab/>
      </w:r>
      <w:r w:rsidRPr="00151EE5">
        <w:rPr>
          <w:rFonts w:cs="Arial"/>
          <w:szCs w:val="22"/>
        </w:rPr>
        <w:tab/>
      </w:r>
      <w:r w:rsidRPr="00151EE5">
        <w:rPr>
          <w:rFonts w:cs="Arial"/>
          <w:szCs w:val="22"/>
        </w:rPr>
        <w:tab/>
        <w:t>South-West Wales: Social Experiences</w:t>
      </w:r>
    </w:p>
    <w:p w:rsidR="00151EE5" w:rsidRPr="00151EE5" w:rsidRDefault="00151EE5" w:rsidP="00151EE5">
      <w:pPr>
        <w:pStyle w:val="fixed"/>
        <w:rPr>
          <w:rFonts w:cs="Arial"/>
          <w:szCs w:val="22"/>
        </w:rPr>
      </w:pPr>
      <w:r w:rsidRPr="00151EE5">
        <w:rPr>
          <w:rFonts w:cs="Arial"/>
          <w:szCs w:val="22"/>
        </w:rPr>
        <w:t>DATED:</w:t>
      </w:r>
      <w:r w:rsidRPr="00151EE5">
        <w:rPr>
          <w:rFonts w:cs="Arial"/>
          <w:szCs w:val="22"/>
        </w:rPr>
        <w:tab/>
      </w:r>
      <w:r w:rsidRPr="00151EE5">
        <w:rPr>
          <w:rFonts w:cs="Arial"/>
          <w:szCs w:val="22"/>
        </w:rPr>
        <w:tab/>
      </w:r>
      <w:r w:rsidRPr="00151EE5">
        <w:rPr>
          <w:rFonts w:cs="Arial"/>
          <w:szCs w:val="22"/>
        </w:rPr>
        <w:tab/>
        <w:t>07/10/2015</w:t>
      </w:r>
    </w:p>
    <w:p w:rsidR="00151EE5" w:rsidRPr="00151EE5" w:rsidRDefault="00151EE5" w:rsidP="00151EE5">
      <w:pPr>
        <w:pStyle w:val="fixed"/>
        <w:rPr>
          <w:rFonts w:cs="Arial"/>
          <w:szCs w:val="22"/>
        </w:rPr>
      </w:pPr>
      <w:r w:rsidRPr="00151EE5">
        <w:rPr>
          <w:rFonts w:cs="Arial"/>
          <w:szCs w:val="22"/>
        </w:rPr>
        <w:tab/>
      </w:r>
    </w:p>
    <w:p w:rsidR="00151EE5" w:rsidRPr="00151EE5" w:rsidRDefault="00151EE5" w:rsidP="00151EE5">
      <w:pPr>
        <w:pStyle w:val="fixed"/>
        <w:rPr>
          <w:rFonts w:cs="Arial"/>
          <w:szCs w:val="22"/>
        </w:rPr>
      </w:pPr>
      <w:r w:rsidRPr="00151EE5">
        <w:rPr>
          <w:rFonts w:cs="Arial"/>
          <w:szCs w:val="22"/>
        </w:rPr>
        <w:t>LEVEL:</w:t>
      </w:r>
      <w:r w:rsidRPr="00151EE5">
        <w:rPr>
          <w:rFonts w:cs="Arial"/>
          <w:szCs w:val="22"/>
        </w:rPr>
        <w:tab/>
      </w:r>
      <w:r w:rsidRPr="00151EE5">
        <w:rPr>
          <w:rFonts w:cs="Arial"/>
          <w:szCs w:val="22"/>
        </w:rPr>
        <w:tab/>
      </w:r>
      <w:r w:rsidRPr="00151EE5">
        <w:rPr>
          <w:rFonts w:cs="Arial"/>
          <w:szCs w:val="22"/>
        </w:rPr>
        <w:tab/>
        <w:t>7</w:t>
      </w:r>
    </w:p>
    <w:p w:rsidR="00151EE5" w:rsidRPr="00151EE5" w:rsidRDefault="00151EE5" w:rsidP="00151EE5">
      <w:pPr>
        <w:pStyle w:val="fixed"/>
        <w:rPr>
          <w:rFonts w:cs="Arial"/>
          <w:szCs w:val="22"/>
        </w:rPr>
      </w:pPr>
      <w:r w:rsidRPr="00151EE5">
        <w:rPr>
          <w:rFonts w:cs="Arial"/>
          <w:szCs w:val="22"/>
        </w:rPr>
        <w:t>CREDITS:</w:t>
      </w:r>
      <w:r w:rsidRPr="00151EE5">
        <w:rPr>
          <w:rFonts w:cs="Arial"/>
          <w:szCs w:val="22"/>
        </w:rPr>
        <w:tab/>
      </w:r>
      <w:r w:rsidRPr="00151EE5">
        <w:rPr>
          <w:rFonts w:cs="Arial"/>
          <w:szCs w:val="22"/>
        </w:rPr>
        <w:tab/>
      </w:r>
      <w:r w:rsidRPr="00151EE5">
        <w:rPr>
          <w:rFonts w:cs="Arial"/>
          <w:szCs w:val="22"/>
        </w:rPr>
        <w:tab/>
        <w:t>30</w:t>
      </w:r>
    </w:p>
    <w:p w:rsidR="00151EE5" w:rsidRPr="00151EE5" w:rsidRDefault="00151EE5" w:rsidP="00151EE5">
      <w:pPr>
        <w:pStyle w:val="fixed"/>
        <w:rPr>
          <w:rFonts w:cs="Arial"/>
          <w:szCs w:val="22"/>
        </w:rPr>
      </w:pPr>
    </w:p>
    <w:p w:rsidR="00151EE5" w:rsidRPr="00151EE5" w:rsidRDefault="00151EE5" w:rsidP="00151EE5">
      <w:pPr>
        <w:pBdr>
          <w:bottom w:val="single" w:sz="4" w:space="1" w:color="auto"/>
        </w:pBdr>
        <w:rPr>
          <w:rFonts w:cs="Arial"/>
          <w:b/>
        </w:rPr>
      </w:pPr>
      <w:r w:rsidRPr="00151EE5">
        <w:rPr>
          <w:rFonts w:cs="Arial"/>
          <w:b/>
        </w:rPr>
        <w:t>JACS CODE</w:t>
      </w:r>
      <w:r w:rsidRPr="00151EE5">
        <w:rPr>
          <w:rFonts w:cs="Arial"/>
          <w:b/>
        </w:rPr>
        <w:tab/>
      </w:r>
      <w:r w:rsidRPr="00151EE5">
        <w:rPr>
          <w:rFonts w:cs="Arial"/>
          <w:b/>
        </w:rPr>
        <w:tab/>
      </w:r>
      <w:r w:rsidRPr="00151EE5">
        <w:rPr>
          <w:rFonts w:cs="Arial"/>
          <w:b/>
        </w:rPr>
        <w:tab/>
        <w:t>V200 History by area</w:t>
      </w:r>
    </w:p>
    <w:p w:rsidR="00151EE5" w:rsidRPr="00151EE5" w:rsidRDefault="00151EE5" w:rsidP="00151EE5">
      <w:pPr>
        <w:pBdr>
          <w:bottom w:val="single" w:sz="4" w:space="1" w:color="auto"/>
        </w:pBdr>
        <w:rPr>
          <w:rFonts w:cs="Arial"/>
          <w:b/>
        </w:rPr>
      </w:pPr>
    </w:p>
    <w:p w:rsidR="00151EE5" w:rsidRPr="00151EE5" w:rsidRDefault="00151EE5" w:rsidP="00151EE5">
      <w:pPr>
        <w:pStyle w:val="heading"/>
        <w:rPr>
          <w:rFonts w:cs="Arial"/>
          <w:szCs w:val="22"/>
        </w:rPr>
      </w:pPr>
      <w:r w:rsidRPr="00151EE5">
        <w:rPr>
          <w:rFonts w:cs="Arial"/>
          <w:szCs w:val="22"/>
        </w:rPr>
        <w:t>AIM(S)</w:t>
      </w:r>
    </w:p>
    <w:p w:rsidR="00151EE5" w:rsidRPr="00151EE5" w:rsidRDefault="00151EE5" w:rsidP="00151EE5">
      <w:pPr>
        <w:pStyle w:val="bullet"/>
        <w:numPr>
          <w:ilvl w:val="0"/>
          <w:numId w:val="1"/>
        </w:numPr>
        <w:ind w:left="1004" w:hanging="284"/>
        <w:rPr>
          <w:rFonts w:cs="Arial"/>
          <w:szCs w:val="22"/>
        </w:rPr>
      </w:pPr>
      <w:r w:rsidRPr="00151EE5">
        <w:rPr>
          <w:rFonts w:cs="Arial"/>
          <w:szCs w:val="22"/>
        </w:rPr>
        <w:t xml:space="preserve">To investigate how national trends in health and social provision affected communities in south-west Wales.  </w:t>
      </w:r>
    </w:p>
    <w:p w:rsidR="00151EE5" w:rsidRPr="00151EE5" w:rsidRDefault="00151EE5" w:rsidP="00151EE5">
      <w:pPr>
        <w:pStyle w:val="bullet"/>
        <w:numPr>
          <w:ilvl w:val="0"/>
          <w:numId w:val="1"/>
        </w:numPr>
        <w:ind w:left="1004" w:hanging="284"/>
        <w:rPr>
          <w:rFonts w:cs="Arial"/>
          <w:szCs w:val="22"/>
        </w:rPr>
      </w:pPr>
      <w:r w:rsidRPr="00151EE5">
        <w:rPr>
          <w:rFonts w:cs="Arial"/>
          <w:szCs w:val="22"/>
        </w:rPr>
        <w:t>Investigate Government legislation on health and poverty and their application and impact at local level.</w:t>
      </w:r>
    </w:p>
    <w:p w:rsidR="00151EE5" w:rsidRPr="00151EE5" w:rsidRDefault="00151EE5" w:rsidP="00151EE5">
      <w:pPr>
        <w:pStyle w:val="heading"/>
        <w:rPr>
          <w:rFonts w:cs="Arial"/>
          <w:szCs w:val="22"/>
        </w:rPr>
      </w:pPr>
      <w:r w:rsidRPr="00151EE5">
        <w:rPr>
          <w:rFonts w:cs="Arial"/>
          <w:szCs w:val="22"/>
        </w:rPr>
        <w:t>LEARNING OUTCOMES</w:t>
      </w:r>
    </w:p>
    <w:p w:rsidR="00151EE5" w:rsidRPr="00151EE5" w:rsidRDefault="00151EE5" w:rsidP="00151EE5">
      <w:pPr>
        <w:rPr>
          <w:rFonts w:cs="Arial"/>
        </w:rPr>
      </w:pPr>
      <w:r w:rsidRPr="00151EE5">
        <w:rPr>
          <w:rFonts w:cs="Arial"/>
        </w:rPr>
        <w:t>By the end of this module students should be able to:</w:t>
      </w:r>
    </w:p>
    <w:p w:rsidR="00151EE5" w:rsidRPr="00151EE5" w:rsidRDefault="00151EE5" w:rsidP="00A741CD">
      <w:pPr>
        <w:pStyle w:val="bullet"/>
        <w:numPr>
          <w:ilvl w:val="0"/>
          <w:numId w:val="1"/>
        </w:numPr>
        <w:ind w:left="1004" w:hanging="284"/>
        <w:rPr>
          <w:rFonts w:cs="Arial"/>
          <w:szCs w:val="22"/>
        </w:rPr>
      </w:pPr>
      <w:r w:rsidRPr="00151EE5">
        <w:rPr>
          <w:rFonts w:cs="Arial"/>
          <w:szCs w:val="22"/>
        </w:rPr>
        <w:t>demonstrate a thorough acquaintance with the nature of poor law provision and evaluate its impact upon certain socio-economic groups in South-West Wales;</w:t>
      </w:r>
    </w:p>
    <w:p w:rsidR="00151EE5" w:rsidRPr="00151EE5" w:rsidRDefault="00151EE5" w:rsidP="00A741CD">
      <w:pPr>
        <w:pStyle w:val="bullet"/>
        <w:numPr>
          <w:ilvl w:val="0"/>
          <w:numId w:val="1"/>
        </w:numPr>
        <w:ind w:left="1004" w:hanging="284"/>
        <w:rPr>
          <w:rFonts w:cs="Arial"/>
          <w:szCs w:val="22"/>
        </w:rPr>
      </w:pPr>
      <w:r w:rsidRPr="00151EE5">
        <w:rPr>
          <w:rFonts w:cs="Arial"/>
          <w:szCs w:val="22"/>
        </w:rPr>
        <w:t>understand that, owing to the wide range of interests encompassed in the New Poor Law, interpretations have to be assessed carefully;</w:t>
      </w:r>
    </w:p>
    <w:p w:rsidR="00151EE5" w:rsidRPr="00151EE5" w:rsidRDefault="00151EE5" w:rsidP="00A741CD">
      <w:pPr>
        <w:pStyle w:val="bullet"/>
        <w:numPr>
          <w:ilvl w:val="0"/>
          <w:numId w:val="1"/>
        </w:numPr>
        <w:ind w:left="1004" w:hanging="284"/>
        <w:rPr>
          <w:rFonts w:cs="Arial"/>
          <w:szCs w:val="22"/>
        </w:rPr>
      </w:pPr>
      <w:r w:rsidRPr="00151EE5">
        <w:rPr>
          <w:rFonts w:cs="Arial"/>
          <w:szCs w:val="22"/>
        </w:rPr>
        <w:t>appreciate that the problem of poverty and health in the study area was an aspect of  changing social and economic developments;</w:t>
      </w:r>
    </w:p>
    <w:p w:rsidR="00151EE5" w:rsidRPr="00151EE5" w:rsidRDefault="00151EE5" w:rsidP="00151EE5">
      <w:pPr>
        <w:pStyle w:val="heading"/>
        <w:rPr>
          <w:rFonts w:cs="Arial"/>
          <w:szCs w:val="22"/>
        </w:rPr>
      </w:pPr>
      <w:r w:rsidRPr="00151EE5">
        <w:rPr>
          <w:rFonts w:cs="Arial"/>
          <w:szCs w:val="22"/>
        </w:rPr>
        <w:t>INDICATIVE CONTENT</w:t>
      </w:r>
    </w:p>
    <w:p w:rsidR="00151EE5" w:rsidRPr="00151EE5" w:rsidRDefault="00151EE5" w:rsidP="00151EE5">
      <w:pPr>
        <w:numPr>
          <w:ilvl w:val="0"/>
          <w:numId w:val="3"/>
        </w:numPr>
        <w:overflowPunct/>
        <w:autoSpaceDE/>
        <w:autoSpaceDN/>
        <w:adjustRightInd/>
        <w:textAlignment w:val="auto"/>
        <w:rPr>
          <w:rFonts w:cs="Arial"/>
        </w:rPr>
      </w:pPr>
      <w:r w:rsidRPr="00151EE5">
        <w:rPr>
          <w:rFonts w:cs="Arial"/>
        </w:rPr>
        <w:t>The focus of study will be upon pre- and post- 1834 legislation of the Poor Law system in England and Wales and its impact upon communities within South-West Wales. Accompanying this study there will be a review of public and mental health legislation and how it was implemented within our area of study.</w:t>
      </w:r>
    </w:p>
    <w:p w:rsidR="00151EE5" w:rsidRPr="00151EE5" w:rsidRDefault="00151EE5" w:rsidP="00151EE5">
      <w:pPr>
        <w:rPr>
          <w:rFonts w:cs="Arial"/>
        </w:rPr>
      </w:pPr>
    </w:p>
    <w:p w:rsidR="00151EE5" w:rsidRPr="00151EE5" w:rsidRDefault="00151EE5" w:rsidP="00151EE5">
      <w:pPr>
        <w:numPr>
          <w:ilvl w:val="0"/>
          <w:numId w:val="3"/>
        </w:numPr>
        <w:overflowPunct/>
        <w:autoSpaceDE/>
        <w:autoSpaceDN/>
        <w:adjustRightInd/>
        <w:textAlignment w:val="auto"/>
        <w:rPr>
          <w:rFonts w:cs="Arial"/>
        </w:rPr>
      </w:pPr>
      <w:r w:rsidRPr="00151EE5">
        <w:rPr>
          <w:rFonts w:cs="Arial"/>
        </w:rPr>
        <w:t xml:space="preserve">The study pre-1834 will concentrate on an analysis of the Old Poor Law; enquiry into the various methods of relieving the poor and a study of some alleged effects of the system. It is acknowledged that the length of the period under consideration and the large number of parishes involved preclude the making of many generalizations. However, the operation of the Old Poor Law in a number of different localities will be examined, taking evidence such as the minutes of Vestry meetings and overseers accounts; Quarter Session Order Books; reports from the Poor Law Enquiry Commission of 1832, and charity returns. </w:t>
      </w:r>
    </w:p>
    <w:p w:rsidR="00151EE5" w:rsidRPr="00151EE5" w:rsidRDefault="00151EE5" w:rsidP="00151EE5">
      <w:pPr>
        <w:rPr>
          <w:rFonts w:cs="Arial"/>
        </w:rPr>
      </w:pPr>
    </w:p>
    <w:p w:rsidR="00151EE5" w:rsidRPr="00151EE5" w:rsidRDefault="00151EE5" w:rsidP="00151EE5">
      <w:pPr>
        <w:numPr>
          <w:ilvl w:val="0"/>
          <w:numId w:val="3"/>
        </w:numPr>
        <w:overflowPunct/>
        <w:autoSpaceDE/>
        <w:autoSpaceDN/>
        <w:adjustRightInd/>
        <w:textAlignment w:val="auto"/>
        <w:rPr>
          <w:rFonts w:cs="Arial"/>
        </w:rPr>
      </w:pPr>
      <w:r w:rsidRPr="00151EE5">
        <w:rPr>
          <w:rFonts w:cs="Arial"/>
        </w:rPr>
        <w:t>By concentrating on primary sources students will be able to compare and contrast the administration of Poor Law relief in different localities within the area of study, in addition to exploring the causes of poverty; the role of religious bodies and attitudes generally towards the `deserving' and `undeserving' poor in South-West Wales.</w:t>
      </w:r>
    </w:p>
    <w:p w:rsidR="00151EE5" w:rsidRPr="00151EE5" w:rsidRDefault="00151EE5" w:rsidP="00151EE5">
      <w:pPr>
        <w:rPr>
          <w:rFonts w:cs="Arial"/>
        </w:rPr>
      </w:pPr>
    </w:p>
    <w:p w:rsidR="00151EE5" w:rsidRPr="00151EE5" w:rsidRDefault="00151EE5" w:rsidP="00151EE5">
      <w:pPr>
        <w:numPr>
          <w:ilvl w:val="0"/>
          <w:numId w:val="3"/>
        </w:numPr>
        <w:overflowPunct/>
        <w:autoSpaceDE/>
        <w:autoSpaceDN/>
        <w:adjustRightInd/>
        <w:textAlignment w:val="auto"/>
        <w:rPr>
          <w:rFonts w:cs="Arial"/>
        </w:rPr>
      </w:pPr>
      <w:r w:rsidRPr="00151EE5">
        <w:rPr>
          <w:rFonts w:cs="Arial"/>
        </w:rPr>
        <w:t xml:space="preserve">The study of the situation post-1834 will focus on the Poor Law Report, its administrative structure and the defects of local government in implementing certain aspects of the law. The work of the Assistant Commissioners will be scrutinized, especially the work of William Day and George Clive. The economic </w:t>
      </w:r>
      <w:r w:rsidRPr="00151EE5">
        <w:rPr>
          <w:rFonts w:cs="Arial"/>
        </w:rPr>
        <w:lastRenderedPageBreak/>
        <w:t xml:space="preserve">structure of the area will be assessed, and a comparison will be made between rural and industrial areas in order to determine the nature of relief and whether this was affected by the different socio-economic structures. </w:t>
      </w:r>
    </w:p>
    <w:p w:rsidR="00151EE5" w:rsidRPr="00151EE5" w:rsidRDefault="00151EE5" w:rsidP="00151EE5">
      <w:pPr>
        <w:rPr>
          <w:rFonts w:cs="Arial"/>
        </w:rPr>
      </w:pPr>
    </w:p>
    <w:p w:rsidR="00151EE5" w:rsidRPr="00151EE5" w:rsidRDefault="00151EE5" w:rsidP="00151EE5">
      <w:pPr>
        <w:numPr>
          <w:ilvl w:val="0"/>
          <w:numId w:val="3"/>
        </w:numPr>
        <w:overflowPunct/>
        <w:autoSpaceDE/>
        <w:autoSpaceDN/>
        <w:adjustRightInd/>
        <w:textAlignment w:val="auto"/>
        <w:rPr>
          <w:rFonts w:cs="Arial"/>
        </w:rPr>
      </w:pPr>
      <w:r w:rsidRPr="00151EE5">
        <w:rPr>
          <w:rFonts w:cs="Arial"/>
        </w:rPr>
        <w:t xml:space="preserve">Rates of pauperism, in selected Unions, will be compared with national pauperism as well as provisions for in-door and out-door relief. An examination will be made of the landed interest who, as magistrates and guardians, enforced the law both nationally and locally. Their belief in a stricter individualism, based on the ideology of utilitarianism, will be compared with the attitudes of labourers, the traditionalism of the parish clergy, and the economic interests of farmers. Finally, the classification of paupers into able-bodied and </w:t>
      </w:r>
      <w:proofErr w:type="spellStart"/>
      <w:r w:rsidRPr="00151EE5">
        <w:rPr>
          <w:rFonts w:cs="Arial"/>
        </w:rPr>
        <w:t>non able-bodied</w:t>
      </w:r>
      <w:proofErr w:type="spellEnd"/>
      <w:r w:rsidRPr="00151EE5">
        <w:rPr>
          <w:rFonts w:cs="Arial"/>
        </w:rPr>
        <w:t>/insane will be assessed, as well as the attitudes towards, and the facilities provided for, pauper children.</w:t>
      </w:r>
    </w:p>
    <w:p w:rsidR="00151EE5" w:rsidRPr="00151EE5" w:rsidRDefault="00151EE5" w:rsidP="00151EE5">
      <w:pPr>
        <w:rPr>
          <w:rFonts w:cs="Arial"/>
        </w:rPr>
      </w:pPr>
    </w:p>
    <w:p w:rsidR="00151EE5" w:rsidRPr="00151EE5" w:rsidRDefault="00151EE5" w:rsidP="00151EE5">
      <w:pPr>
        <w:numPr>
          <w:ilvl w:val="0"/>
          <w:numId w:val="3"/>
        </w:numPr>
        <w:overflowPunct/>
        <w:autoSpaceDE/>
        <w:autoSpaceDN/>
        <w:adjustRightInd/>
        <w:textAlignment w:val="auto"/>
        <w:rPr>
          <w:rFonts w:cs="Arial"/>
        </w:rPr>
      </w:pPr>
      <w:r w:rsidRPr="00151EE5">
        <w:rPr>
          <w:rFonts w:cs="Arial"/>
        </w:rPr>
        <w:t xml:space="preserve">In the nineteenth century, the plight of the poor in towns was probably the most serious problem brought about by industrialisation.  The module will examine the major causes of poverty, such as low pay, casual labour, unemployment, sickness, widowhood, large families, old age, mental health, drink and personal failings within urban areas.  This examination will also consider the changes in food consumption patterns and housing for the poor, brought about by migration to the urban areas of Llanelli and district. </w:t>
      </w:r>
    </w:p>
    <w:p w:rsidR="00151EE5" w:rsidRPr="00151EE5" w:rsidRDefault="00151EE5" w:rsidP="00151EE5">
      <w:pPr>
        <w:rPr>
          <w:rFonts w:cs="Arial"/>
        </w:rPr>
      </w:pPr>
    </w:p>
    <w:p w:rsidR="00151EE5" w:rsidRPr="00151EE5" w:rsidRDefault="00151EE5" w:rsidP="00151EE5">
      <w:pPr>
        <w:pStyle w:val="fixed"/>
        <w:rPr>
          <w:rFonts w:cs="Arial"/>
          <w:szCs w:val="22"/>
        </w:rPr>
      </w:pPr>
      <w:r w:rsidRPr="00151EE5">
        <w:rPr>
          <w:rFonts w:cs="Arial"/>
          <w:szCs w:val="22"/>
        </w:rPr>
        <w:t>LEARNING AND TEACHING STRATEGY</w:t>
      </w:r>
    </w:p>
    <w:p w:rsidR="00151EE5" w:rsidRPr="00151EE5" w:rsidRDefault="00151EE5" w:rsidP="00151EE5">
      <w:pPr>
        <w:rPr>
          <w:rFonts w:cs="Arial"/>
          <w:b/>
        </w:rPr>
      </w:pPr>
    </w:p>
    <w:p w:rsidR="00151EE5" w:rsidRPr="00151EE5" w:rsidRDefault="00151EE5" w:rsidP="00151EE5">
      <w:pPr>
        <w:rPr>
          <w:rFonts w:cs="Arial"/>
        </w:rPr>
      </w:pPr>
      <w:r w:rsidRPr="00151EE5">
        <w:rPr>
          <w:rFonts w:cs="Arial"/>
        </w:rPr>
        <w:t xml:space="preserve">Lectures will introduce the students to the range of concepts, principles and methodologies. Seminars will be used to support the application, discussion, and critical evaluation of these approaches. Through directed reading and direct self-learning, the students will research case studies, apply the comparative analyses covered in the lectures, to develop understanding and application of the techniques. </w:t>
      </w:r>
    </w:p>
    <w:p w:rsidR="00151EE5" w:rsidRPr="00151EE5" w:rsidRDefault="00151EE5" w:rsidP="00151EE5">
      <w:pPr>
        <w:spacing w:before="120"/>
        <w:rPr>
          <w:rFonts w:cs="Arial"/>
        </w:rPr>
      </w:pPr>
      <w:r w:rsidRPr="00151EE5">
        <w:rPr>
          <w:rFonts w:cs="Arial"/>
        </w:rPr>
        <w:t>The allocation of teaching to deliver the module is:</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151EE5" w:rsidRPr="00151EE5" w:rsidTr="005D7A10">
        <w:tc>
          <w:tcPr>
            <w:tcW w:w="3969" w:type="dxa"/>
            <w:tcBorders>
              <w:top w:val="single" w:sz="4" w:space="0" w:color="auto"/>
              <w:left w:val="single" w:sz="4" w:space="0" w:color="auto"/>
              <w:bottom w:val="single" w:sz="4" w:space="0" w:color="auto"/>
              <w:right w:val="single" w:sz="4" w:space="0" w:color="auto"/>
            </w:tcBorders>
            <w:hideMark/>
          </w:tcPr>
          <w:p w:rsidR="00151EE5" w:rsidRPr="00151EE5" w:rsidRDefault="00151EE5" w:rsidP="005D7A10">
            <w:pPr>
              <w:rPr>
                <w:rFonts w:cs="Arial"/>
                <w:b/>
              </w:rPr>
            </w:pPr>
            <w:r w:rsidRPr="00151EE5">
              <w:rPr>
                <w:rFonts w:cs="Arial"/>
                <w:b/>
              </w:rPr>
              <w:t>Activity type</w:t>
            </w:r>
          </w:p>
        </w:tc>
        <w:tc>
          <w:tcPr>
            <w:tcW w:w="1701" w:type="dxa"/>
            <w:tcBorders>
              <w:top w:val="single" w:sz="4" w:space="0" w:color="auto"/>
              <w:left w:val="single" w:sz="4" w:space="0" w:color="auto"/>
              <w:bottom w:val="single" w:sz="4" w:space="0" w:color="auto"/>
              <w:right w:val="single" w:sz="4" w:space="0" w:color="auto"/>
            </w:tcBorders>
            <w:hideMark/>
          </w:tcPr>
          <w:p w:rsidR="00151EE5" w:rsidRPr="00151EE5" w:rsidRDefault="00151EE5" w:rsidP="005D7A10">
            <w:pPr>
              <w:jc w:val="center"/>
              <w:rPr>
                <w:rFonts w:cs="Arial"/>
                <w:b/>
              </w:rPr>
            </w:pPr>
            <w:r w:rsidRPr="00151EE5">
              <w:rPr>
                <w:rFonts w:cs="Arial"/>
                <w:b/>
              </w:rPr>
              <w:t>Hours</w:t>
            </w:r>
          </w:p>
        </w:tc>
        <w:tc>
          <w:tcPr>
            <w:tcW w:w="1843" w:type="dxa"/>
            <w:tcBorders>
              <w:top w:val="single" w:sz="4" w:space="0" w:color="auto"/>
              <w:left w:val="single" w:sz="4" w:space="0" w:color="auto"/>
              <w:bottom w:val="single" w:sz="4" w:space="0" w:color="auto"/>
              <w:right w:val="single" w:sz="4" w:space="0" w:color="auto"/>
            </w:tcBorders>
            <w:hideMark/>
          </w:tcPr>
          <w:p w:rsidR="00151EE5" w:rsidRPr="00151EE5" w:rsidRDefault="00151EE5" w:rsidP="005D7A10">
            <w:pPr>
              <w:jc w:val="center"/>
              <w:rPr>
                <w:rFonts w:cs="Arial"/>
                <w:b/>
              </w:rPr>
            </w:pPr>
            <w:r w:rsidRPr="00151EE5">
              <w:rPr>
                <w:rFonts w:cs="Arial"/>
                <w:b/>
              </w:rPr>
              <w:t>Percentage</w:t>
            </w:r>
          </w:p>
        </w:tc>
      </w:tr>
      <w:tr w:rsidR="00151EE5" w:rsidRPr="00151EE5" w:rsidTr="005D7A10">
        <w:tc>
          <w:tcPr>
            <w:tcW w:w="3969" w:type="dxa"/>
            <w:tcBorders>
              <w:top w:val="single" w:sz="4" w:space="0" w:color="auto"/>
              <w:left w:val="single" w:sz="4" w:space="0" w:color="auto"/>
              <w:bottom w:val="single" w:sz="4" w:space="0" w:color="auto"/>
              <w:right w:val="single" w:sz="4" w:space="0" w:color="auto"/>
            </w:tcBorders>
            <w:hideMark/>
          </w:tcPr>
          <w:p w:rsidR="00151EE5" w:rsidRPr="00151EE5" w:rsidRDefault="00151EE5" w:rsidP="005D7A10">
            <w:pPr>
              <w:rPr>
                <w:rFonts w:cs="Arial"/>
              </w:rPr>
            </w:pPr>
            <w:r w:rsidRPr="00151EE5">
              <w:rPr>
                <w:rFonts w:cs="Arial"/>
              </w:rPr>
              <w:t>Scheduled learning</w:t>
            </w:r>
          </w:p>
        </w:tc>
        <w:tc>
          <w:tcPr>
            <w:tcW w:w="1701" w:type="dxa"/>
            <w:tcBorders>
              <w:top w:val="single" w:sz="4" w:space="0" w:color="auto"/>
              <w:left w:val="single" w:sz="4" w:space="0" w:color="auto"/>
              <w:bottom w:val="single" w:sz="4" w:space="0" w:color="auto"/>
              <w:right w:val="single" w:sz="4" w:space="0" w:color="auto"/>
            </w:tcBorders>
            <w:hideMark/>
          </w:tcPr>
          <w:p w:rsidR="00151EE5" w:rsidRPr="00151EE5" w:rsidRDefault="00151EE5" w:rsidP="005D7A10">
            <w:pPr>
              <w:jc w:val="center"/>
              <w:rPr>
                <w:rFonts w:cs="Arial"/>
              </w:rPr>
            </w:pPr>
            <w:r w:rsidRPr="00151EE5">
              <w:rPr>
                <w:rFonts w:cs="Arial"/>
              </w:rPr>
              <w:t>30</w:t>
            </w:r>
          </w:p>
        </w:tc>
        <w:tc>
          <w:tcPr>
            <w:tcW w:w="1843" w:type="dxa"/>
            <w:tcBorders>
              <w:top w:val="single" w:sz="4" w:space="0" w:color="auto"/>
              <w:left w:val="single" w:sz="4" w:space="0" w:color="auto"/>
              <w:bottom w:val="single" w:sz="4" w:space="0" w:color="auto"/>
              <w:right w:val="single" w:sz="4" w:space="0" w:color="auto"/>
            </w:tcBorders>
            <w:hideMark/>
          </w:tcPr>
          <w:p w:rsidR="00151EE5" w:rsidRPr="00151EE5" w:rsidRDefault="00151EE5" w:rsidP="005D7A10">
            <w:pPr>
              <w:jc w:val="center"/>
              <w:rPr>
                <w:rFonts w:cs="Arial"/>
              </w:rPr>
            </w:pPr>
            <w:r w:rsidRPr="00151EE5">
              <w:rPr>
                <w:rFonts w:cs="Arial"/>
              </w:rPr>
              <w:t>10</w:t>
            </w:r>
          </w:p>
        </w:tc>
      </w:tr>
      <w:tr w:rsidR="00151EE5" w:rsidRPr="00151EE5" w:rsidTr="005D7A10">
        <w:tc>
          <w:tcPr>
            <w:tcW w:w="3969" w:type="dxa"/>
            <w:tcBorders>
              <w:top w:val="single" w:sz="4" w:space="0" w:color="auto"/>
              <w:left w:val="single" w:sz="4" w:space="0" w:color="auto"/>
              <w:bottom w:val="single" w:sz="4" w:space="0" w:color="auto"/>
              <w:right w:val="single" w:sz="4" w:space="0" w:color="auto"/>
            </w:tcBorders>
            <w:hideMark/>
          </w:tcPr>
          <w:p w:rsidR="00151EE5" w:rsidRPr="00151EE5" w:rsidRDefault="00151EE5" w:rsidP="005D7A10">
            <w:pPr>
              <w:rPr>
                <w:rFonts w:cs="Arial"/>
              </w:rPr>
            </w:pPr>
            <w:r w:rsidRPr="00151EE5">
              <w:rPr>
                <w:rFonts w:cs="Arial"/>
              </w:rPr>
              <w:t>Guided reading and research</w:t>
            </w:r>
          </w:p>
        </w:tc>
        <w:tc>
          <w:tcPr>
            <w:tcW w:w="1701" w:type="dxa"/>
            <w:tcBorders>
              <w:top w:val="single" w:sz="4" w:space="0" w:color="auto"/>
              <w:left w:val="single" w:sz="4" w:space="0" w:color="auto"/>
              <w:bottom w:val="single" w:sz="4" w:space="0" w:color="auto"/>
              <w:right w:val="single" w:sz="4" w:space="0" w:color="auto"/>
            </w:tcBorders>
            <w:hideMark/>
          </w:tcPr>
          <w:p w:rsidR="00151EE5" w:rsidRPr="00151EE5" w:rsidRDefault="00151EE5" w:rsidP="005D7A10">
            <w:pPr>
              <w:jc w:val="center"/>
              <w:rPr>
                <w:rFonts w:cs="Arial"/>
              </w:rPr>
            </w:pPr>
            <w:r w:rsidRPr="00151EE5">
              <w:rPr>
                <w:rFonts w:cs="Arial"/>
              </w:rPr>
              <w:t>15</w:t>
            </w:r>
          </w:p>
        </w:tc>
        <w:tc>
          <w:tcPr>
            <w:tcW w:w="1843" w:type="dxa"/>
            <w:tcBorders>
              <w:top w:val="single" w:sz="4" w:space="0" w:color="auto"/>
              <w:left w:val="single" w:sz="4" w:space="0" w:color="auto"/>
              <w:bottom w:val="single" w:sz="4" w:space="0" w:color="auto"/>
              <w:right w:val="single" w:sz="4" w:space="0" w:color="auto"/>
            </w:tcBorders>
            <w:hideMark/>
          </w:tcPr>
          <w:p w:rsidR="00151EE5" w:rsidRPr="00151EE5" w:rsidRDefault="00151EE5" w:rsidP="005D7A10">
            <w:pPr>
              <w:jc w:val="center"/>
              <w:rPr>
                <w:rFonts w:cs="Arial"/>
              </w:rPr>
            </w:pPr>
            <w:r w:rsidRPr="00151EE5">
              <w:rPr>
                <w:rFonts w:cs="Arial"/>
              </w:rPr>
              <w:t>5</w:t>
            </w:r>
          </w:p>
        </w:tc>
      </w:tr>
      <w:tr w:rsidR="00151EE5" w:rsidRPr="00151EE5" w:rsidTr="005D7A10">
        <w:tc>
          <w:tcPr>
            <w:tcW w:w="3969" w:type="dxa"/>
            <w:tcBorders>
              <w:top w:val="single" w:sz="4" w:space="0" w:color="auto"/>
              <w:left w:val="single" w:sz="4" w:space="0" w:color="auto"/>
              <w:bottom w:val="single" w:sz="4" w:space="0" w:color="auto"/>
              <w:right w:val="single" w:sz="4" w:space="0" w:color="auto"/>
            </w:tcBorders>
            <w:hideMark/>
          </w:tcPr>
          <w:p w:rsidR="00151EE5" w:rsidRPr="00151EE5" w:rsidRDefault="00151EE5" w:rsidP="005D7A10">
            <w:pPr>
              <w:rPr>
                <w:rFonts w:cs="Arial"/>
              </w:rPr>
            </w:pPr>
            <w:r w:rsidRPr="00151EE5">
              <w:rPr>
                <w:rFonts w:cs="Arial"/>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rsidR="00151EE5" w:rsidRPr="00151EE5" w:rsidRDefault="00151EE5" w:rsidP="005D7A10">
            <w:pPr>
              <w:jc w:val="center"/>
              <w:rPr>
                <w:rFonts w:cs="Arial"/>
              </w:rPr>
            </w:pPr>
            <w:r w:rsidRPr="00151EE5">
              <w:rPr>
                <w:rFonts w:cs="Arial"/>
              </w:rPr>
              <w:t>255</w:t>
            </w:r>
          </w:p>
        </w:tc>
        <w:tc>
          <w:tcPr>
            <w:tcW w:w="1843" w:type="dxa"/>
            <w:tcBorders>
              <w:top w:val="single" w:sz="4" w:space="0" w:color="auto"/>
              <w:left w:val="single" w:sz="4" w:space="0" w:color="auto"/>
              <w:bottom w:val="single" w:sz="4" w:space="0" w:color="auto"/>
              <w:right w:val="single" w:sz="4" w:space="0" w:color="auto"/>
            </w:tcBorders>
            <w:hideMark/>
          </w:tcPr>
          <w:p w:rsidR="00151EE5" w:rsidRPr="00151EE5" w:rsidRDefault="00151EE5" w:rsidP="005D7A10">
            <w:pPr>
              <w:jc w:val="center"/>
              <w:rPr>
                <w:rFonts w:cs="Arial"/>
              </w:rPr>
            </w:pPr>
            <w:r w:rsidRPr="00151EE5">
              <w:rPr>
                <w:rFonts w:cs="Arial"/>
              </w:rPr>
              <w:t>85</w:t>
            </w:r>
          </w:p>
        </w:tc>
      </w:tr>
      <w:tr w:rsidR="00151EE5" w:rsidRPr="00151EE5" w:rsidTr="005D7A10">
        <w:tc>
          <w:tcPr>
            <w:tcW w:w="3969" w:type="dxa"/>
            <w:tcBorders>
              <w:top w:val="single" w:sz="4" w:space="0" w:color="auto"/>
              <w:left w:val="single" w:sz="4" w:space="0" w:color="auto"/>
              <w:bottom w:val="single" w:sz="4" w:space="0" w:color="auto"/>
              <w:right w:val="single" w:sz="4" w:space="0" w:color="auto"/>
            </w:tcBorders>
            <w:hideMark/>
          </w:tcPr>
          <w:p w:rsidR="00151EE5" w:rsidRPr="00151EE5" w:rsidRDefault="00151EE5" w:rsidP="005D7A10">
            <w:pPr>
              <w:rPr>
                <w:rFonts w:cs="Arial"/>
              </w:rPr>
            </w:pPr>
            <w:r w:rsidRPr="00151EE5">
              <w:rPr>
                <w:rFonts w:cs="Arial"/>
                <w:b/>
              </w:rPr>
              <w:t>TOTAL</w:t>
            </w:r>
          </w:p>
        </w:tc>
        <w:tc>
          <w:tcPr>
            <w:tcW w:w="1701" w:type="dxa"/>
            <w:tcBorders>
              <w:top w:val="single" w:sz="4" w:space="0" w:color="auto"/>
              <w:left w:val="single" w:sz="4" w:space="0" w:color="auto"/>
              <w:bottom w:val="single" w:sz="4" w:space="0" w:color="auto"/>
              <w:right w:val="single" w:sz="4" w:space="0" w:color="auto"/>
            </w:tcBorders>
            <w:hideMark/>
          </w:tcPr>
          <w:p w:rsidR="00151EE5" w:rsidRPr="00151EE5" w:rsidRDefault="00151EE5" w:rsidP="005D7A10">
            <w:pPr>
              <w:jc w:val="center"/>
              <w:rPr>
                <w:rFonts w:cs="Arial"/>
                <w:b/>
              </w:rPr>
            </w:pPr>
            <w:r w:rsidRPr="00151EE5">
              <w:rPr>
                <w:rFonts w:cs="Arial"/>
                <w:b/>
              </w:rPr>
              <w:t>[300]</w:t>
            </w:r>
          </w:p>
        </w:tc>
        <w:tc>
          <w:tcPr>
            <w:tcW w:w="1843" w:type="dxa"/>
            <w:tcBorders>
              <w:top w:val="single" w:sz="4" w:space="0" w:color="auto"/>
              <w:left w:val="single" w:sz="4" w:space="0" w:color="auto"/>
              <w:bottom w:val="single" w:sz="4" w:space="0" w:color="auto"/>
              <w:right w:val="single" w:sz="4" w:space="0" w:color="auto"/>
            </w:tcBorders>
            <w:hideMark/>
          </w:tcPr>
          <w:p w:rsidR="00151EE5" w:rsidRPr="00151EE5" w:rsidRDefault="00151EE5" w:rsidP="005D7A10">
            <w:pPr>
              <w:jc w:val="center"/>
              <w:rPr>
                <w:rFonts w:cs="Arial"/>
                <w:b/>
              </w:rPr>
            </w:pPr>
            <w:r w:rsidRPr="00151EE5">
              <w:rPr>
                <w:rFonts w:cs="Arial"/>
                <w:b/>
              </w:rPr>
              <w:t>100%</w:t>
            </w:r>
          </w:p>
        </w:tc>
      </w:tr>
    </w:tbl>
    <w:p w:rsidR="00151EE5" w:rsidRPr="00151EE5" w:rsidRDefault="00151EE5" w:rsidP="00151EE5">
      <w:pPr>
        <w:pStyle w:val="fixed"/>
        <w:ind w:left="0" w:firstLine="0"/>
        <w:rPr>
          <w:rFonts w:cs="Arial"/>
          <w:szCs w:val="22"/>
        </w:rPr>
      </w:pPr>
    </w:p>
    <w:p w:rsidR="00151EE5" w:rsidRPr="00151EE5" w:rsidRDefault="00151EE5" w:rsidP="00151EE5">
      <w:pPr>
        <w:pStyle w:val="heading"/>
        <w:rPr>
          <w:rFonts w:cs="Arial"/>
          <w:szCs w:val="22"/>
        </w:rPr>
      </w:pPr>
      <w:r w:rsidRPr="00151EE5">
        <w:rPr>
          <w:rFonts w:cs="Arial"/>
          <w:szCs w:val="22"/>
        </w:rPr>
        <w:t>ASSESSMENT</w:t>
      </w:r>
    </w:p>
    <w:p w:rsidR="00151EE5" w:rsidRPr="00151EE5" w:rsidRDefault="00151EE5" w:rsidP="00151EE5">
      <w:pPr>
        <w:pStyle w:val="heading"/>
        <w:rPr>
          <w:rFonts w:cs="Arial"/>
          <w:szCs w:val="22"/>
        </w:rPr>
      </w:pPr>
      <w:r w:rsidRPr="00151EE5">
        <w:rPr>
          <w:rFonts w:cs="Arial"/>
          <w:szCs w:val="22"/>
        </w:rPr>
        <w:t>Assessment Component 1 60%</w:t>
      </w:r>
    </w:p>
    <w:p w:rsidR="00151EE5" w:rsidRPr="00151EE5" w:rsidRDefault="00151EE5" w:rsidP="00A741CD">
      <w:pPr>
        <w:spacing w:after="120"/>
        <w:rPr>
          <w:rFonts w:cs="Arial"/>
        </w:rPr>
      </w:pPr>
      <w:r w:rsidRPr="00151EE5">
        <w:rPr>
          <w:rFonts w:cs="Arial"/>
          <w:b/>
          <w:color w:val="000000"/>
        </w:rPr>
        <w:t xml:space="preserve">Coursework: </w:t>
      </w:r>
      <w:r w:rsidRPr="00151EE5">
        <w:rPr>
          <w:rFonts w:cs="Arial"/>
        </w:rPr>
        <w:t>Assignment: 5000 words. (60%)</w:t>
      </w:r>
    </w:p>
    <w:p w:rsidR="00151EE5" w:rsidRPr="00151EE5" w:rsidRDefault="00151EE5" w:rsidP="00A741CD">
      <w:pPr>
        <w:spacing w:after="120"/>
        <w:rPr>
          <w:rFonts w:cs="Arial"/>
        </w:rPr>
      </w:pPr>
      <w:r w:rsidRPr="00151EE5">
        <w:rPr>
          <w:rFonts w:cs="Arial"/>
        </w:rPr>
        <w:t>Exemplar:</w:t>
      </w:r>
    </w:p>
    <w:p w:rsidR="00151EE5" w:rsidRPr="00151EE5" w:rsidRDefault="00151EE5" w:rsidP="00A741CD">
      <w:pPr>
        <w:spacing w:after="120"/>
        <w:rPr>
          <w:rFonts w:cs="Arial"/>
        </w:rPr>
      </w:pPr>
      <w:r w:rsidRPr="00151EE5">
        <w:rPr>
          <w:rFonts w:cs="Arial"/>
        </w:rPr>
        <w:t>The workhouses set up after 1834 tend to receive a bad press. By using local examples assess their role and function within local Unions in south-west Wales.</w:t>
      </w:r>
    </w:p>
    <w:p w:rsidR="00151EE5" w:rsidRPr="00151EE5" w:rsidRDefault="00151EE5" w:rsidP="00A741CD">
      <w:pPr>
        <w:spacing w:after="120"/>
        <w:rPr>
          <w:rFonts w:cs="Arial"/>
          <w:b/>
        </w:rPr>
      </w:pPr>
      <w:r w:rsidRPr="00151EE5">
        <w:rPr>
          <w:rFonts w:cs="Arial"/>
          <w:b/>
        </w:rPr>
        <w:t>Assessment Component 2 40%</w:t>
      </w:r>
    </w:p>
    <w:p w:rsidR="00151EE5" w:rsidRPr="00151EE5" w:rsidRDefault="00151EE5" w:rsidP="00A741CD">
      <w:pPr>
        <w:spacing w:after="120"/>
        <w:rPr>
          <w:rFonts w:cs="Arial"/>
        </w:rPr>
      </w:pPr>
      <w:r w:rsidRPr="00151EE5">
        <w:rPr>
          <w:rFonts w:cs="Arial"/>
          <w:b/>
          <w:color w:val="000000"/>
        </w:rPr>
        <w:t xml:space="preserve">Coursework: </w:t>
      </w:r>
      <w:r w:rsidRPr="00151EE5">
        <w:rPr>
          <w:rFonts w:cs="Arial"/>
        </w:rPr>
        <w:t>Assignment: 3000 words</w:t>
      </w:r>
    </w:p>
    <w:p w:rsidR="00151EE5" w:rsidRPr="00151EE5" w:rsidRDefault="00151EE5" w:rsidP="00A741CD">
      <w:pPr>
        <w:spacing w:after="120"/>
        <w:rPr>
          <w:rFonts w:cs="Arial"/>
        </w:rPr>
      </w:pPr>
      <w:r w:rsidRPr="00151EE5">
        <w:rPr>
          <w:rFonts w:cs="Arial"/>
        </w:rPr>
        <w:t>Exemplar:</w:t>
      </w:r>
    </w:p>
    <w:p w:rsidR="00151EE5" w:rsidRPr="00151EE5" w:rsidRDefault="00151EE5" w:rsidP="00A741CD">
      <w:pPr>
        <w:spacing w:after="120"/>
        <w:rPr>
          <w:rFonts w:cs="Arial"/>
        </w:rPr>
      </w:pPr>
      <w:r w:rsidRPr="00151EE5">
        <w:rPr>
          <w:rFonts w:cs="Arial"/>
        </w:rPr>
        <w:t>Assess how the nature and philosophy of medicine and medical practice changes in a chosen area within South-West Wales during the second half of the nineteenth century.</w:t>
      </w:r>
    </w:p>
    <w:p w:rsidR="00151EE5" w:rsidRPr="00151EE5" w:rsidRDefault="00151EE5" w:rsidP="00A741CD">
      <w:pPr>
        <w:tabs>
          <w:tab w:val="left" w:pos="720"/>
          <w:tab w:val="left" w:pos="1440"/>
          <w:tab w:val="left" w:pos="2160"/>
          <w:tab w:val="left" w:pos="2880"/>
        </w:tabs>
        <w:spacing w:after="120"/>
        <w:rPr>
          <w:rFonts w:cs="Arial"/>
          <w:b/>
        </w:rPr>
      </w:pPr>
      <w:r w:rsidRPr="00151EE5">
        <w:rPr>
          <w:rFonts w:cs="Arial"/>
          <w: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151EE5" w:rsidRPr="00151EE5" w:rsidTr="005D7A10">
        <w:tc>
          <w:tcPr>
            <w:tcW w:w="3261" w:type="dxa"/>
            <w:tcBorders>
              <w:top w:val="single" w:sz="4" w:space="0" w:color="auto"/>
              <w:left w:val="single" w:sz="4" w:space="0" w:color="auto"/>
              <w:bottom w:val="single" w:sz="4" w:space="0" w:color="auto"/>
              <w:right w:val="single" w:sz="4" w:space="0" w:color="auto"/>
            </w:tcBorders>
            <w:hideMark/>
          </w:tcPr>
          <w:p w:rsidR="00151EE5" w:rsidRPr="00151EE5" w:rsidRDefault="00151EE5" w:rsidP="005D7A10">
            <w:pPr>
              <w:rPr>
                <w:rFonts w:cs="Arial"/>
                <w:b/>
              </w:rPr>
            </w:pPr>
            <w:r w:rsidRPr="00151EE5">
              <w:rPr>
                <w:rFonts w:cs="Arial"/>
                <w:b/>
              </w:rPr>
              <w:lastRenderedPageBreak/>
              <w:t>Activity type</w:t>
            </w:r>
          </w:p>
        </w:tc>
        <w:tc>
          <w:tcPr>
            <w:tcW w:w="1842" w:type="dxa"/>
            <w:tcBorders>
              <w:top w:val="single" w:sz="4" w:space="0" w:color="auto"/>
              <w:left w:val="single" w:sz="4" w:space="0" w:color="auto"/>
              <w:bottom w:val="single" w:sz="4" w:space="0" w:color="auto"/>
              <w:right w:val="single" w:sz="4" w:space="0" w:color="auto"/>
            </w:tcBorders>
            <w:hideMark/>
          </w:tcPr>
          <w:p w:rsidR="00151EE5" w:rsidRPr="00151EE5" w:rsidRDefault="00151EE5" w:rsidP="005D7A10">
            <w:pPr>
              <w:rPr>
                <w:rFonts w:cs="Arial"/>
                <w:b/>
              </w:rPr>
            </w:pPr>
            <w:r w:rsidRPr="00151EE5">
              <w:rPr>
                <w:rFonts w:cs="Arial"/>
                <w:b/>
              </w:rPr>
              <w:t>Percentage</w:t>
            </w:r>
          </w:p>
        </w:tc>
      </w:tr>
      <w:tr w:rsidR="00151EE5" w:rsidRPr="00151EE5" w:rsidTr="005D7A10">
        <w:tc>
          <w:tcPr>
            <w:tcW w:w="3261" w:type="dxa"/>
            <w:tcBorders>
              <w:top w:val="single" w:sz="4" w:space="0" w:color="auto"/>
              <w:left w:val="single" w:sz="4" w:space="0" w:color="auto"/>
              <w:bottom w:val="single" w:sz="4" w:space="0" w:color="auto"/>
              <w:right w:val="single" w:sz="4" w:space="0" w:color="auto"/>
            </w:tcBorders>
            <w:hideMark/>
          </w:tcPr>
          <w:p w:rsidR="00151EE5" w:rsidRPr="00151EE5" w:rsidRDefault="00151EE5" w:rsidP="005D7A10">
            <w:pPr>
              <w:rPr>
                <w:rFonts w:cs="Arial"/>
              </w:rPr>
            </w:pPr>
            <w:r w:rsidRPr="00151EE5">
              <w:rPr>
                <w:rFonts w:cs="Arial"/>
              </w:rPr>
              <w:t>Written</w:t>
            </w:r>
          </w:p>
        </w:tc>
        <w:tc>
          <w:tcPr>
            <w:tcW w:w="1842" w:type="dxa"/>
            <w:tcBorders>
              <w:top w:val="single" w:sz="4" w:space="0" w:color="auto"/>
              <w:left w:val="single" w:sz="4" w:space="0" w:color="auto"/>
              <w:bottom w:val="single" w:sz="4" w:space="0" w:color="auto"/>
              <w:right w:val="single" w:sz="4" w:space="0" w:color="auto"/>
            </w:tcBorders>
          </w:tcPr>
          <w:p w:rsidR="00151EE5" w:rsidRPr="00151EE5" w:rsidRDefault="00151EE5" w:rsidP="005D7A10">
            <w:pPr>
              <w:rPr>
                <w:rFonts w:cs="Arial"/>
              </w:rPr>
            </w:pPr>
          </w:p>
        </w:tc>
      </w:tr>
      <w:tr w:rsidR="00151EE5" w:rsidRPr="00151EE5" w:rsidTr="005D7A10">
        <w:tc>
          <w:tcPr>
            <w:tcW w:w="3261" w:type="dxa"/>
            <w:tcBorders>
              <w:top w:val="single" w:sz="4" w:space="0" w:color="auto"/>
              <w:left w:val="single" w:sz="4" w:space="0" w:color="auto"/>
              <w:bottom w:val="single" w:sz="4" w:space="0" w:color="auto"/>
              <w:right w:val="single" w:sz="4" w:space="0" w:color="auto"/>
            </w:tcBorders>
            <w:hideMark/>
          </w:tcPr>
          <w:p w:rsidR="00151EE5" w:rsidRPr="00151EE5" w:rsidRDefault="00151EE5" w:rsidP="005D7A10">
            <w:pPr>
              <w:rPr>
                <w:rFonts w:cs="Arial"/>
              </w:rPr>
            </w:pPr>
            <w:r w:rsidRPr="00151EE5">
              <w:rPr>
                <w:rFonts w:cs="Arial"/>
              </w:rPr>
              <w:t>Coursework</w:t>
            </w:r>
          </w:p>
        </w:tc>
        <w:tc>
          <w:tcPr>
            <w:tcW w:w="1842" w:type="dxa"/>
            <w:tcBorders>
              <w:top w:val="single" w:sz="4" w:space="0" w:color="auto"/>
              <w:left w:val="single" w:sz="4" w:space="0" w:color="auto"/>
              <w:bottom w:val="single" w:sz="4" w:space="0" w:color="auto"/>
              <w:right w:val="single" w:sz="4" w:space="0" w:color="auto"/>
            </w:tcBorders>
            <w:hideMark/>
          </w:tcPr>
          <w:p w:rsidR="00151EE5" w:rsidRPr="00151EE5" w:rsidRDefault="00151EE5" w:rsidP="005D7A10">
            <w:pPr>
              <w:rPr>
                <w:rFonts w:cs="Arial"/>
              </w:rPr>
            </w:pPr>
            <w:r w:rsidRPr="00151EE5">
              <w:rPr>
                <w:rFonts w:cs="Arial"/>
              </w:rPr>
              <w:t>100%</w:t>
            </w:r>
          </w:p>
        </w:tc>
      </w:tr>
      <w:tr w:rsidR="00151EE5" w:rsidRPr="00151EE5" w:rsidTr="005D7A10">
        <w:tc>
          <w:tcPr>
            <w:tcW w:w="3261" w:type="dxa"/>
            <w:tcBorders>
              <w:top w:val="single" w:sz="4" w:space="0" w:color="auto"/>
              <w:left w:val="single" w:sz="4" w:space="0" w:color="auto"/>
              <w:bottom w:val="single" w:sz="4" w:space="0" w:color="auto"/>
              <w:right w:val="single" w:sz="4" w:space="0" w:color="auto"/>
            </w:tcBorders>
            <w:hideMark/>
          </w:tcPr>
          <w:p w:rsidR="00151EE5" w:rsidRPr="00151EE5" w:rsidRDefault="00151EE5" w:rsidP="005D7A10">
            <w:pPr>
              <w:rPr>
                <w:rFonts w:cs="Arial"/>
              </w:rPr>
            </w:pPr>
            <w:r w:rsidRPr="00151EE5">
              <w:rPr>
                <w:rFonts w:cs="Arial"/>
              </w:rPr>
              <w:t>Practical</w:t>
            </w:r>
          </w:p>
        </w:tc>
        <w:tc>
          <w:tcPr>
            <w:tcW w:w="1842" w:type="dxa"/>
            <w:tcBorders>
              <w:top w:val="single" w:sz="4" w:space="0" w:color="auto"/>
              <w:left w:val="single" w:sz="4" w:space="0" w:color="auto"/>
              <w:bottom w:val="single" w:sz="4" w:space="0" w:color="auto"/>
              <w:right w:val="single" w:sz="4" w:space="0" w:color="auto"/>
            </w:tcBorders>
          </w:tcPr>
          <w:p w:rsidR="00151EE5" w:rsidRPr="00151EE5" w:rsidRDefault="00151EE5" w:rsidP="005D7A10">
            <w:pPr>
              <w:rPr>
                <w:rFonts w:cs="Arial"/>
              </w:rPr>
            </w:pPr>
          </w:p>
        </w:tc>
      </w:tr>
      <w:tr w:rsidR="00151EE5" w:rsidRPr="00151EE5" w:rsidTr="005D7A10">
        <w:tc>
          <w:tcPr>
            <w:tcW w:w="3261" w:type="dxa"/>
            <w:tcBorders>
              <w:top w:val="single" w:sz="4" w:space="0" w:color="auto"/>
              <w:left w:val="single" w:sz="4" w:space="0" w:color="auto"/>
              <w:bottom w:val="single" w:sz="4" w:space="0" w:color="auto"/>
              <w:right w:val="single" w:sz="4" w:space="0" w:color="auto"/>
            </w:tcBorders>
            <w:hideMark/>
          </w:tcPr>
          <w:p w:rsidR="00151EE5" w:rsidRPr="00151EE5" w:rsidRDefault="00151EE5" w:rsidP="005D7A10">
            <w:pPr>
              <w:rPr>
                <w:rFonts w:cs="Arial"/>
              </w:rPr>
            </w:pPr>
            <w:r w:rsidRPr="00151EE5">
              <w:rPr>
                <w:rFonts w:cs="Arial"/>
                <w:b/>
              </w:rPr>
              <w:t>TOTAL</w:t>
            </w:r>
          </w:p>
        </w:tc>
        <w:tc>
          <w:tcPr>
            <w:tcW w:w="1842" w:type="dxa"/>
            <w:tcBorders>
              <w:top w:val="single" w:sz="4" w:space="0" w:color="auto"/>
              <w:left w:val="single" w:sz="4" w:space="0" w:color="auto"/>
              <w:bottom w:val="single" w:sz="4" w:space="0" w:color="auto"/>
              <w:right w:val="single" w:sz="4" w:space="0" w:color="auto"/>
            </w:tcBorders>
            <w:hideMark/>
          </w:tcPr>
          <w:p w:rsidR="00151EE5" w:rsidRPr="00151EE5" w:rsidRDefault="00151EE5" w:rsidP="005D7A10">
            <w:pPr>
              <w:rPr>
                <w:rFonts w:cs="Arial"/>
                <w:b/>
              </w:rPr>
            </w:pPr>
            <w:r w:rsidRPr="00151EE5">
              <w:rPr>
                <w:rFonts w:cs="Arial"/>
                <w:b/>
              </w:rPr>
              <w:t>100%</w:t>
            </w:r>
          </w:p>
        </w:tc>
      </w:tr>
    </w:tbl>
    <w:p w:rsidR="00151EE5" w:rsidRPr="00151EE5" w:rsidRDefault="00151EE5" w:rsidP="00151EE5">
      <w:pPr>
        <w:rPr>
          <w:rFonts w:cs="Arial"/>
        </w:rPr>
      </w:pPr>
    </w:p>
    <w:p w:rsidR="00151EE5" w:rsidRPr="00151EE5" w:rsidRDefault="00151EE5" w:rsidP="00151EE5">
      <w:pPr>
        <w:rPr>
          <w:rFonts w:cs="Arial"/>
          <w:b/>
        </w:rPr>
      </w:pPr>
    </w:p>
    <w:p w:rsidR="00151EE5" w:rsidRPr="00151EE5" w:rsidRDefault="00151EE5" w:rsidP="00151EE5">
      <w:pPr>
        <w:rPr>
          <w:rFonts w:cs="Arial"/>
          <w:b/>
        </w:rPr>
      </w:pPr>
    </w:p>
    <w:p w:rsidR="00151EE5" w:rsidRPr="00151EE5" w:rsidRDefault="00151EE5" w:rsidP="00151EE5">
      <w:pPr>
        <w:tabs>
          <w:tab w:val="left" w:pos="720"/>
          <w:tab w:val="left" w:pos="1440"/>
          <w:tab w:val="left" w:pos="2160"/>
          <w:tab w:val="left" w:pos="2880"/>
        </w:tabs>
        <w:rPr>
          <w:rFonts w:cs="Arial"/>
          <w:b/>
        </w:rPr>
      </w:pPr>
    </w:p>
    <w:p w:rsidR="00A741CD" w:rsidRDefault="00A741CD" w:rsidP="00151EE5">
      <w:pPr>
        <w:rPr>
          <w:rFonts w:cs="Arial"/>
          <w:b/>
        </w:rPr>
      </w:pPr>
    </w:p>
    <w:p w:rsidR="00A741CD" w:rsidRDefault="00A741CD" w:rsidP="00151EE5">
      <w:pPr>
        <w:rPr>
          <w:rFonts w:cs="Arial"/>
          <w:b/>
        </w:rPr>
      </w:pPr>
    </w:p>
    <w:p w:rsidR="00A741CD" w:rsidRDefault="00A741CD" w:rsidP="00151EE5">
      <w:pPr>
        <w:rPr>
          <w:rFonts w:cs="Arial"/>
          <w:b/>
        </w:rPr>
      </w:pPr>
    </w:p>
    <w:p w:rsidR="00151EE5" w:rsidRPr="00151EE5" w:rsidRDefault="00151EE5" w:rsidP="00151EE5">
      <w:pPr>
        <w:rPr>
          <w:rFonts w:cs="Arial"/>
          <w:b/>
        </w:rPr>
      </w:pPr>
      <w:r w:rsidRPr="00151EE5">
        <w:rPr>
          <w:rFonts w:cs="Arial"/>
          <w:b/>
        </w:rPr>
        <w:t>EDUCATION FOR SUSTAINABLE DEVELOPMENT (ESD)</w:t>
      </w:r>
    </w:p>
    <w:p w:rsidR="00151EE5" w:rsidRPr="00151EE5" w:rsidRDefault="00151EE5" w:rsidP="00151EE5">
      <w:pPr>
        <w:rPr>
          <w:rFonts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151EE5" w:rsidRPr="00151EE5" w:rsidTr="005D7A10">
        <w:tc>
          <w:tcPr>
            <w:tcW w:w="4443" w:type="dxa"/>
            <w:vMerge w:val="restart"/>
            <w:tcBorders>
              <w:top w:val="single" w:sz="4" w:space="0" w:color="auto"/>
              <w:left w:val="single" w:sz="4" w:space="0" w:color="auto"/>
              <w:bottom w:val="single" w:sz="4" w:space="0" w:color="auto"/>
              <w:right w:val="single" w:sz="4" w:space="0" w:color="auto"/>
            </w:tcBorders>
            <w:vAlign w:val="center"/>
            <w:hideMark/>
          </w:tcPr>
          <w:p w:rsidR="00151EE5" w:rsidRPr="00151EE5" w:rsidRDefault="00151EE5" w:rsidP="005D7A10">
            <w:pPr>
              <w:rPr>
                <w:rFonts w:cs="Arial"/>
                <w:b/>
              </w:rPr>
            </w:pPr>
            <w:r w:rsidRPr="00151EE5">
              <w:rPr>
                <w:rFonts w:cs="Arial"/>
              </w:rPr>
              <w:t>Does the module contribute to ESD?</w:t>
            </w:r>
          </w:p>
        </w:tc>
        <w:tc>
          <w:tcPr>
            <w:tcW w:w="4443" w:type="dxa"/>
            <w:tcBorders>
              <w:top w:val="single" w:sz="4" w:space="0" w:color="auto"/>
              <w:left w:val="single" w:sz="4" w:space="0" w:color="auto"/>
              <w:bottom w:val="single" w:sz="4" w:space="0" w:color="auto"/>
              <w:right w:val="single" w:sz="4" w:space="0" w:color="auto"/>
            </w:tcBorders>
            <w:vAlign w:val="center"/>
          </w:tcPr>
          <w:p w:rsidR="00151EE5" w:rsidRPr="00151EE5" w:rsidRDefault="00151EE5" w:rsidP="005D7A10">
            <w:pPr>
              <w:rPr>
                <w:rFonts w:cs="Arial"/>
                <w:b/>
              </w:rPr>
            </w:pPr>
            <w:r w:rsidRPr="00151EE5">
              <w:rPr>
                <w:rFonts w:cs="Arial"/>
              </w:rPr>
              <w:t>Yes</w:t>
            </w:r>
          </w:p>
          <w:p w:rsidR="00151EE5" w:rsidRPr="00151EE5" w:rsidRDefault="00151EE5" w:rsidP="005D7A10">
            <w:pPr>
              <w:rPr>
                <w:rFonts w:cs="Arial"/>
                <w:b/>
              </w:rPr>
            </w:pPr>
          </w:p>
        </w:tc>
      </w:tr>
      <w:tr w:rsidR="00151EE5" w:rsidRPr="00151EE5" w:rsidTr="005D7A10">
        <w:tc>
          <w:tcPr>
            <w:tcW w:w="0" w:type="auto"/>
            <w:vMerge/>
            <w:tcBorders>
              <w:top w:val="single" w:sz="4" w:space="0" w:color="auto"/>
              <w:left w:val="single" w:sz="4" w:space="0" w:color="auto"/>
              <w:bottom w:val="single" w:sz="4" w:space="0" w:color="auto"/>
              <w:right w:val="single" w:sz="4" w:space="0" w:color="auto"/>
            </w:tcBorders>
            <w:vAlign w:val="center"/>
            <w:hideMark/>
          </w:tcPr>
          <w:p w:rsidR="00151EE5" w:rsidRPr="00151EE5" w:rsidRDefault="00151EE5" w:rsidP="005D7A10">
            <w:pPr>
              <w:rPr>
                <w:rFonts w:cs="Arial"/>
                <w:b/>
              </w:rPr>
            </w:pPr>
          </w:p>
        </w:tc>
        <w:tc>
          <w:tcPr>
            <w:tcW w:w="4443" w:type="dxa"/>
            <w:tcBorders>
              <w:top w:val="single" w:sz="4" w:space="0" w:color="auto"/>
              <w:left w:val="single" w:sz="4" w:space="0" w:color="auto"/>
              <w:bottom w:val="single" w:sz="4" w:space="0" w:color="auto"/>
              <w:right w:val="single" w:sz="4" w:space="0" w:color="auto"/>
            </w:tcBorders>
            <w:vAlign w:val="center"/>
          </w:tcPr>
          <w:p w:rsidR="00151EE5" w:rsidRPr="00151EE5" w:rsidRDefault="00151EE5" w:rsidP="005D7A10">
            <w:pPr>
              <w:rPr>
                <w:rFonts w:cs="Arial"/>
                <w:b/>
                <w:strike/>
              </w:rPr>
            </w:pPr>
          </w:p>
          <w:p w:rsidR="00151EE5" w:rsidRPr="00151EE5" w:rsidRDefault="00151EE5" w:rsidP="005D7A10">
            <w:pPr>
              <w:rPr>
                <w:rFonts w:cs="Arial"/>
                <w:b/>
              </w:rPr>
            </w:pPr>
          </w:p>
        </w:tc>
      </w:tr>
      <w:tr w:rsidR="00151EE5" w:rsidRPr="00151EE5" w:rsidTr="005D7A10">
        <w:tc>
          <w:tcPr>
            <w:tcW w:w="8886" w:type="dxa"/>
            <w:gridSpan w:val="2"/>
            <w:tcBorders>
              <w:top w:val="single" w:sz="4" w:space="0" w:color="auto"/>
              <w:left w:val="single" w:sz="4" w:space="0" w:color="auto"/>
              <w:bottom w:val="single" w:sz="4" w:space="0" w:color="auto"/>
              <w:right w:val="single" w:sz="4" w:space="0" w:color="auto"/>
            </w:tcBorders>
          </w:tcPr>
          <w:p w:rsidR="00151EE5" w:rsidRPr="00151EE5" w:rsidRDefault="00151EE5" w:rsidP="005D7A10">
            <w:pPr>
              <w:rPr>
                <w:rFonts w:cs="Arial"/>
                <w:b/>
              </w:rPr>
            </w:pPr>
            <w:r w:rsidRPr="00151EE5">
              <w:rPr>
                <w:rFonts w:cs="Arial"/>
              </w:rPr>
              <w:t>If yes please provide brief details (no more than 100 words):</w:t>
            </w:r>
          </w:p>
          <w:p w:rsidR="00151EE5" w:rsidRPr="00151EE5" w:rsidRDefault="00151EE5" w:rsidP="005D7A10">
            <w:pPr>
              <w:rPr>
                <w:rFonts w:cs="Arial"/>
                <w:b/>
              </w:rPr>
            </w:pPr>
          </w:p>
          <w:p w:rsidR="00151EE5" w:rsidRPr="00151EE5" w:rsidRDefault="00151EE5" w:rsidP="005D7A10">
            <w:pPr>
              <w:rPr>
                <w:rFonts w:cs="Arial"/>
              </w:rPr>
            </w:pPr>
            <w:r w:rsidRPr="00151EE5">
              <w:rPr>
                <w:rFonts w:cs="Arial"/>
              </w:rPr>
              <w:t>The module focuses upon the enhancement of critical thinking, information gathering and presentation, representation, contextualization, interdisciplinary study, and the application of IT to research.</w:t>
            </w:r>
          </w:p>
          <w:p w:rsidR="00151EE5" w:rsidRPr="00151EE5" w:rsidRDefault="00151EE5" w:rsidP="005D7A10">
            <w:pPr>
              <w:rPr>
                <w:rFonts w:cs="Arial"/>
              </w:rPr>
            </w:pPr>
          </w:p>
          <w:p w:rsidR="00151EE5" w:rsidRPr="00151EE5" w:rsidRDefault="00151EE5" w:rsidP="005D7A10">
            <w:pPr>
              <w:rPr>
                <w:rFonts w:cs="Arial"/>
                <w:b/>
              </w:rPr>
            </w:pPr>
            <w:r w:rsidRPr="00151EE5">
              <w:rPr>
                <w:rFonts w:cs="Arial"/>
              </w:rPr>
              <w:t>It focuses a study of Welsh culture broadly understood in relation to the interaction of politics, economics and the environment, cultural heritage and practice, the interdependence of society, landscape and the natural environment, diversity and equality, the nature of change and continuity, and the ability to draw lessons and examples from past practice and approach, the dynamics of power and influence, representation and governance.</w:t>
            </w:r>
          </w:p>
        </w:tc>
      </w:tr>
    </w:tbl>
    <w:p w:rsidR="00E770D8" w:rsidRPr="002628B6" w:rsidRDefault="00E770D8" w:rsidP="00E770D8">
      <w:pPr>
        <w:pStyle w:val="heading"/>
        <w:rPr>
          <w:rFonts w:cs="Arial"/>
          <w:b w:val="0"/>
          <w:szCs w:val="22"/>
        </w:rPr>
      </w:pPr>
      <w:r w:rsidRPr="002628B6">
        <w:rPr>
          <w:rFonts w:cs="Arial"/>
          <w:szCs w:val="22"/>
        </w:rPr>
        <w:t>INDICATIVE READING LIST</w:t>
      </w:r>
    </w:p>
    <w:p w:rsidR="00E770D8" w:rsidRDefault="00E770D8" w:rsidP="00E770D8">
      <w:pPr>
        <w:pStyle w:val="heading"/>
        <w:rPr>
          <w:rFonts w:cs="Arial"/>
          <w:szCs w:val="22"/>
        </w:rPr>
      </w:pPr>
    </w:p>
    <w:tbl>
      <w:tblPr>
        <w:tblStyle w:val="TableGrid"/>
        <w:tblW w:w="0" w:type="auto"/>
        <w:tblLook w:val="04A0" w:firstRow="1" w:lastRow="0" w:firstColumn="1" w:lastColumn="0" w:noHBand="0" w:noVBand="1"/>
      </w:tblPr>
      <w:tblGrid>
        <w:gridCol w:w="1689"/>
        <w:gridCol w:w="5605"/>
        <w:gridCol w:w="1366"/>
      </w:tblGrid>
      <w:tr w:rsidR="00903D3A" w:rsidRPr="006D0679" w:rsidTr="00E770D8">
        <w:tc>
          <w:tcPr>
            <w:tcW w:w="1689" w:type="dxa"/>
            <w:shd w:val="clear" w:color="auto" w:fill="BFBFBF"/>
          </w:tcPr>
          <w:p w:rsidR="00903D3A" w:rsidRPr="006D0679" w:rsidRDefault="00903D3A" w:rsidP="00903D3A">
            <w:pPr>
              <w:tabs>
                <w:tab w:val="num" w:pos="720"/>
                <w:tab w:val="left" w:pos="1440"/>
              </w:tabs>
              <w:rPr>
                <w:rFonts w:cs="Arial"/>
                <w:b/>
                <w:szCs w:val="22"/>
              </w:rPr>
            </w:pPr>
            <w:bookmarkStart w:id="0" w:name="_GoBack"/>
            <w:bookmarkEnd w:id="0"/>
            <w:r w:rsidRPr="006D0679">
              <w:rPr>
                <w:rFonts w:cs="Arial"/>
                <w:b/>
                <w:szCs w:val="22"/>
              </w:rPr>
              <w:t>Module Code</w:t>
            </w:r>
          </w:p>
        </w:tc>
        <w:tc>
          <w:tcPr>
            <w:tcW w:w="6971" w:type="dxa"/>
            <w:gridSpan w:val="2"/>
          </w:tcPr>
          <w:p w:rsidR="00903D3A" w:rsidRPr="00703042" w:rsidRDefault="00903D3A" w:rsidP="00903D3A">
            <w:r w:rsidRPr="00703042">
              <w:t>AHLH7064</w:t>
            </w:r>
          </w:p>
        </w:tc>
      </w:tr>
      <w:tr w:rsidR="00903D3A" w:rsidRPr="006D0679" w:rsidTr="00E770D8">
        <w:tc>
          <w:tcPr>
            <w:tcW w:w="1689" w:type="dxa"/>
            <w:shd w:val="clear" w:color="auto" w:fill="BFBFBF"/>
          </w:tcPr>
          <w:p w:rsidR="00903D3A" w:rsidRPr="006D0679" w:rsidRDefault="00903D3A" w:rsidP="00903D3A">
            <w:pPr>
              <w:tabs>
                <w:tab w:val="num" w:pos="720"/>
                <w:tab w:val="left" w:pos="1440"/>
              </w:tabs>
              <w:rPr>
                <w:rFonts w:cs="Arial"/>
                <w:b/>
                <w:szCs w:val="22"/>
              </w:rPr>
            </w:pPr>
            <w:r w:rsidRPr="006D0679">
              <w:rPr>
                <w:rFonts w:cs="Arial"/>
                <w:b/>
                <w:szCs w:val="22"/>
              </w:rPr>
              <w:t>Module Title</w:t>
            </w:r>
          </w:p>
        </w:tc>
        <w:tc>
          <w:tcPr>
            <w:tcW w:w="6971" w:type="dxa"/>
            <w:gridSpan w:val="2"/>
          </w:tcPr>
          <w:p w:rsidR="00903D3A" w:rsidRDefault="00903D3A" w:rsidP="00903D3A">
            <w:r w:rsidRPr="00703042">
              <w:t>South-West Wales: Social Experiences</w:t>
            </w:r>
          </w:p>
        </w:tc>
      </w:tr>
      <w:tr w:rsidR="00E770D8" w:rsidRPr="006D0679" w:rsidTr="00E770D8">
        <w:tc>
          <w:tcPr>
            <w:tcW w:w="1689" w:type="dxa"/>
            <w:shd w:val="clear" w:color="auto" w:fill="BFBFBF"/>
          </w:tcPr>
          <w:p w:rsidR="00E770D8" w:rsidRPr="006D0679" w:rsidRDefault="00E770D8" w:rsidP="00206237">
            <w:pPr>
              <w:tabs>
                <w:tab w:val="num" w:pos="720"/>
                <w:tab w:val="left" w:pos="1440"/>
              </w:tabs>
              <w:rPr>
                <w:rFonts w:cs="Arial"/>
                <w:b/>
                <w:szCs w:val="22"/>
              </w:rPr>
            </w:pPr>
            <w:r w:rsidRPr="006D0679">
              <w:rPr>
                <w:rFonts w:cs="Arial"/>
                <w:b/>
                <w:szCs w:val="22"/>
              </w:rPr>
              <w:t>Classification</w:t>
            </w:r>
          </w:p>
        </w:tc>
        <w:tc>
          <w:tcPr>
            <w:tcW w:w="5605" w:type="dxa"/>
            <w:shd w:val="clear" w:color="auto" w:fill="BFBFBF"/>
          </w:tcPr>
          <w:p w:rsidR="00E770D8" w:rsidRPr="006D0679" w:rsidRDefault="00E770D8" w:rsidP="00206237">
            <w:pPr>
              <w:tabs>
                <w:tab w:val="num" w:pos="720"/>
                <w:tab w:val="left" w:pos="1440"/>
              </w:tabs>
              <w:rPr>
                <w:rFonts w:cs="Arial"/>
                <w:b/>
                <w:szCs w:val="22"/>
              </w:rPr>
            </w:pPr>
            <w:r w:rsidRPr="006D0679">
              <w:rPr>
                <w:rFonts w:cs="Arial"/>
                <w:b/>
                <w:szCs w:val="22"/>
              </w:rPr>
              <w:t>Reading List entry</w:t>
            </w:r>
          </w:p>
        </w:tc>
        <w:tc>
          <w:tcPr>
            <w:tcW w:w="1366" w:type="dxa"/>
            <w:shd w:val="clear" w:color="auto" w:fill="BFBFBF"/>
          </w:tcPr>
          <w:p w:rsidR="00E770D8" w:rsidRPr="006D0679" w:rsidRDefault="00E770D8" w:rsidP="00206237">
            <w:pPr>
              <w:tabs>
                <w:tab w:val="num" w:pos="720"/>
                <w:tab w:val="left" w:pos="1440"/>
              </w:tabs>
              <w:rPr>
                <w:rFonts w:cs="Arial"/>
                <w:b/>
                <w:szCs w:val="22"/>
              </w:rPr>
            </w:pPr>
            <w:r w:rsidRPr="006D0679">
              <w:rPr>
                <w:rFonts w:cs="Arial"/>
                <w:b/>
                <w:szCs w:val="22"/>
              </w:rPr>
              <w:t>Electronic*</w:t>
            </w:r>
          </w:p>
        </w:tc>
      </w:tr>
      <w:tr w:rsidR="00E770D8" w:rsidRPr="006D0679" w:rsidTr="00206237">
        <w:tc>
          <w:tcPr>
            <w:tcW w:w="1689" w:type="dxa"/>
          </w:tcPr>
          <w:p w:rsidR="00E770D8" w:rsidRPr="006D0679" w:rsidRDefault="00E770D8" w:rsidP="00E770D8">
            <w:pPr>
              <w:tabs>
                <w:tab w:val="num" w:pos="720"/>
                <w:tab w:val="left" w:pos="1440"/>
              </w:tabs>
              <w:rPr>
                <w:rFonts w:cs="Arial"/>
                <w:szCs w:val="22"/>
              </w:rPr>
            </w:pPr>
            <w:r w:rsidRPr="006D0679">
              <w:rPr>
                <w:rFonts w:cs="Arial"/>
                <w:szCs w:val="22"/>
              </w:rPr>
              <w:t>Essential</w:t>
            </w:r>
          </w:p>
        </w:tc>
        <w:tc>
          <w:tcPr>
            <w:tcW w:w="5605" w:type="dxa"/>
          </w:tcPr>
          <w:p w:rsidR="00E770D8" w:rsidRPr="005730CC" w:rsidRDefault="00E770D8" w:rsidP="00E770D8">
            <w:proofErr w:type="spellStart"/>
            <w:r w:rsidRPr="005730CC">
              <w:t>Borsay</w:t>
            </w:r>
            <w:proofErr w:type="spellEnd"/>
            <w:r w:rsidRPr="005730CC">
              <w:t xml:space="preserve">, Anne. Public Service or Private Commodity? Medicine in </w:t>
            </w:r>
            <w:proofErr w:type="gramStart"/>
            <w:r w:rsidRPr="005730CC">
              <w:t>Wales</w:t>
            </w:r>
            <w:proofErr w:type="gramEnd"/>
            <w:r w:rsidRPr="005730CC">
              <w:t xml:space="preserve"> c.1800-2000. Cardiff: University of Wales Press, 2003</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Pr="006D0679" w:rsidRDefault="00E770D8" w:rsidP="00E770D8">
            <w:pPr>
              <w:tabs>
                <w:tab w:val="num" w:pos="720"/>
                <w:tab w:val="left" w:pos="1440"/>
              </w:tabs>
              <w:rPr>
                <w:rFonts w:cs="Arial"/>
                <w:szCs w:val="22"/>
              </w:rPr>
            </w:pPr>
            <w:r w:rsidRPr="006D0679">
              <w:rPr>
                <w:rFonts w:cs="Arial"/>
                <w:szCs w:val="22"/>
              </w:rPr>
              <w:t>Essential</w:t>
            </w:r>
          </w:p>
        </w:tc>
        <w:tc>
          <w:tcPr>
            <w:tcW w:w="5605" w:type="dxa"/>
          </w:tcPr>
          <w:p w:rsidR="00E770D8" w:rsidRPr="005730CC" w:rsidRDefault="00E770D8" w:rsidP="00E770D8">
            <w:r w:rsidRPr="005730CC">
              <w:t>Jones, Ieuan Gwynedd.  Mid-Victorian Wales: The Observers and the Observed.  Cardiff: UWP, 1992.</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Pr="006D0679" w:rsidRDefault="00E770D8" w:rsidP="00E770D8">
            <w:pPr>
              <w:tabs>
                <w:tab w:val="num" w:pos="720"/>
                <w:tab w:val="left" w:pos="1440"/>
              </w:tabs>
              <w:rPr>
                <w:rFonts w:cs="Arial"/>
                <w:szCs w:val="22"/>
              </w:rPr>
            </w:pPr>
            <w:r w:rsidRPr="006D0679">
              <w:rPr>
                <w:rFonts w:cs="Arial"/>
                <w:szCs w:val="22"/>
              </w:rPr>
              <w:t>Essential</w:t>
            </w:r>
          </w:p>
        </w:tc>
        <w:tc>
          <w:tcPr>
            <w:tcW w:w="5605" w:type="dxa"/>
          </w:tcPr>
          <w:p w:rsidR="00E770D8" w:rsidRPr="005730CC" w:rsidRDefault="00E770D8" w:rsidP="00E770D8">
            <w:r w:rsidRPr="005730CC">
              <w:t>Treble, J.H.  Urban Poverty in Britain 1830-1914. London: Methuen, 1983.</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Pr="006D0679" w:rsidRDefault="00E770D8" w:rsidP="00E770D8">
            <w:pPr>
              <w:tabs>
                <w:tab w:val="num" w:pos="720"/>
                <w:tab w:val="left" w:pos="1440"/>
              </w:tabs>
              <w:rPr>
                <w:rFonts w:cs="Arial"/>
                <w:szCs w:val="22"/>
              </w:rPr>
            </w:pPr>
            <w:r w:rsidRPr="006D0679">
              <w:rPr>
                <w:rFonts w:cs="Arial"/>
                <w:szCs w:val="22"/>
              </w:rPr>
              <w:t>Essential</w:t>
            </w:r>
          </w:p>
        </w:tc>
        <w:tc>
          <w:tcPr>
            <w:tcW w:w="5605" w:type="dxa"/>
          </w:tcPr>
          <w:p w:rsidR="00E770D8" w:rsidRPr="005730CC" w:rsidRDefault="00E770D8" w:rsidP="00E770D8">
            <w:proofErr w:type="spellStart"/>
            <w:r w:rsidRPr="005730CC">
              <w:t>Wohl</w:t>
            </w:r>
            <w:proofErr w:type="spellEnd"/>
            <w:r w:rsidRPr="005730CC">
              <w:t>, A.S.  Endangered Lives. London: Methuen, 1983.</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Pr="006D0679" w:rsidRDefault="00E770D8" w:rsidP="00E770D8">
            <w:pPr>
              <w:tabs>
                <w:tab w:val="num" w:pos="720"/>
                <w:tab w:val="left" w:pos="1440"/>
              </w:tabs>
              <w:rPr>
                <w:rFonts w:cs="Arial"/>
                <w:szCs w:val="22"/>
              </w:rPr>
            </w:pPr>
            <w:r w:rsidRPr="006D0679">
              <w:rPr>
                <w:rFonts w:cs="Arial"/>
                <w:szCs w:val="22"/>
              </w:rPr>
              <w:t>Essential</w:t>
            </w:r>
          </w:p>
        </w:tc>
        <w:tc>
          <w:tcPr>
            <w:tcW w:w="5605" w:type="dxa"/>
          </w:tcPr>
          <w:p w:rsidR="00E770D8" w:rsidRDefault="00E770D8" w:rsidP="00E770D8">
            <w:r w:rsidRPr="005730CC">
              <w:t xml:space="preserve">Lane, Joan. A Social History of Medicine. London: </w:t>
            </w:r>
            <w:proofErr w:type="spellStart"/>
            <w:r w:rsidRPr="005730CC">
              <w:t>Ruotledge</w:t>
            </w:r>
            <w:proofErr w:type="spellEnd"/>
            <w:r w:rsidRPr="005730CC">
              <w:t>, 2001.</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Pr="006D0679" w:rsidRDefault="00E770D8" w:rsidP="00E770D8">
            <w:pPr>
              <w:tabs>
                <w:tab w:val="num" w:pos="720"/>
                <w:tab w:val="left" w:pos="1440"/>
              </w:tabs>
              <w:rPr>
                <w:rFonts w:cs="Arial"/>
                <w:szCs w:val="22"/>
              </w:rPr>
            </w:pPr>
            <w:r w:rsidRPr="006D0679">
              <w:rPr>
                <w:rFonts w:cs="Arial"/>
                <w:szCs w:val="22"/>
              </w:rPr>
              <w:t>Further</w:t>
            </w:r>
          </w:p>
        </w:tc>
        <w:tc>
          <w:tcPr>
            <w:tcW w:w="5605" w:type="dxa"/>
          </w:tcPr>
          <w:p w:rsidR="00E770D8" w:rsidRPr="00585439" w:rsidRDefault="00E770D8" w:rsidP="00E770D8">
            <w:r w:rsidRPr="00585439">
              <w:t>Barnes, T., &amp; Yates, N.  Carmarthenshire Studies, Essays presented to Major Francis Jones. Carmarthen: Dyfed C.C., 1974.</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Pr="006D0679" w:rsidRDefault="00E770D8" w:rsidP="00E770D8">
            <w:pPr>
              <w:tabs>
                <w:tab w:val="num" w:pos="720"/>
                <w:tab w:val="left" w:pos="1440"/>
              </w:tabs>
              <w:rPr>
                <w:rFonts w:cs="Arial"/>
                <w:szCs w:val="22"/>
              </w:rPr>
            </w:pPr>
            <w:r w:rsidRPr="006D0679">
              <w:rPr>
                <w:rFonts w:cs="Arial"/>
                <w:szCs w:val="22"/>
              </w:rPr>
              <w:t>Further</w:t>
            </w:r>
          </w:p>
        </w:tc>
        <w:tc>
          <w:tcPr>
            <w:tcW w:w="5605" w:type="dxa"/>
          </w:tcPr>
          <w:p w:rsidR="00E770D8" w:rsidRPr="00585439" w:rsidRDefault="00E770D8" w:rsidP="00E770D8">
            <w:r w:rsidRPr="00585439">
              <w:t>Brennan, T.et al.  Social Change in South West Wales. London: Watts &amp; Co., 1954.</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Pr="006D0679" w:rsidRDefault="00E770D8" w:rsidP="00E770D8">
            <w:pPr>
              <w:tabs>
                <w:tab w:val="num" w:pos="720"/>
                <w:tab w:val="left" w:pos="1440"/>
              </w:tabs>
              <w:rPr>
                <w:rFonts w:cs="Arial"/>
                <w:szCs w:val="22"/>
              </w:rPr>
            </w:pPr>
            <w:r w:rsidRPr="006D0679">
              <w:rPr>
                <w:rFonts w:cs="Arial"/>
                <w:szCs w:val="22"/>
              </w:rPr>
              <w:t>Further</w:t>
            </w:r>
          </w:p>
        </w:tc>
        <w:tc>
          <w:tcPr>
            <w:tcW w:w="5605" w:type="dxa"/>
          </w:tcPr>
          <w:p w:rsidR="00E770D8" w:rsidRPr="00585439" w:rsidRDefault="00E770D8" w:rsidP="00E770D8">
            <w:r w:rsidRPr="00585439">
              <w:t xml:space="preserve">Crowther, M.A.  The Workhouse System 1834-1929. London: 1979 </w:t>
            </w:r>
            <w:proofErr w:type="spellStart"/>
            <w:r w:rsidRPr="00585439">
              <w:t>edn</w:t>
            </w:r>
            <w:proofErr w:type="spellEnd"/>
            <w:r w:rsidRPr="00585439">
              <w:t>. Methuen, 1983.</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Pr="006D0679" w:rsidRDefault="00E770D8" w:rsidP="00E770D8">
            <w:pPr>
              <w:tabs>
                <w:tab w:val="num" w:pos="720"/>
                <w:tab w:val="left" w:pos="1440"/>
              </w:tabs>
              <w:rPr>
                <w:rFonts w:cs="Arial"/>
                <w:szCs w:val="22"/>
              </w:rPr>
            </w:pPr>
            <w:r w:rsidRPr="006D0679">
              <w:rPr>
                <w:rFonts w:cs="Arial"/>
                <w:szCs w:val="22"/>
              </w:rPr>
              <w:t>Further</w:t>
            </w:r>
          </w:p>
        </w:tc>
        <w:tc>
          <w:tcPr>
            <w:tcW w:w="5605" w:type="dxa"/>
          </w:tcPr>
          <w:p w:rsidR="00E770D8" w:rsidRPr="00585439" w:rsidRDefault="00E770D8" w:rsidP="00E770D8">
            <w:r w:rsidRPr="00585439">
              <w:t>Driver, F.  Power and Pauperism 1834-1884.  London: Methuen, 1993.</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r w:rsidRPr="00585439">
              <w:t xml:space="preserve">Harrison, Brian.  Drink and the Victorians:  The </w:t>
            </w:r>
            <w:r w:rsidRPr="00585439">
              <w:lastRenderedPageBreak/>
              <w:t>Temperance Question in England and Wales 1815-1872.  London: Faber, 1971.</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lastRenderedPageBreak/>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r w:rsidRPr="00585439">
              <w:t xml:space="preserve">Howell, D.W., ed.  Pembrokeshire County History, Vol. IV, Modern Pembrokeshire 1815-1874.  </w:t>
            </w:r>
            <w:proofErr w:type="spellStart"/>
            <w:r w:rsidRPr="00585439">
              <w:t>Haverfordwest</w:t>
            </w:r>
            <w:proofErr w:type="spellEnd"/>
            <w:r w:rsidRPr="00585439">
              <w:t xml:space="preserve"> </w:t>
            </w:r>
            <w:proofErr w:type="spellStart"/>
            <w:r w:rsidRPr="00585439">
              <w:t>Pemb</w:t>
            </w:r>
            <w:proofErr w:type="spellEnd"/>
            <w:r w:rsidRPr="00585439">
              <w:t xml:space="preserve">. Hist. Soc., 1993. </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r w:rsidRPr="00585439">
              <w:t>Jenkins, D.  The Agricultural Community in South-West Wales at the Turn of the Twentieth Century.  Cardiff: UWP, 1971.</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r w:rsidRPr="00585439">
              <w:t xml:space="preserve">Jenkins, D.C., ed.  The Diary of Thomas Jenkins of Llandeilo 1826-79.  </w:t>
            </w:r>
            <w:proofErr w:type="spellStart"/>
            <w:r w:rsidRPr="00585439">
              <w:t>Bala</w:t>
            </w:r>
            <w:proofErr w:type="spellEnd"/>
            <w:r w:rsidRPr="00585439">
              <w:t>: Dragon Books, 1976.</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r w:rsidRPr="00585439">
              <w:t>Jenkins, G.H., &amp; Smith, J.B., eds. Politics and Society in Wales 1840-1922.  Cardiff:  UWP, 1988.</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r w:rsidRPr="00585439">
              <w:t>John, Angela V., ed.  Our Mothers' Land. Chapters in Welsh Women's History 1830 -1939. Cardiff:  UWP, 1991.</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r w:rsidRPr="00585439">
              <w:t xml:space="preserve">Jones, D.J.V.  Rebecca's Children: A Study of Rural Society, Crime and Protest.  </w:t>
            </w:r>
            <w:proofErr w:type="spellStart"/>
            <w:r w:rsidRPr="00585439">
              <w:t>Oxford</w:t>
            </w:r>
            <w:proofErr w:type="gramStart"/>
            <w:r w:rsidRPr="00585439">
              <w:t>:Clarendon</w:t>
            </w:r>
            <w:proofErr w:type="spellEnd"/>
            <w:proofErr w:type="gramEnd"/>
            <w:r w:rsidRPr="00585439">
              <w:t xml:space="preserve"> Press, 1989.</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r w:rsidRPr="00585439">
              <w:t xml:space="preserve">Jones, I.G.  Explorations and Explanations:  Essays in the Social History of Victorian Wales. </w:t>
            </w:r>
            <w:proofErr w:type="spellStart"/>
            <w:r w:rsidRPr="00585439">
              <w:t>Llandysul</w:t>
            </w:r>
            <w:proofErr w:type="spellEnd"/>
            <w:r w:rsidRPr="00585439">
              <w:t xml:space="preserve">: </w:t>
            </w:r>
            <w:proofErr w:type="spellStart"/>
            <w:r w:rsidRPr="00585439">
              <w:t>Gomer</w:t>
            </w:r>
            <w:proofErr w:type="spellEnd"/>
            <w:r w:rsidRPr="00585439">
              <w:t>, 1981.</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r w:rsidRPr="00585439">
              <w:t xml:space="preserve">______.  Communities: Essays in the Social History of Victorian Wales.  </w:t>
            </w:r>
            <w:proofErr w:type="spellStart"/>
            <w:r w:rsidRPr="00585439">
              <w:t>Llandysul</w:t>
            </w:r>
            <w:proofErr w:type="spellEnd"/>
            <w:r w:rsidRPr="00585439">
              <w:t xml:space="preserve">: </w:t>
            </w:r>
            <w:proofErr w:type="spellStart"/>
            <w:r w:rsidRPr="00585439">
              <w:t>Gomer</w:t>
            </w:r>
            <w:proofErr w:type="spellEnd"/>
            <w:r w:rsidRPr="00585439">
              <w:t>, 1987.</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r w:rsidRPr="00585439">
              <w:t>Lambert, W.R.  Drink and Sobriety in Victorian Wales, c.1820-1895.  Cardiff: UWP, 1983.</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r w:rsidRPr="00585439">
              <w:t xml:space="preserve">Morgan, </w:t>
            </w:r>
            <w:proofErr w:type="spellStart"/>
            <w:r w:rsidRPr="00585439">
              <w:t>Prys</w:t>
            </w:r>
            <w:proofErr w:type="spellEnd"/>
            <w:r w:rsidRPr="00585439">
              <w:t xml:space="preserve">. Brad y </w:t>
            </w:r>
            <w:proofErr w:type="spellStart"/>
            <w:r w:rsidRPr="00585439">
              <w:t>Llyfrau</w:t>
            </w:r>
            <w:proofErr w:type="spellEnd"/>
            <w:r w:rsidRPr="00585439">
              <w:t xml:space="preserve"> </w:t>
            </w:r>
            <w:proofErr w:type="spellStart"/>
            <w:r w:rsidRPr="00585439">
              <w:t>Gleision</w:t>
            </w:r>
            <w:proofErr w:type="spellEnd"/>
            <w:r w:rsidRPr="00585439">
              <w:t xml:space="preserve">.  </w:t>
            </w:r>
            <w:proofErr w:type="spellStart"/>
            <w:r w:rsidRPr="00585439">
              <w:t>Llandysul</w:t>
            </w:r>
            <w:proofErr w:type="spellEnd"/>
            <w:r w:rsidRPr="00585439">
              <w:t xml:space="preserve">: </w:t>
            </w:r>
            <w:proofErr w:type="spellStart"/>
            <w:r w:rsidRPr="00585439">
              <w:t>Gomer</w:t>
            </w:r>
            <w:proofErr w:type="spellEnd"/>
            <w:r w:rsidRPr="00585439">
              <w:t>, 1991.</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r w:rsidRPr="00585439">
              <w:t xml:space="preserve">Phillips, G.  </w:t>
            </w:r>
            <w:proofErr w:type="spellStart"/>
            <w:r w:rsidRPr="00585439">
              <w:t>Llofruddiaeth</w:t>
            </w:r>
            <w:proofErr w:type="spellEnd"/>
            <w:r w:rsidRPr="00585439">
              <w:t xml:space="preserve"> Shadrach Lewis.  </w:t>
            </w:r>
            <w:proofErr w:type="spellStart"/>
            <w:r w:rsidRPr="00585439">
              <w:t>Llandysul</w:t>
            </w:r>
            <w:proofErr w:type="spellEnd"/>
            <w:r w:rsidRPr="00585439">
              <w:t xml:space="preserve">: </w:t>
            </w:r>
            <w:proofErr w:type="spellStart"/>
            <w:r w:rsidRPr="00585439">
              <w:t>Gomer</w:t>
            </w:r>
            <w:proofErr w:type="spellEnd"/>
            <w:r w:rsidRPr="00585439">
              <w:t>, 1986.</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r w:rsidRPr="00585439">
              <w:t xml:space="preserve">Williams, David.  The Rebecca Riots: A Study in Agrarian Discontent. Cardiff: UWP, 1986 </w:t>
            </w:r>
            <w:proofErr w:type="spellStart"/>
            <w:r w:rsidRPr="00585439">
              <w:t>edn</w:t>
            </w:r>
            <w:proofErr w:type="spellEnd"/>
            <w:r w:rsidRPr="00585439">
              <w:t>.</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r w:rsidRPr="00585439">
              <w:t xml:space="preserve">Davies, R.  `Inside the "House of the Mad".  The social context of mental illness, suicide and the pressure of rural life in south-west Wales c.1860-1920'.  </w:t>
            </w:r>
            <w:proofErr w:type="spellStart"/>
            <w:r w:rsidRPr="00585439">
              <w:t>Llafur</w:t>
            </w:r>
            <w:proofErr w:type="spellEnd"/>
            <w:r w:rsidRPr="00585439">
              <w:t>, Vol. 4, 1984.</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proofErr w:type="spellStart"/>
            <w:r w:rsidRPr="00585439">
              <w:t>Blaug</w:t>
            </w:r>
            <w:proofErr w:type="spellEnd"/>
            <w:r w:rsidRPr="00585439">
              <w:t>, P. `The Poor Law Report Re-examined. Journal of Economic History, Vol. XIV</w:t>
            </w:r>
            <w:proofErr w:type="gramStart"/>
            <w:r w:rsidRPr="00585439">
              <w:t>,1964</w:t>
            </w:r>
            <w:proofErr w:type="gramEnd"/>
            <w:r w:rsidRPr="00585439">
              <w:t>.</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proofErr w:type="spellStart"/>
            <w:r w:rsidRPr="00585439">
              <w:t>Bryder</w:t>
            </w:r>
            <w:proofErr w:type="spellEnd"/>
            <w:r w:rsidRPr="00585439">
              <w:t>, L.  `The King Edward VII Welsh National Memorial Association and its policy towards Tuberculosis'.  Welsh History Review, Vol.13, 1986.</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r w:rsidRPr="00585439">
              <w:t>Davies, A.E.  `Some aspects of the operation of the Old Poor Law in Ceredigion, 1750-1834'.  Ceredigion, Vol.VI, 1968-1971.</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r w:rsidRPr="00585439">
              <w:t>______.  `The new Poor Law in a Rural Area 1834-1850'.  Ceredigion, Vol. VIII, 1976-79.</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r w:rsidRPr="00585439">
              <w:t>Davies, Conway. `Aspects of Poor Law provision in Carmarthenshire prior to 1834' in</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r w:rsidRPr="00585439">
              <w:t xml:space="preserve">Katie </w:t>
            </w:r>
            <w:proofErr w:type="spellStart"/>
            <w:r w:rsidRPr="00585439">
              <w:t>Gramich</w:t>
            </w:r>
            <w:proofErr w:type="spellEnd"/>
            <w:r w:rsidRPr="00585439">
              <w:t xml:space="preserve"> and Andrew Hiscock, eds. Dangerous </w:t>
            </w:r>
            <w:proofErr w:type="spellStart"/>
            <w:r w:rsidRPr="00585439">
              <w:t>Diversity</w:t>
            </w:r>
            <w:proofErr w:type="gramStart"/>
            <w:r w:rsidRPr="00585439">
              <w:t>,Cardiff</w:t>
            </w:r>
            <w:proofErr w:type="spellEnd"/>
            <w:proofErr w:type="gramEnd"/>
            <w:r w:rsidRPr="00585439">
              <w:t>: UWP, 1998.</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r w:rsidRPr="00585439">
              <w:t xml:space="preserve">Davies, R. `In a Broken Dream.  Some aspects of Sexual Behaviour and the Dilemmas of the Unmarried Mother in South-West Wales, 1887-1914'. </w:t>
            </w:r>
            <w:proofErr w:type="spellStart"/>
            <w:r w:rsidRPr="00585439">
              <w:t>Llafur</w:t>
            </w:r>
            <w:proofErr w:type="spellEnd"/>
            <w:r w:rsidRPr="00585439">
              <w:t>, Vol.3, 1983.</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r w:rsidRPr="00585439">
              <w:t>______.  `"</w:t>
            </w:r>
            <w:proofErr w:type="spellStart"/>
            <w:r w:rsidRPr="00585439">
              <w:t>Hen</w:t>
            </w:r>
            <w:proofErr w:type="spellEnd"/>
            <w:r w:rsidRPr="00585439">
              <w:t xml:space="preserve"> </w:t>
            </w:r>
            <w:proofErr w:type="spellStart"/>
            <w:r w:rsidRPr="00585439">
              <w:t>Wlad</w:t>
            </w:r>
            <w:proofErr w:type="spellEnd"/>
            <w:r w:rsidRPr="00585439">
              <w:t xml:space="preserve"> y </w:t>
            </w:r>
            <w:proofErr w:type="spellStart"/>
            <w:r w:rsidRPr="00585439">
              <w:t>Menyg</w:t>
            </w:r>
            <w:proofErr w:type="spellEnd"/>
            <w:r w:rsidRPr="00585439">
              <w:t xml:space="preserve"> </w:t>
            </w:r>
            <w:proofErr w:type="spellStart"/>
            <w:r w:rsidRPr="00585439">
              <w:t>Gwynion</w:t>
            </w:r>
            <w:proofErr w:type="spellEnd"/>
            <w:r w:rsidRPr="00585439">
              <w:t xml:space="preserve">". </w:t>
            </w:r>
            <w:proofErr w:type="spellStart"/>
            <w:r w:rsidRPr="00585439">
              <w:t>Profiad</w:t>
            </w:r>
            <w:proofErr w:type="spellEnd"/>
            <w:r w:rsidRPr="00585439">
              <w:t xml:space="preserve"> Sir </w:t>
            </w:r>
            <w:proofErr w:type="spellStart"/>
            <w:r w:rsidRPr="00585439">
              <w:lastRenderedPageBreak/>
              <w:t>Gaerfyrddin</w:t>
            </w:r>
            <w:proofErr w:type="spellEnd"/>
            <w:r w:rsidRPr="00585439">
              <w:t xml:space="preserve">'. </w:t>
            </w:r>
            <w:proofErr w:type="spellStart"/>
            <w:proofErr w:type="gramStart"/>
            <w:r w:rsidRPr="00585439">
              <w:t>yn</w:t>
            </w:r>
            <w:proofErr w:type="spellEnd"/>
            <w:proofErr w:type="gramEnd"/>
            <w:r w:rsidRPr="00585439">
              <w:t xml:space="preserve"> Jenkins, Geraint H. </w:t>
            </w:r>
            <w:proofErr w:type="spellStart"/>
            <w:r w:rsidRPr="00585439">
              <w:t>gol</w:t>
            </w:r>
            <w:proofErr w:type="spellEnd"/>
            <w:r w:rsidRPr="00585439">
              <w:t xml:space="preserve">. </w:t>
            </w:r>
            <w:proofErr w:type="spellStart"/>
            <w:r w:rsidRPr="00585439">
              <w:t>Côf</w:t>
            </w:r>
            <w:proofErr w:type="spellEnd"/>
            <w:r w:rsidRPr="00585439">
              <w:t xml:space="preserve"> </w:t>
            </w:r>
            <w:proofErr w:type="spellStart"/>
            <w:r w:rsidRPr="00585439">
              <w:t>Cenedl</w:t>
            </w:r>
            <w:proofErr w:type="spellEnd"/>
            <w:r w:rsidRPr="00585439">
              <w:t xml:space="preserve">, </w:t>
            </w:r>
            <w:proofErr w:type="spellStart"/>
            <w:r w:rsidRPr="00585439">
              <w:t>Cyf</w:t>
            </w:r>
            <w:proofErr w:type="spellEnd"/>
            <w:r w:rsidRPr="00585439">
              <w:t>. VII.</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lastRenderedPageBreak/>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r w:rsidRPr="00585439">
              <w:t xml:space="preserve">Evans, Muriel Bowen. `Society in Nineteenth-Century </w:t>
            </w:r>
            <w:proofErr w:type="spellStart"/>
            <w:r w:rsidRPr="00585439">
              <w:t>Trelech</w:t>
            </w:r>
            <w:proofErr w:type="spellEnd"/>
            <w:r w:rsidRPr="00585439">
              <w:t xml:space="preserve"> </w:t>
            </w:r>
            <w:proofErr w:type="spellStart"/>
            <w:r w:rsidRPr="00585439">
              <w:t>a'r</w:t>
            </w:r>
            <w:proofErr w:type="spellEnd"/>
            <w:r w:rsidRPr="00585439">
              <w:t xml:space="preserve"> </w:t>
            </w:r>
            <w:proofErr w:type="spellStart"/>
            <w:r w:rsidRPr="00585439">
              <w:t>Betws</w:t>
            </w:r>
            <w:proofErr w:type="spellEnd"/>
            <w:r w:rsidRPr="00585439">
              <w:t xml:space="preserve">'.  Carmarthenshire Antiquary, </w:t>
            </w:r>
            <w:proofErr w:type="spellStart"/>
            <w:r w:rsidRPr="00585439">
              <w:t>Vol.XVI</w:t>
            </w:r>
            <w:proofErr w:type="spellEnd"/>
            <w:r w:rsidRPr="00585439">
              <w:t>, 1980.</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r w:rsidRPr="00585439">
              <w:t xml:space="preserve">______.  `The Parish of </w:t>
            </w:r>
            <w:proofErr w:type="spellStart"/>
            <w:r w:rsidRPr="00585439">
              <w:t>Llangyndeyrn</w:t>
            </w:r>
            <w:proofErr w:type="spellEnd"/>
            <w:r w:rsidRPr="00585439">
              <w:t xml:space="preserve"> 1851: A Population Study'.  Carmarthenshire   Antiquary, Vol. XVII, 1981.</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r w:rsidRPr="00585439">
              <w:t>______.  `An aspect of the population history of Carmarthenshire'.  Carmarthenshire Antiquary, Vol. XIX, 1983.</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r w:rsidRPr="00585439">
              <w:t xml:space="preserve">Gruffydd, </w:t>
            </w:r>
            <w:proofErr w:type="spellStart"/>
            <w:r w:rsidRPr="00585439">
              <w:t>Pyrs</w:t>
            </w:r>
            <w:proofErr w:type="spellEnd"/>
            <w:r w:rsidRPr="00585439">
              <w:t>. `"A crusade against consumption": environment, health and social reform in Wales, 1900-1939', Journal of Historical Geography, Vol. 21, No.1, 1995.</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r w:rsidRPr="00585439">
              <w:t>Howell, D.W.  `Rural Society in Nineteenth-Century Carmarthenshire'.  Carmarthenshire Antiquary, Vol. XIII, 1977.</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r w:rsidRPr="00585439">
              <w:t xml:space="preserve">Jones, Dot.  `Pauperism in the Aberystwyth Poor Law Union 1870-1914'.  Ceredigion   </w:t>
            </w:r>
            <w:proofErr w:type="spellStart"/>
            <w:r w:rsidRPr="00585439">
              <w:t>Vol.IX</w:t>
            </w:r>
            <w:proofErr w:type="spellEnd"/>
            <w:r w:rsidRPr="00585439">
              <w:t>, 1980-84.</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r w:rsidRPr="00585439">
              <w:t xml:space="preserve">______.  `Self Help in nineteenth-century Wales: the rise and fall of the Female Friendly Society'.  </w:t>
            </w:r>
            <w:proofErr w:type="spellStart"/>
            <w:r w:rsidRPr="00585439">
              <w:t>Llafur</w:t>
            </w:r>
            <w:proofErr w:type="spellEnd"/>
            <w:r w:rsidRPr="00585439">
              <w:t>, Vol.4, No.1, 1984.</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r w:rsidRPr="00585439">
              <w:t xml:space="preserve">Jones, D.J.V. `Crime, protest and community in nineteenth-century Wales'.  </w:t>
            </w:r>
            <w:proofErr w:type="spellStart"/>
            <w:r w:rsidRPr="00585439">
              <w:t>Llafur</w:t>
            </w:r>
            <w:proofErr w:type="spellEnd"/>
            <w:r w:rsidRPr="00585439">
              <w:t xml:space="preserve">, </w:t>
            </w:r>
            <w:proofErr w:type="spellStart"/>
            <w:proofErr w:type="gramStart"/>
            <w:r w:rsidRPr="00585439">
              <w:t>Vol.I</w:t>
            </w:r>
            <w:proofErr w:type="spellEnd"/>
            <w:r w:rsidRPr="00585439">
              <w:t xml:space="preserve">  No.3</w:t>
            </w:r>
            <w:proofErr w:type="gramEnd"/>
            <w:r w:rsidRPr="00585439">
              <w:t>, 1974.</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r w:rsidRPr="00585439">
              <w:t>______.  `A Dead Loss to the Community, The Criminal Vagrant in mid-nineteenth-century Wales'.  Welsh History Review, Vol. 8, 1977.</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r w:rsidRPr="00585439">
              <w:t>Jones, E.W.  `Medical glimpses of Early Nineteenth Century Cardiganshire'.  National Library of Wales Journal, Vol. XIV, 1965-66.</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r w:rsidRPr="00585439">
              <w:t xml:space="preserve">Lewis, W.J.  `The condition of Labour in Mid-Cardiganshire in the early </w:t>
            </w:r>
            <w:proofErr w:type="gramStart"/>
            <w:r w:rsidRPr="00585439">
              <w:t>nineteenth  century'</w:t>
            </w:r>
            <w:proofErr w:type="gramEnd"/>
            <w:r w:rsidRPr="00585439">
              <w:t>. Ceredigion, Vol.4, No.4, 1963.</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r w:rsidRPr="00585439">
              <w:t>Owen, T.M.  `</w:t>
            </w:r>
            <w:proofErr w:type="spellStart"/>
            <w:r w:rsidRPr="00585439">
              <w:t>Rhai</w:t>
            </w:r>
            <w:proofErr w:type="spellEnd"/>
            <w:r w:rsidRPr="00585439">
              <w:t xml:space="preserve"> </w:t>
            </w:r>
            <w:proofErr w:type="spellStart"/>
            <w:r w:rsidRPr="00585439">
              <w:t>agweddau</w:t>
            </w:r>
            <w:proofErr w:type="spellEnd"/>
            <w:r w:rsidRPr="00585439">
              <w:t xml:space="preserve"> </w:t>
            </w:r>
            <w:proofErr w:type="spellStart"/>
            <w:r w:rsidRPr="00585439">
              <w:t>ar</w:t>
            </w:r>
            <w:proofErr w:type="spellEnd"/>
            <w:r w:rsidRPr="00585439">
              <w:t xml:space="preserve"> </w:t>
            </w:r>
            <w:proofErr w:type="spellStart"/>
            <w:r w:rsidRPr="00585439">
              <w:t>astudio</w:t>
            </w:r>
            <w:proofErr w:type="spellEnd"/>
            <w:r w:rsidRPr="00585439">
              <w:t xml:space="preserve"> </w:t>
            </w:r>
            <w:proofErr w:type="spellStart"/>
            <w:r w:rsidRPr="00585439">
              <w:t>Cymdeithas</w:t>
            </w:r>
            <w:proofErr w:type="spellEnd"/>
            <w:r w:rsidRPr="00585439">
              <w:t xml:space="preserve"> </w:t>
            </w:r>
            <w:proofErr w:type="spellStart"/>
            <w:r w:rsidRPr="00585439">
              <w:t>yng</w:t>
            </w:r>
            <w:proofErr w:type="spellEnd"/>
            <w:r w:rsidRPr="00585439">
              <w:t xml:space="preserve"> </w:t>
            </w:r>
            <w:proofErr w:type="spellStart"/>
            <w:r w:rsidRPr="00585439">
              <w:t>Nghymru</w:t>
            </w:r>
            <w:proofErr w:type="spellEnd"/>
            <w:r w:rsidRPr="00585439">
              <w:t xml:space="preserve">'. </w:t>
            </w:r>
            <w:proofErr w:type="spellStart"/>
            <w:r w:rsidRPr="00585439">
              <w:t>Trafodion</w:t>
            </w:r>
            <w:proofErr w:type="spellEnd"/>
            <w:r w:rsidRPr="00585439">
              <w:t xml:space="preserve"> </w:t>
            </w:r>
            <w:proofErr w:type="spellStart"/>
            <w:r w:rsidRPr="00585439">
              <w:t>Economaidd</w:t>
            </w:r>
            <w:proofErr w:type="spellEnd"/>
            <w:r w:rsidRPr="00585439">
              <w:t xml:space="preserve"> a </w:t>
            </w:r>
            <w:proofErr w:type="spellStart"/>
            <w:r w:rsidRPr="00585439">
              <w:t>Chymdeithasol</w:t>
            </w:r>
            <w:proofErr w:type="spellEnd"/>
            <w:r w:rsidRPr="00585439">
              <w:t xml:space="preserve">, 1956-63. </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proofErr w:type="spellStart"/>
            <w:r w:rsidRPr="00585439">
              <w:t>Scourfield</w:t>
            </w:r>
            <w:proofErr w:type="spellEnd"/>
            <w:r w:rsidRPr="00585439">
              <w:t>, E.  `</w:t>
            </w:r>
            <w:proofErr w:type="spellStart"/>
            <w:r w:rsidRPr="00585439">
              <w:t>Rhai</w:t>
            </w:r>
            <w:proofErr w:type="spellEnd"/>
            <w:r w:rsidRPr="00585439">
              <w:t xml:space="preserve"> o </w:t>
            </w:r>
            <w:proofErr w:type="spellStart"/>
            <w:r w:rsidRPr="00585439">
              <w:t>gyfrinfeydd</w:t>
            </w:r>
            <w:proofErr w:type="spellEnd"/>
            <w:r w:rsidRPr="00585439">
              <w:t xml:space="preserve"> </w:t>
            </w:r>
            <w:proofErr w:type="spellStart"/>
            <w:r w:rsidRPr="00585439">
              <w:t>Iforaidd</w:t>
            </w:r>
            <w:proofErr w:type="spellEnd"/>
            <w:r w:rsidRPr="00585439">
              <w:t xml:space="preserve"> ac </w:t>
            </w:r>
            <w:proofErr w:type="spellStart"/>
            <w:r w:rsidRPr="00585439">
              <w:t>Odyddol</w:t>
            </w:r>
            <w:proofErr w:type="spellEnd"/>
            <w:r w:rsidRPr="00585439">
              <w:t xml:space="preserve"> Sir </w:t>
            </w:r>
            <w:proofErr w:type="spellStart"/>
            <w:r w:rsidRPr="00585439">
              <w:t>Gaerfyrddin</w:t>
            </w:r>
            <w:proofErr w:type="spellEnd"/>
            <w:r w:rsidRPr="00585439">
              <w:t xml:space="preserve"> </w:t>
            </w:r>
            <w:proofErr w:type="spellStart"/>
            <w:r w:rsidRPr="00585439">
              <w:t>yn</w:t>
            </w:r>
            <w:proofErr w:type="spellEnd"/>
            <w:r w:rsidRPr="00585439">
              <w:t xml:space="preserve"> y </w:t>
            </w:r>
            <w:proofErr w:type="spellStart"/>
            <w:r w:rsidRPr="00585439">
              <w:t>bedwaredd</w:t>
            </w:r>
            <w:proofErr w:type="spellEnd"/>
            <w:r w:rsidRPr="00585439">
              <w:t xml:space="preserve"> </w:t>
            </w:r>
            <w:proofErr w:type="spellStart"/>
            <w:r w:rsidRPr="00585439">
              <w:t>ganrif</w:t>
            </w:r>
            <w:proofErr w:type="spellEnd"/>
            <w:r w:rsidRPr="00585439">
              <w:t xml:space="preserve"> </w:t>
            </w:r>
            <w:proofErr w:type="spellStart"/>
            <w:r w:rsidRPr="00585439">
              <w:t>ar</w:t>
            </w:r>
            <w:proofErr w:type="spellEnd"/>
            <w:r w:rsidRPr="00585439">
              <w:t xml:space="preserve"> </w:t>
            </w:r>
            <w:proofErr w:type="spellStart"/>
            <w:r w:rsidRPr="00585439">
              <w:t>bymtheg</w:t>
            </w:r>
            <w:proofErr w:type="spellEnd"/>
            <w:r w:rsidRPr="00585439">
              <w:t>'. Carmarthenshire Antiquary, Vol. VII, 1971.</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r w:rsidRPr="00585439">
              <w:t>Thomas, C. `Rural Society in nineteenth-century Wales: South Cardiganshire in 1851'.  Ceredigion, Vol. IV, 1968-71.</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r w:rsidRPr="00585439">
              <w:t>Williams, Gareth. `The Disenchantment of the World: Innovation, Crisis and Change in Cardiganshire c.1880-1910'. Ceredigion, Vol. IX, No.4, 1983.</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r w:rsidRPr="00585439">
              <w:t>Davies, Russell.  A social history of Carmarthenshire, 1870-1920. PhD University of Wales, 1989.</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r w:rsidRPr="00585439">
              <w:t>Annual Reports of Poor Law Commission 1835-47.</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r w:rsidRPr="00585439">
              <w:t>Annual Reports of Poor Law Board 1848-71.</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r w:rsidRPr="00585439">
              <w:t>Annual Reports of the Local Government Board 1872-86.</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t>Further</w:t>
            </w:r>
          </w:p>
        </w:tc>
        <w:tc>
          <w:tcPr>
            <w:tcW w:w="5605" w:type="dxa"/>
          </w:tcPr>
          <w:p w:rsidR="00E770D8" w:rsidRPr="00585439" w:rsidRDefault="00E770D8" w:rsidP="00E770D8">
            <w:r w:rsidRPr="00585439">
              <w:t>Royal Commission on Poor Laws 1909.</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r w:rsidR="00E770D8" w:rsidRPr="006D0679" w:rsidTr="00206237">
        <w:tc>
          <w:tcPr>
            <w:tcW w:w="1689" w:type="dxa"/>
          </w:tcPr>
          <w:p w:rsidR="00E770D8" w:rsidRDefault="00E770D8" w:rsidP="00E770D8">
            <w:r w:rsidRPr="000B2FAF">
              <w:rPr>
                <w:rFonts w:cs="Arial"/>
                <w:szCs w:val="22"/>
              </w:rPr>
              <w:lastRenderedPageBreak/>
              <w:t>Further</w:t>
            </w:r>
          </w:p>
        </w:tc>
        <w:tc>
          <w:tcPr>
            <w:tcW w:w="5605" w:type="dxa"/>
          </w:tcPr>
          <w:p w:rsidR="00E770D8" w:rsidRDefault="00E770D8" w:rsidP="00E770D8">
            <w:r w:rsidRPr="00585439">
              <w:t xml:space="preserve">Report from His Majesty's Commissioners for Inquiry into the Administration </w:t>
            </w:r>
            <w:proofErr w:type="gramStart"/>
            <w:r w:rsidRPr="00585439">
              <w:t xml:space="preserve">and  </w:t>
            </w:r>
            <w:proofErr w:type="spellStart"/>
            <w:r w:rsidRPr="00585439">
              <w:t>ractical</w:t>
            </w:r>
            <w:proofErr w:type="spellEnd"/>
            <w:proofErr w:type="gramEnd"/>
            <w:r w:rsidRPr="00585439">
              <w:t xml:space="preserve"> Operation of the Poor Laws 1834.</w:t>
            </w:r>
          </w:p>
        </w:tc>
        <w:tc>
          <w:tcPr>
            <w:tcW w:w="1366" w:type="dxa"/>
          </w:tcPr>
          <w:p w:rsidR="00E770D8" w:rsidRPr="006D0679" w:rsidRDefault="00E770D8" w:rsidP="00E770D8">
            <w:pPr>
              <w:jc w:val="center"/>
              <w:rPr>
                <w:rFonts w:cs="Arial"/>
                <w:szCs w:val="22"/>
              </w:rPr>
            </w:pPr>
            <w:r w:rsidRPr="006D0679">
              <w:rPr>
                <w:rFonts w:ascii="Segoe UI Symbol" w:eastAsia="MS Gothic" w:hAnsi="Segoe UI Symbol" w:cs="Segoe UI Symbol"/>
                <w:szCs w:val="22"/>
              </w:rPr>
              <w:t>☐</w:t>
            </w:r>
          </w:p>
        </w:tc>
      </w:tr>
    </w:tbl>
    <w:p w:rsidR="00E770D8" w:rsidRDefault="00E770D8" w:rsidP="00E770D8"/>
    <w:p w:rsidR="00151EE5" w:rsidRPr="00151EE5" w:rsidRDefault="00151EE5" w:rsidP="00F4130B">
      <w:pPr>
        <w:pStyle w:val="heading"/>
        <w:ind w:left="0" w:firstLine="0"/>
        <w:rPr>
          <w:rFonts w:cs="Arial"/>
          <w:szCs w:val="22"/>
        </w:rPr>
      </w:pPr>
    </w:p>
    <w:sectPr w:rsidR="00151EE5" w:rsidRPr="00151EE5">
      <w:endnotePr>
        <w:numFmt w:val="decimal"/>
      </w:endnotePr>
      <w:pgSz w:w="11907" w:h="16840" w:code="9"/>
      <w:pgMar w:top="1440" w:right="1440" w:bottom="1440" w:left="1797" w:header="1440" w:footer="1440" w:gutter="0"/>
      <w:cols w:space="720"/>
      <w:noEndnote/>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onsolas">
    <w:panose1 w:val="020B0609020204030204"/>
    <w:charset w:val="00"/>
    <w:family w:val="modern"/>
    <w:pitch w:val="fixed"/>
    <w:sig w:usb0="E10002FF" w:usb1="4000FCFF" w:usb2="00000009"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31457108"/>
    <w:multiLevelType w:val="hybridMultilevel"/>
    <w:tmpl w:val="06ECE9E8"/>
    <w:lvl w:ilvl="0" w:tplc="08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4C970227"/>
    <w:multiLevelType w:val="hybridMultilevel"/>
    <w:tmpl w:val="A1769B90"/>
    <w:lvl w:ilvl="0" w:tplc="0409000F">
      <w:start w:val="1"/>
      <w:numFmt w:val="decimal"/>
      <w:lvlText w:val="%1."/>
      <w:lvlJc w:val="left"/>
      <w:pPr>
        <w:ind w:left="1080" w:hanging="360"/>
      </w:p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start w:val="1"/>
      <w:numFmt w:val="lowerLetter"/>
      <w:lvlText w:val="%5."/>
      <w:lvlJc w:val="left"/>
      <w:pPr>
        <w:ind w:left="3960" w:hanging="360"/>
      </w:pPr>
    </w:lvl>
    <w:lvl w:ilvl="5" w:tplc="0409001B">
      <w:start w:val="1"/>
      <w:numFmt w:val="lowerRoman"/>
      <w:lvlText w:val="%6."/>
      <w:lvlJc w:val="right"/>
      <w:pPr>
        <w:ind w:left="4680" w:hanging="180"/>
      </w:pPr>
    </w:lvl>
    <w:lvl w:ilvl="6" w:tplc="0409000F">
      <w:start w:val="1"/>
      <w:numFmt w:val="decimal"/>
      <w:lvlText w:val="%7."/>
      <w:lvlJc w:val="left"/>
      <w:pPr>
        <w:ind w:left="5400" w:hanging="360"/>
      </w:pPr>
    </w:lvl>
    <w:lvl w:ilvl="7" w:tplc="04090019">
      <w:start w:val="1"/>
      <w:numFmt w:val="lowerLetter"/>
      <w:lvlText w:val="%8."/>
      <w:lvlJc w:val="left"/>
      <w:pPr>
        <w:ind w:left="6120" w:hanging="360"/>
      </w:pPr>
    </w:lvl>
    <w:lvl w:ilvl="8" w:tplc="0409001B">
      <w:start w:val="1"/>
      <w:numFmt w:val="lowerRoman"/>
      <w:lvlText w:val="%9."/>
      <w:lvlJc w:val="right"/>
      <w:pPr>
        <w:ind w:left="6840" w:hanging="180"/>
      </w:p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oNotTrackMoves/>
  <w:defaultTabStop w:val="720"/>
  <w:doNotHyphenateCaps/>
  <w:drawingGridHorizontalSpacing w:val="120"/>
  <w:drawingGridVerticalSpacing w:val="120"/>
  <w:displayVerticalDrawingGridEvery w:val="0"/>
  <w:doNotUseMarginsForDrawingGridOrigin/>
  <w:doNotShadeFormData/>
  <w:characterSpacingControl w:val="doNotCompress"/>
  <w:endnotePr>
    <w:numFmt w:val="decimal"/>
  </w:endnotePr>
  <w:compat>
    <w:noTabHangInd/>
    <w:balanceSingleByteDoubleByteWidth/>
    <w:doNotLeaveBackslashAlone/>
    <w:ulTrailSpace/>
    <w:doNotExpandShiftReturn/>
    <w:doNotSuppressParagraphBorders/>
    <w:wrapTrailSpaces/>
    <w:footnoteLayoutLikeWW8/>
    <w:shapeLayoutLikeWW8/>
    <w:alignTablesRowByRow/>
    <w:forgetLastTabAlignment/>
    <w:autoSpaceLikeWord95/>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151EE5"/>
    <w:rsid w:val="000205AE"/>
    <w:rsid w:val="00151EE5"/>
    <w:rsid w:val="00324AFA"/>
    <w:rsid w:val="005D7A10"/>
    <w:rsid w:val="005E3C6A"/>
    <w:rsid w:val="006279FE"/>
    <w:rsid w:val="00642FF8"/>
    <w:rsid w:val="00903D3A"/>
    <w:rsid w:val="009D57EC"/>
    <w:rsid w:val="00A741CD"/>
    <w:rsid w:val="00B3318C"/>
    <w:rsid w:val="00D26878"/>
    <w:rsid w:val="00E770D8"/>
    <w:rsid w:val="00F1025A"/>
    <w:rsid w:val="00F413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7B2BA8A9-904F-4D19-B2F7-9949F5F25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24AFA"/>
    <w:pPr>
      <w:overflowPunct w:val="0"/>
      <w:autoSpaceDE w:val="0"/>
      <w:autoSpaceDN w:val="0"/>
      <w:adjustRightInd w:val="0"/>
      <w:jc w:val="both"/>
      <w:textAlignment w:val="baseline"/>
    </w:pPr>
    <w:rPr>
      <w:rFonts w:ascii="Arial" w:hAnsi="Arial"/>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semiHidden/>
    <w:rsid w:val="00324AFA"/>
  </w:style>
  <w:style w:type="paragraph" w:customStyle="1" w:styleId="heading">
    <w:name w:val="heading"/>
    <w:basedOn w:val="fixed"/>
    <w:link w:val="headingChar"/>
    <w:uiPriority w:val="99"/>
    <w:rsid w:val="00324AFA"/>
    <w:pPr>
      <w:spacing w:before="240" w:after="120"/>
    </w:pPr>
  </w:style>
  <w:style w:type="paragraph" w:customStyle="1" w:styleId="fixed">
    <w:name w:val="fixed"/>
    <w:link w:val="fixedChar"/>
    <w:rsid w:val="00324AFA"/>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rPr>
  </w:style>
  <w:style w:type="paragraph" w:customStyle="1" w:styleId="variable">
    <w:name w:val="variable"/>
    <w:rsid w:val="00324AFA"/>
    <w:pPr>
      <w:overflowPunct w:val="0"/>
      <w:autoSpaceDE w:val="0"/>
      <w:autoSpaceDN w:val="0"/>
      <w:adjustRightInd w:val="0"/>
      <w:ind w:left="3600" w:hanging="3600"/>
      <w:jc w:val="both"/>
      <w:textAlignment w:val="baseline"/>
    </w:pPr>
    <w:rPr>
      <w:rFonts w:ascii="Arial" w:hAnsi="Arial"/>
      <w:b/>
      <w:sz w:val="22"/>
    </w:rPr>
  </w:style>
  <w:style w:type="paragraph" w:customStyle="1" w:styleId="bullet">
    <w:name w:val="bullet"/>
    <w:link w:val="bulletChar"/>
    <w:rsid w:val="00324AFA"/>
    <w:pPr>
      <w:overflowPunct w:val="0"/>
      <w:autoSpaceDE w:val="0"/>
      <w:autoSpaceDN w:val="0"/>
      <w:adjustRightInd w:val="0"/>
      <w:spacing w:before="120"/>
      <w:ind w:left="1004" w:hanging="284"/>
      <w:jc w:val="both"/>
      <w:textAlignment w:val="baseline"/>
    </w:pPr>
    <w:rPr>
      <w:rFonts w:ascii="Arial" w:hAnsi="Arial"/>
      <w:sz w:val="22"/>
    </w:rPr>
  </w:style>
  <w:style w:type="paragraph" w:customStyle="1" w:styleId="more">
    <w:name w:val="more"/>
    <w:rsid w:val="00324AFA"/>
    <w:pPr>
      <w:overflowPunct w:val="0"/>
      <w:autoSpaceDE w:val="0"/>
      <w:autoSpaceDN w:val="0"/>
      <w:adjustRightInd w:val="0"/>
      <w:spacing w:before="60"/>
      <w:ind w:left="1288" w:hanging="284"/>
      <w:jc w:val="both"/>
      <w:textAlignment w:val="baseline"/>
    </w:pPr>
    <w:rPr>
      <w:rFonts w:ascii="Arial" w:hAnsi="Arial"/>
      <w:sz w:val="22"/>
    </w:rPr>
  </w:style>
  <w:style w:type="character" w:customStyle="1" w:styleId="headingChar">
    <w:name w:val="heading Char"/>
    <w:link w:val="heading"/>
    <w:uiPriority w:val="99"/>
    <w:rsid w:val="00151EE5"/>
    <w:rPr>
      <w:rFonts w:ascii="Arial" w:hAnsi="Arial"/>
      <w:b/>
      <w:sz w:val="22"/>
    </w:rPr>
  </w:style>
  <w:style w:type="character" w:customStyle="1" w:styleId="fixedChar">
    <w:name w:val="fixed Char"/>
    <w:link w:val="fixed"/>
    <w:rsid w:val="00151EE5"/>
    <w:rPr>
      <w:rFonts w:ascii="Arial" w:hAnsi="Arial"/>
      <w:b/>
      <w:sz w:val="22"/>
    </w:rPr>
  </w:style>
  <w:style w:type="character" w:customStyle="1" w:styleId="bulletChar">
    <w:name w:val="bullet Char"/>
    <w:link w:val="bullet"/>
    <w:rsid w:val="00151EE5"/>
    <w:rPr>
      <w:rFonts w:ascii="Arial" w:hAnsi="Arial"/>
      <w:sz w:val="22"/>
    </w:rPr>
  </w:style>
  <w:style w:type="paragraph" w:styleId="HTMLPreformatted">
    <w:name w:val="HTML Preformatted"/>
    <w:basedOn w:val="Normal"/>
    <w:link w:val="HTMLPreformattedChar"/>
    <w:uiPriority w:val="99"/>
    <w:unhideWhenUsed/>
    <w:rsid w:val="00324AFA"/>
    <w:pPr>
      <w:jc w:val="left"/>
    </w:pPr>
    <w:rPr>
      <w:rFonts w:cs="Consolas"/>
    </w:rPr>
  </w:style>
  <w:style w:type="character" w:customStyle="1" w:styleId="HTMLPreformattedChar">
    <w:name w:val="HTML Preformatted Char"/>
    <w:link w:val="HTMLPreformatted"/>
    <w:uiPriority w:val="99"/>
    <w:rsid w:val="00324AFA"/>
    <w:rPr>
      <w:rFonts w:ascii="Arial" w:hAnsi="Arial" w:cs="Consolas"/>
      <w:sz w:val="22"/>
    </w:rPr>
  </w:style>
  <w:style w:type="table" w:styleId="TableGrid">
    <w:name w:val="Table Grid"/>
    <w:basedOn w:val="TableNormal"/>
    <w:uiPriority w:val="59"/>
    <w:rsid w:val="00E770D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MODULES\01_QAMOD.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01_QAMOD</Template>
  <TotalTime>2</TotalTime>
  <Pages>6</Pages>
  <Words>1792</Words>
  <Characters>10215</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Module Template - 07/09/1998</vt:lpstr>
    </vt:vector>
  </TitlesOfParts>
  <Company/>
  <LinksUpToDate>false</LinksUpToDate>
  <CharactersWithSpaces>11984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Template - 07/09/1998</dc:title>
  <dc:subject/>
  <dc:creator>Teleri James</dc:creator>
  <cp:keywords/>
  <cp:lastModifiedBy>Gwenllian Llyr</cp:lastModifiedBy>
  <cp:revision>6</cp:revision>
  <cp:lastPrinted>1900-01-01T00:00:00Z</cp:lastPrinted>
  <dcterms:created xsi:type="dcterms:W3CDTF">2016-06-23T12:00:00Z</dcterms:created>
  <dcterms:modified xsi:type="dcterms:W3CDTF">2019-08-20T12:18:00Z</dcterms:modified>
</cp:coreProperties>
</file>