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682E9"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Adibah Bashir </w:t>
      </w:r>
    </w:p>
    <w:p w14:paraId="42A921DA"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Student ID Number: 2422466</w:t>
      </w:r>
    </w:p>
    <w:p w14:paraId="6D846FAD" w14:textId="77777777" w:rsidR="005B4A5A" w:rsidRPr="006B2B93" w:rsidRDefault="005B4A5A" w:rsidP="005B4A5A">
      <w:pPr>
        <w:spacing w:line="360" w:lineRule="auto"/>
        <w:jc w:val="center"/>
        <w:rPr>
          <w:rFonts w:ascii="Arial" w:eastAsia="Arial" w:hAnsi="Arial" w:cs="Arial"/>
          <w:sz w:val="48"/>
          <w:szCs w:val="48"/>
        </w:rPr>
      </w:pPr>
      <w:r w:rsidRPr="006B2B93">
        <w:rPr>
          <w:rFonts w:ascii="Arial" w:eastAsia="Arial" w:hAnsi="Arial" w:cs="Arial"/>
          <w:color w:val="000000" w:themeColor="text1"/>
          <w:sz w:val="48"/>
          <w:szCs w:val="48"/>
        </w:rPr>
        <w:t xml:space="preserve">Module Code: </w:t>
      </w:r>
      <w:r>
        <w:rPr>
          <w:rFonts w:ascii="Arial" w:hAnsi="Arial" w:cs="Arial"/>
          <w:bCs/>
          <w:spacing w:val="-2"/>
          <w:sz w:val="48"/>
          <w:szCs w:val="48"/>
        </w:rPr>
        <w:t>BMHP5016</w:t>
      </w:r>
    </w:p>
    <w:p w14:paraId="0CBD24A1"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Module Title: </w:t>
      </w:r>
      <w:r>
        <w:rPr>
          <w:rFonts w:ascii="Arial" w:hAnsi="Arial" w:cs="Arial"/>
          <w:bCs/>
          <w:sz w:val="48"/>
          <w:szCs w:val="48"/>
        </w:rPr>
        <w:t>Principles of Health and Social Care Practice</w:t>
      </w:r>
    </w:p>
    <w:p w14:paraId="4F32F3CD" w14:textId="77777777" w:rsidR="005B4A5A" w:rsidRPr="006B2B93" w:rsidRDefault="005B4A5A" w:rsidP="005B4A5A">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Lecture’s Name: </w:t>
      </w:r>
      <w:r w:rsidRPr="00BD0275">
        <w:rPr>
          <w:rFonts w:ascii="Arial" w:eastAsia="Arial" w:hAnsi="Arial" w:cs="Arial"/>
          <w:color w:val="000000" w:themeColor="text1"/>
          <w:sz w:val="48"/>
          <w:szCs w:val="48"/>
        </w:rPr>
        <w:t>Tsiwani Khumalo</w:t>
      </w:r>
    </w:p>
    <w:p w14:paraId="70BFEBF7" w14:textId="13C95FA8" w:rsidR="005B4A5A" w:rsidRPr="006B2B93" w:rsidRDefault="005B4A5A" w:rsidP="005B4A5A">
      <w:pPr>
        <w:spacing w:line="360" w:lineRule="auto"/>
        <w:jc w:val="center"/>
        <w:rPr>
          <w:rFonts w:ascii="Times New Roman" w:hAnsi="Times New Roman" w:cs="Times New Roman"/>
          <w:bCs/>
          <w:sz w:val="48"/>
          <w:szCs w:val="48"/>
        </w:rPr>
      </w:pPr>
      <w:r w:rsidRPr="006B2B93">
        <w:rPr>
          <w:rFonts w:ascii="Arial" w:eastAsia="Arial" w:hAnsi="Arial" w:cs="Arial"/>
          <w:color w:val="000000" w:themeColor="text1"/>
          <w:sz w:val="48"/>
          <w:szCs w:val="48"/>
        </w:rPr>
        <w:t xml:space="preserve">Assignment Title: Component </w:t>
      </w:r>
      <w:r>
        <w:rPr>
          <w:rFonts w:ascii="Arial" w:eastAsia="Arial" w:hAnsi="Arial" w:cs="Arial"/>
          <w:color w:val="000000" w:themeColor="text1"/>
          <w:sz w:val="48"/>
          <w:szCs w:val="48"/>
        </w:rPr>
        <w:t>2</w:t>
      </w:r>
      <w:r w:rsidRPr="006B2B93">
        <w:rPr>
          <w:rFonts w:ascii="Arial" w:eastAsia="Arial" w:hAnsi="Arial" w:cs="Arial"/>
          <w:color w:val="000000" w:themeColor="text1"/>
          <w:sz w:val="48"/>
          <w:szCs w:val="48"/>
        </w:rPr>
        <w:t xml:space="preserve"> – </w:t>
      </w:r>
      <w:r w:rsidR="003807C7">
        <w:rPr>
          <w:rFonts w:ascii="Arial" w:hAnsi="Arial" w:cs="Arial"/>
          <w:bCs/>
          <w:sz w:val="48"/>
          <w:szCs w:val="48"/>
        </w:rPr>
        <w:t>Written Assignment</w:t>
      </w:r>
      <w:r w:rsidR="00066A32">
        <w:rPr>
          <w:rFonts w:ascii="Arial" w:hAnsi="Arial" w:cs="Arial"/>
          <w:bCs/>
          <w:sz w:val="48"/>
          <w:szCs w:val="48"/>
        </w:rPr>
        <w:t xml:space="preserve"> (Report)</w:t>
      </w:r>
    </w:p>
    <w:p w14:paraId="79BBC9C5" w14:textId="77777777" w:rsidR="00587F54" w:rsidRDefault="00587F54" w:rsidP="0084073D">
      <w:pPr>
        <w:spacing w:after="0" w:line="360" w:lineRule="auto"/>
        <w:jc w:val="center"/>
        <w:rPr>
          <w:rFonts w:ascii="Arial" w:eastAsia="Times New Roman" w:hAnsi="Arial" w:cs="Arial"/>
          <w:b/>
          <w:bCs/>
          <w:kern w:val="36"/>
          <w:sz w:val="40"/>
          <w:u w:val="single"/>
        </w:rPr>
      </w:pPr>
    </w:p>
    <w:p w14:paraId="2B5FB3AD" w14:textId="77777777" w:rsidR="00125114" w:rsidRDefault="00125114" w:rsidP="0084073D">
      <w:pPr>
        <w:spacing w:after="0" w:line="360" w:lineRule="auto"/>
        <w:jc w:val="center"/>
        <w:rPr>
          <w:rFonts w:ascii="Arial" w:eastAsia="Times New Roman" w:hAnsi="Arial" w:cs="Arial"/>
          <w:b/>
          <w:bCs/>
          <w:kern w:val="36"/>
          <w:sz w:val="40"/>
          <w:u w:val="single"/>
        </w:rPr>
      </w:pPr>
    </w:p>
    <w:p w14:paraId="7BCEEBE6" w14:textId="77777777" w:rsidR="00125114" w:rsidRDefault="00125114" w:rsidP="0084073D">
      <w:pPr>
        <w:spacing w:after="0" w:line="360" w:lineRule="auto"/>
        <w:jc w:val="center"/>
        <w:rPr>
          <w:rFonts w:ascii="Arial" w:eastAsia="Times New Roman" w:hAnsi="Arial" w:cs="Arial"/>
          <w:b/>
          <w:bCs/>
          <w:kern w:val="36"/>
          <w:sz w:val="40"/>
          <w:u w:val="single"/>
        </w:rPr>
      </w:pPr>
    </w:p>
    <w:p w14:paraId="55639E15" w14:textId="77777777" w:rsidR="00125114" w:rsidRDefault="00125114" w:rsidP="0084073D">
      <w:pPr>
        <w:spacing w:after="0" w:line="360" w:lineRule="auto"/>
        <w:jc w:val="center"/>
        <w:rPr>
          <w:rFonts w:ascii="Arial" w:eastAsia="Times New Roman" w:hAnsi="Arial" w:cs="Arial"/>
          <w:b/>
          <w:bCs/>
          <w:kern w:val="36"/>
          <w:sz w:val="40"/>
          <w:u w:val="single"/>
        </w:rPr>
      </w:pPr>
    </w:p>
    <w:p w14:paraId="4CDB6DC5" w14:textId="77777777" w:rsidR="00125114" w:rsidRDefault="00125114" w:rsidP="0084073D">
      <w:pPr>
        <w:spacing w:after="0" w:line="360" w:lineRule="auto"/>
        <w:jc w:val="center"/>
        <w:rPr>
          <w:rFonts w:ascii="Arial" w:eastAsia="Times New Roman" w:hAnsi="Arial" w:cs="Arial"/>
          <w:b/>
          <w:bCs/>
          <w:kern w:val="36"/>
          <w:sz w:val="40"/>
          <w:u w:val="single"/>
        </w:rPr>
      </w:pPr>
    </w:p>
    <w:p w14:paraId="6CAA72FB" w14:textId="77777777" w:rsidR="00125114" w:rsidRDefault="00125114" w:rsidP="0084073D">
      <w:pPr>
        <w:spacing w:after="0" w:line="360" w:lineRule="auto"/>
        <w:jc w:val="center"/>
        <w:rPr>
          <w:rFonts w:ascii="Arial" w:eastAsia="Times New Roman" w:hAnsi="Arial" w:cs="Arial"/>
          <w:b/>
          <w:bCs/>
          <w:kern w:val="36"/>
          <w:sz w:val="40"/>
          <w:u w:val="single"/>
        </w:rPr>
      </w:pPr>
    </w:p>
    <w:p w14:paraId="313E072A" w14:textId="77777777" w:rsidR="00125114" w:rsidRDefault="00125114" w:rsidP="0084073D">
      <w:pPr>
        <w:spacing w:after="0" w:line="360" w:lineRule="auto"/>
        <w:jc w:val="center"/>
        <w:rPr>
          <w:rFonts w:ascii="Arial" w:eastAsia="Times New Roman" w:hAnsi="Arial" w:cs="Arial"/>
          <w:b/>
          <w:bCs/>
          <w:kern w:val="36"/>
          <w:sz w:val="40"/>
          <w:u w:val="single"/>
        </w:rPr>
      </w:pPr>
    </w:p>
    <w:p w14:paraId="440AD302" w14:textId="77777777" w:rsidR="008A3671" w:rsidRDefault="008A3671">
      <w:pPr>
        <w:rPr>
          <w:rFonts w:ascii="Arial" w:eastAsia="Times New Roman" w:hAnsi="Arial" w:cs="Arial"/>
          <w:b/>
          <w:bCs/>
          <w:kern w:val="36"/>
        </w:rPr>
      </w:pPr>
      <w:r>
        <w:rPr>
          <w:rFonts w:ascii="Arial" w:eastAsia="Times New Roman" w:hAnsi="Arial" w:cs="Arial"/>
          <w:b/>
          <w:bCs/>
          <w:kern w:val="36"/>
        </w:rPr>
        <w:br w:type="page"/>
      </w:r>
    </w:p>
    <w:bookmarkStart w:id="0" w:name="_Toc224423984" w:displacedByCustomXml="next"/>
    <w:bookmarkStart w:id="1" w:name="_Toc224442467" w:displacedByCustomXml="next"/>
    <w:sdt>
      <w:sdtPr>
        <w:rPr>
          <w:rFonts w:asciiTheme="minorHAnsi" w:eastAsiaTheme="minorHAnsi" w:hAnsiTheme="minorHAnsi" w:cstheme="minorBidi"/>
          <w:color w:val="auto"/>
          <w:sz w:val="22"/>
          <w:szCs w:val="22"/>
        </w:rPr>
        <w:id w:val="266891898"/>
        <w:docPartObj>
          <w:docPartGallery w:val="Table of Contents"/>
          <w:docPartUnique/>
        </w:docPartObj>
      </w:sdtPr>
      <w:sdtEndPr>
        <w:rPr>
          <w:b/>
          <w:bCs/>
          <w:noProof/>
        </w:rPr>
      </w:sdtEndPr>
      <w:sdtContent>
        <w:p w14:paraId="6E4DC313" w14:textId="77777777" w:rsidR="00897E0E" w:rsidRPr="00897E0E" w:rsidRDefault="00897E0E">
          <w:pPr>
            <w:pStyle w:val="TOCHeading"/>
            <w:rPr>
              <w:b/>
              <w:sz w:val="30"/>
            </w:rPr>
          </w:pPr>
          <w:r w:rsidRPr="00897E0E">
            <w:rPr>
              <w:b/>
              <w:sz w:val="30"/>
            </w:rPr>
            <w:t>Table of Contents</w:t>
          </w:r>
        </w:p>
        <w:p w14:paraId="38419774" w14:textId="77777777" w:rsidR="00897E0E" w:rsidRPr="00897E0E" w:rsidRDefault="00897E0E">
          <w:pPr>
            <w:pStyle w:val="TOC1"/>
            <w:tabs>
              <w:tab w:val="right" w:leader="dot" w:pos="9350"/>
            </w:tabs>
            <w:rPr>
              <w:rFonts w:eastAsiaTheme="minorEastAsia"/>
              <w:b/>
              <w:noProof/>
              <w:sz w:val="20"/>
              <w:lang w:eastAsia="en-GB"/>
            </w:rPr>
          </w:pPr>
          <w:r w:rsidRPr="00897E0E">
            <w:rPr>
              <w:b/>
              <w:sz w:val="20"/>
            </w:rPr>
            <w:fldChar w:fldCharType="begin"/>
          </w:r>
          <w:r w:rsidRPr="00897E0E">
            <w:rPr>
              <w:b/>
              <w:sz w:val="20"/>
            </w:rPr>
            <w:instrText xml:space="preserve"> TOC \o "1-3" \h \z \u </w:instrText>
          </w:r>
          <w:r w:rsidRPr="00897E0E">
            <w:rPr>
              <w:b/>
              <w:sz w:val="20"/>
            </w:rPr>
            <w:fldChar w:fldCharType="separate"/>
          </w:r>
          <w:hyperlink w:anchor="_Toc225531631" w:history="1">
            <w:r w:rsidRPr="00897E0E">
              <w:rPr>
                <w:rStyle w:val="Hyperlink"/>
                <w:b/>
                <w:noProof/>
                <w:sz w:val="20"/>
              </w:rPr>
              <w:t>Abstract</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_Toc225531631 \h </w:instrText>
            </w:r>
            <w:r w:rsidRPr="00897E0E">
              <w:rPr>
                <w:b/>
                <w:noProof/>
                <w:webHidden/>
                <w:sz w:val="20"/>
              </w:rPr>
            </w:r>
            <w:r w:rsidRPr="00897E0E">
              <w:rPr>
                <w:b/>
                <w:noProof/>
                <w:webHidden/>
                <w:sz w:val="20"/>
              </w:rPr>
              <w:fldChar w:fldCharType="separate"/>
            </w:r>
            <w:r w:rsidRPr="00897E0E">
              <w:rPr>
                <w:b/>
                <w:noProof/>
                <w:webHidden/>
                <w:sz w:val="20"/>
              </w:rPr>
              <w:t>3</w:t>
            </w:r>
            <w:r w:rsidRPr="00897E0E">
              <w:rPr>
                <w:b/>
                <w:noProof/>
                <w:webHidden/>
                <w:sz w:val="20"/>
              </w:rPr>
              <w:fldChar w:fldCharType="end"/>
            </w:r>
          </w:hyperlink>
        </w:p>
        <w:p w14:paraId="475C1807" w14:textId="77777777" w:rsidR="00897E0E" w:rsidRPr="00897E0E" w:rsidRDefault="00897E0E">
          <w:pPr>
            <w:pStyle w:val="TOC1"/>
            <w:tabs>
              <w:tab w:val="right" w:leader="dot" w:pos="9350"/>
            </w:tabs>
            <w:rPr>
              <w:rFonts w:eastAsiaTheme="minorEastAsia"/>
              <w:b/>
              <w:noProof/>
              <w:sz w:val="20"/>
              <w:lang w:eastAsia="en-GB"/>
            </w:rPr>
          </w:pPr>
          <w:hyperlink w:anchor="_Toc225531632" w:history="1">
            <w:r w:rsidRPr="00897E0E">
              <w:rPr>
                <w:rStyle w:val="Hyperlink"/>
                <w:b/>
                <w:noProof/>
                <w:sz w:val="20"/>
              </w:rPr>
              <w:t>Introduction</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_Toc225531632 \h </w:instrText>
            </w:r>
            <w:r w:rsidRPr="00897E0E">
              <w:rPr>
                <w:b/>
                <w:noProof/>
                <w:webHidden/>
                <w:sz w:val="20"/>
              </w:rPr>
            </w:r>
            <w:r w:rsidRPr="00897E0E">
              <w:rPr>
                <w:b/>
                <w:noProof/>
                <w:webHidden/>
                <w:sz w:val="20"/>
              </w:rPr>
              <w:fldChar w:fldCharType="separate"/>
            </w:r>
            <w:r w:rsidRPr="00897E0E">
              <w:rPr>
                <w:b/>
                <w:noProof/>
                <w:webHidden/>
                <w:sz w:val="20"/>
              </w:rPr>
              <w:t>4</w:t>
            </w:r>
            <w:r w:rsidRPr="00897E0E">
              <w:rPr>
                <w:b/>
                <w:noProof/>
                <w:webHidden/>
                <w:sz w:val="20"/>
              </w:rPr>
              <w:fldChar w:fldCharType="end"/>
            </w:r>
          </w:hyperlink>
        </w:p>
        <w:p w14:paraId="3312AB0C" w14:textId="77777777" w:rsidR="00897E0E" w:rsidRPr="00897E0E" w:rsidRDefault="00897E0E">
          <w:pPr>
            <w:pStyle w:val="TOC1"/>
            <w:tabs>
              <w:tab w:val="right" w:leader="dot" w:pos="9350"/>
            </w:tabs>
            <w:rPr>
              <w:rFonts w:eastAsiaTheme="minorEastAsia"/>
              <w:b/>
              <w:noProof/>
              <w:sz w:val="20"/>
              <w:lang w:eastAsia="en-GB"/>
            </w:rPr>
          </w:pPr>
          <w:hyperlink w:anchor="_Toc225531633" w:history="1">
            <w:r w:rsidRPr="00897E0E">
              <w:rPr>
                <w:rStyle w:val="Hyperlink"/>
                <w:b/>
                <w:noProof/>
                <w:sz w:val="20"/>
              </w:rPr>
              <w:t>Definition of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_Toc225531633 \h </w:instrText>
            </w:r>
            <w:r w:rsidRPr="00897E0E">
              <w:rPr>
                <w:b/>
                <w:noProof/>
                <w:webHidden/>
                <w:sz w:val="20"/>
              </w:rPr>
            </w:r>
            <w:r w:rsidRPr="00897E0E">
              <w:rPr>
                <w:b/>
                <w:noProof/>
                <w:webHidden/>
                <w:sz w:val="20"/>
              </w:rPr>
              <w:fldChar w:fldCharType="separate"/>
            </w:r>
            <w:r w:rsidRPr="00897E0E">
              <w:rPr>
                <w:b/>
                <w:noProof/>
                <w:webHidden/>
                <w:sz w:val="20"/>
              </w:rPr>
              <w:t>4</w:t>
            </w:r>
            <w:r w:rsidRPr="00897E0E">
              <w:rPr>
                <w:b/>
                <w:noProof/>
                <w:webHidden/>
                <w:sz w:val="20"/>
              </w:rPr>
              <w:fldChar w:fldCharType="end"/>
            </w:r>
          </w:hyperlink>
        </w:p>
        <w:p w14:paraId="6E38B16A" w14:textId="77777777" w:rsidR="00897E0E" w:rsidRPr="00897E0E" w:rsidRDefault="00897E0E">
          <w:pPr>
            <w:pStyle w:val="TOC2"/>
            <w:tabs>
              <w:tab w:val="right" w:leader="dot" w:pos="9350"/>
            </w:tabs>
            <w:rPr>
              <w:rFonts w:eastAsiaTheme="minorEastAsia"/>
              <w:b/>
              <w:noProof/>
              <w:sz w:val="20"/>
              <w:lang w:eastAsia="en-GB"/>
            </w:rPr>
          </w:pPr>
          <w:hyperlink w:anchor="_Toc225531634" w:history="1">
            <w:r w:rsidRPr="00897E0E">
              <w:rPr>
                <w:rStyle w:val="Hyperlink"/>
                <w:b/>
                <w:noProof/>
                <w:sz w:val="20"/>
              </w:rPr>
              <w:t>Benefits of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_Toc225531634 \h </w:instrText>
            </w:r>
            <w:r w:rsidRPr="00897E0E">
              <w:rPr>
                <w:b/>
                <w:noProof/>
                <w:webHidden/>
                <w:sz w:val="20"/>
              </w:rPr>
            </w:r>
            <w:r w:rsidRPr="00897E0E">
              <w:rPr>
                <w:b/>
                <w:noProof/>
                <w:webHidden/>
                <w:sz w:val="20"/>
              </w:rPr>
              <w:fldChar w:fldCharType="separate"/>
            </w:r>
            <w:r w:rsidRPr="00897E0E">
              <w:rPr>
                <w:b/>
                <w:noProof/>
                <w:webHidden/>
                <w:sz w:val="20"/>
              </w:rPr>
              <w:t>4</w:t>
            </w:r>
            <w:r w:rsidRPr="00897E0E">
              <w:rPr>
                <w:b/>
                <w:noProof/>
                <w:webHidden/>
                <w:sz w:val="20"/>
              </w:rPr>
              <w:fldChar w:fldCharType="end"/>
            </w:r>
          </w:hyperlink>
        </w:p>
        <w:p w14:paraId="0FFB2958" w14:textId="77777777" w:rsidR="00897E0E" w:rsidRPr="00897E0E" w:rsidRDefault="00897E0E">
          <w:pPr>
            <w:pStyle w:val="TOC2"/>
            <w:tabs>
              <w:tab w:val="right" w:leader="dot" w:pos="9350"/>
            </w:tabs>
            <w:rPr>
              <w:rFonts w:eastAsiaTheme="minorEastAsia"/>
              <w:b/>
              <w:noProof/>
              <w:sz w:val="20"/>
              <w:lang w:eastAsia="en-GB"/>
            </w:rPr>
          </w:pPr>
          <w:hyperlink w:anchor="_Toc225531635" w:history="1">
            <w:r w:rsidRPr="00897E0E">
              <w:rPr>
                <w:rStyle w:val="Hyperlink"/>
                <w:b/>
                <w:noProof/>
                <w:sz w:val="20"/>
              </w:rPr>
              <w:t>Limitations of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_Toc225531635 \h </w:instrText>
            </w:r>
            <w:r w:rsidRPr="00897E0E">
              <w:rPr>
                <w:b/>
                <w:noProof/>
                <w:webHidden/>
                <w:sz w:val="20"/>
              </w:rPr>
            </w:r>
            <w:r w:rsidRPr="00897E0E">
              <w:rPr>
                <w:b/>
                <w:noProof/>
                <w:webHidden/>
                <w:sz w:val="20"/>
              </w:rPr>
              <w:fldChar w:fldCharType="separate"/>
            </w:r>
            <w:r w:rsidRPr="00897E0E">
              <w:rPr>
                <w:b/>
                <w:noProof/>
                <w:webHidden/>
                <w:sz w:val="20"/>
              </w:rPr>
              <w:t>5</w:t>
            </w:r>
            <w:r w:rsidRPr="00897E0E">
              <w:rPr>
                <w:b/>
                <w:noProof/>
                <w:webHidden/>
                <w:sz w:val="20"/>
              </w:rPr>
              <w:fldChar w:fldCharType="end"/>
            </w:r>
          </w:hyperlink>
        </w:p>
        <w:p w14:paraId="316DD5C8" w14:textId="77777777" w:rsidR="00897E0E" w:rsidRPr="00897E0E" w:rsidRDefault="00897E0E">
          <w:pPr>
            <w:pStyle w:val="TOC1"/>
            <w:tabs>
              <w:tab w:val="right" w:leader="dot" w:pos="9350"/>
            </w:tabs>
            <w:rPr>
              <w:rFonts w:eastAsiaTheme="minorEastAsia"/>
              <w:b/>
              <w:noProof/>
              <w:sz w:val="20"/>
              <w:lang w:eastAsia="en-GB"/>
            </w:rPr>
          </w:pPr>
          <w:hyperlink w:anchor="_Toc225531636" w:history="1">
            <w:r w:rsidRPr="00897E0E">
              <w:rPr>
                <w:rStyle w:val="Hyperlink"/>
                <w:b/>
                <w:noProof/>
                <w:sz w:val="20"/>
              </w:rPr>
              <w:t>Relevant Theories Supporting Person-Centred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_Toc225531636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5DAF3810" w14:textId="77777777" w:rsidR="00897E0E" w:rsidRPr="00897E0E" w:rsidRDefault="00897E0E">
          <w:pPr>
            <w:pStyle w:val="TOC2"/>
            <w:tabs>
              <w:tab w:val="right" w:leader="dot" w:pos="9350"/>
            </w:tabs>
            <w:rPr>
              <w:rFonts w:eastAsiaTheme="minorEastAsia"/>
              <w:b/>
              <w:noProof/>
              <w:sz w:val="20"/>
              <w:lang w:eastAsia="en-GB"/>
            </w:rPr>
          </w:pPr>
          <w:hyperlink w:anchor="_Toc225531637" w:history="1">
            <w:r w:rsidRPr="00897E0E">
              <w:rPr>
                <w:rStyle w:val="Hyperlink"/>
                <w:b/>
                <w:noProof/>
                <w:sz w:val="20"/>
              </w:rPr>
              <w:t>Maslow’s Hierarchy of Needs</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_Toc225531637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2606B8EC" w14:textId="77777777" w:rsidR="00897E0E" w:rsidRPr="00897E0E" w:rsidRDefault="00897E0E">
          <w:pPr>
            <w:pStyle w:val="TOC2"/>
            <w:tabs>
              <w:tab w:val="right" w:leader="dot" w:pos="9350"/>
            </w:tabs>
            <w:rPr>
              <w:rFonts w:eastAsiaTheme="minorEastAsia"/>
              <w:b/>
              <w:noProof/>
              <w:sz w:val="20"/>
              <w:lang w:eastAsia="en-GB"/>
            </w:rPr>
          </w:pPr>
          <w:hyperlink w:anchor="_Toc225531638" w:history="1">
            <w:r w:rsidRPr="00897E0E">
              <w:rPr>
                <w:rStyle w:val="Hyperlink"/>
                <w:b/>
                <w:noProof/>
                <w:sz w:val="20"/>
              </w:rPr>
              <w:t>Social Model of Health</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_Toc225531638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6AF0F9EB" w14:textId="77777777" w:rsidR="00897E0E" w:rsidRPr="00897E0E" w:rsidRDefault="00897E0E">
          <w:pPr>
            <w:pStyle w:val="TOC2"/>
            <w:tabs>
              <w:tab w:val="right" w:leader="dot" w:pos="9350"/>
            </w:tabs>
            <w:rPr>
              <w:rFonts w:eastAsiaTheme="minorEastAsia"/>
              <w:b/>
              <w:noProof/>
              <w:sz w:val="20"/>
              <w:lang w:eastAsia="en-GB"/>
            </w:rPr>
          </w:pPr>
          <w:hyperlink w:anchor="_Toc225531639" w:history="1">
            <w:r w:rsidRPr="00897E0E">
              <w:rPr>
                <w:rStyle w:val="Hyperlink"/>
                <w:b/>
                <w:noProof/>
                <w:sz w:val="20"/>
              </w:rPr>
              <w:t>Bronfenbrenner’s Ecological Systems Theory</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_Toc225531639 \h </w:instrText>
            </w:r>
            <w:r w:rsidRPr="00897E0E">
              <w:rPr>
                <w:b/>
                <w:noProof/>
                <w:webHidden/>
                <w:sz w:val="20"/>
              </w:rPr>
            </w:r>
            <w:r w:rsidRPr="00897E0E">
              <w:rPr>
                <w:b/>
                <w:noProof/>
                <w:webHidden/>
                <w:sz w:val="20"/>
              </w:rPr>
              <w:fldChar w:fldCharType="separate"/>
            </w:r>
            <w:r w:rsidRPr="00897E0E">
              <w:rPr>
                <w:b/>
                <w:noProof/>
                <w:webHidden/>
                <w:sz w:val="20"/>
              </w:rPr>
              <w:t>6</w:t>
            </w:r>
            <w:r w:rsidRPr="00897E0E">
              <w:rPr>
                <w:b/>
                <w:noProof/>
                <w:webHidden/>
                <w:sz w:val="20"/>
              </w:rPr>
              <w:fldChar w:fldCharType="end"/>
            </w:r>
          </w:hyperlink>
        </w:p>
        <w:p w14:paraId="39B09173" w14:textId="77777777" w:rsidR="00897E0E" w:rsidRPr="00897E0E" w:rsidRDefault="00897E0E">
          <w:pPr>
            <w:pStyle w:val="TOC2"/>
            <w:tabs>
              <w:tab w:val="right" w:leader="dot" w:pos="9350"/>
            </w:tabs>
            <w:rPr>
              <w:rFonts w:eastAsiaTheme="minorEastAsia"/>
              <w:b/>
              <w:noProof/>
              <w:sz w:val="20"/>
              <w:lang w:eastAsia="en-GB"/>
            </w:rPr>
          </w:pPr>
          <w:hyperlink w:anchor="_Toc225531640" w:history="1">
            <w:r w:rsidRPr="00897E0E">
              <w:rPr>
                <w:rStyle w:val="Hyperlink"/>
                <w:b/>
                <w:noProof/>
                <w:sz w:val="20"/>
              </w:rPr>
              <w:t>Comparison and Relevance to PCC</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_Toc225531640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45C8C3F7" w14:textId="77777777" w:rsidR="00897E0E" w:rsidRPr="00897E0E" w:rsidRDefault="00897E0E">
          <w:pPr>
            <w:pStyle w:val="TOC1"/>
            <w:tabs>
              <w:tab w:val="right" w:leader="dot" w:pos="9350"/>
            </w:tabs>
            <w:rPr>
              <w:rFonts w:eastAsiaTheme="minorEastAsia"/>
              <w:b/>
              <w:noProof/>
              <w:sz w:val="20"/>
              <w:lang w:eastAsia="en-GB"/>
            </w:rPr>
          </w:pPr>
          <w:hyperlink w:anchor="_Toc225531641" w:history="1">
            <w:r w:rsidRPr="00897E0E">
              <w:rPr>
                <w:rStyle w:val="Hyperlink"/>
                <w:b/>
                <w:noProof/>
                <w:sz w:val="20"/>
              </w:rPr>
              <w:t>Ethical Fundamentals of Health and Social Care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_Toc225531641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4212B6BE" w14:textId="77777777" w:rsidR="00897E0E" w:rsidRPr="00897E0E" w:rsidRDefault="00897E0E">
          <w:pPr>
            <w:pStyle w:val="TOC2"/>
            <w:tabs>
              <w:tab w:val="right" w:leader="dot" w:pos="9350"/>
            </w:tabs>
            <w:rPr>
              <w:rFonts w:eastAsiaTheme="minorEastAsia"/>
              <w:b/>
              <w:noProof/>
              <w:sz w:val="20"/>
              <w:lang w:eastAsia="en-GB"/>
            </w:rPr>
          </w:pPr>
          <w:hyperlink w:anchor="_Toc225531642" w:history="1">
            <w:r w:rsidRPr="00897E0E">
              <w:rPr>
                <w:rStyle w:val="Hyperlink"/>
                <w:b/>
                <w:noProof/>
                <w:sz w:val="20"/>
              </w:rPr>
              <w:t>Autonomy</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_Toc225531642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62F972F5" w14:textId="77777777" w:rsidR="00897E0E" w:rsidRPr="00897E0E" w:rsidRDefault="00897E0E">
          <w:pPr>
            <w:pStyle w:val="TOC2"/>
            <w:tabs>
              <w:tab w:val="right" w:leader="dot" w:pos="9350"/>
            </w:tabs>
            <w:rPr>
              <w:rFonts w:eastAsiaTheme="minorEastAsia"/>
              <w:b/>
              <w:noProof/>
              <w:sz w:val="20"/>
              <w:lang w:eastAsia="en-GB"/>
            </w:rPr>
          </w:pPr>
          <w:hyperlink w:anchor="_Toc225531643" w:history="1">
            <w:r w:rsidRPr="00897E0E">
              <w:rPr>
                <w:rStyle w:val="Hyperlink"/>
                <w:b/>
                <w:noProof/>
                <w:sz w:val="20"/>
              </w:rPr>
              <w:t>Beneficence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_Toc225531643 \h </w:instrText>
            </w:r>
            <w:r w:rsidRPr="00897E0E">
              <w:rPr>
                <w:b/>
                <w:noProof/>
                <w:webHidden/>
                <w:sz w:val="20"/>
              </w:rPr>
            </w:r>
            <w:r w:rsidRPr="00897E0E">
              <w:rPr>
                <w:b/>
                <w:noProof/>
                <w:webHidden/>
                <w:sz w:val="20"/>
              </w:rPr>
              <w:fldChar w:fldCharType="separate"/>
            </w:r>
            <w:r w:rsidRPr="00897E0E">
              <w:rPr>
                <w:b/>
                <w:noProof/>
                <w:webHidden/>
                <w:sz w:val="20"/>
              </w:rPr>
              <w:t>7</w:t>
            </w:r>
            <w:r w:rsidRPr="00897E0E">
              <w:rPr>
                <w:b/>
                <w:noProof/>
                <w:webHidden/>
                <w:sz w:val="20"/>
              </w:rPr>
              <w:fldChar w:fldCharType="end"/>
            </w:r>
          </w:hyperlink>
        </w:p>
        <w:p w14:paraId="16BC1C57" w14:textId="77777777" w:rsidR="00897E0E" w:rsidRPr="00897E0E" w:rsidRDefault="00897E0E">
          <w:pPr>
            <w:pStyle w:val="TOC2"/>
            <w:tabs>
              <w:tab w:val="right" w:leader="dot" w:pos="9350"/>
            </w:tabs>
            <w:rPr>
              <w:rFonts w:eastAsiaTheme="minorEastAsia"/>
              <w:b/>
              <w:noProof/>
              <w:sz w:val="20"/>
              <w:lang w:eastAsia="en-GB"/>
            </w:rPr>
          </w:pPr>
          <w:hyperlink w:anchor="_Toc225531644" w:history="1">
            <w:r w:rsidRPr="00897E0E">
              <w:rPr>
                <w:rStyle w:val="Hyperlink"/>
                <w:b/>
                <w:noProof/>
                <w:sz w:val="20"/>
              </w:rPr>
              <w:t>Non-Maleficence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_Toc225531644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4997E855" w14:textId="77777777" w:rsidR="00897E0E" w:rsidRPr="00897E0E" w:rsidRDefault="00897E0E">
          <w:pPr>
            <w:pStyle w:val="TOC2"/>
            <w:tabs>
              <w:tab w:val="right" w:leader="dot" w:pos="9350"/>
            </w:tabs>
            <w:rPr>
              <w:rFonts w:eastAsiaTheme="minorEastAsia"/>
              <w:b/>
              <w:noProof/>
              <w:sz w:val="20"/>
              <w:lang w:eastAsia="en-GB"/>
            </w:rPr>
          </w:pPr>
          <w:hyperlink w:anchor="_Toc225531645" w:history="1">
            <w:r w:rsidRPr="00897E0E">
              <w:rPr>
                <w:rStyle w:val="Hyperlink"/>
                <w:b/>
                <w:noProof/>
                <w:sz w:val="20"/>
              </w:rPr>
              <w:t>Justice</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_Toc225531645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63B8DD98" w14:textId="77777777" w:rsidR="00897E0E" w:rsidRPr="00897E0E" w:rsidRDefault="00897E0E">
          <w:pPr>
            <w:pStyle w:val="TOC1"/>
            <w:tabs>
              <w:tab w:val="right" w:leader="dot" w:pos="9350"/>
            </w:tabs>
            <w:rPr>
              <w:rFonts w:eastAsiaTheme="minorEastAsia"/>
              <w:b/>
              <w:noProof/>
              <w:sz w:val="20"/>
              <w:lang w:eastAsia="en-GB"/>
            </w:rPr>
          </w:pPr>
          <w:hyperlink w:anchor="_Toc225531646" w:history="1">
            <w:r w:rsidRPr="00897E0E">
              <w:rPr>
                <w:rStyle w:val="Hyperlink"/>
                <w:b/>
                <w:noProof/>
                <w:sz w:val="20"/>
              </w:rPr>
              <w:t>Evaluation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_Toc225531646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4619EC75" w14:textId="77777777" w:rsidR="00897E0E" w:rsidRPr="00897E0E" w:rsidRDefault="00897E0E">
          <w:pPr>
            <w:pStyle w:val="TOC2"/>
            <w:tabs>
              <w:tab w:val="right" w:leader="dot" w:pos="9350"/>
            </w:tabs>
            <w:rPr>
              <w:rFonts w:eastAsiaTheme="minorEastAsia"/>
              <w:b/>
              <w:noProof/>
              <w:sz w:val="20"/>
              <w:lang w:eastAsia="en-GB"/>
            </w:rPr>
          </w:pPr>
          <w:hyperlink w:anchor="_Toc225531647" w:history="1">
            <w:r w:rsidRPr="00897E0E">
              <w:rPr>
                <w:rStyle w:val="Hyperlink"/>
                <w:b/>
                <w:noProof/>
                <w:sz w:val="20"/>
              </w:rPr>
              <w:t>Importance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_Toc225531647 \h </w:instrText>
            </w:r>
            <w:r w:rsidRPr="00897E0E">
              <w:rPr>
                <w:b/>
                <w:noProof/>
                <w:webHidden/>
                <w:sz w:val="20"/>
              </w:rPr>
            </w:r>
            <w:r w:rsidRPr="00897E0E">
              <w:rPr>
                <w:b/>
                <w:noProof/>
                <w:webHidden/>
                <w:sz w:val="20"/>
              </w:rPr>
              <w:fldChar w:fldCharType="separate"/>
            </w:r>
            <w:r w:rsidRPr="00897E0E">
              <w:rPr>
                <w:b/>
                <w:noProof/>
                <w:webHidden/>
                <w:sz w:val="20"/>
              </w:rPr>
              <w:t>8</w:t>
            </w:r>
            <w:r w:rsidRPr="00897E0E">
              <w:rPr>
                <w:b/>
                <w:noProof/>
                <w:webHidden/>
                <w:sz w:val="20"/>
              </w:rPr>
              <w:fldChar w:fldCharType="end"/>
            </w:r>
          </w:hyperlink>
        </w:p>
        <w:p w14:paraId="6B910EFB" w14:textId="77777777" w:rsidR="00897E0E" w:rsidRPr="00897E0E" w:rsidRDefault="00897E0E">
          <w:pPr>
            <w:pStyle w:val="TOC2"/>
            <w:tabs>
              <w:tab w:val="right" w:leader="dot" w:pos="9350"/>
            </w:tabs>
            <w:rPr>
              <w:rFonts w:eastAsiaTheme="minorEastAsia"/>
              <w:b/>
              <w:noProof/>
              <w:sz w:val="20"/>
              <w:lang w:eastAsia="en-GB"/>
            </w:rPr>
          </w:pPr>
          <w:hyperlink w:anchor="_Toc225531648" w:history="1">
            <w:r w:rsidRPr="00897E0E">
              <w:rPr>
                <w:rStyle w:val="Hyperlink"/>
                <w:b/>
                <w:noProof/>
                <w:sz w:val="20"/>
              </w:rPr>
              <w:t>Benefits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_Toc225531648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36F8A227" w14:textId="77777777" w:rsidR="00897E0E" w:rsidRPr="00897E0E" w:rsidRDefault="00897E0E">
          <w:pPr>
            <w:pStyle w:val="TOC2"/>
            <w:tabs>
              <w:tab w:val="right" w:leader="dot" w:pos="9350"/>
            </w:tabs>
            <w:rPr>
              <w:rFonts w:eastAsiaTheme="minorEastAsia"/>
              <w:b/>
              <w:noProof/>
              <w:sz w:val="20"/>
              <w:lang w:eastAsia="en-GB"/>
            </w:rPr>
          </w:pPr>
          <w:hyperlink w:anchor="_Toc225531649" w:history="1">
            <w:r w:rsidRPr="00897E0E">
              <w:rPr>
                <w:rStyle w:val="Hyperlink"/>
                <w:b/>
                <w:noProof/>
                <w:sz w:val="20"/>
              </w:rPr>
              <w:t>Challenges of Partnership Working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_Toc225531649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7B718C74" w14:textId="77777777" w:rsidR="00897E0E" w:rsidRPr="00897E0E" w:rsidRDefault="00897E0E">
          <w:pPr>
            <w:pStyle w:val="TOC1"/>
            <w:tabs>
              <w:tab w:val="right" w:leader="dot" w:pos="9350"/>
            </w:tabs>
            <w:rPr>
              <w:rFonts w:eastAsiaTheme="minorEastAsia"/>
              <w:b/>
              <w:noProof/>
              <w:sz w:val="20"/>
              <w:lang w:eastAsia="en-GB"/>
            </w:rPr>
          </w:pPr>
          <w:hyperlink w:anchor="_Toc225531650" w:history="1">
            <w:r w:rsidRPr="00897E0E">
              <w:rPr>
                <w:rStyle w:val="Hyperlink"/>
                <w:b/>
                <w:noProof/>
                <w:sz w:val="20"/>
              </w:rPr>
              <w:t>Policy and Legislation Supporting PCC and PW</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_Toc225531650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4E26399F" w14:textId="77777777" w:rsidR="00897E0E" w:rsidRPr="00897E0E" w:rsidRDefault="00897E0E">
          <w:pPr>
            <w:pStyle w:val="TOC2"/>
            <w:tabs>
              <w:tab w:val="right" w:leader="dot" w:pos="9350"/>
            </w:tabs>
            <w:rPr>
              <w:rFonts w:eastAsiaTheme="minorEastAsia"/>
              <w:b/>
              <w:noProof/>
              <w:sz w:val="20"/>
              <w:lang w:eastAsia="en-GB"/>
            </w:rPr>
          </w:pPr>
          <w:hyperlink w:anchor="_Toc225531651" w:history="1">
            <w:r w:rsidRPr="00897E0E">
              <w:rPr>
                <w:rStyle w:val="Hyperlink"/>
                <w:b/>
                <w:i/>
                <w:noProof/>
                <w:sz w:val="20"/>
              </w:rPr>
              <w:t>Care Act 2014</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_Toc225531651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2B7D6FCA" w14:textId="77777777" w:rsidR="00897E0E" w:rsidRPr="00897E0E" w:rsidRDefault="00897E0E">
          <w:pPr>
            <w:pStyle w:val="TOC2"/>
            <w:tabs>
              <w:tab w:val="right" w:leader="dot" w:pos="9350"/>
            </w:tabs>
            <w:rPr>
              <w:rFonts w:eastAsiaTheme="minorEastAsia"/>
              <w:b/>
              <w:noProof/>
              <w:sz w:val="20"/>
              <w:lang w:eastAsia="en-GB"/>
            </w:rPr>
          </w:pPr>
          <w:hyperlink w:anchor="_Toc225531652" w:history="1">
            <w:r w:rsidRPr="00897E0E">
              <w:rPr>
                <w:rStyle w:val="Hyperlink"/>
                <w:b/>
                <w:i/>
                <w:noProof/>
                <w:sz w:val="20"/>
              </w:rPr>
              <w:t>Health and Care Act 2022</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_Toc225531652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063668DC" w14:textId="77777777" w:rsidR="00897E0E" w:rsidRPr="00897E0E" w:rsidRDefault="00897E0E">
          <w:pPr>
            <w:pStyle w:val="TOC2"/>
            <w:tabs>
              <w:tab w:val="right" w:leader="dot" w:pos="9350"/>
            </w:tabs>
            <w:rPr>
              <w:rFonts w:eastAsiaTheme="minorEastAsia"/>
              <w:b/>
              <w:noProof/>
              <w:sz w:val="20"/>
              <w:lang w:eastAsia="en-GB"/>
            </w:rPr>
          </w:pPr>
          <w:hyperlink w:anchor="_Toc225531653" w:history="1">
            <w:r w:rsidRPr="00897E0E">
              <w:rPr>
                <w:rStyle w:val="Hyperlink"/>
                <w:b/>
                <w:i/>
                <w:noProof/>
                <w:sz w:val="20"/>
              </w:rPr>
              <w:t>Health and Social Care Act 2012</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_Toc225531653 \h </w:instrText>
            </w:r>
            <w:r w:rsidRPr="00897E0E">
              <w:rPr>
                <w:b/>
                <w:noProof/>
                <w:webHidden/>
                <w:sz w:val="20"/>
              </w:rPr>
            </w:r>
            <w:r w:rsidRPr="00897E0E">
              <w:rPr>
                <w:b/>
                <w:noProof/>
                <w:webHidden/>
                <w:sz w:val="20"/>
              </w:rPr>
              <w:fldChar w:fldCharType="separate"/>
            </w:r>
            <w:r w:rsidRPr="00897E0E">
              <w:rPr>
                <w:b/>
                <w:noProof/>
                <w:webHidden/>
                <w:sz w:val="20"/>
              </w:rPr>
              <w:t>9</w:t>
            </w:r>
            <w:r w:rsidRPr="00897E0E">
              <w:rPr>
                <w:b/>
                <w:noProof/>
                <w:webHidden/>
                <w:sz w:val="20"/>
              </w:rPr>
              <w:fldChar w:fldCharType="end"/>
            </w:r>
          </w:hyperlink>
        </w:p>
        <w:p w14:paraId="7061768B" w14:textId="77777777" w:rsidR="00897E0E" w:rsidRPr="00897E0E" w:rsidRDefault="00897E0E">
          <w:pPr>
            <w:pStyle w:val="TOC2"/>
            <w:tabs>
              <w:tab w:val="right" w:leader="dot" w:pos="9350"/>
            </w:tabs>
            <w:rPr>
              <w:rFonts w:eastAsiaTheme="minorEastAsia"/>
              <w:b/>
              <w:noProof/>
              <w:sz w:val="20"/>
              <w:lang w:eastAsia="en-GB"/>
            </w:rPr>
          </w:pPr>
          <w:hyperlink w:anchor="_Toc225531654" w:history="1">
            <w:r w:rsidRPr="00897E0E">
              <w:rPr>
                <w:rStyle w:val="Hyperlink"/>
                <w:b/>
                <w:i/>
                <w:noProof/>
                <w:sz w:val="20"/>
              </w:rPr>
              <w:t>Human Rights Act 1998</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_Toc225531654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660D9C4B" w14:textId="77777777" w:rsidR="00897E0E" w:rsidRPr="00897E0E" w:rsidRDefault="00897E0E">
          <w:pPr>
            <w:pStyle w:val="TOC2"/>
            <w:tabs>
              <w:tab w:val="right" w:leader="dot" w:pos="9350"/>
            </w:tabs>
            <w:rPr>
              <w:rFonts w:eastAsiaTheme="minorEastAsia"/>
              <w:b/>
              <w:noProof/>
              <w:sz w:val="20"/>
              <w:lang w:eastAsia="en-GB"/>
            </w:rPr>
          </w:pPr>
          <w:hyperlink w:anchor="_Toc225531655" w:history="1">
            <w:r w:rsidRPr="00897E0E">
              <w:rPr>
                <w:rStyle w:val="Hyperlink"/>
                <w:b/>
                <w:i/>
                <w:noProof/>
                <w:sz w:val="20"/>
              </w:rPr>
              <w:t>Equality Act 2010</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_Toc225531655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3331D55E" w14:textId="77777777" w:rsidR="00897E0E" w:rsidRPr="00897E0E" w:rsidRDefault="00897E0E">
          <w:pPr>
            <w:pStyle w:val="TOC1"/>
            <w:tabs>
              <w:tab w:val="right" w:leader="dot" w:pos="9350"/>
            </w:tabs>
            <w:rPr>
              <w:rFonts w:eastAsiaTheme="minorEastAsia"/>
              <w:b/>
              <w:noProof/>
              <w:sz w:val="20"/>
              <w:lang w:eastAsia="en-GB"/>
            </w:rPr>
          </w:pPr>
          <w:hyperlink w:anchor="_Toc225531656" w:history="1">
            <w:r w:rsidRPr="00897E0E">
              <w:rPr>
                <w:rStyle w:val="Hyperlink"/>
                <w:b/>
                <w:noProof/>
                <w:sz w:val="20"/>
              </w:rPr>
              <w:t>Recommendations for Future Development</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_Toc225531656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19D3551C" w14:textId="77777777" w:rsidR="00897E0E" w:rsidRPr="00897E0E" w:rsidRDefault="00897E0E">
          <w:pPr>
            <w:pStyle w:val="TOC2"/>
            <w:tabs>
              <w:tab w:val="right" w:leader="dot" w:pos="9350"/>
            </w:tabs>
            <w:rPr>
              <w:rFonts w:eastAsiaTheme="minorEastAsia"/>
              <w:b/>
              <w:noProof/>
              <w:sz w:val="20"/>
              <w:lang w:eastAsia="en-GB"/>
            </w:rPr>
          </w:pPr>
          <w:hyperlink w:anchor="_Toc225531657" w:history="1">
            <w:r w:rsidRPr="00897E0E">
              <w:rPr>
                <w:rStyle w:val="Hyperlink"/>
                <w:b/>
                <w:noProof/>
                <w:sz w:val="20"/>
              </w:rPr>
              <w:t>1. Increased Use of Digital Technology</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_Toc225531657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5B74E478" w14:textId="77777777" w:rsidR="00897E0E" w:rsidRPr="00897E0E" w:rsidRDefault="00897E0E">
          <w:pPr>
            <w:pStyle w:val="TOC2"/>
            <w:tabs>
              <w:tab w:val="right" w:leader="dot" w:pos="9350"/>
            </w:tabs>
            <w:rPr>
              <w:rFonts w:eastAsiaTheme="minorEastAsia"/>
              <w:b/>
              <w:noProof/>
              <w:sz w:val="20"/>
              <w:lang w:eastAsia="en-GB"/>
            </w:rPr>
          </w:pPr>
          <w:hyperlink w:anchor="_Toc225531658" w:history="1">
            <w:r w:rsidRPr="00897E0E">
              <w:rPr>
                <w:rStyle w:val="Hyperlink"/>
                <w:b/>
                <w:noProof/>
                <w:sz w:val="20"/>
              </w:rPr>
              <w:t>2. Enhanced Professional Training</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_Toc225531658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2E6DAC82" w14:textId="77777777" w:rsidR="00897E0E" w:rsidRPr="00897E0E" w:rsidRDefault="00897E0E">
          <w:pPr>
            <w:pStyle w:val="TOC2"/>
            <w:tabs>
              <w:tab w:val="right" w:leader="dot" w:pos="9350"/>
            </w:tabs>
            <w:rPr>
              <w:rFonts w:eastAsiaTheme="minorEastAsia"/>
              <w:b/>
              <w:noProof/>
              <w:sz w:val="20"/>
              <w:lang w:eastAsia="en-GB"/>
            </w:rPr>
          </w:pPr>
          <w:hyperlink w:anchor="_Toc225531659" w:history="1">
            <w:r w:rsidRPr="00897E0E">
              <w:rPr>
                <w:rStyle w:val="Hyperlink"/>
                <w:b/>
                <w:noProof/>
                <w:sz w:val="20"/>
              </w:rPr>
              <w:t>3. Strengthening Integrated Care Systems</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_Toc225531659 \h </w:instrText>
            </w:r>
            <w:r w:rsidRPr="00897E0E">
              <w:rPr>
                <w:b/>
                <w:noProof/>
                <w:webHidden/>
                <w:sz w:val="20"/>
              </w:rPr>
            </w:r>
            <w:r w:rsidRPr="00897E0E">
              <w:rPr>
                <w:b/>
                <w:noProof/>
                <w:webHidden/>
                <w:sz w:val="20"/>
              </w:rPr>
              <w:fldChar w:fldCharType="separate"/>
            </w:r>
            <w:r w:rsidRPr="00897E0E">
              <w:rPr>
                <w:b/>
                <w:noProof/>
                <w:webHidden/>
                <w:sz w:val="20"/>
              </w:rPr>
              <w:t>10</w:t>
            </w:r>
            <w:r w:rsidRPr="00897E0E">
              <w:rPr>
                <w:b/>
                <w:noProof/>
                <w:webHidden/>
                <w:sz w:val="20"/>
              </w:rPr>
              <w:fldChar w:fldCharType="end"/>
            </w:r>
          </w:hyperlink>
        </w:p>
        <w:p w14:paraId="407FB3B2" w14:textId="77777777" w:rsidR="00897E0E" w:rsidRPr="00897E0E" w:rsidRDefault="00897E0E">
          <w:pPr>
            <w:pStyle w:val="TOC2"/>
            <w:tabs>
              <w:tab w:val="right" w:leader="dot" w:pos="9350"/>
            </w:tabs>
            <w:rPr>
              <w:rFonts w:eastAsiaTheme="minorEastAsia"/>
              <w:b/>
              <w:noProof/>
              <w:sz w:val="20"/>
              <w:lang w:eastAsia="en-GB"/>
            </w:rPr>
          </w:pPr>
          <w:hyperlink w:anchor="_Toc225531660" w:history="1">
            <w:r w:rsidRPr="00897E0E">
              <w:rPr>
                <w:rStyle w:val="Hyperlink"/>
                <w:b/>
                <w:noProof/>
                <w:sz w:val="20"/>
              </w:rPr>
              <w:t>4. Increased Patient Involvement</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_Toc225531660 \h </w:instrText>
            </w:r>
            <w:r w:rsidRPr="00897E0E">
              <w:rPr>
                <w:b/>
                <w:noProof/>
                <w:webHidden/>
                <w:sz w:val="20"/>
              </w:rPr>
            </w:r>
            <w:r w:rsidRPr="00897E0E">
              <w:rPr>
                <w:b/>
                <w:noProof/>
                <w:webHidden/>
                <w:sz w:val="20"/>
              </w:rPr>
              <w:fldChar w:fldCharType="separate"/>
            </w:r>
            <w:r w:rsidRPr="00897E0E">
              <w:rPr>
                <w:b/>
                <w:noProof/>
                <w:webHidden/>
                <w:sz w:val="20"/>
              </w:rPr>
              <w:t>11</w:t>
            </w:r>
            <w:r w:rsidRPr="00897E0E">
              <w:rPr>
                <w:b/>
                <w:noProof/>
                <w:webHidden/>
                <w:sz w:val="20"/>
              </w:rPr>
              <w:fldChar w:fldCharType="end"/>
            </w:r>
          </w:hyperlink>
        </w:p>
        <w:p w14:paraId="7E1D7D8A" w14:textId="77777777" w:rsidR="00897E0E" w:rsidRPr="00897E0E" w:rsidRDefault="00897E0E">
          <w:pPr>
            <w:pStyle w:val="TOC1"/>
            <w:tabs>
              <w:tab w:val="right" w:leader="dot" w:pos="9350"/>
            </w:tabs>
            <w:rPr>
              <w:rFonts w:eastAsiaTheme="minorEastAsia"/>
              <w:b/>
              <w:noProof/>
              <w:sz w:val="20"/>
              <w:lang w:eastAsia="en-GB"/>
            </w:rPr>
          </w:pPr>
          <w:hyperlink w:anchor="_Toc225531661" w:history="1">
            <w:r w:rsidRPr="00897E0E">
              <w:rPr>
                <w:rStyle w:val="Hyperlink"/>
                <w:b/>
                <w:noProof/>
                <w:sz w:val="20"/>
              </w:rPr>
              <w:t>Conclusion</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_Toc225531661 \h </w:instrText>
            </w:r>
            <w:r w:rsidRPr="00897E0E">
              <w:rPr>
                <w:b/>
                <w:noProof/>
                <w:webHidden/>
                <w:sz w:val="20"/>
              </w:rPr>
            </w:r>
            <w:r w:rsidRPr="00897E0E">
              <w:rPr>
                <w:b/>
                <w:noProof/>
                <w:webHidden/>
                <w:sz w:val="20"/>
              </w:rPr>
              <w:fldChar w:fldCharType="separate"/>
            </w:r>
            <w:r w:rsidRPr="00897E0E">
              <w:rPr>
                <w:b/>
                <w:noProof/>
                <w:webHidden/>
                <w:sz w:val="20"/>
              </w:rPr>
              <w:t>11</w:t>
            </w:r>
            <w:r w:rsidRPr="00897E0E">
              <w:rPr>
                <w:b/>
                <w:noProof/>
                <w:webHidden/>
                <w:sz w:val="20"/>
              </w:rPr>
              <w:fldChar w:fldCharType="end"/>
            </w:r>
          </w:hyperlink>
        </w:p>
        <w:p w14:paraId="4C661B15" w14:textId="77777777" w:rsidR="00897E0E" w:rsidRPr="00897E0E" w:rsidRDefault="00897E0E">
          <w:pPr>
            <w:pStyle w:val="TOC1"/>
            <w:tabs>
              <w:tab w:val="right" w:leader="dot" w:pos="9350"/>
            </w:tabs>
            <w:rPr>
              <w:rFonts w:eastAsiaTheme="minorEastAsia"/>
              <w:b/>
              <w:noProof/>
              <w:sz w:val="20"/>
              <w:lang w:eastAsia="en-GB"/>
            </w:rPr>
          </w:pPr>
          <w:hyperlink w:anchor="_Toc225531662" w:history="1">
            <w:r w:rsidRPr="00897E0E">
              <w:rPr>
                <w:rStyle w:val="Hyperlink"/>
                <w:b/>
                <w:noProof/>
                <w:sz w:val="20"/>
              </w:rPr>
              <w:t>References</w:t>
            </w:r>
            <w:r w:rsidRPr="00897E0E">
              <w:rPr>
                <w:b/>
                <w:noProof/>
                <w:webHidden/>
                <w:sz w:val="20"/>
              </w:rPr>
              <w:tab/>
            </w:r>
            <w:r w:rsidRPr="00897E0E">
              <w:rPr>
                <w:b/>
                <w:noProof/>
                <w:webHidden/>
                <w:sz w:val="20"/>
              </w:rPr>
              <w:fldChar w:fldCharType="begin"/>
            </w:r>
            <w:r w:rsidRPr="00897E0E">
              <w:rPr>
                <w:b/>
                <w:noProof/>
                <w:webHidden/>
                <w:sz w:val="20"/>
              </w:rPr>
              <w:instrText xml:space="preserve"> PAGEREF _Toc225531662 \h </w:instrText>
            </w:r>
            <w:r w:rsidRPr="00897E0E">
              <w:rPr>
                <w:b/>
                <w:noProof/>
                <w:webHidden/>
                <w:sz w:val="20"/>
              </w:rPr>
            </w:r>
            <w:r w:rsidRPr="00897E0E">
              <w:rPr>
                <w:b/>
                <w:noProof/>
                <w:webHidden/>
                <w:sz w:val="20"/>
              </w:rPr>
              <w:fldChar w:fldCharType="separate"/>
            </w:r>
            <w:r w:rsidRPr="00897E0E">
              <w:rPr>
                <w:b/>
                <w:noProof/>
                <w:webHidden/>
                <w:sz w:val="20"/>
              </w:rPr>
              <w:t>12</w:t>
            </w:r>
            <w:r w:rsidRPr="00897E0E">
              <w:rPr>
                <w:b/>
                <w:noProof/>
                <w:webHidden/>
                <w:sz w:val="20"/>
              </w:rPr>
              <w:fldChar w:fldCharType="end"/>
            </w:r>
          </w:hyperlink>
        </w:p>
        <w:p w14:paraId="0429C987" w14:textId="77777777" w:rsidR="00897E0E" w:rsidRPr="00897E0E" w:rsidRDefault="00897E0E" w:rsidP="00897E0E">
          <w:pPr>
            <w:rPr>
              <w:b/>
              <w:bCs/>
              <w:noProof/>
            </w:rPr>
          </w:pPr>
          <w:r w:rsidRPr="00897E0E">
            <w:rPr>
              <w:b/>
              <w:bCs/>
              <w:noProof/>
              <w:sz w:val="20"/>
            </w:rPr>
            <w:fldChar w:fldCharType="end"/>
          </w:r>
        </w:p>
      </w:sdtContent>
    </w:sdt>
    <w:bookmarkStart w:id="2" w:name="_Toc225531631" w:displacedByCustomXml="prev"/>
    <w:p w14:paraId="5224EBCD" w14:textId="77777777" w:rsidR="00897E0E" w:rsidRDefault="00897E0E" w:rsidP="0084073D">
      <w:pPr>
        <w:pStyle w:val="Heading1"/>
      </w:pPr>
    </w:p>
    <w:p w14:paraId="6D76F44E" w14:textId="23B937E6" w:rsidR="008A3671" w:rsidRPr="00F43C57" w:rsidRDefault="008A3671" w:rsidP="00F43C57">
      <w:pPr>
        <w:pStyle w:val="Heading1"/>
        <w:spacing w:line="360" w:lineRule="auto"/>
        <w:rPr>
          <w:rFonts w:cs="Arial"/>
          <w:szCs w:val="22"/>
          <w:u w:val="single"/>
        </w:rPr>
      </w:pPr>
      <w:r w:rsidRPr="00F43C57">
        <w:rPr>
          <w:rFonts w:cs="Arial"/>
          <w:szCs w:val="22"/>
          <w:u w:val="single"/>
        </w:rPr>
        <w:lastRenderedPageBreak/>
        <w:t>Abstract</w:t>
      </w:r>
      <w:bookmarkEnd w:id="1"/>
      <w:bookmarkEnd w:id="0"/>
      <w:bookmarkEnd w:id="2"/>
      <w:r w:rsidR="0040275A" w:rsidRPr="00F43C57">
        <w:rPr>
          <w:rFonts w:cs="Arial"/>
          <w:szCs w:val="22"/>
          <w:u w:val="single"/>
        </w:rPr>
        <w:t>:</w:t>
      </w:r>
    </w:p>
    <w:p w14:paraId="07875691" w14:textId="1253235B" w:rsidR="000B48E0"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Person-</w:t>
      </w:r>
      <w:r w:rsidR="000B48E0"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(PCC) and partnership working (PW) are fundamental principles guiding modern health and social care practice in the United Kingdom. PCC </w:t>
      </w:r>
      <w:r w:rsidR="00AD4F04" w:rsidRPr="00F43C57">
        <w:rPr>
          <w:rFonts w:ascii="Arial" w:eastAsia="Times New Roman" w:hAnsi="Arial" w:cs="Arial"/>
        </w:rPr>
        <w:t>emphasises</w:t>
      </w:r>
      <w:r w:rsidRPr="00F43C57">
        <w:rPr>
          <w:rFonts w:ascii="Arial" w:eastAsia="Times New Roman" w:hAnsi="Arial" w:cs="Arial"/>
        </w:rPr>
        <w:t xml:space="preserve"> tailoring care to individual needs, preferences</w:t>
      </w:r>
      <w:r w:rsidR="008E3585">
        <w:rPr>
          <w:rFonts w:ascii="Arial" w:eastAsia="Times New Roman" w:hAnsi="Arial" w:cs="Arial"/>
        </w:rPr>
        <w:t xml:space="preserve"> </w:t>
      </w:r>
      <w:r w:rsidRPr="00F43C57">
        <w:rPr>
          <w:rFonts w:ascii="Arial" w:eastAsia="Times New Roman" w:hAnsi="Arial" w:cs="Arial"/>
        </w:rPr>
        <w:t>and values</w:t>
      </w:r>
      <w:r w:rsidR="008E3585">
        <w:rPr>
          <w:rFonts w:ascii="Arial" w:eastAsia="Times New Roman" w:hAnsi="Arial" w:cs="Arial"/>
        </w:rPr>
        <w:t xml:space="preserve"> </w:t>
      </w:r>
      <w:r w:rsidRPr="00F43C57">
        <w:rPr>
          <w:rFonts w:ascii="Arial" w:eastAsia="Times New Roman" w:hAnsi="Arial" w:cs="Arial"/>
        </w:rPr>
        <w:t xml:space="preserve">ensuring that service users are actively involved in decisions about their care. Partnership working focuses on collaboration between professionals,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service users</w:t>
      </w:r>
      <w:r w:rsidR="008E3585">
        <w:rPr>
          <w:rFonts w:ascii="Arial" w:eastAsia="Times New Roman" w:hAnsi="Arial" w:cs="Arial"/>
        </w:rPr>
        <w:t xml:space="preserve"> </w:t>
      </w:r>
      <w:r w:rsidRPr="00F43C57">
        <w:rPr>
          <w:rFonts w:ascii="Arial" w:eastAsia="Times New Roman" w:hAnsi="Arial" w:cs="Arial"/>
        </w:rPr>
        <w:t>and families to deliver coordinated and integrated services. This report evaluates the relationship between PCC and PW within the UK health and social care system, particularly within hospital settings in England. It examines the benefits and limitations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explores </w:t>
      </w:r>
      <w:r w:rsidR="00AD4F04" w:rsidRPr="00F43C57">
        <w:rPr>
          <w:rFonts w:ascii="Arial" w:eastAsia="Times New Roman" w:hAnsi="Arial" w:cs="Arial"/>
        </w:rPr>
        <w:t>the theories that underpin this approach and analyses the ethical principles that guide</w:t>
      </w:r>
      <w:r w:rsidRPr="00F43C57">
        <w:rPr>
          <w:rFonts w:ascii="Arial" w:eastAsia="Times New Roman" w:hAnsi="Arial" w:cs="Arial"/>
        </w:rPr>
        <w:t xml:space="preserve"> practice. </w:t>
      </w:r>
    </w:p>
    <w:p w14:paraId="6E10A04F" w14:textId="47E0746B"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Furthermore, the report evaluates the role of partnership working in improving service delivery and examines how relevant UK policies and legislation support these approaches. The discussion highlights that effective PCC relies heavily on strong inter-professional collaboration and supportive policy frameworks. However, challenges such as resource limitations, communication barriers</w:t>
      </w:r>
      <w:r w:rsidR="008E3585">
        <w:rPr>
          <w:rFonts w:ascii="Arial" w:eastAsia="Times New Roman" w:hAnsi="Arial" w:cs="Arial"/>
        </w:rPr>
        <w:t xml:space="preserve"> </w:t>
      </w:r>
      <w:r w:rsidRPr="00F43C57">
        <w:rPr>
          <w:rFonts w:ascii="Arial" w:eastAsia="Times New Roman" w:hAnsi="Arial" w:cs="Arial"/>
        </w:rPr>
        <w:t xml:space="preserve">and </w:t>
      </w:r>
      <w:r w:rsidR="00587F54" w:rsidRPr="00F43C57">
        <w:rPr>
          <w:rFonts w:ascii="Arial" w:eastAsia="Times New Roman" w:hAnsi="Arial" w:cs="Arial"/>
        </w:rPr>
        <w:t>organis</w:t>
      </w:r>
      <w:r w:rsidR="00E82CD9" w:rsidRPr="00F43C57">
        <w:rPr>
          <w:rFonts w:ascii="Arial" w:eastAsia="Times New Roman" w:hAnsi="Arial" w:cs="Arial"/>
        </w:rPr>
        <w:t>ational</w:t>
      </w:r>
      <w:r w:rsidRPr="00F43C57">
        <w:rPr>
          <w:rFonts w:ascii="Arial" w:eastAsia="Times New Roman" w:hAnsi="Arial" w:cs="Arial"/>
        </w:rPr>
        <w:t xml:space="preserve"> fragmentation may hinder implementation. The report concludes by recommending increased use of digital technology, enhanced professional training and stronger integrated care systems to improve PCC and partnership working in the future</w:t>
      </w:r>
      <w:r w:rsidR="008E3585">
        <w:rPr>
          <w:rFonts w:ascii="Arial" w:eastAsia="Times New Roman" w:hAnsi="Arial" w:cs="Arial"/>
        </w:rPr>
        <w:t>.</w:t>
      </w:r>
    </w:p>
    <w:p w14:paraId="0EE2FA47" w14:textId="77777777" w:rsidR="008A3671" w:rsidRPr="00F43C57" w:rsidRDefault="008A3671" w:rsidP="00F43C57">
      <w:pPr>
        <w:spacing w:after="0" w:line="360" w:lineRule="auto"/>
        <w:jc w:val="both"/>
        <w:rPr>
          <w:rFonts w:ascii="Arial" w:eastAsia="Times New Roman" w:hAnsi="Arial" w:cs="Arial"/>
        </w:rPr>
      </w:pPr>
    </w:p>
    <w:p w14:paraId="34A827C5" w14:textId="77777777" w:rsidR="0084073D" w:rsidRPr="00F43C57" w:rsidRDefault="0084073D" w:rsidP="00F43C57">
      <w:pPr>
        <w:spacing w:line="360" w:lineRule="auto"/>
        <w:rPr>
          <w:rFonts w:ascii="Arial" w:eastAsia="Times New Roman" w:hAnsi="Arial" w:cs="Arial"/>
          <w:b/>
          <w:bCs/>
          <w:kern w:val="36"/>
        </w:rPr>
      </w:pPr>
      <w:r w:rsidRPr="00F43C57">
        <w:rPr>
          <w:rFonts w:ascii="Arial" w:eastAsia="Times New Roman" w:hAnsi="Arial" w:cs="Arial"/>
          <w:b/>
          <w:bCs/>
          <w:kern w:val="36"/>
        </w:rPr>
        <w:br w:type="page"/>
      </w:r>
    </w:p>
    <w:p w14:paraId="320A9053" w14:textId="4661FC1F" w:rsidR="008A3671" w:rsidRPr="00F43C57" w:rsidRDefault="008A3671" w:rsidP="00F43C57">
      <w:pPr>
        <w:pStyle w:val="Heading1"/>
        <w:tabs>
          <w:tab w:val="left" w:pos="2112"/>
        </w:tabs>
        <w:spacing w:line="360" w:lineRule="auto"/>
        <w:rPr>
          <w:rFonts w:cs="Arial"/>
          <w:szCs w:val="22"/>
          <w:u w:val="single"/>
        </w:rPr>
      </w:pPr>
      <w:bookmarkStart w:id="3" w:name="_Toc224423985"/>
      <w:bookmarkStart w:id="4" w:name="_Toc224442468"/>
      <w:bookmarkStart w:id="5" w:name="_Toc225531632"/>
      <w:r w:rsidRPr="00F43C57">
        <w:rPr>
          <w:rFonts w:cs="Arial"/>
          <w:szCs w:val="22"/>
          <w:u w:val="single"/>
        </w:rPr>
        <w:lastRenderedPageBreak/>
        <w:t>Introduction</w:t>
      </w:r>
      <w:bookmarkEnd w:id="3"/>
      <w:bookmarkEnd w:id="4"/>
      <w:bookmarkEnd w:id="5"/>
      <w:r w:rsidR="0040275A" w:rsidRPr="00F43C57">
        <w:rPr>
          <w:rFonts w:cs="Arial"/>
          <w:szCs w:val="22"/>
          <w:u w:val="single"/>
        </w:rPr>
        <w:t>:</w:t>
      </w:r>
    </w:p>
    <w:p w14:paraId="5A4F9F3C"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Health and social care systems in the United Kingdom increasingly </w:t>
      </w:r>
      <w:r w:rsidR="0012698E" w:rsidRPr="00F43C57">
        <w:rPr>
          <w:rFonts w:ascii="Arial" w:eastAsia="Times New Roman" w:hAnsi="Arial" w:cs="Arial"/>
        </w:rPr>
        <w:t>emphasise</w:t>
      </w:r>
      <w:r w:rsidRPr="00F43C57">
        <w:rPr>
          <w:rFonts w:ascii="Arial" w:eastAsia="Times New Roman" w:hAnsi="Arial" w:cs="Arial"/>
        </w:rPr>
        <w:t xml:space="preserve"> the importance of </w:t>
      </w:r>
      <w:r w:rsidRPr="00F43C57">
        <w:rPr>
          <w:rFonts w:ascii="Arial" w:eastAsia="Times New Roman" w:hAnsi="Arial" w:cs="Arial"/>
          <w:bCs/>
        </w:rPr>
        <w:t>person-</w:t>
      </w:r>
      <w:r w:rsidR="00587F54" w:rsidRPr="00F43C57">
        <w:rPr>
          <w:rFonts w:ascii="Arial" w:eastAsia="Times New Roman" w:hAnsi="Arial" w:cs="Arial"/>
          <w:bCs/>
        </w:rPr>
        <w:t>cent</w:t>
      </w:r>
      <w:r w:rsidR="00E82CD9" w:rsidRPr="00F43C57">
        <w:rPr>
          <w:rFonts w:ascii="Arial" w:eastAsia="Times New Roman" w:hAnsi="Arial" w:cs="Arial"/>
          <w:bCs/>
        </w:rPr>
        <w:t>red</w:t>
      </w:r>
      <w:r w:rsidRPr="00F43C57">
        <w:rPr>
          <w:rFonts w:ascii="Arial" w:eastAsia="Times New Roman" w:hAnsi="Arial" w:cs="Arial"/>
          <w:bCs/>
        </w:rPr>
        <w:t xml:space="preserve"> care (PCC)</w:t>
      </w:r>
      <w:r w:rsidRPr="00F43C57">
        <w:rPr>
          <w:rFonts w:ascii="Arial" w:eastAsia="Times New Roman" w:hAnsi="Arial" w:cs="Arial"/>
        </w:rPr>
        <w:t xml:space="preserve"> and </w:t>
      </w:r>
      <w:r w:rsidRPr="00F43C57">
        <w:rPr>
          <w:rFonts w:ascii="Arial" w:eastAsia="Times New Roman" w:hAnsi="Arial" w:cs="Arial"/>
          <w:bCs/>
        </w:rPr>
        <w:t>partnership working (PW)</w:t>
      </w:r>
      <w:r w:rsidRPr="00F43C57">
        <w:rPr>
          <w:rFonts w:ascii="Arial" w:eastAsia="Times New Roman" w:hAnsi="Arial" w:cs="Arial"/>
        </w:rPr>
        <w:t xml:space="preserve"> as core approaches to delivering effective and compassionate services.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involves placing the individual at the </w:t>
      </w:r>
      <w:r w:rsidR="00587F54" w:rsidRPr="00F43C57">
        <w:rPr>
          <w:rFonts w:ascii="Arial" w:eastAsia="Times New Roman" w:hAnsi="Arial" w:cs="Arial"/>
        </w:rPr>
        <w:t>cent</w:t>
      </w:r>
      <w:r w:rsidR="00E82CD9" w:rsidRPr="00F43C57">
        <w:rPr>
          <w:rFonts w:ascii="Arial" w:eastAsia="Times New Roman" w:hAnsi="Arial" w:cs="Arial"/>
        </w:rPr>
        <w:t>r</w:t>
      </w:r>
      <w:r w:rsidR="00587F54" w:rsidRPr="00F43C57">
        <w:rPr>
          <w:rFonts w:ascii="Arial" w:eastAsia="Times New Roman" w:hAnsi="Arial" w:cs="Arial"/>
        </w:rPr>
        <w:t>e</w:t>
      </w:r>
      <w:r w:rsidRPr="00F43C57">
        <w:rPr>
          <w:rFonts w:ascii="Arial" w:eastAsia="Times New Roman" w:hAnsi="Arial" w:cs="Arial"/>
        </w:rPr>
        <w:t xml:space="preserve"> of care planning and decision-making, ensuring that services respond to personal needs, preferences, and values rather than applying a </w:t>
      </w:r>
      <w:r w:rsidR="0012698E" w:rsidRPr="00F43C57">
        <w:rPr>
          <w:rFonts w:ascii="Arial" w:eastAsia="Times New Roman" w:hAnsi="Arial" w:cs="Arial"/>
        </w:rPr>
        <w:t>standardised</w:t>
      </w:r>
      <w:r w:rsidRPr="00F43C57">
        <w:rPr>
          <w:rFonts w:ascii="Arial" w:eastAsia="Times New Roman" w:hAnsi="Arial" w:cs="Arial"/>
        </w:rPr>
        <w:t xml:space="preserve"> approach. Partnership working, on the other hand, refers to collaboration between professionals,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service users, and families to deliver coordinated care.</w:t>
      </w:r>
    </w:p>
    <w:p w14:paraId="3B9CADE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purpose of this report is to critically evaluate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partnership working within professional health and social care policy and practice in the UK. The report explores </w:t>
      </w:r>
      <w:r w:rsidR="0012698E" w:rsidRPr="00F43C57">
        <w:rPr>
          <w:rFonts w:ascii="Arial" w:eastAsia="Times New Roman" w:hAnsi="Arial" w:cs="Arial"/>
        </w:rPr>
        <w:t xml:space="preserve">the definitions, benefits, and limitations of PCC, analyses the relevant theories underpinning this approach, and examines the </w:t>
      </w:r>
      <w:r w:rsidRPr="00F43C57">
        <w:rPr>
          <w:rFonts w:ascii="Arial" w:eastAsia="Times New Roman" w:hAnsi="Arial" w:cs="Arial"/>
        </w:rPr>
        <w:t>ethical principles guiding practice. In addition, it evaluates partnership working and its impact on service delivery, with particular attention to hospitals within the NHS in England as the chosen practical setting</w:t>
      </w:r>
      <w:r w:rsidR="00ED681A" w:rsidRPr="00F43C57">
        <w:rPr>
          <w:rFonts w:ascii="Arial" w:eastAsia="Times New Roman" w:hAnsi="Arial" w:cs="Arial"/>
        </w:rPr>
        <w:t xml:space="preserve"> </w:t>
      </w:r>
      <w:r w:rsidR="00AA7CA5" w:rsidRPr="00F43C57">
        <w:rPr>
          <w:rFonts w:ascii="Arial" w:eastAsia="Times New Roman" w:hAnsi="Arial" w:cs="Arial"/>
          <w:noProof/>
        </w:rPr>
        <w:t>(SkillsforCare, 2026)</w:t>
      </w:r>
      <w:r w:rsidRPr="00F43C57">
        <w:rPr>
          <w:rFonts w:ascii="Arial" w:eastAsia="Times New Roman" w:hAnsi="Arial" w:cs="Arial"/>
        </w:rPr>
        <w:t>.</w:t>
      </w:r>
    </w:p>
    <w:p w14:paraId="04C7EFA7"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The report also examines key UK policies and legislation that influence PCC and partnership working, including the </w:t>
      </w:r>
      <w:r w:rsidRPr="00F43C57">
        <w:rPr>
          <w:rFonts w:ascii="Arial" w:eastAsia="Times New Roman" w:hAnsi="Arial" w:cs="Arial"/>
          <w:i/>
        </w:rPr>
        <w:t>Care Act 2014</w:t>
      </w:r>
      <w:r w:rsidRPr="00F43C57">
        <w:rPr>
          <w:rFonts w:ascii="Arial" w:eastAsia="Times New Roman" w:hAnsi="Arial" w:cs="Arial"/>
        </w:rPr>
        <w:t xml:space="preserve">, </w:t>
      </w:r>
      <w:r w:rsidRPr="00F43C57">
        <w:rPr>
          <w:rFonts w:ascii="Arial" w:eastAsia="Times New Roman" w:hAnsi="Arial" w:cs="Arial"/>
          <w:i/>
        </w:rPr>
        <w:t>Health and Care Act 2022, and Equality Act 2010</w:t>
      </w:r>
      <w:r w:rsidRPr="00F43C57">
        <w:rPr>
          <w:rFonts w:ascii="Arial" w:eastAsia="Times New Roman" w:hAnsi="Arial" w:cs="Arial"/>
        </w:rPr>
        <w:t>. Finally, the report offers recommendations for improving the implementation of PCC and partnership working in the future.</w:t>
      </w:r>
    </w:p>
    <w:p w14:paraId="05419BC2" w14:textId="38121225" w:rsidR="008A3671" w:rsidRPr="00F43C57" w:rsidRDefault="008A3671" w:rsidP="00F43C57">
      <w:pPr>
        <w:pStyle w:val="Heading1"/>
        <w:spacing w:line="360" w:lineRule="auto"/>
        <w:rPr>
          <w:rFonts w:cs="Arial"/>
          <w:szCs w:val="22"/>
          <w:u w:val="single"/>
        </w:rPr>
      </w:pPr>
      <w:bookmarkStart w:id="6" w:name="_Toc224423986"/>
      <w:bookmarkStart w:id="7" w:name="_Toc224442469"/>
      <w:bookmarkStart w:id="8" w:name="_Toc225531633"/>
      <w:r w:rsidRPr="00F43C57">
        <w:rPr>
          <w:rFonts w:cs="Arial"/>
          <w:szCs w:val="22"/>
          <w:u w:val="single"/>
        </w:rPr>
        <w:t>Definition of Person-</w:t>
      </w:r>
      <w:r w:rsidR="00587F54" w:rsidRPr="00F43C57">
        <w:rPr>
          <w:rFonts w:cs="Arial"/>
          <w:szCs w:val="22"/>
          <w:u w:val="single"/>
        </w:rPr>
        <w:t>Cent</w:t>
      </w:r>
      <w:r w:rsidR="00E82CD9" w:rsidRPr="00F43C57">
        <w:rPr>
          <w:rFonts w:cs="Arial"/>
          <w:szCs w:val="22"/>
          <w:u w:val="single"/>
        </w:rPr>
        <w:t>red</w:t>
      </w:r>
      <w:r w:rsidRPr="00F43C57">
        <w:rPr>
          <w:rFonts w:cs="Arial"/>
          <w:szCs w:val="22"/>
          <w:u w:val="single"/>
        </w:rPr>
        <w:t xml:space="preserve"> Care</w:t>
      </w:r>
      <w:bookmarkEnd w:id="6"/>
      <w:bookmarkEnd w:id="7"/>
      <w:bookmarkEnd w:id="8"/>
      <w:r w:rsidR="0040275A" w:rsidRPr="00F43C57">
        <w:rPr>
          <w:rFonts w:cs="Arial"/>
          <w:szCs w:val="22"/>
          <w:u w:val="single"/>
        </w:rPr>
        <w:t>:</w:t>
      </w:r>
    </w:p>
    <w:p w14:paraId="41011CE5" w14:textId="77777777" w:rsidR="008A3671" w:rsidRPr="00F43C57" w:rsidRDefault="0012698E" w:rsidP="00F43C57">
      <w:pPr>
        <w:spacing w:before="100" w:beforeAutospacing="1" w:after="100" w:afterAutospacing="1" w:line="360" w:lineRule="auto"/>
        <w:jc w:val="both"/>
        <w:rPr>
          <w:rFonts w:ascii="Arial" w:eastAsia="Times New Roman" w:hAnsi="Arial" w:cs="Arial"/>
        </w:rPr>
      </w:pPr>
      <w:r w:rsidRPr="00F43C57">
        <w:rPr>
          <w:rFonts w:ascii="Arial" w:hAnsi="Arial" w:cs="Arial"/>
        </w:rPr>
        <w:t>Person-centred</w:t>
      </w:r>
      <w:r w:rsidR="00CC7266" w:rsidRPr="00F43C57">
        <w:rPr>
          <w:rFonts w:ascii="Arial" w:hAnsi="Arial" w:cs="Arial"/>
        </w:rPr>
        <w:t xml:space="preserve"> care is an approach to healthcare that puts the individual at the heart of decision-making and service provision overall. As stated by the Health Foundation (2016), PCC includes treating people with dignity and respect, engaging them in </w:t>
      </w:r>
      <w:r w:rsidRPr="00F43C57">
        <w:rPr>
          <w:rFonts w:ascii="Arial" w:hAnsi="Arial" w:cs="Arial"/>
        </w:rPr>
        <w:t>decisions about their care, and ensuring</w:t>
      </w:r>
      <w:r w:rsidR="00CC7266" w:rsidRPr="00F43C57">
        <w:rPr>
          <w:rFonts w:ascii="Arial" w:hAnsi="Arial" w:cs="Arial"/>
        </w:rPr>
        <w:t xml:space="preserve"> services are organised around their individual needs. In hospital environments, PCC expects healthcare staff to address patients’ emotional, social, and psychological needs alongside clinical treatment. The NHS highlights personalised care plans, shared decision-making, and respect for patient autonomy as essential elements</w:t>
      </w:r>
      <w:r w:rsidR="00CC7266" w:rsidRPr="00F43C57">
        <w:rPr>
          <w:rFonts w:ascii="Arial" w:eastAsia="Times New Roman" w:hAnsi="Arial" w:cs="Arial"/>
          <w:noProof/>
        </w:rPr>
        <w:t xml:space="preserve"> </w:t>
      </w:r>
      <w:r w:rsidR="00587F54" w:rsidRPr="00F43C57">
        <w:rPr>
          <w:rFonts w:ascii="Arial" w:eastAsia="Times New Roman" w:hAnsi="Arial" w:cs="Arial"/>
          <w:noProof/>
        </w:rPr>
        <w:t>(Coulter, 2011)</w:t>
      </w:r>
      <w:r w:rsidR="008A3671" w:rsidRPr="00F43C57">
        <w:rPr>
          <w:rFonts w:ascii="Arial" w:eastAsia="Times New Roman" w:hAnsi="Arial" w:cs="Arial"/>
        </w:rPr>
        <w:t>.</w:t>
      </w:r>
    </w:p>
    <w:p w14:paraId="62BE589A" w14:textId="284EE9F6" w:rsidR="008A3671" w:rsidRPr="00F43C57" w:rsidRDefault="008A3671" w:rsidP="00F43C57">
      <w:pPr>
        <w:pStyle w:val="Heading2"/>
        <w:spacing w:line="360" w:lineRule="auto"/>
        <w:rPr>
          <w:rFonts w:cs="Arial"/>
          <w:szCs w:val="22"/>
          <w:u w:val="single"/>
        </w:rPr>
      </w:pPr>
      <w:bookmarkStart w:id="9" w:name="_Toc224423987"/>
      <w:bookmarkStart w:id="10" w:name="_Toc224442470"/>
      <w:bookmarkStart w:id="11" w:name="_Toc225531634"/>
      <w:r w:rsidRPr="00F43C57">
        <w:rPr>
          <w:rFonts w:cs="Arial"/>
          <w:szCs w:val="22"/>
          <w:u w:val="single"/>
        </w:rPr>
        <w:t>Benefits of Person-</w:t>
      </w:r>
      <w:r w:rsidR="00587F54" w:rsidRPr="00F43C57">
        <w:rPr>
          <w:rFonts w:cs="Arial"/>
          <w:szCs w:val="22"/>
          <w:u w:val="single"/>
        </w:rPr>
        <w:t>Cent</w:t>
      </w:r>
      <w:r w:rsidR="00E82CD9" w:rsidRPr="00F43C57">
        <w:rPr>
          <w:rFonts w:cs="Arial"/>
          <w:szCs w:val="22"/>
          <w:u w:val="single"/>
        </w:rPr>
        <w:t>red</w:t>
      </w:r>
      <w:r w:rsidRPr="00F43C57">
        <w:rPr>
          <w:rFonts w:cs="Arial"/>
          <w:szCs w:val="22"/>
          <w:u w:val="single"/>
        </w:rPr>
        <w:t xml:space="preserve"> Care</w:t>
      </w:r>
      <w:bookmarkEnd w:id="9"/>
      <w:bookmarkEnd w:id="10"/>
      <w:bookmarkEnd w:id="11"/>
      <w:r w:rsidR="0040275A" w:rsidRPr="00F43C57">
        <w:rPr>
          <w:rFonts w:cs="Arial"/>
          <w:szCs w:val="22"/>
          <w:u w:val="single"/>
        </w:rPr>
        <w:t>:</w:t>
      </w:r>
    </w:p>
    <w:p w14:paraId="3B59FCDD" w14:textId="77777777" w:rsidR="00587F54" w:rsidRPr="00F43C57" w:rsidRDefault="0012724E" w:rsidP="00F43C57">
      <w:pPr>
        <w:pStyle w:val="NormalWeb"/>
        <w:spacing w:line="360" w:lineRule="auto"/>
        <w:jc w:val="both"/>
        <w:rPr>
          <w:rFonts w:ascii="Arial" w:hAnsi="Arial" w:cs="Arial"/>
          <w:sz w:val="22"/>
          <w:szCs w:val="22"/>
        </w:rPr>
      </w:pPr>
      <w:r w:rsidRPr="00F43C57">
        <w:rPr>
          <w:rFonts w:ascii="Arial" w:hAnsi="Arial" w:cs="Arial"/>
          <w:sz w:val="22"/>
          <w:szCs w:val="22"/>
        </w:rPr>
        <w:t>Person-</w:t>
      </w:r>
      <w:r w:rsidR="00587F54" w:rsidRPr="00F43C57">
        <w:rPr>
          <w:rFonts w:ascii="Arial" w:hAnsi="Arial" w:cs="Arial"/>
          <w:sz w:val="22"/>
          <w:szCs w:val="22"/>
        </w:rPr>
        <w:t>cent</w:t>
      </w:r>
      <w:r w:rsidR="00E82CD9" w:rsidRPr="00F43C57">
        <w:rPr>
          <w:rFonts w:ascii="Arial" w:hAnsi="Arial" w:cs="Arial"/>
          <w:sz w:val="22"/>
          <w:szCs w:val="22"/>
        </w:rPr>
        <w:t>red</w:t>
      </w:r>
      <w:r w:rsidRPr="00F43C57">
        <w:rPr>
          <w:rFonts w:ascii="Arial" w:hAnsi="Arial" w:cs="Arial"/>
          <w:sz w:val="22"/>
          <w:szCs w:val="22"/>
        </w:rPr>
        <w:t xml:space="preserve"> care (PCC) offers several important advantages within modern healthcare systems. Firstly, PCC significantly improves </w:t>
      </w:r>
      <w:r w:rsidRPr="00F43C57">
        <w:rPr>
          <w:rStyle w:val="Strong"/>
          <w:rFonts w:ascii="Arial" w:hAnsi="Arial" w:cs="Arial"/>
          <w:b w:val="0"/>
          <w:sz w:val="22"/>
          <w:szCs w:val="22"/>
        </w:rPr>
        <w:t>patient satisfaction and trust</w:t>
      </w:r>
      <w:r w:rsidRPr="00F43C57">
        <w:rPr>
          <w:rFonts w:ascii="Arial" w:hAnsi="Arial" w:cs="Arial"/>
          <w:sz w:val="22"/>
          <w:szCs w:val="22"/>
        </w:rPr>
        <w:t xml:space="preserve"> in healthcare providers </w:t>
      </w:r>
      <w:r w:rsidRPr="00F43C57">
        <w:rPr>
          <w:rFonts w:ascii="Arial" w:hAnsi="Arial" w:cs="Arial"/>
          <w:sz w:val="22"/>
          <w:szCs w:val="22"/>
        </w:rPr>
        <w:lastRenderedPageBreak/>
        <w:t xml:space="preserve">because patients feel respected, valued, and actively involved in decisions about their treatment and care planning (Coulter, 2011). When individuals are treated as partners rather than passive recipients of care, they are more likely to develop confidence in healthcare professionals and the services they provide. </w:t>
      </w:r>
    </w:p>
    <w:p w14:paraId="064679DD" w14:textId="77777777" w:rsidR="00587F54" w:rsidRPr="00F43C57" w:rsidRDefault="0012698E" w:rsidP="00F43C57">
      <w:pPr>
        <w:pStyle w:val="NormalWeb"/>
        <w:spacing w:line="360" w:lineRule="auto"/>
        <w:jc w:val="both"/>
        <w:rPr>
          <w:rFonts w:ascii="Arial" w:hAnsi="Arial" w:cs="Arial"/>
          <w:sz w:val="22"/>
          <w:szCs w:val="22"/>
        </w:rPr>
      </w:pPr>
      <w:r w:rsidRPr="00F43C57">
        <w:rPr>
          <w:rFonts w:ascii="Arial" w:hAnsi="Arial" w:cs="Arial"/>
          <w:sz w:val="22"/>
          <w:szCs w:val="22"/>
        </w:rPr>
        <w:t>Secondly</w:t>
      </w:r>
      <w:r w:rsidR="0012724E" w:rsidRPr="00F43C57">
        <w:rPr>
          <w:rFonts w:ascii="Arial" w:hAnsi="Arial" w:cs="Arial"/>
          <w:sz w:val="22"/>
          <w:szCs w:val="22"/>
        </w:rPr>
        <w:t xml:space="preserve">, PCC contributes to </w:t>
      </w:r>
      <w:r w:rsidR="0012724E" w:rsidRPr="00F43C57">
        <w:rPr>
          <w:rStyle w:val="Strong"/>
          <w:rFonts w:ascii="Arial" w:hAnsi="Arial" w:cs="Arial"/>
          <w:b w:val="0"/>
          <w:sz w:val="22"/>
          <w:szCs w:val="22"/>
        </w:rPr>
        <w:t>better health outcomes</w:t>
      </w:r>
      <w:r w:rsidR="0012724E" w:rsidRPr="00F43C57">
        <w:rPr>
          <w:rFonts w:ascii="Arial" w:hAnsi="Arial" w:cs="Arial"/>
          <w:sz w:val="22"/>
          <w:szCs w:val="22"/>
        </w:rPr>
        <w:t xml:space="preserve">, as patients who participate in decision-making tend to have a greater understanding of their condition and treatment options. This involvement often increases adherence to treatment plans, medication, and lifestyle recommendations. </w:t>
      </w:r>
    </w:p>
    <w:p w14:paraId="58BDC303" w14:textId="77777777" w:rsidR="008A3671" w:rsidRPr="00F43C57" w:rsidRDefault="0012724E"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Thirdly, PCC enhances </w:t>
      </w:r>
      <w:r w:rsidRPr="00F43C57">
        <w:rPr>
          <w:rStyle w:val="Strong"/>
          <w:rFonts w:ascii="Arial" w:hAnsi="Arial" w:cs="Arial"/>
          <w:b w:val="0"/>
          <w:sz w:val="22"/>
          <w:szCs w:val="22"/>
        </w:rPr>
        <w:t>effective communication</w:t>
      </w:r>
      <w:r w:rsidRPr="00F43C57">
        <w:rPr>
          <w:rFonts w:ascii="Arial" w:hAnsi="Arial" w:cs="Arial"/>
          <w:sz w:val="22"/>
          <w:szCs w:val="22"/>
        </w:rPr>
        <w:t xml:space="preserve"> between healthcare professionals and patients, </w:t>
      </w:r>
      <w:r w:rsidR="0012698E" w:rsidRPr="00F43C57">
        <w:rPr>
          <w:rFonts w:ascii="Arial" w:hAnsi="Arial" w:cs="Arial"/>
          <w:sz w:val="22"/>
          <w:szCs w:val="22"/>
        </w:rPr>
        <w:t>thereby reducing</w:t>
      </w:r>
      <w:r w:rsidRPr="00F43C57">
        <w:rPr>
          <w:rFonts w:ascii="Arial" w:hAnsi="Arial" w:cs="Arial"/>
          <w:sz w:val="22"/>
          <w:szCs w:val="22"/>
        </w:rPr>
        <w:t xml:space="preserve"> misunderstandings, medical errors, and safety risks. In NHS hospital settings, PCC is particularly beneficial for patients with long-term or chronic conditions, as </w:t>
      </w:r>
      <w:r w:rsidR="0012698E" w:rsidRPr="00F43C57">
        <w:rPr>
          <w:rFonts w:ascii="Arial" w:hAnsi="Arial" w:cs="Arial"/>
          <w:sz w:val="22"/>
          <w:szCs w:val="22"/>
        </w:rPr>
        <w:t>personalised</w:t>
      </w:r>
      <w:r w:rsidRPr="00F43C57">
        <w:rPr>
          <w:rFonts w:ascii="Arial" w:hAnsi="Arial" w:cs="Arial"/>
          <w:sz w:val="22"/>
          <w:szCs w:val="22"/>
        </w:rPr>
        <w:t xml:space="preserve"> care plans can be developed to reflect patients’ lifestyles, social circumstances, cultural values, and individual preferences, ultimately improving the overall quality of care</w:t>
      </w:r>
      <w:r w:rsidR="00ED681A" w:rsidRPr="00F43C57">
        <w:rPr>
          <w:rFonts w:ascii="Arial" w:hAnsi="Arial" w:cs="Arial"/>
          <w:sz w:val="22"/>
          <w:szCs w:val="22"/>
        </w:rPr>
        <w:t xml:space="preserve"> </w:t>
      </w:r>
      <w:r w:rsidR="00A90B84" w:rsidRPr="00F43C57">
        <w:rPr>
          <w:rFonts w:ascii="Arial" w:hAnsi="Arial" w:cs="Arial"/>
          <w:noProof/>
          <w:sz w:val="22"/>
          <w:szCs w:val="22"/>
        </w:rPr>
        <w:t>(Dixon and</w:t>
      </w:r>
      <w:r w:rsidR="00587F54" w:rsidRPr="00F43C57">
        <w:rPr>
          <w:rFonts w:ascii="Arial" w:hAnsi="Arial" w:cs="Arial"/>
          <w:noProof/>
          <w:sz w:val="22"/>
          <w:szCs w:val="22"/>
        </w:rPr>
        <w:t xml:space="preserve"> Roberts, 2013)</w:t>
      </w:r>
      <w:r w:rsidR="008A3671" w:rsidRPr="00F43C57">
        <w:rPr>
          <w:rFonts w:ascii="Arial" w:hAnsi="Arial" w:cs="Arial"/>
          <w:sz w:val="22"/>
          <w:szCs w:val="22"/>
        </w:rPr>
        <w:t>.</w:t>
      </w:r>
    </w:p>
    <w:p w14:paraId="02EF3EFB" w14:textId="76725802" w:rsidR="008A3671" w:rsidRPr="00F43C57" w:rsidRDefault="008A3671" w:rsidP="00F43C57">
      <w:pPr>
        <w:pStyle w:val="Heading2"/>
        <w:spacing w:line="360" w:lineRule="auto"/>
        <w:rPr>
          <w:rFonts w:cs="Arial"/>
          <w:szCs w:val="22"/>
          <w:u w:val="single"/>
        </w:rPr>
      </w:pPr>
      <w:bookmarkStart w:id="12" w:name="_Toc224423988"/>
      <w:bookmarkStart w:id="13" w:name="_Toc224442471"/>
      <w:bookmarkStart w:id="14" w:name="_Toc225531635"/>
      <w:r w:rsidRPr="00F43C57">
        <w:rPr>
          <w:rFonts w:cs="Arial"/>
          <w:szCs w:val="22"/>
          <w:u w:val="single"/>
        </w:rPr>
        <w:t>Limitations of Person-</w:t>
      </w:r>
      <w:r w:rsidR="00587F54" w:rsidRPr="00F43C57">
        <w:rPr>
          <w:rFonts w:cs="Arial"/>
          <w:szCs w:val="22"/>
          <w:u w:val="single"/>
        </w:rPr>
        <w:t>Cent</w:t>
      </w:r>
      <w:r w:rsidR="00E82CD9" w:rsidRPr="00F43C57">
        <w:rPr>
          <w:rFonts w:cs="Arial"/>
          <w:szCs w:val="22"/>
          <w:u w:val="single"/>
        </w:rPr>
        <w:t>red</w:t>
      </w:r>
      <w:r w:rsidRPr="00F43C57">
        <w:rPr>
          <w:rFonts w:cs="Arial"/>
          <w:szCs w:val="22"/>
          <w:u w:val="single"/>
        </w:rPr>
        <w:t xml:space="preserve"> Care</w:t>
      </w:r>
      <w:bookmarkEnd w:id="12"/>
      <w:bookmarkEnd w:id="13"/>
      <w:bookmarkEnd w:id="14"/>
      <w:r w:rsidR="0040275A" w:rsidRPr="00F43C57">
        <w:rPr>
          <w:rFonts w:cs="Arial"/>
          <w:szCs w:val="22"/>
          <w:u w:val="single"/>
        </w:rPr>
        <w:t>:</w:t>
      </w:r>
    </w:p>
    <w:p w14:paraId="2F4FE473" w14:textId="77777777" w:rsidR="0012724E" w:rsidRPr="00F43C57" w:rsidRDefault="0012698E" w:rsidP="00F43C57">
      <w:pPr>
        <w:pStyle w:val="NormalWeb"/>
        <w:spacing w:line="360" w:lineRule="auto"/>
        <w:jc w:val="both"/>
        <w:rPr>
          <w:rFonts w:ascii="Arial" w:hAnsi="Arial" w:cs="Arial"/>
          <w:sz w:val="22"/>
          <w:szCs w:val="22"/>
        </w:rPr>
      </w:pPr>
      <w:r w:rsidRPr="00F43C57">
        <w:rPr>
          <w:rFonts w:ascii="Arial" w:hAnsi="Arial" w:cs="Arial"/>
          <w:sz w:val="22"/>
          <w:szCs w:val="22"/>
        </w:rPr>
        <w:t>Despite</w:t>
      </w:r>
      <w:r w:rsidR="0012724E" w:rsidRPr="00F43C57">
        <w:rPr>
          <w:rFonts w:ascii="Arial" w:hAnsi="Arial" w:cs="Arial"/>
          <w:sz w:val="22"/>
          <w:szCs w:val="22"/>
        </w:rPr>
        <w:t xml:space="preserve"> its many advantages, person-</w:t>
      </w:r>
      <w:r w:rsidR="00587F54" w:rsidRPr="00F43C57">
        <w:rPr>
          <w:rFonts w:ascii="Arial" w:hAnsi="Arial" w:cs="Arial"/>
          <w:sz w:val="22"/>
          <w:szCs w:val="22"/>
        </w:rPr>
        <w:t>cent</w:t>
      </w:r>
      <w:r w:rsidR="00E82CD9" w:rsidRPr="00F43C57">
        <w:rPr>
          <w:rFonts w:ascii="Arial" w:hAnsi="Arial" w:cs="Arial"/>
          <w:sz w:val="22"/>
          <w:szCs w:val="22"/>
        </w:rPr>
        <w:t>red</w:t>
      </w:r>
      <w:r w:rsidR="0012724E" w:rsidRPr="00F43C57">
        <w:rPr>
          <w:rFonts w:ascii="Arial" w:hAnsi="Arial" w:cs="Arial"/>
          <w:sz w:val="22"/>
          <w:szCs w:val="22"/>
        </w:rPr>
        <w:t xml:space="preserve"> care (PCC) also presents several challenges within health and social care systems. One significant limitation is </w:t>
      </w:r>
      <w:r w:rsidR="0012724E" w:rsidRPr="00F43C57">
        <w:rPr>
          <w:rFonts w:ascii="Arial" w:hAnsi="Arial" w:cs="Arial"/>
          <w:bCs/>
          <w:sz w:val="22"/>
          <w:szCs w:val="22"/>
        </w:rPr>
        <w:t>resource constraints</w:t>
      </w:r>
      <w:r w:rsidR="0012724E" w:rsidRPr="00F43C57">
        <w:rPr>
          <w:rFonts w:ascii="Arial" w:hAnsi="Arial" w:cs="Arial"/>
          <w:sz w:val="22"/>
          <w:szCs w:val="22"/>
        </w:rPr>
        <w:t xml:space="preserve">. Delivering </w:t>
      </w:r>
      <w:r w:rsidRPr="00F43C57">
        <w:rPr>
          <w:rFonts w:ascii="Arial" w:hAnsi="Arial" w:cs="Arial"/>
          <w:sz w:val="22"/>
          <w:szCs w:val="22"/>
        </w:rPr>
        <w:t>personalised</w:t>
      </w:r>
      <w:r w:rsidR="0012724E" w:rsidRPr="00F43C57">
        <w:rPr>
          <w:rFonts w:ascii="Arial" w:hAnsi="Arial" w:cs="Arial"/>
          <w:sz w:val="22"/>
          <w:szCs w:val="22"/>
        </w:rPr>
        <w:t xml:space="preserve"> care often requires additional time for communication, assessment, and shared decision-making between healthcare professionals and patients. It may also require increased staffing levels, </w:t>
      </w:r>
      <w:r w:rsidRPr="00F43C57">
        <w:rPr>
          <w:rFonts w:ascii="Arial" w:hAnsi="Arial" w:cs="Arial"/>
          <w:sz w:val="22"/>
          <w:szCs w:val="22"/>
        </w:rPr>
        <w:t>specialised</w:t>
      </w:r>
      <w:r w:rsidR="0012724E" w:rsidRPr="00F43C57">
        <w:rPr>
          <w:rFonts w:ascii="Arial" w:hAnsi="Arial" w:cs="Arial"/>
          <w:sz w:val="22"/>
          <w:szCs w:val="22"/>
        </w:rPr>
        <w:t xml:space="preserve"> training, and adequate funding. However, many NHS services operate under significant pressure due to high patient demand and workforce shortages, </w:t>
      </w:r>
      <w:r w:rsidRPr="00F43C57">
        <w:rPr>
          <w:rFonts w:ascii="Arial" w:hAnsi="Arial" w:cs="Arial"/>
          <w:sz w:val="22"/>
          <w:szCs w:val="22"/>
        </w:rPr>
        <w:t>making</w:t>
      </w:r>
      <w:r w:rsidR="0012724E" w:rsidRPr="00F43C57">
        <w:rPr>
          <w:rFonts w:ascii="Arial" w:hAnsi="Arial" w:cs="Arial"/>
          <w:sz w:val="22"/>
          <w:szCs w:val="22"/>
        </w:rPr>
        <w:t xml:space="preserve"> it difficult for professionals to consistently provide fully </w:t>
      </w:r>
      <w:r w:rsidRPr="00F43C57">
        <w:rPr>
          <w:rFonts w:ascii="Arial" w:hAnsi="Arial" w:cs="Arial"/>
          <w:sz w:val="22"/>
          <w:szCs w:val="22"/>
        </w:rPr>
        <w:t>individualised</w:t>
      </w:r>
      <w:r w:rsidR="0012724E" w:rsidRPr="00F43C57">
        <w:rPr>
          <w:rFonts w:ascii="Arial" w:hAnsi="Arial" w:cs="Arial"/>
          <w:sz w:val="22"/>
          <w:szCs w:val="22"/>
        </w:rPr>
        <w:t xml:space="preserve"> care.</w:t>
      </w:r>
    </w:p>
    <w:p w14:paraId="26FBCB46" w14:textId="77777777" w:rsidR="008A3671" w:rsidRPr="00F43C57" w:rsidRDefault="0012724E"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Another challenge is </w:t>
      </w:r>
      <w:r w:rsidRPr="00F43C57">
        <w:rPr>
          <w:rFonts w:ascii="Arial" w:hAnsi="Arial" w:cs="Arial"/>
          <w:bCs/>
          <w:sz w:val="22"/>
          <w:szCs w:val="22"/>
        </w:rPr>
        <w:t xml:space="preserve">resistance to </w:t>
      </w:r>
      <w:r w:rsidR="00587F54" w:rsidRPr="00F43C57">
        <w:rPr>
          <w:rFonts w:ascii="Arial" w:hAnsi="Arial" w:cs="Arial"/>
          <w:bCs/>
          <w:sz w:val="22"/>
          <w:szCs w:val="22"/>
        </w:rPr>
        <w:t>organis</w:t>
      </w:r>
      <w:r w:rsidR="00E82CD9" w:rsidRPr="00F43C57">
        <w:rPr>
          <w:rFonts w:ascii="Arial" w:hAnsi="Arial" w:cs="Arial"/>
          <w:bCs/>
          <w:sz w:val="22"/>
          <w:szCs w:val="22"/>
        </w:rPr>
        <w:t>ational</w:t>
      </w:r>
      <w:r w:rsidRPr="00F43C57">
        <w:rPr>
          <w:rFonts w:ascii="Arial" w:hAnsi="Arial" w:cs="Arial"/>
          <w:bCs/>
          <w:sz w:val="22"/>
          <w:szCs w:val="22"/>
        </w:rPr>
        <w:t xml:space="preserve"> change</w:t>
      </w:r>
      <w:r w:rsidRPr="00F43C57">
        <w:rPr>
          <w:rFonts w:ascii="Arial" w:hAnsi="Arial" w:cs="Arial"/>
          <w:sz w:val="22"/>
          <w:szCs w:val="22"/>
        </w:rPr>
        <w:t xml:space="preserve">. Some healthcare settings still follow a traditional biomedical model that </w:t>
      </w:r>
      <w:r w:rsidR="0012698E" w:rsidRPr="00F43C57">
        <w:rPr>
          <w:rFonts w:ascii="Arial" w:hAnsi="Arial" w:cs="Arial"/>
          <w:sz w:val="22"/>
          <w:szCs w:val="22"/>
        </w:rPr>
        <w:t>prioritises</w:t>
      </w:r>
      <w:r w:rsidRPr="00F43C57">
        <w:rPr>
          <w:rFonts w:ascii="Arial" w:hAnsi="Arial" w:cs="Arial"/>
          <w:sz w:val="22"/>
          <w:szCs w:val="22"/>
        </w:rPr>
        <w:t xml:space="preserve"> diagnosis and treatment over holistic patient involvement. This can make it difficult </w:t>
      </w:r>
      <w:r w:rsidR="0012698E" w:rsidRPr="00F43C57">
        <w:rPr>
          <w:rFonts w:ascii="Arial" w:hAnsi="Arial" w:cs="Arial"/>
          <w:sz w:val="22"/>
          <w:szCs w:val="22"/>
        </w:rPr>
        <w:t>to integrate PCC principles into routine practice fully</w:t>
      </w:r>
      <w:r w:rsidRPr="00F43C57">
        <w:rPr>
          <w:rFonts w:ascii="Arial" w:hAnsi="Arial" w:cs="Arial"/>
          <w:sz w:val="22"/>
          <w:szCs w:val="22"/>
        </w:rPr>
        <w:t xml:space="preserve">. Additionally, some patients may lack the knowledge, confidence, or health literacy needed </w:t>
      </w:r>
      <w:r w:rsidR="0012698E" w:rsidRPr="00F43C57">
        <w:rPr>
          <w:rFonts w:ascii="Arial" w:hAnsi="Arial" w:cs="Arial"/>
          <w:sz w:val="22"/>
          <w:szCs w:val="22"/>
        </w:rPr>
        <w:t>to participate in care decisions actively</w:t>
      </w:r>
      <w:r w:rsidRPr="00F43C57">
        <w:rPr>
          <w:rFonts w:ascii="Arial" w:hAnsi="Arial" w:cs="Arial"/>
          <w:sz w:val="22"/>
          <w:szCs w:val="22"/>
        </w:rPr>
        <w:t>. As a result, healthcare professionals may need to provide additional support and information to enable meaningful patient involvement in decision-making</w:t>
      </w:r>
      <w:r w:rsidR="00FE5DCD" w:rsidRPr="00F43C57">
        <w:rPr>
          <w:rFonts w:ascii="Arial" w:hAnsi="Arial" w:cs="Arial"/>
          <w:sz w:val="22"/>
          <w:szCs w:val="22"/>
        </w:rPr>
        <w:t xml:space="preserve"> </w:t>
      </w:r>
      <w:r w:rsidR="00587F54" w:rsidRPr="00F43C57">
        <w:rPr>
          <w:rFonts w:ascii="Arial" w:hAnsi="Arial" w:cs="Arial"/>
          <w:noProof/>
          <w:sz w:val="22"/>
          <w:szCs w:val="22"/>
        </w:rPr>
        <w:t>(</w:t>
      </w:r>
      <w:r w:rsidR="00B10010" w:rsidRPr="00F43C57">
        <w:rPr>
          <w:rFonts w:ascii="Arial" w:hAnsi="Arial" w:cs="Arial"/>
          <w:noProof/>
          <w:sz w:val="22"/>
          <w:szCs w:val="22"/>
        </w:rPr>
        <w:t>NHS England, 2026</w:t>
      </w:r>
      <w:r w:rsidR="00587F54" w:rsidRPr="00F43C57">
        <w:rPr>
          <w:rFonts w:ascii="Arial" w:hAnsi="Arial" w:cs="Arial"/>
          <w:noProof/>
          <w:sz w:val="22"/>
          <w:szCs w:val="22"/>
        </w:rPr>
        <w:t>).</w:t>
      </w:r>
    </w:p>
    <w:p w14:paraId="24B20F74" w14:textId="77777777" w:rsidR="0012698E" w:rsidRPr="00F43C57" w:rsidRDefault="0012698E" w:rsidP="00F43C57">
      <w:pPr>
        <w:pStyle w:val="Heading1"/>
        <w:spacing w:line="360" w:lineRule="auto"/>
        <w:rPr>
          <w:rFonts w:cs="Arial"/>
          <w:szCs w:val="22"/>
        </w:rPr>
      </w:pPr>
    </w:p>
    <w:p w14:paraId="5E079281" w14:textId="1BA7362C" w:rsidR="00CC7266" w:rsidRPr="00F43C57" w:rsidRDefault="00CC7266" w:rsidP="00F43C57">
      <w:pPr>
        <w:pStyle w:val="Heading1"/>
        <w:spacing w:line="360" w:lineRule="auto"/>
        <w:rPr>
          <w:rFonts w:cs="Arial"/>
          <w:szCs w:val="22"/>
          <w:u w:val="single"/>
        </w:rPr>
      </w:pPr>
      <w:bookmarkStart w:id="15" w:name="_Toc225531636"/>
      <w:r w:rsidRPr="00F43C57">
        <w:rPr>
          <w:rFonts w:cs="Arial"/>
          <w:szCs w:val="22"/>
          <w:u w:val="single"/>
        </w:rPr>
        <w:lastRenderedPageBreak/>
        <w:t>Relevant Theories Supporting Person-Centred Care</w:t>
      </w:r>
      <w:bookmarkEnd w:id="15"/>
      <w:r w:rsidR="0040275A" w:rsidRPr="00F43C57">
        <w:rPr>
          <w:rFonts w:cs="Arial"/>
          <w:szCs w:val="22"/>
          <w:u w:val="single"/>
        </w:rPr>
        <w:t>:</w:t>
      </w:r>
    </w:p>
    <w:p w14:paraId="638C55FF" w14:textId="77777777" w:rsidR="00CC7266"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Several theoretical frameworks underpin the principles of person-centred care (PCC), each offering a different perspective on how healthcare should address individual needs.</w:t>
      </w:r>
    </w:p>
    <w:p w14:paraId="19CC1080" w14:textId="78D5E9C2" w:rsidR="00CC7266" w:rsidRPr="00F43C57" w:rsidRDefault="00CC7266" w:rsidP="00F43C57">
      <w:pPr>
        <w:pStyle w:val="NormalWeb"/>
        <w:spacing w:line="360" w:lineRule="auto"/>
        <w:jc w:val="both"/>
        <w:rPr>
          <w:rStyle w:val="Heading2Char"/>
          <w:rFonts w:cs="Arial"/>
          <w:sz w:val="22"/>
          <w:szCs w:val="22"/>
          <w:u w:val="single"/>
        </w:rPr>
      </w:pPr>
      <w:bookmarkStart w:id="16" w:name="_Toc225531637"/>
      <w:r w:rsidRPr="00F43C57">
        <w:rPr>
          <w:rStyle w:val="Heading2Char"/>
          <w:rFonts w:cs="Arial"/>
          <w:sz w:val="22"/>
          <w:szCs w:val="22"/>
          <w:u w:val="single"/>
        </w:rPr>
        <w:t>Maslow’s Hierarchy of Needs</w:t>
      </w:r>
      <w:bookmarkEnd w:id="16"/>
      <w:r w:rsidR="0040275A" w:rsidRPr="00F43C57">
        <w:rPr>
          <w:rStyle w:val="Heading2Char"/>
          <w:rFonts w:cs="Arial"/>
          <w:sz w:val="22"/>
          <w:szCs w:val="22"/>
          <w:u w:val="single"/>
        </w:rPr>
        <w:t>:</w:t>
      </w:r>
    </w:p>
    <w:p w14:paraId="44A1B174" w14:textId="77777777" w:rsidR="00CC7266"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The theory developed by Abraham Maslow explains human motivation through five levels: physiological, safety, social, esteem, and self-actualisation needs. Within healthcare, it suggests that fundamental needs such as safety, comfort, and dignity must be met before a patient can fully engage in recovery and achieve well-being. In NHS hospital settings, prioritising patient safety, emotional support, and respect </w:t>
      </w:r>
      <w:r w:rsidR="0012698E" w:rsidRPr="00F43C57">
        <w:rPr>
          <w:rFonts w:ascii="Arial" w:hAnsi="Arial" w:cs="Arial"/>
          <w:sz w:val="22"/>
          <w:szCs w:val="22"/>
        </w:rPr>
        <w:t xml:space="preserve">aligns closely with Maslow’s framework and </w:t>
      </w:r>
      <w:r w:rsidRPr="00F43C57">
        <w:rPr>
          <w:rFonts w:ascii="Arial" w:hAnsi="Arial" w:cs="Arial"/>
          <w:sz w:val="22"/>
          <w:szCs w:val="22"/>
        </w:rPr>
        <w:t>person-centred care principles (Foundation, 2014).</w:t>
      </w:r>
    </w:p>
    <w:p w14:paraId="0A217667" w14:textId="4175A506" w:rsidR="00CC7266" w:rsidRPr="00F43C57" w:rsidRDefault="00CC7266" w:rsidP="00F43C57">
      <w:pPr>
        <w:pStyle w:val="NormalWeb"/>
        <w:spacing w:line="360" w:lineRule="auto"/>
        <w:jc w:val="both"/>
        <w:rPr>
          <w:rStyle w:val="Heading2Char"/>
          <w:rFonts w:cs="Arial"/>
          <w:sz w:val="22"/>
          <w:szCs w:val="22"/>
          <w:u w:val="single"/>
        </w:rPr>
      </w:pPr>
      <w:bookmarkStart w:id="17" w:name="_Toc225531638"/>
      <w:r w:rsidRPr="00F43C57">
        <w:rPr>
          <w:rStyle w:val="Heading2Char"/>
          <w:rFonts w:cs="Arial"/>
          <w:sz w:val="22"/>
          <w:szCs w:val="22"/>
          <w:u w:val="single"/>
        </w:rPr>
        <w:t>Social Model of Health</w:t>
      </w:r>
      <w:bookmarkEnd w:id="17"/>
      <w:r w:rsidR="0040275A" w:rsidRPr="00F43C57">
        <w:rPr>
          <w:rStyle w:val="Heading2Char"/>
          <w:rFonts w:cs="Arial"/>
          <w:sz w:val="22"/>
          <w:szCs w:val="22"/>
          <w:u w:val="single"/>
        </w:rPr>
        <w:t>:</w:t>
      </w:r>
    </w:p>
    <w:p w14:paraId="40C7F6EE" w14:textId="77777777" w:rsidR="00CC7266"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The social model of health focuses on the idea that health outcomes are shaped not only by biological conditions but also by social, economic, and environmental influences. Compared to Maslow’s theory, which centres on internal human needs, this model places greater emphasis on external factors affecting health. It closely aligns with PCC by encouraging healthcare professionals to consider the patient’s wider life circumstances. For instance, effective discharge planning in hospitals involves coordination with social services, family, and community support systems to ensure continuity of care (Glasby, 2017).</w:t>
      </w:r>
    </w:p>
    <w:p w14:paraId="5258D410" w14:textId="5948A03C" w:rsidR="00CC7266" w:rsidRPr="00F43C57" w:rsidRDefault="00CC7266" w:rsidP="00F43C57">
      <w:pPr>
        <w:pStyle w:val="Heading2"/>
        <w:spacing w:line="360" w:lineRule="auto"/>
        <w:rPr>
          <w:rStyle w:val="Strong"/>
          <w:rFonts w:cs="Arial"/>
          <w:b/>
          <w:bCs/>
          <w:szCs w:val="22"/>
          <w:u w:val="single"/>
        </w:rPr>
      </w:pPr>
      <w:bookmarkStart w:id="18" w:name="_Toc225531639"/>
      <w:r w:rsidRPr="00F43C57">
        <w:rPr>
          <w:rStyle w:val="Strong"/>
          <w:rFonts w:cs="Arial"/>
          <w:b/>
          <w:bCs/>
          <w:szCs w:val="22"/>
          <w:u w:val="single"/>
        </w:rPr>
        <w:t>Bronfenbrenner’s Ecological Systems Theory</w:t>
      </w:r>
      <w:bookmarkEnd w:id="18"/>
      <w:r w:rsidR="0040275A" w:rsidRPr="00F43C57">
        <w:rPr>
          <w:rStyle w:val="Strong"/>
          <w:rFonts w:cs="Arial"/>
          <w:b/>
          <w:bCs/>
          <w:szCs w:val="22"/>
          <w:u w:val="single"/>
        </w:rPr>
        <w:t>:</w:t>
      </w:r>
    </w:p>
    <w:p w14:paraId="34CC4E38" w14:textId="77777777" w:rsidR="0012698E"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The theory proposed by Urie Bronfenbrenner highlights how individuals are influenced by multiple layers of their environment, including family, community, and wider institutions. </w:t>
      </w:r>
      <w:r w:rsidR="0012698E" w:rsidRPr="00F43C57">
        <w:rPr>
          <w:rFonts w:ascii="Arial" w:hAnsi="Arial" w:cs="Arial"/>
          <w:sz w:val="22"/>
          <w:szCs w:val="22"/>
        </w:rPr>
        <w:t>Compared with the social model of health, which broadly examines external influences, Bronfenbrenner’s theory provides a more structured, multilevel</w:t>
      </w:r>
      <w:r w:rsidRPr="00F43C57">
        <w:rPr>
          <w:rFonts w:ascii="Arial" w:hAnsi="Arial" w:cs="Arial"/>
          <w:sz w:val="22"/>
          <w:szCs w:val="22"/>
        </w:rPr>
        <w:t xml:space="preserve"> understanding of these influences. In health and social care, this supports a holistic approach by recognising that </w:t>
      </w:r>
      <w:r w:rsidR="0012698E" w:rsidRPr="00F43C57">
        <w:rPr>
          <w:rFonts w:ascii="Arial" w:hAnsi="Arial" w:cs="Arial"/>
          <w:sz w:val="22"/>
          <w:szCs w:val="22"/>
        </w:rPr>
        <w:t>interactions across different environments shape recovery</w:t>
      </w:r>
      <w:r w:rsidRPr="00F43C57">
        <w:rPr>
          <w:rFonts w:ascii="Arial" w:hAnsi="Arial" w:cs="Arial"/>
          <w:sz w:val="22"/>
          <w:szCs w:val="22"/>
        </w:rPr>
        <w:t>. In hospital practice, it emphasises the importance of family involvement and collaboration with community services in supporting patient outcomes (Glasby, 2017).</w:t>
      </w:r>
    </w:p>
    <w:p w14:paraId="1CE17D1B" w14:textId="77777777" w:rsidR="0012698E" w:rsidRPr="00F43C57" w:rsidRDefault="0012698E" w:rsidP="00F43C57">
      <w:pPr>
        <w:pStyle w:val="NormalWeb"/>
        <w:spacing w:line="360" w:lineRule="auto"/>
        <w:jc w:val="both"/>
        <w:rPr>
          <w:rStyle w:val="Strong"/>
          <w:rFonts w:ascii="Arial" w:hAnsi="Arial" w:cs="Arial"/>
          <w:b w:val="0"/>
          <w:bCs w:val="0"/>
          <w:sz w:val="22"/>
          <w:szCs w:val="22"/>
        </w:rPr>
      </w:pPr>
    </w:p>
    <w:p w14:paraId="11894895" w14:textId="5237FB75" w:rsidR="00CC7266" w:rsidRPr="00F43C57" w:rsidRDefault="00CC7266" w:rsidP="00F43C57">
      <w:pPr>
        <w:pStyle w:val="Heading2"/>
        <w:spacing w:line="360" w:lineRule="auto"/>
        <w:rPr>
          <w:rStyle w:val="Strong"/>
          <w:rFonts w:cs="Arial"/>
          <w:b/>
          <w:bCs/>
          <w:szCs w:val="22"/>
          <w:u w:val="single"/>
        </w:rPr>
      </w:pPr>
      <w:bookmarkStart w:id="19" w:name="_Toc225531640"/>
      <w:r w:rsidRPr="00F43C57">
        <w:rPr>
          <w:rStyle w:val="Strong"/>
          <w:rFonts w:cs="Arial"/>
          <w:b/>
          <w:bCs/>
          <w:szCs w:val="22"/>
          <w:u w:val="single"/>
        </w:rPr>
        <w:lastRenderedPageBreak/>
        <w:t>Comparison and Relevance to PCC</w:t>
      </w:r>
      <w:bookmarkEnd w:id="19"/>
      <w:r w:rsidR="0040275A" w:rsidRPr="00F43C57">
        <w:rPr>
          <w:rStyle w:val="Strong"/>
          <w:rFonts w:cs="Arial"/>
          <w:b/>
          <w:bCs/>
          <w:szCs w:val="22"/>
          <w:u w:val="single"/>
        </w:rPr>
        <w:t>:</w:t>
      </w:r>
    </w:p>
    <w:p w14:paraId="5AB23273" w14:textId="77777777" w:rsidR="008A3671" w:rsidRPr="00F43C57" w:rsidRDefault="00CC7266" w:rsidP="00F43C57">
      <w:pPr>
        <w:pStyle w:val="NormalWeb"/>
        <w:spacing w:line="360" w:lineRule="auto"/>
        <w:jc w:val="both"/>
        <w:rPr>
          <w:rFonts w:ascii="Arial" w:hAnsi="Arial" w:cs="Arial"/>
          <w:sz w:val="22"/>
          <w:szCs w:val="22"/>
        </w:rPr>
      </w:pPr>
      <w:r w:rsidRPr="00F43C57">
        <w:rPr>
          <w:rFonts w:ascii="Arial" w:hAnsi="Arial" w:cs="Arial"/>
          <w:sz w:val="22"/>
          <w:szCs w:val="22"/>
        </w:rPr>
        <w:t xml:space="preserve">While all three theories support person-centred care, they differ in focus. Maslow’s hierarchy </w:t>
      </w:r>
      <w:r w:rsidR="0012698E" w:rsidRPr="00F43C57">
        <w:rPr>
          <w:rFonts w:ascii="Arial" w:hAnsi="Arial" w:cs="Arial"/>
          <w:sz w:val="22"/>
          <w:szCs w:val="22"/>
        </w:rPr>
        <w:t>focuses on individual needs and motivation; the social model of health highlights societal and environmental determinants;</w:t>
      </w:r>
      <w:r w:rsidRPr="00F43C57">
        <w:rPr>
          <w:rFonts w:ascii="Arial" w:hAnsi="Arial" w:cs="Arial"/>
          <w:sz w:val="22"/>
          <w:szCs w:val="22"/>
        </w:rPr>
        <w:t xml:space="preserve"> and Bronfenbrenner’s theory integrates both by examining layered environmental influences. Together, they provide a comprehensive foundation for PCC by ensuring that care addresses personal needs, social context, and environmental factors simultaneously</w:t>
      </w:r>
      <w:r w:rsidR="00587F54" w:rsidRPr="00F43C57">
        <w:rPr>
          <w:rFonts w:ascii="Arial" w:hAnsi="Arial" w:cs="Arial"/>
          <w:noProof/>
          <w:sz w:val="22"/>
          <w:szCs w:val="22"/>
        </w:rPr>
        <w:t>.</w:t>
      </w:r>
    </w:p>
    <w:p w14:paraId="01465A12" w14:textId="48B6934A" w:rsidR="008A3671" w:rsidRPr="00F43C57" w:rsidRDefault="008A3671" w:rsidP="00F43C57">
      <w:pPr>
        <w:pStyle w:val="Heading1"/>
        <w:spacing w:line="360" w:lineRule="auto"/>
        <w:rPr>
          <w:rFonts w:cs="Arial"/>
          <w:szCs w:val="22"/>
          <w:u w:val="single"/>
        </w:rPr>
      </w:pPr>
      <w:bookmarkStart w:id="20" w:name="_Toc224423993"/>
      <w:bookmarkStart w:id="21" w:name="_Toc224442476"/>
      <w:bookmarkStart w:id="22" w:name="_Toc225531641"/>
      <w:r w:rsidRPr="00F43C57">
        <w:rPr>
          <w:rFonts w:cs="Arial"/>
          <w:szCs w:val="22"/>
          <w:u w:val="single"/>
        </w:rPr>
        <w:t>Ethical Fundamentals of Health and Social Care</w:t>
      </w:r>
      <w:bookmarkEnd w:id="20"/>
      <w:bookmarkEnd w:id="21"/>
      <w:bookmarkEnd w:id="22"/>
      <w:r w:rsidR="0040275A" w:rsidRPr="00F43C57">
        <w:rPr>
          <w:rFonts w:cs="Arial"/>
          <w:szCs w:val="22"/>
          <w:u w:val="single"/>
        </w:rPr>
        <w:t>:</w:t>
      </w:r>
    </w:p>
    <w:p w14:paraId="02FA146C"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Ethical principles play a crucial role in guiding professional practice in health and social care. They provide a framework for healthcare professionals when making decisions that affect patients’ wellbeing, safety, and rights. Ethical practice ensures that care is delivered with dignity, respect, and fairness while supporting the principles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partnership working. Four key ethical principles are commonly </w:t>
      </w:r>
      <w:r w:rsidR="0012698E" w:rsidRPr="00F43C57">
        <w:rPr>
          <w:rFonts w:ascii="Arial" w:eastAsia="Times New Roman" w:hAnsi="Arial" w:cs="Arial"/>
        </w:rPr>
        <w:t>recognised</w:t>
      </w:r>
      <w:r w:rsidRPr="00F43C57">
        <w:rPr>
          <w:rFonts w:ascii="Arial" w:eastAsia="Times New Roman" w:hAnsi="Arial" w:cs="Arial"/>
        </w:rPr>
        <w:t xml:space="preserve"> in health and social care practice: autonomy, beneficence, non-maleficence, and justice. These principles help professionals balance clinical judgement with respect for individual needs and preferences.</w:t>
      </w:r>
    </w:p>
    <w:p w14:paraId="4EEE2955" w14:textId="1F3D6B48" w:rsidR="0012724E" w:rsidRPr="00F43C57" w:rsidRDefault="0012724E" w:rsidP="00F43C57">
      <w:pPr>
        <w:pStyle w:val="Heading2"/>
        <w:spacing w:line="360" w:lineRule="auto"/>
        <w:rPr>
          <w:rFonts w:cs="Arial"/>
          <w:szCs w:val="22"/>
          <w:u w:val="single"/>
        </w:rPr>
      </w:pPr>
      <w:bookmarkStart w:id="23" w:name="_Toc224423994"/>
      <w:bookmarkStart w:id="24" w:name="_Toc224442477"/>
      <w:bookmarkStart w:id="25" w:name="_Toc225531642"/>
      <w:r w:rsidRPr="00F43C57">
        <w:rPr>
          <w:rFonts w:cs="Arial"/>
          <w:szCs w:val="22"/>
          <w:u w:val="single"/>
        </w:rPr>
        <w:t>Autonomy</w:t>
      </w:r>
      <w:bookmarkEnd w:id="23"/>
      <w:bookmarkEnd w:id="24"/>
      <w:bookmarkEnd w:id="25"/>
      <w:r w:rsidR="0040275A" w:rsidRPr="00F43C57">
        <w:rPr>
          <w:rFonts w:cs="Arial"/>
          <w:szCs w:val="22"/>
          <w:u w:val="single"/>
        </w:rPr>
        <w:t>:</w:t>
      </w:r>
    </w:p>
    <w:p w14:paraId="21B48CC4"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Autonomy refers to respecting individuals’ rights to make informed decisions about their own care and treatment. In healthcare settings, patients should be provided with clear, accurate, and accessible information about their medical condition, treatment options, and potential risks. This allows them to participate actively in decision-making processes. Respecting autonomy also involves acknowledging cultural beliefs, personal values, and individual preferences. For example, in NHS hospitals, healthcare professionals encourage shared decision-making </w:t>
      </w:r>
      <w:r w:rsidR="0012698E" w:rsidRPr="00F43C57">
        <w:rPr>
          <w:rFonts w:ascii="Arial" w:eastAsia="Times New Roman" w:hAnsi="Arial" w:cs="Arial"/>
        </w:rPr>
        <w:t>to empower patients and involve them</w:t>
      </w:r>
      <w:r w:rsidR="00587F54" w:rsidRPr="00F43C57">
        <w:rPr>
          <w:rFonts w:ascii="Arial" w:eastAsia="Times New Roman" w:hAnsi="Arial" w:cs="Arial"/>
        </w:rPr>
        <w:t xml:space="preserve"> in their care plans</w:t>
      </w:r>
      <w:r w:rsidR="00FE5DCD" w:rsidRPr="00F43C57">
        <w:rPr>
          <w:rFonts w:ascii="Arial" w:eastAsia="Times New Roman" w:hAnsi="Arial" w:cs="Arial"/>
        </w:rPr>
        <w:t xml:space="preserve"> </w:t>
      </w:r>
      <w:r w:rsidR="00587F54" w:rsidRPr="00F43C57">
        <w:rPr>
          <w:rFonts w:ascii="Arial" w:eastAsia="Times New Roman" w:hAnsi="Arial" w:cs="Arial"/>
          <w:noProof/>
        </w:rPr>
        <w:t>(Nolte &amp; McKee, 2008).</w:t>
      </w:r>
    </w:p>
    <w:p w14:paraId="2688EF21" w14:textId="12496421" w:rsidR="0012724E" w:rsidRPr="00F43C57" w:rsidRDefault="0012724E" w:rsidP="00F43C57">
      <w:pPr>
        <w:pStyle w:val="Heading2"/>
        <w:spacing w:line="360" w:lineRule="auto"/>
        <w:rPr>
          <w:rFonts w:cs="Arial"/>
          <w:szCs w:val="22"/>
          <w:u w:val="single"/>
        </w:rPr>
      </w:pPr>
      <w:bookmarkStart w:id="26" w:name="_Toc224423995"/>
      <w:bookmarkStart w:id="27" w:name="_Toc224442478"/>
      <w:bookmarkStart w:id="28" w:name="_Toc225531643"/>
      <w:r w:rsidRPr="00F43C57">
        <w:rPr>
          <w:rFonts w:cs="Arial"/>
          <w:szCs w:val="22"/>
          <w:u w:val="single"/>
        </w:rPr>
        <w:t>Beneficence</w:t>
      </w:r>
      <w:bookmarkEnd w:id="26"/>
      <w:bookmarkEnd w:id="27"/>
      <w:bookmarkEnd w:id="28"/>
      <w:r w:rsidR="0040275A" w:rsidRPr="00F43C57">
        <w:rPr>
          <w:rFonts w:cs="Arial"/>
          <w:szCs w:val="22"/>
          <w:u w:val="single"/>
        </w:rPr>
        <w:t>:</w:t>
      </w:r>
    </w:p>
    <w:p w14:paraId="6E4A9A1B"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Beneficence requires healthcare professionals to act in </w:t>
      </w:r>
      <w:r w:rsidR="0012698E" w:rsidRPr="00F43C57">
        <w:rPr>
          <w:rFonts w:ascii="Arial" w:eastAsia="Times New Roman" w:hAnsi="Arial" w:cs="Arial"/>
        </w:rPr>
        <w:t xml:space="preserve">patients' best interests </w:t>
      </w:r>
      <w:r w:rsidRPr="00F43C57">
        <w:rPr>
          <w:rFonts w:ascii="Arial" w:eastAsia="Times New Roman" w:hAnsi="Arial" w:cs="Arial"/>
        </w:rPr>
        <w:t xml:space="preserve">by promoting their </w:t>
      </w:r>
      <w:r w:rsidR="00587F54" w:rsidRPr="00F43C57">
        <w:rPr>
          <w:rFonts w:ascii="Arial" w:eastAsia="Times New Roman" w:hAnsi="Arial" w:cs="Arial"/>
        </w:rPr>
        <w:t>well-being</w:t>
      </w:r>
      <w:r w:rsidRPr="00F43C57">
        <w:rPr>
          <w:rFonts w:ascii="Arial" w:eastAsia="Times New Roman" w:hAnsi="Arial" w:cs="Arial"/>
        </w:rPr>
        <w:t xml:space="preserve"> and providing appropriate care. This principle encourages professionals to deliver treatments and interventions that improve health outcomes and enhance quality of life. In practice, beneficence involves careful assessment of patient needs, providing effective treatment, and offering emotional and psychological support throughout the care process.</w:t>
      </w:r>
    </w:p>
    <w:p w14:paraId="3F06E4D6" w14:textId="2492F798" w:rsidR="0012724E" w:rsidRPr="00F43C57" w:rsidRDefault="0012724E" w:rsidP="00F43C57">
      <w:pPr>
        <w:pStyle w:val="Heading2"/>
        <w:spacing w:line="360" w:lineRule="auto"/>
        <w:rPr>
          <w:rFonts w:cs="Arial"/>
          <w:szCs w:val="22"/>
          <w:u w:val="single"/>
        </w:rPr>
      </w:pPr>
      <w:bookmarkStart w:id="29" w:name="_Toc224423996"/>
      <w:bookmarkStart w:id="30" w:name="_Toc224442479"/>
      <w:bookmarkStart w:id="31" w:name="_Toc225531644"/>
      <w:r w:rsidRPr="00F43C57">
        <w:rPr>
          <w:rFonts w:cs="Arial"/>
          <w:szCs w:val="22"/>
          <w:u w:val="single"/>
        </w:rPr>
        <w:lastRenderedPageBreak/>
        <w:t>Non-Maleficence</w:t>
      </w:r>
      <w:bookmarkEnd w:id="29"/>
      <w:bookmarkEnd w:id="30"/>
      <w:bookmarkEnd w:id="31"/>
      <w:r w:rsidR="0040275A" w:rsidRPr="00F43C57">
        <w:rPr>
          <w:rFonts w:cs="Arial"/>
          <w:szCs w:val="22"/>
          <w:u w:val="single"/>
        </w:rPr>
        <w:t>:</w:t>
      </w:r>
    </w:p>
    <w:p w14:paraId="0685B64B" w14:textId="77777777" w:rsidR="0012724E"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Non-maleficence refers to the obligation to avoid causing harm to patients. Healthcare professionals must ensure that treatments, procedures, and interventions do not place individuals at unnecessary risk. This includes maintaining professional competence, following evidence-based practice, and carefully evaluating the potential risks and benefits of medical decision</w:t>
      </w:r>
      <w:r w:rsidR="00587F54" w:rsidRPr="00F43C57">
        <w:rPr>
          <w:rFonts w:ascii="Arial" w:eastAsia="Times New Roman" w:hAnsi="Arial" w:cs="Arial"/>
        </w:rPr>
        <w:t>s before implementing treatment</w:t>
      </w:r>
      <w:r w:rsidR="00FE5DCD" w:rsidRPr="00F43C57">
        <w:rPr>
          <w:rFonts w:ascii="Arial" w:eastAsia="Times New Roman" w:hAnsi="Arial" w:cs="Arial"/>
        </w:rPr>
        <w:t xml:space="preserve"> </w:t>
      </w:r>
      <w:r w:rsidR="0012698E" w:rsidRPr="00F43C57">
        <w:rPr>
          <w:rFonts w:ascii="Arial" w:eastAsia="Times New Roman" w:hAnsi="Arial" w:cs="Arial"/>
          <w:noProof/>
        </w:rPr>
        <w:t>(Oliver</w:t>
      </w:r>
      <w:r w:rsidR="00587F54" w:rsidRPr="00F43C57">
        <w:rPr>
          <w:rFonts w:ascii="Arial" w:eastAsia="Times New Roman" w:hAnsi="Arial" w:cs="Arial"/>
          <w:noProof/>
        </w:rPr>
        <w:t xml:space="preserve"> et al., 2014).</w:t>
      </w:r>
    </w:p>
    <w:p w14:paraId="52AF18D6" w14:textId="35313F23" w:rsidR="0012724E" w:rsidRPr="00F43C57" w:rsidRDefault="0012724E" w:rsidP="00F43C57">
      <w:pPr>
        <w:pStyle w:val="Heading2"/>
        <w:spacing w:line="360" w:lineRule="auto"/>
        <w:rPr>
          <w:rFonts w:cs="Arial"/>
          <w:szCs w:val="22"/>
          <w:u w:val="single"/>
        </w:rPr>
      </w:pPr>
      <w:bookmarkStart w:id="32" w:name="_Toc224423997"/>
      <w:bookmarkStart w:id="33" w:name="_Toc224442480"/>
      <w:bookmarkStart w:id="34" w:name="_Toc225531645"/>
      <w:r w:rsidRPr="00F43C57">
        <w:rPr>
          <w:rFonts w:cs="Arial"/>
          <w:szCs w:val="22"/>
          <w:u w:val="single"/>
        </w:rPr>
        <w:t>Justice</w:t>
      </w:r>
      <w:bookmarkEnd w:id="32"/>
      <w:bookmarkEnd w:id="33"/>
      <w:bookmarkEnd w:id="34"/>
      <w:r w:rsidR="0040275A" w:rsidRPr="00F43C57">
        <w:rPr>
          <w:rFonts w:cs="Arial"/>
          <w:szCs w:val="22"/>
          <w:u w:val="single"/>
        </w:rPr>
        <w:t>:</w:t>
      </w:r>
    </w:p>
    <w:p w14:paraId="2258AF6C" w14:textId="77777777" w:rsidR="008A3671" w:rsidRPr="00F43C57" w:rsidRDefault="0012724E"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Justice involves fairness and equality in the distribution of healthcare resources and services. It requires healthcare systems to ensure that all individuals have equal access to care regardless of their background, socioeconomic status, gender, or ethnicity. In the UK healthcare system, the principle of justice supports policies aimed at reducing health inequalities and ensuring equitable service delivery across the population</w:t>
      </w:r>
      <w:r w:rsidR="008A3671" w:rsidRPr="00F43C57">
        <w:rPr>
          <w:rFonts w:ascii="Arial" w:eastAsia="Times New Roman" w:hAnsi="Arial" w:cs="Arial"/>
        </w:rPr>
        <w:t>.</w:t>
      </w:r>
    </w:p>
    <w:p w14:paraId="3F4E885E"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In practice, ethical dilemmas may arise. For example, a patient may refuse a life-saving treatment due to personal beliefs. Healthcare professionals must balance respect for autonomy with their duty to promote patient well-being.</w:t>
      </w:r>
    </w:p>
    <w:p w14:paraId="42D25896" w14:textId="3D4FEF0B" w:rsidR="008A3671" w:rsidRPr="00F43C57" w:rsidRDefault="008A3671" w:rsidP="00F43C57">
      <w:pPr>
        <w:pStyle w:val="Heading1"/>
        <w:spacing w:line="360" w:lineRule="auto"/>
        <w:rPr>
          <w:rFonts w:cs="Arial"/>
          <w:szCs w:val="22"/>
          <w:u w:val="single"/>
        </w:rPr>
      </w:pPr>
      <w:bookmarkStart w:id="35" w:name="_Toc224423998"/>
      <w:bookmarkStart w:id="36" w:name="_Toc224442481"/>
      <w:bookmarkStart w:id="37" w:name="_Toc225531646"/>
      <w:r w:rsidRPr="00F43C57">
        <w:rPr>
          <w:rFonts w:cs="Arial"/>
          <w:szCs w:val="22"/>
          <w:u w:val="single"/>
        </w:rPr>
        <w:t>Evaluation of Partnership Working</w:t>
      </w:r>
      <w:bookmarkEnd w:id="35"/>
      <w:bookmarkEnd w:id="36"/>
      <w:bookmarkEnd w:id="37"/>
      <w:r w:rsidR="0040275A" w:rsidRPr="00F43C57">
        <w:rPr>
          <w:rFonts w:cs="Arial"/>
          <w:szCs w:val="22"/>
          <w:u w:val="single"/>
        </w:rPr>
        <w:t>:</w:t>
      </w:r>
    </w:p>
    <w:p w14:paraId="1A9D558D"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Partnership working refers to collaboration between different professionals,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and service us</w:t>
      </w:r>
      <w:r w:rsidR="00587F54" w:rsidRPr="00F43C57">
        <w:rPr>
          <w:rFonts w:ascii="Arial" w:eastAsia="Times New Roman" w:hAnsi="Arial" w:cs="Arial"/>
        </w:rPr>
        <w:t>ers to provide coordinated care</w:t>
      </w:r>
      <w:r w:rsidR="00FE5DCD" w:rsidRPr="00F43C57">
        <w:rPr>
          <w:rFonts w:ascii="Arial" w:eastAsia="Times New Roman" w:hAnsi="Arial" w:cs="Arial"/>
        </w:rPr>
        <w:t xml:space="preserve"> </w:t>
      </w:r>
      <w:r w:rsidR="00587F54" w:rsidRPr="00F43C57">
        <w:rPr>
          <w:rFonts w:ascii="Arial" w:eastAsia="Times New Roman" w:hAnsi="Arial" w:cs="Arial"/>
          <w:noProof/>
        </w:rPr>
        <w:t>(</w:t>
      </w:r>
      <w:r w:rsidR="002A506F" w:rsidRPr="00F43C57">
        <w:rPr>
          <w:rFonts w:ascii="Arial" w:eastAsia="Times New Roman" w:hAnsi="Arial" w:cs="Arial"/>
          <w:noProof/>
        </w:rPr>
        <w:t xml:space="preserve">Goodwin et </w:t>
      </w:r>
      <w:r w:rsidR="00587F54" w:rsidRPr="00F43C57">
        <w:rPr>
          <w:rFonts w:ascii="Arial" w:eastAsia="Times New Roman" w:hAnsi="Arial" w:cs="Arial"/>
          <w:noProof/>
        </w:rPr>
        <w:t>al., 2012).</w:t>
      </w:r>
    </w:p>
    <w:p w14:paraId="20E7BAA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In the UK, partnership working has become increasingly important due to the complexity of healthcare needs, particularly for individuals with chronic conditions or social care requirements.</w:t>
      </w:r>
    </w:p>
    <w:p w14:paraId="74F01D29" w14:textId="3E923DDB" w:rsidR="008A3671" w:rsidRPr="00F43C57" w:rsidRDefault="008A3671" w:rsidP="00F43C57">
      <w:pPr>
        <w:pStyle w:val="Heading2"/>
        <w:spacing w:line="360" w:lineRule="auto"/>
        <w:rPr>
          <w:rFonts w:cs="Arial"/>
          <w:szCs w:val="22"/>
          <w:u w:val="single"/>
        </w:rPr>
      </w:pPr>
      <w:bookmarkStart w:id="38" w:name="_Toc224423999"/>
      <w:bookmarkStart w:id="39" w:name="_Toc224442482"/>
      <w:bookmarkStart w:id="40" w:name="_Toc225531647"/>
      <w:r w:rsidRPr="00F43C57">
        <w:rPr>
          <w:rFonts w:cs="Arial"/>
          <w:szCs w:val="22"/>
          <w:u w:val="single"/>
        </w:rPr>
        <w:t>Importance of Partnership Working</w:t>
      </w:r>
      <w:bookmarkEnd w:id="38"/>
      <w:bookmarkEnd w:id="39"/>
      <w:bookmarkEnd w:id="40"/>
      <w:r w:rsidR="0040275A" w:rsidRPr="00F43C57">
        <w:rPr>
          <w:rFonts w:cs="Arial"/>
          <w:szCs w:val="22"/>
          <w:u w:val="single"/>
        </w:rPr>
        <w:t>:</w:t>
      </w:r>
    </w:p>
    <w:p w14:paraId="3A9BAA34"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Partnership working improves service integration, enabling healthcare professionals to share information, coordinate treatment, and provide comprehensive support to patients.</w:t>
      </w:r>
    </w:p>
    <w:p w14:paraId="00DD4D8F"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Integrated Care Systems (ICS), introduced through recent health reforms, aim to strengthen collaboration between NHS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local authorities, and social care providers.</w:t>
      </w:r>
    </w:p>
    <w:p w14:paraId="44F5110F" w14:textId="77777777" w:rsidR="0012698E" w:rsidRPr="00F43C57" w:rsidRDefault="0012698E" w:rsidP="00F43C57">
      <w:pPr>
        <w:spacing w:before="100" w:beforeAutospacing="1" w:after="100" w:afterAutospacing="1" w:line="360" w:lineRule="auto"/>
        <w:jc w:val="both"/>
        <w:rPr>
          <w:rFonts w:ascii="Arial" w:eastAsia="Times New Roman" w:hAnsi="Arial" w:cs="Arial"/>
        </w:rPr>
      </w:pPr>
    </w:p>
    <w:p w14:paraId="089C4971" w14:textId="0B5BD1A1" w:rsidR="008A3671" w:rsidRPr="00F43C57" w:rsidRDefault="008A3671" w:rsidP="00F43C57">
      <w:pPr>
        <w:pStyle w:val="Heading2"/>
        <w:spacing w:line="360" w:lineRule="auto"/>
        <w:rPr>
          <w:rFonts w:cs="Arial"/>
          <w:szCs w:val="22"/>
          <w:u w:val="single"/>
        </w:rPr>
      </w:pPr>
      <w:bookmarkStart w:id="41" w:name="_Toc224424000"/>
      <w:bookmarkStart w:id="42" w:name="_Toc224442483"/>
      <w:bookmarkStart w:id="43" w:name="_Toc225531648"/>
      <w:r w:rsidRPr="00F43C57">
        <w:rPr>
          <w:rFonts w:cs="Arial"/>
          <w:szCs w:val="22"/>
          <w:u w:val="single"/>
        </w:rPr>
        <w:lastRenderedPageBreak/>
        <w:t>Benefits of Partnership Working</w:t>
      </w:r>
      <w:bookmarkEnd w:id="41"/>
      <w:bookmarkEnd w:id="42"/>
      <w:bookmarkEnd w:id="43"/>
      <w:r w:rsidR="0040275A" w:rsidRPr="00F43C57">
        <w:rPr>
          <w:rFonts w:cs="Arial"/>
          <w:szCs w:val="22"/>
          <w:u w:val="single"/>
        </w:rPr>
        <w:t>:</w:t>
      </w:r>
    </w:p>
    <w:p w14:paraId="6EBA1C96"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Partnership working provides several advantages:</w:t>
      </w:r>
    </w:p>
    <w:p w14:paraId="74E78A98"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Improved patient outcomes through coordinated care</w:t>
      </w:r>
    </w:p>
    <w:p w14:paraId="71BCDCD5"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Better use of resources</w:t>
      </w:r>
    </w:p>
    <w:p w14:paraId="7570BBB4"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Enhanced communication between professionals</w:t>
      </w:r>
    </w:p>
    <w:p w14:paraId="00DDF0FD" w14:textId="77777777" w:rsidR="008A3671" w:rsidRPr="00F43C57" w:rsidRDefault="008A3671" w:rsidP="00F43C57">
      <w:pPr>
        <w:numPr>
          <w:ilvl w:val="0"/>
          <w:numId w:val="1"/>
        </w:num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Greater involvement of service users and families</w:t>
      </w:r>
    </w:p>
    <w:p w14:paraId="5D72D27B"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For example, hospital discharge planning often requires collaboration between doctors, nurses, social worker</w:t>
      </w:r>
      <w:r w:rsidR="00587F54" w:rsidRPr="00F43C57">
        <w:rPr>
          <w:rFonts w:ascii="Arial" w:eastAsia="Times New Roman" w:hAnsi="Arial" w:cs="Arial"/>
        </w:rPr>
        <w:t>s, and community care providers</w:t>
      </w:r>
      <w:r w:rsidR="00FE5DCD" w:rsidRPr="00F43C57">
        <w:rPr>
          <w:rFonts w:ascii="Arial" w:eastAsia="Times New Roman" w:hAnsi="Arial" w:cs="Arial"/>
        </w:rPr>
        <w:t xml:space="preserve"> </w:t>
      </w:r>
      <w:r w:rsidR="00587F54" w:rsidRPr="00F43C57">
        <w:rPr>
          <w:rFonts w:ascii="Arial" w:eastAsia="Times New Roman" w:hAnsi="Arial" w:cs="Arial"/>
          <w:noProof/>
        </w:rPr>
        <w:t>(</w:t>
      </w:r>
      <w:r w:rsidR="00AA7CA5" w:rsidRPr="00F43C57">
        <w:rPr>
          <w:rFonts w:ascii="Arial" w:eastAsia="Times New Roman" w:hAnsi="Arial" w:cs="Arial"/>
          <w:noProof/>
        </w:rPr>
        <w:t>SkillsforCare, 2026</w:t>
      </w:r>
      <w:r w:rsidR="00587F54" w:rsidRPr="00F43C57">
        <w:rPr>
          <w:rFonts w:ascii="Arial" w:eastAsia="Times New Roman" w:hAnsi="Arial" w:cs="Arial"/>
          <w:noProof/>
        </w:rPr>
        <w:t>).</w:t>
      </w:r>
    </w:p>
    <w:p w14:paraId="190197D9" w14:textId="5C85C383" w:rsidR="008A3671" w:rsidRPr="00F43C57" w:rsidRDefault="008A3671" w:rsidP="00F43C57">
      <w:pPr>
        <w:pStyle w:val="Heading2"/>
        <w:spacing w:line="360" w:lineRule="auto"/>
        <w:rPr>
          <w:rFonts w:cs="Arial"/>
          <w:szCs w:val="22"/>
          <w:u w:val="single"/>
        </w:rPr>
      </w:pPr>
      <w:bookmarkStart w:id="44" w:name="_Toc224424001"/>
      <w:bookmarkStart w:id="45" w:name="_Toc224442484"/>
      <w:bookmarkStart w:id="46" w:name="_Toc225531649"/>
      <w:r w:rsidRPr="00F43C57">
        <w:rPr>
          <w:rFonts w:cs="Arial"/>
          <w:szCs w:val="22"/>
          <w:u w:val="single"/>
        </w:rPr>
        <w:t>Challenges of Partnership Working</w:t>
      </w:r>
      <w:bookmarkEnd w:id="44"/>
      <w:bookmarkEnd w:id="45"/>
      <w:bookmarkEnd w:id="46"/>
      <w:r w:rsidR="0040275A" w:rsidRPr="00F43C57">
        <w:rPr>
          <w:rFonts w:cs="Arial"/>
          <w:szCs w:val="22"/>
          <w:u w:val="single"/>
        </w:rPr>
        <w:t>:</w:t>
      </w:r>
    </w:p>
    <w:p w14:paraId="6D2B12A2"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Despite its benefits, partnership working can face several challenges.</w:t>
      </w:r>
    </w:p>
    <w:p w14:paraId="2876B089"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Communication barriers between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xml:space="preserve"> may lead to delays or misunderstandings.</w:t>
      </w:r>
    </w:p>
    <w:p w14:paraId="6C5F4FF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Differences in professional cultures and </w:t>
      </w:r>
      <w:r w:rsidR="00587F54" w:rsidRPr="00F43C57">
        <w:rPr>
          <w:rFonts w:ascii="Arial" w:eastAsia="Times New Roman" w:hAnsi="Arial" w:cs="Arial"/>
        </w:rPr>
        <w:t>organis</w:t>
      </w:r>
      <w:r w:rsidR="00E82CD9" w:rsidRPr="00F43C57">
        <w:rPr>
          <w:rFonts w:ascii="Arial" w:eastAsia="Times New Roman" w:hAnsi="Arial" w:cs="Arial"/>
        </w:rPr>
        <w:t>ational</w:t>
      </w:r>
      <w:r w:rsidRPr="00F43C57">
        <w:rPr>
          <w:rFonts w:ascii="Arial" w:eastAsia="Times New Roman" w:hAnsi="Arial" w:cs="Arial"/>
        </w:rPr>
        <w:t xml:space="preserve"> priorities may also create difficulties in collaboration.</w:t>
      </w:r>
    </w:p>
    <w:p w14:paraId="1F8B6231"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Furthermore, data-sharing restrictions can sometimes limit effective information exchange.</w:t>
      </w:r>
    </w:p>
    <w:p w14:paraId="4142B2C4" w14:textId="12AA5102" w:rsidR="008A3671" w:rsidRPr="00F43C57" w:rsidRDefault="008A3671" w:rsidP="00F43C57">
      <w:pPr>
        <w:pStyle w:val="Heading1"/>
        <w:spacing w:line="360" w:lineRule="auto"/>
        <w:rPr>
          <w:rFonts w:cs="Arial"/>
          <w:szCs w:val="22"/>
          <w:u w:val="single"/>
        </w:rPr>
      </w:pPr>
      <w:bookmarkStart w:id="47" w:name="_Toc224424002"/>
      <w:bookmarkStart w:id="48" w:name="_Toc224442485"/>
      <w:bookmarkStart w:id="49" w:name="_Toc225531650"/>
      <w:r w:rsidRPr="00F43C57">
        <w:rPr>
          <w:rFonts w:cs="Arial"/>
          <w:szCs w:val="22"/>
          <w:u w:val="single"/>
        </w:rPr>
        <w:t>Policy and Legislation Supporting PCC and PW</w:t>
      </w:r>
      <w:bookmarkEnd w:id="47"/>
      <w:bookmarkEnd w:id="48"/>
      <w:bookmarkEnd w:id="49"/>
      <w:r w:rsidR="0040275A" w:rsidRPr="00F43C57">
        <w:rPr>
          <w:rFonts w:cs="Arial"/>
          <w:szCs w:val="22"/>
          <w:u w:val="single"/>
        </w:rPr>
        <w:t>:</w:t>
      </w:r>
    </w:p>
    <w:p w14:paraId="36D0CF30"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UK health and social care practice is strongly influenced by legislation and policy frameworks.</w:t>
      </w:r>
    </w:p>
    <w:p w14:paraId="03A930F1" w14:textId="2AF27A17" w:rsidR="008A3671" w:rsidRPr="00F43C57" w:rsidRDefault="008A3671" w:rsidP="00F43C57">
      <w:pPr>
        <w:pStyle w:val="Heading2"/>
        <w:spacing w:line="360" w:lineRule="auto"/>
        <w:rPr>
          <w:rFonts w:cs="Arial"/>
          <w:iCs/>
          <w:szCs w:val="22"/>
          <w:u w:val="single"/>
        </w:rPr>
      </w:pPr>
      <w:bookmarkStart w:id="50" w:name="_Toc224424003"/>
      <w:bookmarkStart w:id="51" w:name="_Toc224442486"/>
      <w:bookmarkStart w:id="52" w:name="_Toc225531651"/>
      <w:r w:rsidRPr="00F43C57">
        <w:rPr>
          <w:rFonts w:cs="Arial"/>
          <w:iCs/>
          <w:szCs w:val="22"/>
          <w:u w:val="single"/>
        </w:rPr>
        <w:t>Care Act 2014</w:t>
      </w:r>
      <w:bookmarkEnd w:id="50"/>
      <w:bookmarkEnd w:id="51"/>
      <w:bookmarkEnd w:id="52"/>
      <w:r w:rsidR="0040275A" w:rsidRPr="00F43C57">
        <w:rPr>
          <w:rFonts w:cs="Arial"/>
          <w:iCs/>
          <w:szCs w:val="22"/>
          <w:u w:val="single"/>
        </w:rPr>
        <w:t>:</w:t>
      </w:r>
    </w:p>
    <w:p w14:paraId="0CC7527D"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The Care Act 2014 promotes well-being and </w:t>
      </w:r>
      <w:r w:rsidR="0012698E" w:rsidRPr="00F43C57">
        <w:rPr>
          <w:rFonts w:ascii="Arial" w:eastAsia="Times New Roman" w:hAnsi="Arial" w:cs="Arial"/>
        </w:rPr>
        <w:t>emphasis</w:t>
      </w:r>
      <w:r w:rsidR="00E82CD9" w:rsidRPr="00F43C57">
        <w:rPr>
          <w:rFonts w:ascii="Arial" w:eastAsia="Times New Roman" w:hAnsi="Arial" w:cs="Arial"/>
        </w:rPr>
        <w:t>es</w:t>
      </w:r>
      <w:r w:rsidRPr="00F43C57">
        <w:rPr>
          <w:rFonts w:ascii="Arial" w:eastAsia="Times New Roman" w:hAnsi="Arial" w:cs="Arial"/>
        </w:rPr>
        <w:t xml:space="preserve"> the importance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in social services. It requires local authorities to involve individuals in care planning and support decision-making.</w:t>
      </w:r>
    </w:p>
    <w:p w14:paraId="55B43D15" w14:textId="33429F52" w:rsidR="008A3671" w:rsidRPr="00F43C57" w:rsidRDefault="008A3671" w:rsidP="00F43C57">
      <w:pPr>
        <w:pStyle w:val="Heading2"/>
        <w:spacing w:line="360" w:lineRule="auto"/>
        <w:rPr>
          <w:rFonts w:cs="Arial"/>
          <w:iCs/>
          <w:szCs w:val="22"/>
          <w:u w:val="single"/>
        </w:rPr>
      </w:pPr>
      <w:bookmarkStart w:id="53" w:name="_Toc224424004"/>
      <w:bookmarkStart w:id="54" w:name="_Toc224442487"/>
      <w:bookmarkStart w:id="55" w:name="_Toc225531652"/>
      <w:r w:rsidRPr="00F43C57">
        <w:rPr>
          <w:rFonts w:cs="Arial"/>
          <w:iCs/>
          <w:szCs w:val="22"/>
          <w:u w:val="single"/>
        </w:rPr>
        <w:t>Health and Care Act 2022</w:t>
      </w:r>
      <w:bookmarkEnd w:id="53"/>
      <w:bookmarkEnd w:id="54"/>
      <w:bookmarkEnd w:id="55"/>
      <w:r w:rsidR="0040275A" w:rsidRPr="00F43C57">
        <w:rPr>
          <w:rFonts w:cs="Arial"/>
          <w:iCs/>
          <w:szCs w:val="22"/>
          <w:u w:val="single"/>
        </w:rPr>
        <w:t>:</w:t>
      </w:r>
    </w:p>
    <w:p w14:paraId="7E9826E4"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This legislation introduced Integrated Care Systems to improve collaboration between health and social care services. The aim is to provide more coordinated care and improve health outcomes.</w:t>
      </w:r>
    </w:p>
    <w:p w14:paraId="3B5BE07E" w14:textId="77777777" w:rsidR="0040275A" w:rsidRPr="00F43C57" w:rsidRDefault="0040275A" w:rsidP="00F43C57">
      <w:pPr>
        <w:pStyle w:val="Heading2"/>
        <w:spacing w:line="360" w:lineRule="auto"/>
        <w:rPr>
          <w:rFonts w:cs="Arial"/>
          <w:i/>
          <w:szCs w:val="22"/>
        </w:rPr>
      </w:pPr>
      <w:bookmarkStart w:id="56" w:name="_Toc224424005"/>
      <w:bookmarkStart w:id="57" w:name="_Toc224442488"/>
      <w:bookmarkStart w:id="58" w:name="_Toc225531653"/>
    </w:p>
    <w:p w14:paraId="2E18F7FC" w14:textId="4EC0159E" w:rsidR="008A3671" w:rsidRPr="00F43C57" w:rsidRDefault="008A3671" w:rsidP="00F43C57">
      <w:pPr>
        <w:pStyle w:val="Heading2"/>
        <w:spacing w:line="360" w:lineRule="auto"/>
        <w:rPr>
          <w:rFonts w:cs="Arial"/>
          <w:iCs/>
          <w:szCs w:val="22"/>
          <w:u w:val="single"/>
        </w:rPr>
      </w:pPr>
      <w:r w:rsidRPr="00F43C57">
        <w:rPr>
          <w:rFonts w:cs="Arial"/>
          <w:iCs/>
          <w:szCs w:val="22"/>
          <w:u w:val="single"/>
        </w:rPr>
        <w:t>Health and Social Care Act 2012</w:t>
      </w:r>
      <w:bookmarkEnd w:id="56"/>
      <w:bookmarkEnd w:id="57"/>
      <w:bookmarkEnd w:id="58"/>
      <w:r w:rsidR="0040275A" w:rsidRPr="00F43C57">
        <w:rPr>
          <w:rFonts w:cs="Arial"/>
          <w:iCs/>
          <w:szCs w:val="22"/>
          <w:u w:val="single"/>
        </w:rPr>
        <w:t>:</w:t>
      </w:r>
    </w:p>
    <w:p w14:paraId="0EEE3B78"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This Act restructured the NHS and </w:t>
      </w:r>
      <w:r w:rsidR="0012698E" w:rsidRPr="00F43C57">
        <w:rPr>
          <w:rFonts w:ascii="Arial" w:eastAsia="Times New Roman" w:hAnsi="Arial" w:cs="Arial"/>
        </w:rPr>
        <w:t>emphasised</w:t>
      </w:r>
      <w:r w:rsidRPr="00F43C57">
        <w:rPr>
          <w:rFonts w:ascii="Arial" w:eastAsia="Times New Roman" w:hAnsi="Arial" w:cs="Arial"/>
        </w:rPr>
        <w:t xml:space="preserve"> patient choice and service integration.</w:t>
      </w:r>
    </w:p>
    <w:p w14:paraId="646C118E" w14:textId="3A0A320E" w:rsidR="008A3671" w:rsidRPr="00F43C57" w:rsidRDefault="008A3671" w:rsidP="00F43C57">
      <w:pPr>
        <w:pStyle w:val="Heading2"/>
        <w:spacing w:line="360" w:lineRule="auto"/>
        <w:rPr>
          <w:rFonts w:cs="Arial"/>
          <w:iCs/>
          <w:szCs w:val="22"/>
          <w:u w:val="single"/>
        </w:rPr>
      </w:pPr>
      <w:bookmarkStart w:id="59" w:name="_Toc224424006"/>
      <w:bookmarkStart w:id="60" w:name="_Toc224442489"/>
      <w:bookmarkStart w:id="61" w:name="_Toc225531654"/>
      <w:r w:rsidRPr="00F43C57">
        <w:rPr>
          <w:rFonts w:cs="Arial"/>
          <w:iCs/>
          <w:szCs w:val="22"/>
          <w:u w:val="single"/>
        </w:rPr>
        <w:t>Human Rights Act 1998</w:t>
      </w:r>
      <w:bookmarkEnd w:id="59"/>
      <w:bookmarkEnd w:id="60"/>
      <w:bookmarkEnd w:id="61"/>
      <w:r w:rsidR="0040275A" w:rsidRPr="00F43C57">
        <w:rPr>
          <w:rFonts w:cs="Arial"/>
          <w:iCs/>
          <w:szCs w:val="22"/>
          <w:u w:val="single"/>
        </w:rPr>
        <w:t>:</w:t>
      </w:r>
    </w:p>
    <w:p w14:paraId="20EA5FCF"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Human Rights Act protects fundamental rights such as dignity, privacy, and freedom from discrimination. These rights support the principles of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w:t>
      </w:r>
    </w:p>
    <w:p w14:paraId="5A6A5F44" w14:textId="342F0CE4" w:rsidR="008A3671" w:rsidRPr="00F43C57" w:rsidRDefault="008A3671" w:rsidP="00F43C57">
      <w:pPr>
        <w:pStyle w:val="Heading2"/>
        <w:spacing w:line="360" w:lineRule="auto"/>
        <w:rPr>
          <w:rFonts w:cs="Arial"/>
          <w:iCs/>
          <w:szCs w:val="22"/>
          <w:u w:val="single"/>
        </w:rPr>
      </w:pPr>
      <w:bookmarkStart w:id="62" w:name="_Toc224424007"/>
      <w:bookmarkStart w:id="63" w:name="_Toc224442490"/>
      <w:bookmarkStart w:id="64" w:name="_Toc225531655"/>
      <w:r w:rsidRPr="00F43C57">
        <w:rPr>
          <w:rFonts w:cs="Arial"/>
          <w:iCs/>
          <w:szCs w:val="22"/>
          <w:u w:val="single"/>
        </w:rPr>
        <w:t>Equality Act 2010</w:t>
      </w:r>
      <w:bookmarkEnd w:id="62"/>
      <w:bookmarkEnd w:id="63"/>
      <w:bookmarkEnd w:id="64"/>
      <w:r w:rsidR="0040275A" w:rsidRPr="00F43C57">
        <w:rPr>
          <w:rFonts w:cs="Arial"/>
          <w:iCs/>
          <w:szCs w:val="22"/>
          <w:u w:val="single"/>
        </w:rPr>
        <w:t>:</w:t>
      </w:r>
    </w:p>
    <w:p w14:paraId="3DD59017"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Equality Act ensures that healthcare services do not discriminate against individuals based on characteristics such as age, gender, disability, or ethnicity.</w:t>
      </w:r>
    </w:p>
    <w:p w14:paraId="45059AC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Together, these policies provide a legal framework that supports PCC and partnership working in UK healthcare.</w:t>
      </w:r>
    </w:p>
    <w:p w14:paraId="030F5E4C" w14:textId="0C0E5D73" w:rsidR="008A3671" w:rsidRPr="00F43C57" w:rsidRDefault="008A3671" w:rsidP="00F43C57">
      <w:pPr>
        <w:pStyle w:val="Heading1"/>
        <w:spacing w:line="360" w:lineRule="auto"/>
        <w:rPr>
          <w:rFonts w:cs="Arial"/>
          <w:szCs w:val="22"/>
          <w:u w:val="single"/>
        </w:rPr>
      </w:pPr>
      <w:bookmarkStart w:id="65" w:name="_Toc224424008"/>
      <w:bookmarkStart w:id="66" w:name="_Toc224442491"/>
      <w:bookmarkStart w:id="67" w:name="_Toc225531656"/>
      <w:r w:rsidRPr="00F43C57">
        <w:rPr>
          <w:rFonts w:cs="Arial"/>
          <w:szCs w:val="22"/>
          <w:u w:val="single"/>
        </w:rPr>
        <w:t>Recommendations for Future Development</w:t>
      </w:r>
      <w:bookmarkEnd w:id="65"/>
      <w:bookmarkEnd w:id="66"/>
      <w:bookmarkEnd w:id="67"/>
      <w:r w:rsidR="0040275A" w:rsidRPr="00F43C57">
        <w:rPr>
          <w:rFonts w:cs="Arial"/>
          <w:szCs w:val="22"/>
          <w:u w:val="single"/>
        </w:rPr>
        <w:t>:</w:t>
      </w:r>
    </w:p>
    <w:p w14:paraId="7FA13E35"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Although PCC and partnership working are well-established principles, several improvements are needed.</w:t>
      </w:r>
    </w:p>
    <w:p w14:paraId="67DC64B9" w14:textId="1E23B75B" w:rsidR="008A3671" w:rsidRPr="00F43C57" w:rsidRDefault="008A3671" w:rsidP="00F43C57">
      <w:pPr>
        <w:pStyle w:val="Heading2"/>
        <w:spacing w:line="360" w:lineRule="auto"/>
        <w:rPr>
          <w:rFonts w:cs="Arial"/>
          <w:szCs w:val="22"/>
        </w:rPr>
      </w:pPr>
      <w:bookmarkStart w:id="68" w:name="_Toc224424009"/>
      <w:bookmarkStart w:id="69" w:name="_Toc224442492"/>
      <w:bookmarkStart w:id="70" w:name="_Toc225531657"/>
      <w:r w:rsidRPr="00F43C57">
        <w:rPr>
          <w:rFonts w:cs="Arial"/>
          <w:szCs w:val="22"/>
        </w:rPr>
        <w:t xml:space="preserve">1. </w:t>
      </w:r>
      <w:r w:rsidRPr="00F43C57">
        <w:rPr>
          <w:rFonts w:cs="Arial"/>
          <w:szCs w:val="22"/>
          <w:u w:val="single"/>
        </w:rPr>
        <w:t>Increased Use of Digital Technology</w:t>
      </w:r>
      <w:bookmarkEnd w:id="68"/>
      <w:bookmarkEnd w:id="69"/>
      <w:bookmarkEnd w:id="70"/>
      <w:r w:rsidR="0040275A" w:rsidRPr="00F43C57">
        <w:rPr>
          <w:rFonts w:cs="Arial"/>
          <w:szCs w:val="22"/>
          <w:u w:val="single"/>
        </w:rPr>
        <w:t>:</w:t>
      </w:r>
    </w:p>
    <w:p w14:paraId="0D110C83"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 xml:space="preserve">Electronic health records and digital communication tools can improve information sharing between professionals and enhance coordinated </w:t>
      </w:r>
      <w:r w:rsidR="00587F54" w:rsidRPr="00F43C57">
        <w:rPr>
          <w:rFonts w:ascii="Arial" w:eastAsia="Times New Roman" w:hAnsi="Arial" w:cs="Arial"/>
        </w:rPr>
        <w:t>care</w:t>
      </w:r>
      <w:r w:rsidR="00FE5DCD" w:rsidRPr="00F43C57">
        <w:rPr>
          <w:rFonts w:ascii="Arial" w:eastAsia="Times New Roman" w:hAnsi="Arial" w:cs="Arial"/>
        </w:rPr>
        <w:t xml:space="preserve"> </w:t>
      </w:r>
      <w:r w:rsidR="00587F54" w:rsidRPr="00F43C57">
        <w:rPr>
          <w:rFonts w:ascii="Arial" w:eastAsia="Times New Roman" w:hAnsi="Arial" w:cs="Arial"/>
          <w:noProof/>
        </w:rPr>
        <w:t>(Coulter, 2011).</w:t>
      </w:r>
    </w:p>
    <w:p w14:paraId="6219C85E"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However, challenges such as data security and staff training must be addressed.</w:t>
      </w:r>
    </w:p>
    <w:p w14:paraId="1228A2A1" w14:textId="5B3DE8D6" w:rsidR="008A3671" w:rsidRPr="00F43C57" w:rsidRDefault="008A3671" w:rsidP="00F43C57">
      <w:pPr>
        <w:pStyle w:val="Heading2"/>
        <w:spacing w:line="360" w:lineRule="auto"/>
        <w:rPr>
          <w:rFonts w:cs="Arial"/>
          <w:szCs w:val="22"/>
          <w:u w:val="single"/>
        </w:rPr>
      </w:pPr>
      <w:bookmarkStart w:id="71" w:name="_Toc224424010"/>
      <w:bookmarkStart w:id="72" w:name="_Toc224442493"/>
      <w:bookmarkStart w:id="73" w:name="_Toc225531658"/>
      <w:r w:rsidRPr="00F43C57">
        <w:rPr>
          <w:rFonts w:cs="Arial"/>
          <w:szCs w:val="22"/>
        </w:rPr>
        <w:t xml:space="preserve">2. </w:t>
      </w:r>
      <w:r w:rsidRPr="00F43C57">
        <w:rPr>
          <w:rFonts w:cs="Arial"/>
          <w:szCs w:val="22"/>
          <w:u w:val="single"/>
        </w:rPr>
        <w:t>Enhanced Professional Training</w:t>
      </w:r>
      <w:bookmarkEnd w:id="71"/>
      <w:bookmarkEnd w:id="72"/>
      <w:bookmarkEnd w:id="73"/>
      <w:r w:rsidR="0040275A" w:rsidRPr="00F43C57">
        <w:rPr>
          <w:rFonts w:cs="Arial"/>
          <w:szCs w:val="22"/>
          <w:u w:val="single"/>
        </w:rPr>
        <w:t>:</w:t>
      </w:r>
    </w:p>
    <w:p w14:paraId="3BF3C438"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Healthcare professionals should receive regular training on 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collaborative practice to improve communication and teamwork.</w:t>
      </w:r>
    </w:p>
    <w:p w14:paraId="11BB67FF" w14:textId="711A3E38" w:rsidR="008A3671" w:rsidRPr="00F43C57" w:rsidRDefault="008A3671" w:rsidP="00F43C57">
      <w:pPr>
        <w:pStyle w:val="Heading2"/>
        <w:spacing w:line="360" w:lineRule="auto"/>
        <w:rPr>
          <w:rFonts w:cs="Arial"/>
          <w:szCs w:val="22"/>
        </w:rPr>
      </w:pPr>
      <w:bookmarkStart w:id="74" w:name="_Toc224424011"/>
      <w:bookmarkStart w:id="75" w:name="_Toc224442494"/>
      <w:bookmarkStart w:id="76" w:name="_Toc225531659"/>
      <w:r w:rsidRPr="00F43C57">
        <w:rPr>
          <w:rFonts w:cs="Arial"/>
          <w:szCs w:val="22"/>
        </w:rPr>
        <w:t xml:space="preserve">3. </w:t>
      </w:r>
      <w:r w:rsidRPr="00F43C57">
        <w:rPr>
          <w:rFonts w:cs="Arial"/>
          <w:szCs w:val="22"/>
          <w:u w:val="single"/>
        </w:rPr>
        <w:t>Strengthening Integrated Care Systems</w:t>
      </w:r>
      <w:bookmarkEnd w:id="74"/>
      <w:bookmarkEnd w:id="75"/>
      <w:bookmarkEnd w:id="76"/>
      <w:r w:rsidR="0040275A" w:rsidRPr="00F43C57">
        <w:rPr>
          <w:rFonts w:cs="Arial"/>
          <w:szCs w:val="22"/>
          <w:u w:val="single"/>
        </w:rPr>
        <w:t>:</w:t>
      </w:r>
    </w:p>
    <w:p w14:paraId="5D915855" w14:textId="77777777" w:rsidR="008A3671" w:rsidRPr="00F43C57" w:rsidRDefault="0084073D"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lastRenderedPageBreak/>
        <w:t>I</w:t>
      </w:r>
      <w:r w:rsidR="008A3671" w:rsidRPr="00F43C57">
        <w:rPr>
          <w:rFonts w:ascii="Arial" w:eastAsia="Times New Roman" w:hAnsi="Arial" w:cs="Arial"/>
        </w:rPr>
        <w:t xml:space="preserve">ntegrated Care Systems should continue to develop partnerships between NHS </w:t>
      </w:r>
      <w:r w:rsidR="00587F54" w:rsidRPr="00F43C57">
        <w:rPr>
          <w:rFonts w:ascii="Arial" w:eastAsia="Times New Roman" w:hAnsi="Arial" w:cs="Arial"/>
        </w:rPr>
        <w:t>organis</w:t>
      </w:r>
      <w:r w:rsidR="00E82CD9" w:rsidRPr="00F43C57">
        <w:rPr>
          <w:rFonts w:ascii="Arial" w:eastAsia="Times New Roman" w:hAnsi="Arial" w:cs="Arial"/>
        </w:rPr>
        <w:t>ations</w:t>
      </w:r>
      <w:r w:rsidR="008A3671" w:rsidRPr="00F43C57">
        <w:rPr>
          <w:rFonts w:ascii="Arial" w:eastAsia="Times New Roman" w:hAnsi="Arial" w:cs="Arial"/>
        </w:rPr>
        <w:t>, local authorities, and community services to improve service coordination.</w:t>
      </w:r>
    </w:p>
    <w:p w14:paraId="2BF6A5A6" w14:textId="77777777" w:rsidR="0012698E" w:rsidRPr="00F43C57" w:rsidRDefault="0012698E" w:rsidP="00F43C57">
      <w:pPr>
        <w:spacing w:before="100" w:beforeAutospacing="1" w:after="100" w:afterAutospacing="1" w:line="360" w:lineRule="auto"/>
        <w:jc w:val="both"/>
        <w:rPr>
          <w:rFonts w:ascii="Arial" w:eastAsia="Times New Roman" w:hAnsi="Arial" w:cs="Arial"/>
        </w:rPr>
      </w:pPr>
    </w:p>
    <w:p w14:paraId="303D92F1" w14:textId="77777777" w:rsidR="0012698E" w:rsidRPr="00F43C57" w:rsidRDefault="0012698E" w:rsidP="00F43C57">
      <w:pPr>
        <w:spacing w:before="100" w:beforeAutospacing="1" w:after="100" w:afterAutospacing="1" w:line="360" w:lineRule="auto"/>
        <w:jc w:val="both"/>
        <w:rPr>
          <w:rFonts w:ascii="Arial" w:eastAsia="Times New Roman" w:hAnsi="Arial" w:cs="Arial"/>
        </w:rPr>
      </w:pPr>
    </w:p>
    <w:p w14:paraId="453B05E3" w14:textId="16D1DA70" w:rsidR="008A3671" w:rsidRPr="00F43C57" w:rsidRDefault="008A3671" w:rsidP="00F43C57">
      <w:pPr>
        <w:pStyle w:val="Heading2"/>
        <w:spacing w:line="360" w:lineRule="auto"/>
        <w:rPr>
          <w:rFonts w:cs="Arial"/>
          <w:szCs w:val="22"/>
        </w:rPr>
      </w:pPr>
      <w:bookmarkStart w:id="77" w:name="_Toc224424012"/>
      <w:bookmarkStart w:id="78" w:name="_Toc224442495"/>
      <w:bookmarkStart w:id="79" w:name="_Toc225531660"/>
      <w:r w:rsidRPr="00F43C57">
        <w:rPr>
          <w:rFonts w:cs="Arial"/>
          <w:szCs w:val="22"/>
        </w:rPr>
        <w:t xml:space="preserve">4. </w:t>
      </w:r>
      <w:r w:rsidRPr="00F43C57">
        <w:rPr>
          <w:rFonts w:cs="Arial"/>
          <w:szCs w:val="22"/>
          <w:u w:val="single"/>
        </w:rPr>
        <w:t>Increased Patient Involvement</w:t>
      </w:r>
      <w:bookmarkEnd w:id="77"/>
      <w:bookmarkEnd w:id="78"/>
      <w:bookmarkEnd w:id="79"/>
      <w:r w:rsidR="0040275A" w:rsidRPr="00F43C57">
        <w:rPr>
          <w:rFonts w:cs="Arial"/>
          <w:szCs w:val="22"/>
          <w:u w:val="single"/>
        </w:rPr>
        <w:t>:</w:t>
      </w:r>
    </w:p>
    <w:p w14:paraId="045DA33F"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Healthcare services should promote shared decision-making and provide patients with accessible information about treatment options.</w:t>
      </w:r>
    </w:p>
    <w:p w14:paraId="174C49D5" w14:textId="77777777" w:rsidR="008A3671" w:rsidRPr="00F43C57" w:rsidRDefault="008A3671" w:rsidP="00F43C57">
      <w:pPr>
        <w:spacing w:before="100" w:beforeAutospacing="1" w:after="100" w:afterAutospacing="1" w:line="360" w:lineRule="auto"/>
        <w:jc w:val="both"/>
        <w:rPr>
          <w:rFonts w:ascii="Arial" w:eastAsia="Times New Roman" w:hAnsi="Arial" w:cs="Arial"/>
          <w:noProof/>
        </w:rPr>
      </w:pPr>
      <w:r w:rsidRPr="00F43C57">
        <w:rPr>
          <w:rFonts w:ascii="Arial" w:eastAsia="Times New Roman" w:hAnsi="Arial" w:cs="Arial"/>
        </w:rPr>
        <w:t>These recommendations aim to improve healthcare quality and ensure that services remain</w:t>
      </w:r>
      <w:r w:rsidR="00587F54" w:rsidRPr="00F43C57">
        <w:rPr>
          <w:rFonts w:ascii="Arial" w:eastAsia="Times New Roman" w:hAnsi="Arial" w:cs="Arial"/>
        </w:rPr>
        <w:t xml:space="preserve"> responsive to individual needs</w:t>
      </w:r>
      <w:r w:rsidR="00FE5DCD" w:rsidRPr="00F43C57">
        <w:rPr>
          <w:rFonts w:ascii="Arial" w:eastAsia="Times New Roman" w:hAnsi="Arial" w:cs="Arial"/>
        </w:rPr>
        <w:t xml:space="preserve"> </w:t>
      </w:r>
      <w:r w:rsidR="00587F54" w:rsidRPr="00F43C57">
        <w:rPr>
          <w:rFonts w:ascii="Arial" w:eastAsia="Times New Roman" w:hAnsi="Arial" w:cs="Arial"/>
          <w:noProof/>
        </w:rPr>
        <w:t>(Dixon and Roberts, 2013)</w:t>
      </w:r>
      <w:r w:rsidR="0012698E" w:rsidRPr="00F43C57">
        <w:rPr>
          <w:rFonts w:ascii="Arial" w:eastAsia="Times New Roman" w:hAnsi="Arial" w:cs="Arial"/>
          <w:noProof/>
        </w:rPr>
        <w:t>.</w:t>
      </w:r>
    </w:p>
    <w:p w14:paraId="64B92EB8" w14:textId="0BB5CA57" w:rsidR="008A3671" w:rsidRPr="00F43C57" w:rsidRDefault="008A3671" w:rsidP="00F43C57">
      <w:pPr>
        <w:pStyle w:val="Heading1"/>
        <w:spacing w:line="360" w:lineRule="auto"/>
        <w:rPr>
          <w:rFonts w:cs="Arial"/>
          <w:szCs w:val="22"/>
          <w:u w:val="single"/>
        </w:rPr>
      </w:pPr>
      <w:bookmarkStart w:id="80" w:name="_Toc224424013"/>
      <w:bookmarkStart w:id="81" w:name="_Toc224442496"/>
      <w:bookmarkStart w:id="82" w:name="_Toc225531661"/>
      <w:r w:rsidRPr="00F43C57">
        <w:rPr>
          <w:rFonts w:cs="Arial"/>
          <w:szCs w:val="22"/>
          <w:u w:val="single"/>
        </w:rPr>
        <w:t>Conclusion</w:t>
      </w:r>
      <w:bookmarkEnd w:id="80"/>
      <w:bookmarkEnd w:id="81"/>
      <w:bookmarkEnd w:id="82"/>
      <w:r w:rsidR="0040275A" w:rsidRPr="00F43C57">
        <w:rPr>
          <w:rFonts w:cs="Arial"/>
          <w:szCs w:val="22"/>
          <w:u w:val="single"/>
        </w:rPr>
        <w:t>:</w:t>
      </w:r>
    </w:p>
    <w:p w14:paraId="2F42277B"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Person-</w:t>
      </w:r>
      <w:r w:rsidR="00587F54" w:rsidRPr="00F43C57">
        <w:rPr>
          <w:rFonts w:ascii="Arial" w:eastAsia="Times New Roman" w:hAnsi="Arial" w:cs="Arial"/>
        </w:rPr>
        <w:t>cent</w:t>
      </w:r>
      <w:r w:rsidR="00E82CD9" w:rsidRPr="00F43C57">
        <w:rPr>
          <w:rFonts w:ascii="Arial" w:eastAsia="Times New Roman" w:hAnsi="Arial" w:cs="Arial"/>
        </w:rPr>
        <w:t>red</w:t>
      </w:r>
      <w:r w:rsidRPr="00F43C57">
        <w:rPr>
          <w:rFonts w:ascii="Arial" w:eastAsia="Times New Roman" w:hAnsi="Arial" w:cs="Arial"/>
        </w:rPr>
        <w:t xml:space="preserve"> care and partnership working are essential components of effective health and social care practice in the UK. PCC ensures that individuals receive care that respects their needs, preferences, and values, while partnership working enables professionals and </w:t>
      </w:r>
      <w:r w:rsidR="00587F54" w:rsidRPr="00F43C57">
        <w:rPr>
          <w:rFonts w:ascii="Arial" w:eastAsia="Times New Roman" w:hAnsi="Arial" w:cs="Arial"/>
        </w:rPr>
        <w:t>organis</w:t>
      </w:r>
      <w:r w:rsidR="00E82CD9" w:rsidRPr="00F43C57">
        <w:rPr>
          <w:rFonts w:ascii="Arial" w:eastAsia="Times New Roman" w:hAnsi="Arial" w:cs="Arial"/>
        </w:rPr>
        <w:t>ations</w:t>
      </w:r>
      <w:r w:rsidRPr="00F43C57">
        <w:rPr>
          <w:rFonts w:ascii="Arial" w:eastAsia="Times New Roman" w:hAnsi="Arial" w:cs="Arial"/>
        </w:rPr>
        <w:t xml:space="preserve"> to collaborate in delivering integrated services.</w:t>
      </w:r>
    </w:p>
    <w:p w14:paraId="17F15CF9"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The report demonstrated that theories such as Maslow’s hierarchy of needs, the social model of health, and ecological systems theory provide important frameworks supporting PCC. Ethical principles</w:t>
      </w:r>
      <w:r w:rsidR="00587F54" w:rsidRPr="00F43C57">
        <w:rPr>
          <w:rFonts w:ascii="Arial" w:eastAsia="Times New Roman" w:hAnsi="Arial" w:cs="Arial"/>
        </w:rPr>
        <w:t>,</w:t>
      </w:r>
      <w:r w:rsidRPr="00F43C57">
        <w:rPr>
          <w:rFonts w:ascii="Arial" w:eastAsia="Times New Roman" w:hAnsi="Arial" w:cs="Arial"/>
        </w:rPr>
        <w:t xml:space="preserve"> including autonomy, beneficence, non-maleficence, and justice</w:t>
      </w:r>
      <w:r w:rsidR="00587F54" w:rsidRPr="00F43C57">
        <w:rPr>
          <w:rFonts w:ascii="Arial" w:eastAsia="Times New Roman" w:hAnsi="Arial" w:cs="Arial"/>
        </w:rPr>
        <w:t>,</w:t>
      </w:r>
      <w:r w:rsidRPr="00F43C57">
        <w:rPr>
          <w:rFonts w:ascii="Arial" w:eastAsia="Times New Roman" w:hAnsi="Arial" w:cs="Arial"/>
        </w:rPr>
        <w:t xml:space="preserve"> guide professional practice and ensure that care is deli</w:t>
      </w:r>
      <w:r w:rsidR="00587F54" w:rsidRPr="00F43C57">
        <w:rPr>
          <w:rFonts w:ascii="Arial" w:eastAsia="Times New Roman" w:hAnsi="Arial" w:cs="Arial"/>
        </w:rPr>
        <w:t>vered responsibly</w:t>
      </w:r>
      <w:r w:rsidR="00FE5DCD" w:rsidRPr="00F43C57">
        <w:rPr>
          <w:rFonts w:ascii="Arial" w:eastAsia="Times New Roman" w:hAnsi="Arial" w:cs="Arial"/>
        </w:rPr>
        <w:t xml:space="preserve"> </w:t>
      </w:r>
      <w:r w:rsidR="00587F54" w:rsidRPr="00F43C57">
        <w:rPr>
          <w:rFonts w:ascii="Arial" w:eastAsia="Times New Roman" w:hAnsi="Arial" w:cs="Arial"/>
          <w:noProof/>
        </w:rPr>
        <w:t>(</w:t>
      </w:r>
      <w:r w:rsidR="00B10010" w:rsidRPr="00F43C57">
        <w:rPr>
          <w:rFonts w:ascii="Arial" w:eastAsia="Times New Roman" w:hAnsi="Arial" w:cs="Arial"/>
          <w:noProof/>
        </w:rPr>
        <w:t>NHS England, 2026</w:t>
      </w:r>
      <w:r w:rsidR="00587F54" w:rsidRPr="00F43C57">
        <w:rPr>
          <w:rFonts w:ascii="Arial" w:eastAsia="Times New Roman" w:hAnsi="Arial" w:cs="Arial"/>
          <w:noProof/>
        </w:rPr>
        <w:t>).</w:t>
      </w:r>
    </w:p>
    <w:p w14:paraId="21887448" w14:textId="77777777" w:rsidR="008A3671"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UK policies</w:t>
      </w:r>
      <w:r w:rsidR="0012698E" w:rsidRPr="00F43C57">
        <w:rPr>
          <w:rFonts w:ascii="Arial" w:eastAsia="Times New Roman" w:hAnsi="Arial" w:cs="Arial"/>
        </w:rPr>
        <w:t>, such as the Care Act 2014 and the Health and Care Act 2022,</w:t>
      </w:r>
      <w:r w:rsidRPr="00F43C57">
        <w:rPr>
          <w:rFonts w:ascii="Arial" w:eastAsia="Times New Roman" w:hAnsi="Arial" w:cs="Arial"/>
        </w:rPr>
        <w:t xml:space="preserve"> reinforce the importance of PCC and partnership working within healthcare systems. However, challenges such as resource limitations and communication barriers remain.</w:t>
      </w:r>
    </w:p>
    <w:p w14:paraId="0AE1AE00" w14:textId="77777777" w:rsidR="00E82CD9" w:rsidRPr="00F43C57" w:rsidRDefault="008A3671" w:rsidP="00F43C57">
      <w:pPr>
        <w:spacing w:before="100" w:beforeAutospacing="1" w:after="100" w:afterAutospacing="1" w:line="360" w:lineRule="auto"/>
        <w:jc w:val="both"/>
        <w:rPr>
          <w:rFonts w:ascii="Arial" w:eastAsia="Times New Roman" w:hAnsi="Arial" w:cs="Arial"/>
        </w:rPr>
      </w:pPr>
      <w:r w:rsidRPr="00F43C57">
        <w:rPr>
          <w:rFonts w:ascii="Arial" w:eastAsia="Times New Roman" w:hAnsi="Arial" w:cs="Arial"/>
        </w:rPr>
        <w:t>Future improvements should focus on strengthening digital systems, professional training, and integrated care partnerships to enhance collaboration and patient-</w:t>
      </w:r>
      <w:r w:rsidR="00587F54" w:rsidRPr="00F43C57">
        <w:rPr>
          <w:rFonts w:ascii="Arial" w:eastAsia="Times New Roman" w:hAnsi="Arial" w:cs="Arial"/>
        </w:rPr>
        <w:t>cent</w:t>
      </w:r>
      <w:r w:rsidR="00E82CD9" w:rsidRPr="00F43C57">
        <w:rPr>
          <w:rFonts w:ascii="Arial" w:eastAsia="Times New Roman" w:hAnsi="Arial" w:cs="Arial"/>
        </w:rPr>
        <w:t>red</w:t>
      </w:r>
      <w:r w:rsidR="00587F54" w:rsidRPr="00F43C57">
        <w:rPr>
          <w:rFonts w:ascii="Arial" w:eastAsia="Times New Roman" w:hAnsi="Arial" w:cs="Arial"/>
        </w:rPr>
        <w:t xml:space="preserve"> services</w:t>
      </w:r>
      <w:r w:rsidR="00FE5DCD" w:rsidRPr="00F43C57">
        <w:rPr>
          <w:rFonts w:ascii="Arial" w:eastAsia="Times New Roman" w:hAnsi="Arial" w:cs="Arial"/>
        </w:rPr>
        <w:t xml:space="preserve"> </w:t>
      </w:r>
      <w:r w:rsidR="00587F54" w:rsidRPr="00F43C57">
        <w:rPr>
          <w:rFonts w:ascii="Arial" w:eastAsia="Times New Roman" w:hAnsi="Arial" w:cs="Arial"/>
          <w:noProof/>
        </w:rPr>
        <w:t>(Foundation, 2014).</w:t>
      </w:r>
    </w:p>
    <w:p w14:paraId="0EDCE030" w14:textId="77777777" w:rsidR="0012698E" w:rsidRPr="00F43C57" w:rsidRDefault="00E82CD9" w:rsidP="00F43C57">
      <w:pPr>
        <w:pStyle w:val="Heading1"/>
        <w:spacing w:line="360" w:lineRule="auto"/>
        <w:rPr>
          <w:rFonts w:cs="Arial"/>
          <w:szCs w:val="22"/>
        </w:rPr>
      </w:pPr>
      <w:r w:rsidRPr="00F43C57">
        <w:rPr>
          <w:rFonts w:cs="Arial"/>
          <w:szCs w:val="22"/>
        </w:rPr>
        <w:br w:type="page"/>
      </w:r>
      <w:bookmarkStart w:id="83" w:name="_Toc224424014"/>
      <w:bookmarkStart w:id="84" w:name="_Toc224442497"/>
    </w:p>
    <w:bookmarkStart w:id="85" w:name="_Toc225531662" w:displacedByCustomXml="next"/>
    <w:sdt>
      <w:sdtPr>
        <w:rPr>
          <w:rFonts w:eastAsiaTheme="minorHAnsi" w:cs="Arial"/>
          <w:b w:val="0"/>
          <w:bCs w:val="0"/>
          <w:color w:val="auto"/>
          <w:kern w:val="0"/>
          <w:szCs w:val="22"/>
        </w:rPr>
        <w:id w:val="1153411375"/>
        <w:docPartObj>
          <w:docPartGallery w:val="Bibliographies"/>
          <w:docPartUnique/>
        </w:docPartObj>
      </w:sdtPr>
      <w:sdtEndPr>
        <w:rPr>
          <w:noProof/>
        </w:rPr>
      </w:sdtEndPr>
      <w:sdtContent>
        <w:p w14:paraId="4A914F07" w14:textId="5820224D" w:rsidR="0012698E" w:rsidRPr="00BC45C5" w:rsidRDefault="0012698E" w:rsidP="00BC45C5">
          <w:pPr>
            <w:pStyle w:val="Heading1"/>
            <w:spacing w:line="360" w:lineRule="auto"/>
            <w:rPr>
              <w:rFonts w:cs="Arial"/>
              <w:szCs w:val="22"/>
              <w:u w:val="single"/>
            </w:rPr>
          </w:pPr>
          <w:r w:rsidRPr="00BC45C5">
            <w:rPr>
              <w:rFonts w:cs="Arial"/>
              <w:szCs w:val="22"/>
              <w:u w:val="single"/>
            </w:rPr>
            <w:t>References</w:t>
          </w:r>
          <w:bookmarkEnd w:id="83"/>
          <w:bookmarkEnd w:id="84"/>
          <w:bookmarkEnd w:id="85"/>
          <w:r w:rsidR="0040275A" w:rsidRPr="00BC45C5">
            <w:rPr>
              <w:rFonts w:cs="Arial"/>
              <w:szCs w:val="22"/>
              <w:u w:val="single"/>
            </w:rPr>
            <w:t>:</w:t>
          </w:r>
        </w:p>
        <w:p w14:paraId="2EC0ECEB" w14:textId="2C877093" w:rsidR="00DF31E7" w:rsidRPr="00BC45C5" w:rsidRDefault="00DF31E7" w:rsidP="00BC45C5">
          <w:pPr>
            <w:pStyle w:val="Bibliography"/>
            <w:spacing w:line="360" w:lineRule="auto"/>
            <w:rPr>
              <w:rFonts w:ascii="Arial" w:hAnsi="Arial" w:cs="Arial"/>
              <w:noProof/>
            </w:rPr>
          </w:pPr>
          <w:r w:rsidRPr="00BC45C5">
            <w:rPr>
              <w:rFonts w:ascii="Arial" w:hAnsi="Arial" w:cs="Arial"/>
              <w:i/>
              <w:noProof/>
            </w:rPr>
            <w:t>Care Act 2014. C.23.</w:t>
          </w:r>
          <w:r w:rsidRPr="00BC45C5">
            <w:rPr>
              <w:rFonts w:ascii="Arial" w:hAnsi="Arial" w:cs="Arial"/>
              <w:noProof/>
            </w:rPr>
            <w:t xml:space="preserve"> [Online] Available from: </w:t>
          </w:r>
          <w:hyperlink r:id="rId8" w:history="1">
            <w:r w:rsidRPr="00BC45C5">
              <w:rPr>
                <w:rStyle w:val="Hyperlink"/>
                <w:rFonts w:ascii="Arial" w:hAnsi="Arial" w:cs="Arial"/>
              </w:rPr>
              <w:t>Care Act 2014</w:t>
            </w:r>
          </w:hyperlink>
          <w:r w:rsidRPr="00BC45C5">
            <w:rPr>
              <w:rFonts w:ascii="Arial" w:hAnsi="Arial" w:cs="Arial"/>
            </w:rPr>
            <w:t xml:space="preserve"> </w:t>
          </w:r>
          <w:r w:rsidRPr="00BC45C5">
            <w:rPr>
              <w:rFonts w:ascii="Arial" w:hAnsi="Arial" w:cs="Arial"/>
              <w:noProof/>
            </w:rPr>
            <w:t>(Accessed: 11.03.2026).</w:t>
          </w:r>
        </w:p>
        <w:p w14:paraId="42066E0D" w14:textId="42E75A41" w:rsidR="0031699B" w:rsidRPr="00BC45C5" w:rsidRDefault="0031699B" w:rsidP="00BC45C5">
          <w:pPr>
            <w:pStyle w:val="Bibliography"/>
            <w:spacing w:line="360" w:lineRule="auto"/>
            <w:rPr>
              <w:rFonts w:ascii="Arial" w:hAnsi="Arial" w:cs="Arial"/>
              <w:noProof/>
            </w:rPr>
          </w:pPr>
          <w:r w:rsidRPr="00BC45C5">
            <w:rPr>
              <w:rFonts w:ascii="Arial" w:hAnsi="Arial" w:cs="Arial"/>
              <w:noProof/>
            </w:rPr>
            <w:t xml:space="preserve">Coulter, A. (2011) </w:t>
          </w:r>
          <w:r w:rsidRPr="00BC45C5">
            <w:rPr>
              <w:rFonts w:ascii="Arial" w:hAnsi="Arial" w:cs="Arial"/>
              <w:i/>
              <w:iCs/>
              <w:noProof/>
            </w:rPr>
            <w:t xml:space="preserve">Engaging Patients in Healthcare. </w:t>
          </w:r>
          <w:r w:rsidRPr="00BC45C5">
            <w:rPr>
              <w:rFonts w:ascii="Arial" w:hAnsi="Arial" w:cs="Arial"/>
              <w:noProof/>
            </w:rPr>
            <w:t>1</w:t>
          </w:r>
          <w:r w:rsidRPr="00BC45C5">
            <w:rPr>
              <w:rFonts w:ascii="Arial" w:hAnsi="Arial" w:cs="Arial"/>
              <w:noProof/>
              <w:vertAlign w:val="superscript"/>
            </w:rPr>
            <w:t>st</w:t>
          </w:r>
          <w:r w:rsidRPr="00BC45C5">
            <w:rPr>
              <w:rFonts w:ascii="Arial" w:hAnsi="Arial" w:cs="Arial"/>
              <w:noProof/>
            </w:rPr>
            <w:t xml:space="preserve"> edn. England: McGraw-Hill.</w:t>
          </w:r>
        </w:p>
        <w:p w14:paraId="1727E30A" w14:textId="6A74F729" w:rsidR="00DF31E7" w:rsidRPr="00BC45C5" w:rsidRDefault="0031699B" w:rsidP="00BC45C5">
          <w:pPr>
            <w:pStyle w:val="Bibliography"/>
            <w:spacing w:line="360" w:lineRule="auto"/>
            <w:rPr>
              <w:rFonts w:ascii="Arial" w:hAnsi="Arial" w:cs="Arial"/>
              <w:noProof/>
            </w:rPr>
          </w:pPr>
          <w:r w:rsidRPr="00BC45C5">
            <w:rPr>
              <w:rFonts w:ascii="Arial" w:hAnsi="Arial" w:cs="Arial"/>
              <w:noProof/>
            </w:rPr>
            <w:t xml:space="preserve">Dixon, A. and Roberts, S. (2013) </w:t>
          </w:r>
          <w:r w:rsidRPr="00BC45C5">
            <w:rPr>
              <w:rFonts w:ascii="Arial" w:hAnsi="Arial" w:cs="Arial"/>
              <w:i/>
              <w:iCs/>
              <w:noProof/>
            </w:rPr>
            <w:t xml:space="preserve">Delivering better services for people with long-term conditions. </w:t>
          </w:r>
          <w:r w:rsidRPr="00BC45C5">
            <w:rPr>
              <w:rFonts w:ascii="Arial" w:hAnsi="Arial" w:cs="Arial"/>
              <w:noProof/>
            </w:rPr>
            <w:t xml:space="preserve">The King's Fund.  [Online] Available from:  </w:t>
          </w:r>
          <w:hyperlink r:id="rId9" w:history="1">
            <w:r w:rsidRPr="00BC45C5">
              <w:rPr>
                <w:rStyle w:val="Hyperlink"/>
                <w:rFonts w:ascii="Arial" w:hAnsi="Arial" w:cs="Arial"/>
                <w:noProof/>
              </w:rPr>
              <w:t>https://www.kingsfund.org.uk/insight-and-analysis/reports/better-services-people-long-term-conditions</w:t>
            </w:r>
          </w:hyperlink>
          <w:r w:rsidRPr="00BC45C5">
            <w:rPr>
              <w:rFonts w:ascii="Arial" w:hAnsi="Arial" w:cs="Arial"/>
              <w:noProof/>
            </w:rPr>
            <w:t xml:space="preserve"> (Accessed: 09.03.2026).</w:t>
          </w:r>
        </w:p>
        <w:p w14:paraId="33D1F71B" w14:textId="77777777" w:rsidR="00DF31E7" w:rsidRPr="00BC45C5" w:rsidRDefault="00DF31E7" w:rsidP="00BC45C5">
          <w:pPr>
            <w:pStyle w:val="Bibliography"/>
            <w:spacing w:line="360" w:lineRule="auto"/>
            <w:rPr>
              <w:rFonts w:ascii="Arial" w:hAnsi="Arial" w:cs="Arial"/>
              <w:noProof/>
              <w:u w:val="single"/>
            </w:rPr>
          </w:pPr>
          <w:r w:rsidRPr="00BC45C5">
            <w:rPr>
              <w:rFonts w:ascii="Arial" w:hAnsi="Arial" w:cs="Arial"/>
              <w:i/>
              <w:noProof/>
            </w:rPr>
            <w:t xml:space="preserve">Equality Act. 2010. C.15. </w:t>
          </w:r>
          <w:r w:rsidRPr="00BC45C5">
            <w:rPr>
              <w:rFonts w:ascii="Arial" w:hAnsi="Arial" w:cs="Arial"/>
              <w:iCs/>
              <w:noProof/>
            </w:rPr>
            <w:t>[Online]</w:t>
          </w:r>
          <w:r w:rsidRPr="00BC45C5">
            <w:rPr>
              <w:rFonts w:ascii="Arial" w:hAnsi="Arial" w:cs="Arial"/>
              <w:noProof/>
            </w:rPr>
            <w:t xml:space="preserve"> Available from:</w:t>
          </w:r>
          <w:r w:rsidRPr="00BC45C5">
            <w:rPr>
              <w:rFonts w:ascii="Arial" w:hAnsi="Arial" w:cs="Arial"/>
            </w:rPr>
            <w:t xml:space="preserve"> </w:t>
          </w:r>
          <w:hyperlink r:id="rId10" w:history="1">
            <w:r w:rsidRPr="00BC45C5">
              <w:rPr>
                <w:rStyle w:val="Hyperlink"/>
                <w:rFonts w:ascii="Arial" w:hAnsi="Arial" w:cs="Arial"/>
                <w:noProof/>
              </w:rPr>
              <w:t>Equality Act 2010</w:t>
            </w:r>
          </w:hyperlink>
          <w:r w:rsidRPr="00BC45C5">
            <w:rPr>
              <w:rFonts w:ascii="Arial" w:hAnsi="Arial" w:cs="Arial"/>
              <w:noProof/>
            </w:rPr>
            <w:t xml:space="preserve"> (Accessed: 13.03.2026).</w:t>
          </w:r>
          <w:r w:rsidRPr="00BC45C5">
            <w:rPr>
              <w:rFonts w:ascii="Arial" w:hAnsi="Arial" w:cs="Arial"/>
              <w:noProof/>
              <w:u w:val="single"/>
            </w:rPr>
            <w:t xml:space="preserve"> </w:t>
          </w:r>
        </w:p>
        <w:p w14:paraId="0889B06B" w14:textId="77777777" w:rsidR="00DF31E7" w:rsidRPr="00BC45C5" w:rsidRDefault="00DF31E7" w:rsidP="00BC45C5">
          <w:pPr>
            <w:pStyle w:val="Bibliography"/>
            <w:spacing w:line="360" w:lineRule="auto"/>
            <w:rPr>
              <w:rFonts w:ascii="Arial" w:hAnsi="Arial" w:cs="Arial"/>
              <w:noProof/>
            </w:rPr>
          </w:pPr>
          <w:r w:rsidRPr="00BC45C5">
            <w:rPr>
              <w:rFonts w:ascii="Arial" w:hAnsi="Arial" w:cs="Arial"/>
              <w:noProof/>
            </w:rPr>
            <w:t xml:space="preserve">Glasby, J., 2017. </w:t>
          </w:r>
          <w:r w:rsidRPr="00BC45C5">
            <w:rPr>
              <w:rFonts w:ascii="Arial" w:hAnsi="Arial" w:cs="Arial"/>
              <w:i/>
              <w:iCs/>
              <w:noProof/>
            </w:rPr>
            <w:t xml:space="preserve">Understanding Health and Social Care. </w:t>
          </w:r>
          <w:r w:rsidRPr="00BC45C5">
            <w:rPr>
              <w:rFonts w:ascii="Arial" w:hAnsi="Arial" w:cs="Arial"/>
              <w:noProof/>
            </w:rPr>
            <w:t xml:space="preserve">[Online] </w:t>
          </w:r>
          <w:r w:rsidRPr="00BC45C5">
            <w:rPr>
              <w:rFonts w:ascii="Arial" w:hAnsi="Arial" w:cs="Arial"/>
              <w:noProof/>
            </w:rPr>
            <w:br/>
            <w:t xml:space="preserve">Available from: </w:t>
          </w:r>
          <w:hyperlink r:id="rId11" w:history="1">
            <w:r w:rsidRPr="00BC45C5">
              <w:rPr>
                <w:rStyle w:val="Hyperlink"/>
                <w:rFonts w:ascii="Arial" w:hAnsi="Arial" w:cs="Arial"/>
                <w:noProof/>
                <w:u w:val="none"/>
              </w:rPr>
              <w:t>https://cmls.org.uk/online/wp-content/uploads/2019/07/Understanding-health-and-social-care.pdf</w:t>
            </w:r>
          </w:hyperlink>
          <w:r w:rsidRPr="00BC45C5">
            <w:rPr>
              <w:rFonts w:ascii="Arial" w:hAnsi="Arial" w:cs="Arial"/>
              <w:noProof/>
              <w:u w:val="single"/>
            </w:rPr>
            <w:t xml:space="preserve"> </w:t>
          </w:r>
          <w:r w:rsidRPr="00BC45C5">
            <w:rPr>
              <w:rFonts w:ascii="Arial" w:hAnsi="Arial" w:cs="Arial"/>
              <w:noProof/>
            </w:rPr>
            <w:t xml:space="preserve">(Accessed: 13.03.2026). </w:t>
          </w:r>
        </w:p>
        <w:p w14:paraId="25419CC4" w14:textId="77777777" w:rsidR="00DF31E7" w:rsidRPr="00BC45C5" w:rsidRDefault="00DF31E7" w:rsidP="00BC45C5">
          <w:pPr>
            <w:pStyle w:val="Bibliography"/>
            <w:spacing w:line="360" w:lineRule="auto"/>
            <w:rPr>
              <w:rFonts w:ascii="Arial" w:hAnsi="Arial" w:cs="Arial"/>
              <w:noProof/>
            </w:rPr>
          </w:pPr>
          <w:r w:rsidRPr="00BC45C5">
            <w:rPr>
              <w:rFonts w:ascii="Arial" w:hAnsi="Arial" w:cs="Arial"/>
              <w:noProof/>
            </w:rPr>
            <w:t xml:space="preserve">Glasby, J. (2017) </w:t>
          </w:r>
          <w:r w:rsidRPr="00BC45C5">
            <w:rPr>
              <w:rFonts w:ascii="Arial" w:hAnsi="Arial" w:cs="Arial"/>
              <w:i/>
              <w:iCs/>
              <w:noProof/>
            </w:rPr>
            <w:t xml:space="preserve">Understanding Health and Social Care. </w:t>
          </w:r>
          <w:r w:rsidRPr="00BC45C5">
            <w:rPr>
              <w:rFonts w:ascii="Arial" w:hAnsi="Arial" w:cs="Arial"/>
              <w:iCs/>
              <w:noProof/>
            </w:rPr>
            <w:t>2</w:t>
          </w:r>
          <w:r w:rsidRPr="00BC45C5">
            <w:rPr>
              <w:rFonts w:ascii="Arial" w:hAnsi="Arial" w:cs="Arial"/>
              <w:iCs/>
              <w:noProof/>
              <w:vertAlign w:val="superscript"/>
            </w:rPr>
            <w:t>nd</w:t>
          </w:r>
          <w:r w:rsidRPr="00BC45C5">
            <w:rPr>
              <w:rFonts w:ascii="Arial" w:hAnsi="Arial" w:cs="Arial"/>
              <w:iCs/>
              <w:noProof/>
            </w:rPr>
            <w:t xml:space="preserve"> </w:t>
          </w:r>
          <w:r w:rsidRPr="00BC45C5">
            <w:rPr>
              <w:rFonts w:ascii="Arial" w:hAnsi="Arial" w:cs="Arial"/>
              <w:noProof/>
            </w:rPr>
            <w:t>ed. Bristol, UK: Policy Press.</w:t>
          </w:r>
        </w:p>
        <w:p w14:paraId="1CFC466E" w14:textId="055D9DA5" w:rsidR="00DF31E7" w:rsidRPr="00BC45C5" w:rsidRDefault="00DF31E7" w:rsidP="00BC45C5">
          <w:pPr>
            <w:pStyle w:val="Bibliography"/>
            <w:spacing w:line="360" w:lineRule="auto"/>
            <w:rPr>
              <w:rFonts w:ascii="Arial" w:hAnsi="Arial" w:cs="Arial"/>
              <w:noProof/>
            </w:rPr>
          </w:pPr>
          <w:r w:rsidRPr="00BC45C5">
            <w:rPr>
              <w:rFonts w:ascii="Arial" w:hAnsi="Arial" w:cs="Arial"/>
              <w:noProof/>
            </w:rPr>
            <w:t xml:space="preserve">Goodwin, N. et al. (2012). </w:t>
          </w:r>
          <w:r w:rsidRPr="00BC45C5">
            <w:rPr>
              <w:rFonts w:ascii="Arial" w:hAnsi="Arial" w:cs="Arial"/>
              <w:i/>
              <w:iCs/>
              <w:noProof/>
            </w:rPr>
            <w:t xml:space="preserve">Integrated Care for Patients and Populations: Improving Outcomes by Working Together. </w:t>
          </w:r>
          <w:r w:rsidRPr="00BC45C5">
            <w:rPr>
              <w:rFonts w:ascii="Arial" w:hAnsi="Arial" w:cs="Arial"/>
              <w:noProof/>
            </w:rPr>
            <w:t xml:space="preserve"> The King’s Fund and the Nuffield Trust. [Online] Available from: </w:t>
          </w:r>
          <w:hyperlink r:id="rId12" w:history="1">
            <w:r w:rsidRPr="00BC45C5">
              <w:rPr>
                <w:rStyle w:val="Hyperlink"/>
                <w:rFonts w:ascii="Arial" w:hAnsi="Arial" w:cs="Arial"/>
                <w:noProof/>
              </w:rPr>
              <w:t>https://www.nuffieldtrust.org.uk/research/integrated-care-for-patients-and-populations-improving-outcomes-by-working-together</w:t>
            </w:r>
          </w:hyperlink>
          <w:r w:rsidRPr="00BC45C5">
            <w:rPr>
              <w:rFonts w:ascii="Arial" w:hAnsi="Arial" w:cs="Arial"/>
              <w:noProof/>
            </w:rPr>
            <w:t xml:space="preserve"> (Accessed: 10.03.2026).</w:t>
          </w:r>
        </w:p>
        <w:p w14:paraId="242DCAF8" w14:textId="77777777" w:rsidR="00DF31E7" w:rsidRPr="00BC45C5" w:rsidRDefault="00DF31E7" w:rsidP="00BC45C5">
          <w:pPr>
            <w:pStyle w:val="Bibliography"/>
            <w:spacing w:line="360" w:lineRule="auto"/>
            <w:rPr>
              <w:rFonts w:ascii="Arial" w:hAnsi="Arial" w:cs="Arial"/>
              <w:noProof/>
              <w:u w:val="single"/>
            </w:rPr>
          </w:pPr>
          <w:r w:rsidRPr="00BC45C5">
            <w:rPr>
              <w:rFonts w:ascii="Arial" w:hAnsi="Arial" w:cs="Arial"/>
              <w:i/>
              <w:noProof/>
            </w:rPr>
            <w:t>Health and Social Care Act. 2012. C3.</w:t>
          </w:r>
          <w:r w:rsidRPr="00BC45C5">
            <w:rPr>
              <w:rFonts w:ascii="Arial" w:hAnsi="Arial" w:cs="Arial"/>
              <w:noProof/>
            </w:rPr>
            <w:t xml:space="preserve"> [Online] Available from:</w:t>
          </w:r>
          <w:r w:rsidRPr="00BC45C5">
            <w:rPr>
              <w:rFonts w:ascii="Arial" w:hAnsi="Arial" w:cs="Arial"/>
              <w:noProof/>
            </w:rPr>
            <w:br/>
          </w:r>
          <w:hyperlink r:id="rId13" w:history="1">
            <w:r w:rsidRPr="00BC45C5">
              <w:rPr>
                <w:rStyle w:val="Hyperlink"/>
                <w:rFonts w:ascii="Arial" w:hAnsi="Arial" w:cs="Arial"/>
                <w:noProof/>
                <w:u w:val="none"/>
              </w:rPr>
              <w:t>https://www.legislation.gov.uk/ukpga/2012/7/contents/enacted</w:t>
            </w:r>
          </w:hyperlink>
          <w:r w:rsidRPr="00BC45C5">
            <w:rPr>
              <w:rFonts w:ascii="Arial" w:hAnsi="Arial" w:cs="Arial"/>
              <w:noProof/>
              <w:u w:val="single"/>
            </w:rPr>
            <w:t xml:space="preserve"> </w:t>
          </w:r>
          <w:r w:rsidRPr="00BC45C5">
            <w:rPr>
              <w:rFonts w:ascii="Arial" w:hAnsi="Arial" w:cs="Arial"/>
              <w:noProof/>
            </w:rPr>
            <w:t>(Accessed: 11.03.2026).</w:t>
          </w:r>
        </w:p>
        <w:p w14:paraId="0BD04126" w14:textId="77777777" w:rsidR="00DF31E7" w:rsidRPr="00BC45C5" w:rsidRDefault="00DF31E7" w:rsidP="00BC45C5">
          <w:pPr>
            <w:pStyle w:val="Bibliography"/>
            <w:spacing w:line="360" w:lineRule="auto"/>
            <w:rPr>
              <w:rFonts w:ascii="Arial" w:hAnsi="Arial" w:cs="Arial"/>
              <w:noProof/>
            </w:rPr>
          </w:pPr>
          <w:r w:rsidRPr="00BC45C5">
            <w:rPr>
              <w:rFonts w:ascii="Arial" w:hAnsi="Arial" w:cs="Arial"/>
              <w:i/>
              <w:noProof/>
            </w:rPr>
            <w:t xml:space="preserve">Health and Care Act. 2022. C.31. </w:t>
          </w:r>
          <w:r w:rsidRPr="00BC45C5">
            <w:rPr>
              <w:rFonts w:ascii="Arial" w:hAnsi="Arial" w:cs="Arial"/>
              <w:iCs/>
              <w:noProof/>
            </w:rPr>
            <w:t>[Online]</w:t>
          </w:r>
          <w:r w:rsidRPr="00BC45C5">
            <w:rPr>
              <w:rFonts w:ascii="Arial" w:hAnsi="Arial" w:cs="Arial"/>
              <w:noProof/>
            </w:rPr>
            <w:t xml:space="preserve"> Available from: </w:t>
          </w:r>
          <w:hyperlink r:id="rId14" w:history="1">
            <w:r w:rsidRPr="00BC45C5">
              <w:rPr>
                <w:rStyle w:val="Hyperlink"/>
                <w:rFonts w:ascii="Arial" w:hAnsi="Arial" w:cs="Arial"/>
              </w:rPr>
              <w:t>Health and Care Act 2022</w:t>
            </w:r>
          </w:hyperlink>
          <w:r w:rsidRPr="00BC45C5">
            <w:rPr>
              <w:rFonts w:ascii="Arial" w:hAnsi="Arial" w:cs="Arial"/>
              <w:noProof/>
            </w:rPr>
            <w:t xml:space="preserve"> (Accessed: 11.03.2026).</w:t>
          </w:r>
          <w:r w:rsidRPr="00BC45C5">
            <w:rPr>
              <w:rFonts w:ascii="Arial" w:hAnsi="Arial" w:cs="Arial"/>
              <w:noProof/>
              <w:u w:val="single"/>
            </w:rPr>
            <w:t xml:space="preserve">  </w:t>
          </w:r>
        </w:p>
        <w:p w14:paraId="4F5FF2FF" w14:textId="77777777" w:rsidR="00DF31E7" w:rsidRPr="00BC45C5" w:rsidRDefault="00DF31E7" w:rsidP="00BC45C5">
          <w:pPr>
            <w:pStyle w:val="Bibliography"/>
            <w:spacing w:line="360" w:lineRule="auto"/>
            <w:rPr>
              <w:rFonts w:ascii="Arial" w:hAnsi="Arial" w:cs="Arial"/>
              <w:noProof/>
              <w:u w:val="single"/>
            </w:rPr>
          </w:pPr>
          <w:r w:rsidRPr="00BC45C5">
            <w:rPr>
              <w:rFonts w:ascii="Arial" w:hAnsi="Arial" w:cs="Arial"/>
              <w:i/>
              <w:noProof/>
            </w:rPr>
            <w:t>Human Rights Act, 1998. C.42.</w:t>
          </w:r>
          <w:r w:rsidRPr="00BC45C5">
            <w:rPr>
              <w:rFonts w:ascii="Arial" w:hAnsi="Arial" w:cs="Arial"/>
              <w:noProof/>
            </w:rPr>
            <w:t xml:space="preserve"> [Online] Available from: </w:t>
          </w:r>
          <w:hyperlink r:id="rId15" w:history="1">
            <w:r w:rsidRPr="00BC45C5">
              <w:rPr>
                <w:rStyle w:val="Hyperlink"/>
                <w:rFonts w:ascii="Arial" w:hAnsi="Arial" w:cs="Arial"/>
              </w:rPr>
              <w:t>Human Rights Act 1998</w:t>
            </w:r>
          </w:hyperlink>
          <w:r w:rsidRPr="00BC45C5">
            <w:rPr>
              <w:rFonts w:ascii="Arial" w:hAnsi="Arial" w:cs="Arial"/>
            </w:rPr>
            <w:t xml:space="preserve"> </w:t>
          </w:r>
          <w:r w:rsidRPr="00BC45C5">
            <w:rPr>
              <w:rFonts w:ascii="Arial" w:hAnsi="Arial" w:cs="Arial"/>
              <w:noProof/>
            </w:rPr>
            <w:t>(Accessed: 12.03.2026).</w:t>
          </w:r>
          <w:r w:rsidRPr="00BC45C5">
            <w:rPr>
              <w:rFonts w:ascii="Arial" w:hAnsi="Arial" w:cs="Arial"/>
              <w:noProof/>
              <w:u w:val="single"/>
            </w:rPr>
            <w:t xml:space="preserve">  </w:t>
          </w:r>
        </w:p>
        <w:p w14:paraId="2A2A4B25" w14:textId="77777777" w:rsidR="00DF31E7" w:rsidRPr="00BC45C5" w:rsidRDefault="00DF31E7" w:rsidP="00BC45C5">
          <w:pPr>
            <w:pStyle w:val="Bibliography"/>
            <w:spacing w:line="360" w:lineRule="auto"/>
            <w:rPr>
              <w:rFonts w:ascii="Arial" w:hAnsi="Arial" w:cs="Arial"/>
              <w:noProof/>
            </w:rPr>
          </w:pPr>
          <w:r w:rsidRPr="00BC45C5">
            <w:rPr>
              <w:rFonts w:ascii="Arial" w:hAnsi="Arial" w:cs="Arial"/>
              <w:noProof/>
            </w:rPr>
            <w:t xml:space="preserve">NHS England (2026). </w:t>
          </w:r>
          <w:r w:rsidRPr="00BC45C5">
            <w:rPr>
              <w:rFonts w:ascii="Arial" w:hAnsi="Arial" w:cs="Arial"/>
              <w:i/>
              <w:iCs/>
              <w:noProof/>
            </w:rPr>
            <w:t xml:space="preserve">Understanding Behaviour Change. </w:t>
          </w:r>
          <w:r w:rsidRPr="00BC45C5">
            <w:rPr>
              <w:rFonts w:ascii="Arial" w:hAnsi="Arial" w:cs="Arial"/>
              <w:noProof/>
            </w:rPr>
            <w:t>[Online]</w:t>
          </w:r>
          <w:r w:rsidRPr="00BC45C5">
            <w:rPr>
              <w:rFonts w:ascii="Arial" w:hAnsi="Arial" w:cs="Arial"/>
              <w:i/>
              <w:iCs/>
              <w:noProof/>
            </w:rPr>
            <w:t xml:space="preserve"> </w:t>
          </w:r>
          <w:r w:rsidRPr="00BC45C5">
            <w:rPr>
              <w:rFonts w:ascii="Arial" w:hAnsi="Arial" w:cs="Arial"/>
              <w:noProof/>
            </w:rPr>
            <w:t xml:space="preserve">Available from: </w:t>
          </w:r>
          <w:hyperlink r:id="rId16" w:history="1">
            <w:r w:rsidRPr="00BC45C5">
              <w:rPr>
                <w:rStyle w:val="Hyperlink"/>
                <w:rFonts w:ascii="Arial" w:hAnsi="Arial" w:cs="Arial"/>
                <w:noProof/>
              </w:rPr>
              <w:t>https://behaviourchange.hee.nhs.uk/toolkits/workforce/understanding-behaviour-change</w:t>
            </w:r>
          </w:hyperlink>
          <w:r w:rsidRPr="00BC45C5">
            <w:rPr>
              <w:rFonts w:ascii="Arial" w:hAnsi="Arial" w:cs="Arial"/>
              <w:noProof/>
              <w:u w:val="single"/>
            </w:rPr>
            <w:t xml:space="preserve"> </w:t>
          </w:r>
          <w:r w:rsidRPr="00BC45C5">
            <w:rPr>
              <w:rFonts w:ascii="Arial" w:hAnsi="Arial" w:cs="Arial"/>
              <w:noProof/>
            </w:rPr>
            <w:t>(Accessed: 11.03.2026).</w:t>
          </w:r>
        </w:p>
        <w:p w14:paraId="3AA71D41" w14:textId="77777777" w:rsidR="00BC45C5" w:rsidRPr="00073E5C" w:rsidRDefault="00BC45C5" w:rsidP="00BC45C5">
          <w:pPr>
            <w:pStyle w:val="Bibliography"/>
            <w:spacing w:line="360" w:lineRule="auto"/>
            <w:jc w:val="both"/>
            <w:rPr>
              <w:rFonts w:ascii="Arial" w:hAnsi="Arial" w:cs="Arial"/>
              <w:noProof/>
              <w:color w:val="000000" w:themeColor="text1"/>
            </w:rPr>
          </w:pPr>
          <w:r w:rsidRPr="00073E5C">
            <w:rPr>
              <w:rFonts w:ascii="Arial" w:hAnsi="Arial" w:cs="Arial"/>
              <w:color w:val="000000" w:themeColor="text1"/>
              <w:shd w:val="clear" w:color="auto" w:fill="FFFFFF"/>
            </w:rPr>
            <w:t xml:space="preserve">Nolte, E. and McKee, M. (2008) ‘Caring for People with Chronic Conditions: A Health System Perspective (European Observatory on Health Systems and Policies)’, </w:t>
          </w:r>
          <w:r w:rsidRPr="00073E5C">
            <w:rPr>
              <w:rFonts w:ascii="Arial" w:hAnsi="Arial" w:cs="Arial"/>
              <w:i/>
              <w:color w:val="000000" w:themeColor="text1"/>
              <w:shd w:val="clear" w:color="auto" w:fill="FFFFFF"/>
            </w:rPr>
            <w:t>European Observatory on Health Systems Policies Series</w:t>
          </w:r>
          <w:r w:rsidRPr="00073E5C">
            <w:rPr>
              <w:rFonts w:ascii="Arial" w:hAnsi="Arial" w:cs="Arial"/>
              <w:color w:val="000000" w:themeColor="text1"/>
              <w:shd w:val="clear" w:color="auto" w:fill="FFFFFF"/>
            </w:rPr>
            <w:t>, Vol. 1. Maidenhead:  Open University Press</w:t>
          </w:r>
          <w:r w:rsidRPr="00073E5C">
            <w:rPr>
              <w:rFonts w:ascii="Arial" w:hAnsi="Arial" w:cs="Arial"/>
              <w:noProof/>
              <w:color w:val="000000" w:themeColor="text1"/>
            </w:rPr>
            <w:t>.</w:t>
          </w:r>
        </w:p>
        <w:p w14:paraId="6464F7D4" w14:textId="59C94EF4" w:rsidR="0031699B" w:rsidRPr="00BC45C5" w:rsidRDefault="00BC45C5" w:rsidP="00BC45C5">
          <w:pPr>
            <w:pStyle w:val="Bibliography"/>
            <w:spacing w:line="360" w:lineRule="auto"/>
            <w:rPr>
              <w:rFonts w:ascii="Arial" w:hAnsi="Arial" w:cs="Arial"/>
              <w:noProof/>
            </w:rPr>
          </w:pPr>
          <w:r w:rsidRPr="00BC45C5">
            <w:rPr>
              <w:rFonts w:ascii="Arial" w:hAnsi="Arial" w:cs="Arial"/>
              <w:noProof/>
            </w:rPr>
            <w:lastRenderedPageBreak/>
            <w:t xml:space="preserve">Oliver, D. Foot, C. and Humphrie, R. 2014. </w:t>
          </w:r>
          <w:r w:rsidRPr="00BC45C5">
            <w:rPr>
              <w:rFonts w:ascii="Arial" w:hAnsi="Arial" w:cs="Arial"/>
              <w:i/>
              <w:iCs/>
              <w:noProof/>
            </w:rPr>
            <w:t xml:space="preserve">Making our health and care systems fit for an ageing population, </w:t>
          </w:r>
          <w:r w:rsidRPr="00BC45C5">
            <w:rPr>
              <w:rFonts w:ascii="Arial" w:hAnsi="Arial" w:cs="Arial"/>
              <w:noProof/>
            </w:rPr>
            <w:t xml:space="preserve">The King’s Fund. [Online] Available from: </w:t>
          </w:r>
          <w:hyperlink r:id="rId17" w:history="1">
            <w:r w:rsidRPr="00BC45C5">
              <w:rPr>
                <w:rStyle w:val="Hyperlink"/>
                <w:rFonts w:ascii="Arial" w:hAnsi="Arial" w:cs="Arial"/>
                <w:noProof/>
              </w:rPr>
              <w:t>https://www.bgs.org.uk/sites/default/files/content/resources/files/2018-05-04/kf_making_systems_fit.pdf</w:t>
            </w:r>
          </w:hyperlink>
          <w:r w:rsidRPr="00BC45C5">
            <w:rPr>
              <w:rFonts w:ascii="Arial" w:hAnsi="Arial" w:cs="Arial"/>
              <w:noProof/>
            </w:rPr>
            <w:t xml:space="preserve"> (Accessed: 14.03.2026). </w:t>
          </w:r>
        </w:p>
        <w:p w14:paraId="457C41D7" w14:textId="2E528F96" w:rsidR="0012698E" w:rsidRPr="00BC45C5" w:rsidRDefault="0012698E" w:rsidP="00BC45C5">
          <w:pPr>
            <w:pStyle w:val="Bibliography"/>
            <w:spacing w:line="360" w:lineRule="auto"/>
            <w:rPr>
              <w:rFonts w:ascii="Arial" w:hAnsi="Arial" w:cs="Arial"/>
              <w:noProof/>
            </w:rPr>
          </w:pPr>
          <w:r w:rsidRPr="00BC45C5">
            <w:rPr>
              <w:rFonts w:ascii="Arial" w:hAnsi="Arial" w:cs="Arial"/>
              <w:noProof/>
            </w:rPr>
            <w:t xml:space="preserve">Skills for Care, (2026) </w:t>
          </w:r>
          <w:r w:rsidRPr="00BC45C5">
            <w:rPr>
              <w:rFonts w:ascii="Arial" w:hAnsi="Arial" w:cs="Arial"/>
              <w:i/>
              <w:iCs/>
              <w:noProof/>
            </w:rPr>
            <w:t>Person-centred approaches in health and care.</w:t>
          </w:r>
          <w:r w:rsidR="007741DC" w:rsidRPr="00BC45C5">
            <w:rPr>
              <w:rFonts w:ascii="Arial" w:hAnsi="Arial" w:cs="Arial"/>
              <w:i/>
              <w:iCs/>
              <w:noProof/>
            </w:rPr>
            <w:t xml:space="preserve"> </w:t>
          </w:r>
          <w:r w:rsidR="007741DC" w:rsidRPr="00BC45C5">
            <w:rPr>
              <w:rFonts w:ascii="Arial" w:hAnsi="Arial" w:cs="Arial"/>
              <w:noProof/>
            </w:rPr>
            <w:t>[Online]</w:t>
          </w:r>
          <w:r w:rsidRPr="00BC45C5">
            <w:rPr>
              <w:rFonts w:ascii="Arial" w:hAnsi="Arial" w:cs="Arial"/>
              <w:i/>
              <w:iCs/>
              <w:noProof/>
            </w:rPr>
            <w:t xml:space="preserve"> </w:t>
          </w:r>
          <w:r w:rsidRPr="00BC45C5">
            <w:rPr>
              <w:rFonts w:ascii="Arial" w:hAnsi="Arial" w:cs="Arial"/>
              <w:noProof/>
            </w:rPr>
            <w:t xml:space="preserve">Available </w:t>
          </w:r>
          <w:r w:rsidR="007741DC" w:rsidRPr="00BC45C5">
            <w:rPr>
              <w:rFonts w:ascii="Arial" w:hAnsi="Arial" w:cs="Arial"/>
              <w:noProof/>
            </w:rPr>
            <w:t>from</w:t>
          </w:r>
          <w:r w:rsidRPr="00BC45C5">
            <w:rPr>
              <w:rFonts w:ascii="Arial" w:hAnsi="Arial" w:cs="Arial"/>
              <w:noProof/>
            </w:rPr>
            <w:t xml:space="preserve">: </w:t>
          </w:r>
          <w:hyperlink r:id="rId18" w:anchor=":~:text=Person%2Dcentred%20approaches%20core%20skills,taken%20part%20in%20their%20develop" w:history="1">
            <w:r w:rsidRPr="00BC45C5">
              <w:rPr>
                <w:rStyle w:val="Hyperlink"/>
                <w:rFonts w:ascii="Arial" w:hAnsi="Arial" w:cs="Arial"/>
                <w:noProof/>
              </w:rPr>
              <w:t>https://www.skillsforcare.org.uk/Developing-your-workforce/Care-topics/Person-centred-approaches-in-health-and-care/Person-centred-approaches-in-health-and-care.aspx#:~:text=Person%2Dcentred%20approaches%20core%20skills,taken%20part%20in%20their%20develop</w:t>
            </w:r>
          </w:hyperlink>
          <w:r w:rsidRPr="00BC45C5">
            <w:rPr>
              <w:rFonts w:ascii="Arial" w:hAnsi="Arial" w:cs="Arial"/>
              <w:noProof/>
              <w:u w:val="single"/>
            </w:rPr>
            <w:t xml:space="preserve"> </w:t>
          </w:r>
          <w:r w:rsidRPr="00BC45C5">
            <w:rPr>
              <w:rFonts w:ascii="Arial" w:hAnsi="Arial" w:cs="Arial"/>
              <w:noProof/>
            </w:rPr>
            <w:t>(Accessed: 11</w:t>
          </w:r>
          <w:r w:rsidR="00952162" w:rsidRPr="00BC45C5">
            <w:rPr>
              <w:rFonts w:ascii="Arial" w:hAnsi="Arial" w:cs="Arial"/>
              <w:noProof/>
            </w:rPr>
            <w:t>.03.</w:t>
          </w:r>
          <w:r w:rsidRPr="00BC45C5">
            <w:rPr>
              <w:rFonts w:ascii="Arial" w:hAnsi="Arial" w:cs="Arial"/>
              <w:noProof/>
            </w:rPr>
            <w:t>2026).</w:t>
          </w:r>
        </w:p>
        <w:p w14:paraId="29843807" w14:textId="2EC00CC3" w:rsidR="0012698E" w:rsidRPr="00BC45C5" w:rsidRDefault="0012698E" w:rsidP="00BC45C5">
          <w:pPr>
            <w:pStyle w:val="Bibliography"/>
            <w:spacing w:line="360" w:lineRule="auto"/>
            <w:rPr>
              <w:rFonts w:ascii="Arial" w:hAnsi="Arial" w:cs="Arial"/>
              <w:noProof/>
            </w:rPr>
          </w:pPr>
          <w:r w:rsidRPr="00BC45C5">
            <w:rPr>
              <w:rFonts w:ascii="Arial" w:hAnsi="Arial" w:cs="Arial"/>
              <w:noProof/>
            </w:rPr>
            <w:t xml:space="preserve">The Health Foundation (2014). </w:t>
          </w:r>
          <w:r w:rsidRPr="00BC45C5">
            <w:rPr>
              <w:rFonts w:ascii="Arial" w:hAnsi="Arial" w:cs="Arial"/>
              <w:i/>
              <w:iCs/>
              <w:noProof/>
            </w:rPr>
            <w:t>Person-centred care made simple.</w:t>
          </w:r>
          <w:r w:rsidR="004F0F1A" w:rsidRPr="00BC45C5">
            <w:rPr>
              <w:rFonts w:ascii="Arial" w:hAnsi="Arial" w:cs="Arial"/>
              <w:i/>
              <w:iCs/>
              <w:noProof/>
            </w:rPr>
            <w:t xml:space="preserve"> </w:t>
          </w:r>
          <w:r w:rsidR="004F0F1A" w:rsidRPr="00BC45C5">
            <w:rPr>
              <w:rFonts w:ascii="Arial" w:hAnsi="Arial" w:cs="Arial"/>
              <w:noProof/>
            </w:rPr>
            <w:t xml:space="preserve">[Online] </w:t>
          </w:r>
          <w:r w:rsidRPr="00BC45C5">
            <w:rPr>
              <w:rFonts w:ascii="Arial" w:hAnsi="Arial" w:cs="Arial"/>
              <w:noProof/>
            </w:rPr>
            <w:t xml:space="preserve">Available </w:t>
          </w:r>
          <w:r w:rsidR="004F0F1A" w:rsidRPr="00BC45C5">
            <w:rPr>
              <w:rFonts w:ascii="Arial" w:hAnsi="Arial" w:cs="Arial"/>
              <w:noProof/>
            </w:rPr>
            <w:t>from</w:t>
          </w:r>
          <w:r w:rsidRPr="00BC45C5">
            <w:rPr>
              <w:rFonts w:ascii="Arial" w:hAnsi="Arial" w:cs="Arial"/>
              <w:noProof/>
            </w:rPr>
            <w:t xml:space="preserve">: </w:t>
          </w:r>
          <w:hyperlink r:id="rId19" w:history="1">
            <w:r w:rsidRPr="00BC45C5">
              <w:rPr>
                <w:rStyle w:val="Hyperlink"/>
                <w:rFonts w:ascii="Arial" w:hAnsi="Arial" w:cs="Arial"/>
                <w:noProof/>
              </w:rPr>
              <w:t>https://www.health.org.uk/resources-and-toolkits/quick-guides/person-centred-care-made-simple</w:t>
            </w:r>
          </w:hyperlink>
          <w:r w:rsidRPr="00BC45C5">
            <w:rPr>
              <w:rFonts w:ascii="Arial" w:hAnsi="Arial" w:cs="Arial"/>
              <w:noProof/>
              <w:u w:val="single"/>
            </w:rPr>
            <w:t xml:space="preserve"> </w:t>
          </w:r>
          <w:r w:rsidRPr="00BC45C5">
            <w:rPr>
              <w:rFonts w:ascii="Arial" w:hAnsi="Arial" w:cs="Arial"/>
              <w:noProof/>
            </w:rPr>
            <w:t>(Accessed: 10</w:t>
          </w:r>
          <w:r w:rsidR="004F0F1A" w:rsidRPr="00BC45C5">
            <w:rPr>
              <w:rFonts w:ascii="Arial" w:hAnsi="Arial" w:cs="Arial"/>
              <w:noProof/>
            </w:rPr>
            <w:t>.03.</w:t>
          </w:r>
          <w:r w:rsidRPr="00BC45C5">
            <w:rPr>
              <w:rFonts w:ascii="Arial" w:hAnsi="Arial" w:cs="Arial"/>
              <w:noProof/>
            </w:rPr>
            <w:t>2026).</w:t>
          </w:r>
        </w:p>
        <w:p w14:paraId="7565C69B" w14:textId="113B6A57" w:rsidR="0012698E" w:rsidRPr="00BC45C5" w:rsidRDefault="0012698E" w:rsidP="00BC45C5">
          <w:pPr>
            <w:pStyle w:val="Bibliography"/>
            <w:spacing w:line="360" w:lineRule="auto"/>
            <w:rPr>
              <w:rFonts w:ascii="Arial" w:hAnsi="Arial" w:cs="Arial"/>
              <w:noProof/>
            </w:rPr>
          </w:pPr>
          <w:r w:rsidRPr="00BC45C5">
            <w:rPr>
              <w:rFonts w:ascii="Arial" w:hAnsi="Arial" w:cs="Arial"/>
              <w:noProof/>
            </w:rPr>
            <w:t xml:space="preserve">WHO (2026) </w:t>
          </w:r>
          <w:r w:rsidRPr="00BC45C5">
            <w:rPr>
              <w:rFonts w:ascii="Arial" w:hAnsi="Arial" w:cs="Arial"/>
              <w:i/>
              <w:iCs/>
              <w:noProof/>
            </w:rPr>
            <w:t>Integrated Health Services.</w:t>
          </w:r>
          <w:r w:rsidR="00F43C57" w:rsidRPr="00BC45C5">
            <w:rPr>
              <w:rFonts w:ascii="Arial" w:hAnsi="Arial" w:cs="Arial"/>
              <w:i/>
              <w:iCs/>
              <w:noProof/>
            </w:rPr>
            <w:t xml:space="preserve"> </w:t>
          </w:r>
          <w:r w:rsidR="00F43C57" w:rsidRPr="00BC45C5">
            <w:rPr>
              <w:rFonts w:ascii="Arial" w:hAnsi="Arial" w:cs="Arial"/>
              <w:noProof/>
            </w:rPr>
            <w:t>[Online]</w:t>
          </w:r>
          <w:r w:rsidRPr="00BC45C5">
            <w:rPr>
              <w:rFonts w:ascii="Arial" w:hAnsi="Arial" w:cs="Arial"/>
              <w:i/>
              <w:iCs/>
              <w:noProof/>
            </w:rPr>
            <w:t xml:space="preserve"> </w:t>
          </w:r>
          <w:r w:rsidRPr="00BC45C5">
            <w:rPr>
              <w:rFonts w:ascii="Arial" w:hAnsi="Arial" w:cs="Arial"/>
              <w:iCs/>
              <w:noProof/>
            </w:rPr>
            <w:t xml:space="preserve">Available at: </w:t>
          </w:r>
          <w:hyperlink r:id="rId20" w:history="1">
            <w:r w:rsidRPr="00BC45C5">
              <w:rPr>
                <w:rStyle w:val="Hyperlink"/>
                <w:rFonts w:ascii="Arial" w:hAnsi="Arial" w:cs="Arial"/>
                <w:iCs/>
                <w:noProof/>
              </w:rPr>
              <w:t>https://www.who.int/teams/integrated-health-services</w:t>
            </w:r>
          </w:hyperlink>
          <w:r w:rsidRPr="00BC45C5">
            <w:rPr>
              <w:rFonts w:ascii="Arial" w:hAnsi="Arial" w:cs="Arial"/>
              <w:iCs/>
              <w:noProof/>
            </w:rPr>
            <w:t xml:space="preserve"> (Accessed: 1</w:t>
          </w:r>
          <w:r w:rsidR="00F43C57" w:rsidRPr="00BC45C5">
            <w:rPr>
              <w:rFonts w:ascii="Arial" w:hAnsi="Arial" w:cs="Arial"/>
              <w:iCs/>
              <w:noProof/>
            </w:rPr>
            <w:t>4.03.</w:t>
          </w:r>
          <w:r w:rsidRPr="00BC45C5">
            <w:rPr>
              <w:rFonts w:ascii="Arial" w:hAnsi="Arial" w:cs="Arial"/>
              <w:iCs/>
              <w:noProof/>
            </w:rPr>
            <w:t>2026).</w:t>
          </w:r>
        </w:p>
      </w:sdtContent>
    </w:sdt>
    <w:p w14:paraId="5C812536" w14:textId="77777777" w:rsidR="00E82CD9" w:rsidRPr="00BC45C5" w:rsidRDefault="00E82CD9" w:rsidP="00BC45C5">
      <w:pPr>
        <w:spacing w:line="360" w:lineRule="auto"/>
        <w:rPr>
          <w:rFonts w:ascii="Arial" w:eastAsia="Times New Roman" w:hAnsi="Arial" w:cs="Arial"/>
        </w:rPr>
      </w:pPr>
    </w:p>
    <w:sectPr w:rsidR="00E82CD9" w:rsidRPr="00BC45C5" w:rsidSect="00897E0E">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7023D" w14:textId="77777777" w:rsidR="007428CA" w:rsidRDefault="007428CA" w:rsidP="00897E0E">
      <w:pPr>
        <w:spacing w:after="0" w:line="240" w:lineRule="auto"/>
      </w:pPr>
      <w:r>
        <w:separator/>
      </w:r>
    </w:p>
  </w:endnote>
  <w:endnote w:type="continuationSeparator" w:id="0">
    <w:p w14:paraId="5BA843FF" w14:textId="77777777" w:rsidR="007428CA" w:rsidRDefault="007428CA" w:rsidP="00897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A4E3B" w14:textId="77777777" w:rsidR="007428CA" w:rsidRDefault="007428CA" w:rsidP="00897E0E">
      <w:pPr>
        <w:spacing w:after="0" w:line="240" w:lineRule="auto"/>
      </w:pPr>
      <w:r>
        <w:separator/>
      </w:r>
    </w:p>
  </w:footnote>
  <w:footnote w:type="continuationSeparator" w:id="0">
    <w:p w14:paraId="0461A440" w14:textId="77777777" w:rsidR="007428CA" w:rsidRDefault="007428CA" w:rsidP="00897E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752290"/>
      <w:docPartObj>
        <w:docPartGallery w:val="Page Numbers (Top of Page)"/>
        <w:docPartUnique/>
      </w:docPartObj>
    </w:sdtPr>
    <w:sdtEndPr>
      <w:rPr>
        <w:noProof/>
      </w:rPr>
    </w:sdtEndPr>
    <w:sdtContent>
      <w:p w14:paraId="6FD39654" w14:textId="77777777" w:rsidR="00897E0E" w:rsidRDefault="00897E0E">
        <w:pPr>
          <w:pStyle w:val="Header"/>
          <w:jc w:val="right"/>
        </w:pPr>
        <w:r>
          <w:fldChar w:fldCharType="begin"/>
        </w:r>
        <w:r>
          <w:instrText xml:space="preserve"> PAGE   \* MERGEFORMAT </w:instrText>
        </w:r>
        <w:r>
          <w:fldChar w:fldCharType="separate"/>
        </w:r>
        <w:r>
          <w:rPr>
            <w:noProof/>
          </w:rPr>
          <w:t>13</w:t>
        </w:r>
        <w:r>
          <w:rPr>
            <w:noProof/>
          </w:rPr>
          <w:fldChar w:fldCharType="end"/>
        </w:r>
      </w:p>
    </w:sdtContent>
  </w:sdt>
  <w:p w14:paraId="233B06B6" w14:textId="77777777" w:rsidR="00897E0E" w:rsidRDefault="00897E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94A2D"/>
    <w:multiLevelType w:val="multilevel"/>
    <w:tmpl w:val="E6C22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E64F72"/>
    <w:multiLevelType w:val="multilevel"/>
    <w:tmpl w:val="0E44C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0781303">
    <w:abstractNumId w:val="1"/>
  </w:num>
  <w:num w:numId="2" w16cid:durableId="905993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3671"/>
    <w:rsid w:val="00014727"/>
    <w:rsid w:val="00020DDC"/>
    <w:rsid w:val="00037BC1"/>
    <w:rsid w:val="00066A32"/>
    <w:rsid w:val="00073E5C"/>
    <w:rsid w:val="000B48E0"/>
    <w:rsid w:val="000D4F02"/>
    <w:rsid w:val="00125114"/>
    <w:rsid w:val="0012698E"/>
    <w:rsid w:val="0012724E"/>
    <w:rsid w:val="00133909"/>
    <w:rsid w:val="00171540"/>
    <w:rsid w:val="00195B85"/>
    <w:rsid w:val="001D6191"/>
    <w:rsid w:val="002A506F"/>
    <w:rsid w:val="0031699B"/>
    <w:rsid w:val="003414DB"/>
    <w:rsid w:val="003807C7"/>
    <w:rsid w:val="0040275A"/>
    <w:rsid w:val="00465494"/>
    <w:rsid w:val="004D1235"/>
    <w:rsid w:val="004F0F1A"/>
    <w:rsid w:val="004F70DD"/>
    <w:rsid w:val="00546523"/>
    <w:rsid w:val="00587F54"/>
    <w:rsid w:val="005B4A5A"/>
    <w:rsid w:val="005E01FF"/>
    <w:rsid w:val="005E044D"/>
    <w:rsid w:val="007165A1"/>
    <w:rsid w:val="007428CA"/>
    <w:rsid w:val="007741DC"/>
    <w:rsid w:val="00774C49"/>
    <w:rsid w:val="008014F4"/>
    <w:rsid w:val="0084073D"/>
    <w:rsid w:val="00897E0E"/>
    <w:rsid w:val="008A3671"/>
    <w:rsid w:val="008D6D8A"/>
    <w:rsid w:val="008E3585"/>
    <w:rsid w:val="008F3683"/>
    <w:rsid w:val="008F3D01"/>
    <w:rsid w:val="00911AC2"/>
    <w:rsid w:val="0093012A"/>
    <w:rsid w:val="00950911"/>
    <w:rsid w:val="00952162"/>
    <w:rsid w:val="00982FBF"/>
    <w:rsid w:val="009D3928"/>
    <w:rsid w:val="00A81A6A"/>
    <w:rsid w:val="00A90B84"/>
    <w:rsid w:val="00AA7CA5"/>
    <w:rsid w:val="00AA7E33"/>
    <w:rsid w:val="00AD4F04"/>
    <w:rsid w:val="00AD62C8"/>
    <w:rsid w:val="00AE17F9"/>
    <w:rsid w:val="00B10010"/>
    <w:rsid w:val="00B246CE"/>
    <w:rsid w:val="00BA681E"/>
    <w:rsid w:val="00BB4B08"/>
    <w:rsid w:val="00BC45C5"/>
    <w:rsid w:val="00BF3F2B"/>
    <w:rsid w:val="00C11337"/>
    <w:rsid w:val="00C71E57"/>
    <w:rsid w:val="00CC7266"/>
    <w:rsid w:val="00D00045"/>
    <w:rsid w:val="00D55C8C"/>
    <w:rsid w:val="00D771C6"/>
    <w:rsid w:val="00D774D7"/>
    <w:rsid w:val="00DE09C7"/>
    <w:rsid w:val="00DF31E7"/>
    <w:rsid w:val="00E22C37"/>
    <w:rsid w:val="00E82CD9"/>
    <w:rsid w:val="00ED681A"/>
    <w:rsid w:val="00F14E73"/>
    <w:rsid w:val="00F25EA5"/>
    <w:rsid w:val="00F43C57"/>
    <w:rsid w:val="00F52742"/>
    <w:rsid w:val="00F650F8"/>
    <w:rsid w:val="00FC3F5F"/>
    <w:rsid w:val="00FE5D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170ED"/>
  <w15:chartTrackingRefBased/>
  <w15:docId w15:val="{83C47E13-350D-4B27-B14D-60E9FB0AD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84073D"/>
    <w:pPr>
      <w:spacing w:before="100" w:beforeAutospacing="1" w:after="100" w:afterAutospacing="1" w:line="240" w:lineRule="auto"/>
      <w:outlineLvl w:val="0"/>
    </w:pPr>
    <w:rPr>
      <w:rFonts w:ascii="Arial" w:eastAsia="Times New Roman" w:hAnsi="Arial" w:cs="Times New Roman"/>
      <w:b/>
      <w:bCs/>
      <w:color w:val="000000" w:themeColor="text1"/>
      <w:kern w:val="36"/>
      <w:szCs w:val="48"/>
    </w:rPr>
  </w:style>
  <w:style w:type="paragraph" w:styleId="Heading2">
    <w:name w:val="heading 2"/>
    <w:basedOn w:val="Normal"/>
    <w:link w:val="Heading2Char"/>
    <w:uiPriority w:val="9"/>
    <w:qFormat/>
    <w:rsid w:val="0084073D"/>
    <w:pPr>
      <w:spacing w:before="100" w:beforeAutospacing="1" w:after="100" w:afterAutospacing="1" w:line="240" w:lineRule="auto"/>
      <w:outlineLvl w:val="1"/>
    </w:pPr>
    <w:rPr>
      <w:rFonts w:ascii="Arial" w:eastAsia="Times New Roman" w:hAnsi="Arial" w:cs="Times New Roman"/>
      <w:b/>
      <w:bCs/>
      <w:szCs w:val="36"/>
    </w:rPr>
  </w:style>
  <w:style w:type="paragraph" w:styleId="Heading3">
    <w:name w:val="heading 3"/>
    <w:basedOn w:val="Normal"/>
    <w:next w:val="Normal"/>
    <w:link w:val="Heading3Char"/>
    <w:uiPriority w:val="9"/>
    <w:semiHidden/>
    <w:unhideWhenUsed/>
    <w:qFormat/>
    <w:rsid w:val="0012724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73D"/>
    <w:rPr>
      <w:rFonts w:ascii="Arial" w:eastAsia="Times New Roman" w:hAnsi="Arial" w:cs="Times New Roman"/>
      <w:b/>
      <w:bCs/>
      <w:color w:val="000000" w:themeColor="text1"/>
      <w:kern w:val="36"/>
      <w:szCs w:val="48"/>
    </w:rPr>
  </w:style>
  <w:style w:type="character" w:customStyle="1" w:styleId="Heading2Char">
    <w:name w:val="Heading 2 Char"/>
    <w:basedOn w:val="DefaultParagraphFont"/>
    <w:link w:val="Heading2"/>
    <w:uiPriority w:val="9"/>
    <w:rsid w:val="0084073D"/>
    <w:rPr>
      <w:rFonts w:ascii="Arial" w:eastAsia="Times New Roman" w:hAnsi="Arial" w:cs="Times New Roman"/>
      <w:b/>
      <w:bCs/>
      <w:szCs w:val="36"/>
    </w:rPr>
  </w:style>
  <w:style w:type="paragraph" w:styleId="NormalWeb">
    <w:name w:val="Normal (Web)"/>
    <w:basedOn w:val="Normal"/>
    <w:uiPriority w:val="99"/>
    <w:unhideWhenUsed/>
    <w:rsid w:val="008A367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A3671"/>
    <w:rPr>
      <w:b/>
      <w:bCs/>
    </w:rPr>
  </w:style>
  <w:style w:type="character" w:styleId="Emphasis">
    <w:name w:val="Emphasis"/>
    <w:basedOn w:val="DefaultParagraphFont"/>
    <w:uiPriority w:val="20"/>
    <w:qFormat/>
    <w:rsid w:val="008A3671"/>
    <w:rPr>
      <w:i/>
      <w:iCs/>
    </w:rPr>
  </w:style>
  <w:style w:type="character" w:styleId="Hyperlink">
    <w:name w:val="Hyperlink"/>
    <w:basedOn w:val="DefaultParagraphFont"/>
    <w:uiPriority w:val="99"/>
    <w:unhideWhenUsed/>
    <w:rsid w:val="008A3671"/>
    <w:rPr>
      <w:color w:val="0000FF"/>
      <w:u w:val="single"/>
    </w:rPr>
  </w:style>
  <w:style w:type="character" w:customStyle="1" w:styleId="Heading3Char">
    <w:name w:val="Heading 3 Char"/>
    <w:basedOn w:val="DefaultParagraphFont"/>
    <w:link w:val="Heading3"/>
    <w:uiPriority w:val="9"/>
    <w:semiHidden/>
    <w:rsid w:val="0012724E"/>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465494"/>
  </w:style>
  <w:style w:type="paragraph" w:styleId="TOCHeading">
    <w:name w:val="TOC Heading"/>
    <w:basedOn w:val="Heading1"/>
    <w:next w:val="Normal"/>
    <w:uiPriority w:val="39"/>
    <w:unhideWhenUsed/>
    <w:qFormat/>
    <w:rsid w:val="009D392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9D3928"/>
    <w:pPr>
      <w:spacing w:after="100"/>
    </w:pPr>
  </w:style>
  <w:style w:type="paragraph" w:styleId="TOC2">
    <w:name w:val="toc 2"/>
    <w:basedOn w:val="Normal"/>
    <w:next w:val="Normal"/>
    <w:autoRedefine/>
    <w:uiPriority w:val="39"/>
    <w:unhideWhenUsed/>
    <w:rsid w:val="009D3928"/>
    <w:pPr>
      <w:spacing w:after="100"/>
      <w:ind w:left="220"/>
    </w:pPr>
  </w:style>
  <w:style w:type="table" w:styleId="GridTable2-Accent3">
    <w:name w:val="Grid Table 2 Accent 3"/>
    <w:basedOn w:val="TableNormal"/>
    <w:uiPriority w:val="47"/>
    <w:rsid w:val="00587F5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897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E0E"/>
    <w:rPr>
      <w:lang w:val="en-GB"/>
    </w:rPr>
  </w:style>
  <w:style w:type="paragraph" w:styleId="Footer">
    <w:name w:val="footer"/>
    <w:basedOn w:val="Normal"/>
    <w:link w:val="FooterChar"/>
    <w:uiPriority w:val="99"/>
    <w:unhideWhenUsed/>
    <w:rsid w:val="00897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E0E"/>
    <w:rPr>
      <w:lang w:val="en-GB"/>
    </w:rPr>
  </w:style>
  <w:style w:type="character" w:styleId="UnresolvedMention">
    <w:name w:val="Unresolved Mention"/>
    <w:basedOn w:val="DefaultParagraphFont"/>
    <w:uiPriority w:val="99"/>
    <w:semiHidden/>
    <w:unhideWhenUsed/>
    <w:rsid w:val="00AE1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37557">
      <w:bodyDiv w:val="1"/>
      <w:marLeft w:val="0"/>
      <w:marRight w:val="0"/>
      <w:marTop w:val="0"/>
      <w:marBottom w:val="0"/>
      <w:divBdr>
        <w:top w:val="none" w:sz="0" w:space="0" w:color="auto"/>
        <w:left w:val="none" w:sz="0" w:space="0" w:color="auto"/>
        <w:bottom w:val="none" w:sz="0" w:space="0" w:color="auto"/>
        <w:right w:val="none" w:sz="0" w:space="0" w:color="auto"/>
      </w:divBdr>
    </w:div>
    <w:div w:id="263269679">
      <w:bodyDiv w:val="1"/>
      <w:marLeft w:val="0"/>
      <w:marRight w:val="0"/>
      <w:marTop w:val="0"/>
      <w:marBottom w:val="0"/>
      <w:divBdr>
        <w:top w:val="none" w:sz="0" w:space="0" w:color="auto"/>
        <w:left w:val="none" w:sz="0" w:space="0" w:color="auto"/>
        <w:bottom w:val="none" w:sz="0" w:space="0" w:color="auto"/>
        <w:right w:val="none" w:sz="0" w:space="0" w:color="auto"/>
      </w:divBdr>
    </w:div>
    <w:div w:id="274410666">
      <w:bodyDiv w:val="1"/>
      <w:marLeft w:val="0"/>
      <w:marRight w:val="0"/>
      <w:marTop w:val="0"/>
      <w:marBottom w:val="0"/>
      <w:divBdr>
        <w:top w:val="none" w:sz="0" w:space="0" w:color="auto"/>
        <w:left w:val="none" w:sz="0" w:space="0" w:color="auto"/>
        <w:bottom w:val="none" w:sz="0" w:space="0" w:color="auto"/>
        <w:right w:val="none" w:sz="0" w:space="0" w:color="auto"/>
      </w:divBdr>
    </w:div>
    <w:div w:id="345135045">
      <w:bodyDiv w:val="1"/>
      <w:marLeft w:val="0"/>
      <w:marRight w:val="0"/>
      <w:marTop w:val="0"/>
      <w:marBottom w:val="0"/>
      <w:divBdr>
        <w:top w:val="none" w:sz="0" w:space="0" w:color="auto"/>
        <w:left w:val="none" w:sz="0" w:space="0" w:color="auto"/>
        <w:bottom w:val="none" w:sz="0" w:space="0" w:color="auto"/>
        <w:right w:val="none" w:sz="0" w:space="0" w:color="auto"/>
      </w:divBdr>
    </w:div>
    <w:div w:id="360983562">
      <w:bodyDiv w:val="1"/>
      <w:marLeft w:val="0"/>
      <w:marRight w:val="0"/>
      <w:marTop w:val="0"/>
      <w:marBottom w:val="0"/>
      <w:divBdr>
        <w:top w:val="none" w:sz="0" w:space="0" w:color="auto"/>
        <w:left w:val="none" w:sz="0" w:space="0" w:color="auto"/>
        <w:bottom w:val="none" w:sz="0" w:space="0" w:color="auto"/>
        <w:right w:val="none" w:sz="0" w:space="0" w:color="auto"/>
      </w:divBdr>
    </w:div>
    <w:div w:id="479033726">
      <w:bodyDiv w:val="1"/>
      <w:marLeft w:val="0"/>
      <w:marRight w:val="0"/>
      <w:marTop w:val="0"/>
      <w:marBottom w:val="0"/>
      <w:divBdr>
        <w:top w:val="none" w:sz="0" w:space="0" w:color="auto"/>
        <w:left w:val="none" w:sz="0" w:space="0" w:color="auto"/>
        <w:bottom w:val="none" w:sz="0" w:space="0" w:color="auto"/>
        <w:right w:val="none" w:sz="0" w:space="0" w:color="auto"/>
      </w:divBdr>
    </w:div>
    <w:div w:id="606959739">
      <w:bodyDiv w:val="1"/>
      <w:marLeft w:val="0"/>
      <w:marRight w:val="0"/>
      <w:marTop w:val="0"/>
      <w:marBottom w:val="0"/>
      <w:divBdr>
        <w:top w:val="none" w:sz="0" w:space="0" w:color="auto"/>
        <w:left w:val="none" w:sz="0" w:space="0" w:color="auto"/>
        <w:bottom w:val="none" w:sz="0" w:space="0" w:color="auto"/>
        <w:right w:val="none" w:sz="0" w:space="0" w:color="auto"/>
      </w:divBdr>
    </w:div>
    <w:div w:id="621302308">
      <w:bodyDiv w:val="1"/>
      <w:marLeft w:val="0"/>
      <w:marRight w:val="0"/>
      <w:marTop w:val="0"/>
      <w:marBottom w:val="0"/>
      <w:divBdr>
        <w:top w:val="none" w:sz="0" w:space="0" w:color="auto"/>
        <w:left w:val="none" w:sz="0" w:space="0" w:color="auto"/>
        <w:bottom w:val="none" w:sz="0" w:space="0" w:color="auto"/>
        <w:right w:val="none" w:sz="0" w:space="0" w:color="auto"/>
      </w:divBdr>
    </w:div>
    <w:div w:id="645663849">
      <w:bodyDiv w:val="1"/>
      <w:marLeft w:val="0"/>
      <w:marRight w:val="0"/>
      <w:marTop w:val="0"/>
      <w:marBottom w:val="0"/>
      <w:divBdr>
        <w:top w:val="none" w:sz="0" w:space="0" w:color="auto"/>
        <w:left w:val="none" w:sz="0" w:space="0" w:color="auto"/>
        <w:bottom w:val="none" w:sz="0" w:space="0" w:color="auto"/>
        <w:right w:val="none" w:sz="0" w:space="0" w:color="auto"/>
      </w:divBdr>
    </w:div>
    <w:div w:id="683282656">
      <w:bodyDiv w:val="1"/>
      <w:marLeft w:val="0"/>
      <w:marRight w:val="0"/>
      <w:marTop w:val="0"/>
      <w:marBottom w:val="0"/>
      <w:divBdr>
        <w:top w:val="none" w:sz="0" w:space="0" w:color="auto"/>
        <w:left w:val="none" w:sz="0" w:space="0" w:color="auto"/>
        <w:bottom w:val="none" w:sz="0" w:space="0" w:color="auto"/>
        <w:right w:val="none" w:sz="0" w:space="0" w:color="auto"/>
      </w:divBdr>
    </w:div>
    <w:div w:id="705060563">
      <w:bodyDiv w:val="1"/>
      <w:marLeft w:val="0"/>
      <w:marRight w:val="0"/>
      <w:marTop w:val="0"/>
      <w:marBottom w:val="0"/>
      <w:divBdr>
        <w:top w:val="none" w:sz="0" w:space="0" w:color="auto"/>
        <w:left w:val="none" w:sz="0" w:space="0" w:color="auto"/>
        <w:bottom w:val="none" w:sz="0" w:space="0" w:color="auto"/>
        <w:right w:val="none" w:sz="0" w:space="0" w:color="auto"/>
      </w:divBdr>
    </w:div>
    <w:div w:id="892233398">
      <w:bodyDiv w:val="1"/>
      <w:marLeft w:val="0"/>
      <w:marRight w:val="0"/>
      <w:marTop w:val="0"/>
      <w:marBottom w:val="0"/>
      <w:divBdr>
        <w:top w:val="none" w:sz="0" w:space="0" w:color="auto"/>
        <w:left w:val="none" w:sz="0" w:space="0" w:color="auto"/>
        <w:bottom w:val="none" w:sz="0" w:space="0" w:color="auto"/>
        <w:right w:val="none" w:sz="0" w:space="0" w:color="auto"/>
      </w:divBdr>
    </w:div>
    <w:div w:id="895118381">
      <w:bodyDiv w:val="1"/>
      <w:marLeft w:val="0"/>
      <w:marRight w:val="0"/>
      <w:marTop w:val="0"/>
      <w:marBottom w:val="0"/>
      <w:divBdr>
        <w:top w:val="none" w:sz="0" w:space="0" w:color="auto"/>
        <w:left w:val="none" w:sz="0" w:space="0" w:color="auto"/>
        <w:bottom w:val="none" w:sz="0" w:space="0" w:color="auto"/>
        <w:right w:val="none" w:sz="0" w:space="0" w:color="auto"/>
      </w:divBdr>
    </w:div>
    <w:div w:id="937641247">
      <w:bodyDiv w:val="1"/>
      <w:marLeft w:val="0"/>
      <w:marRight w:val="0"/>
      <w:marTop w:val="0"/>
      <w:marBottom w:val="0"/>
      <w:divBdr>
        <w:top w:val="none" w:sz="0" w:space="0" w:color="auto"/>
        <w:left w:val="none" w:sz="0" w:space="0" w:color="auto"/>
        <w:bottom w:val="none" w:sz="0" w:space="0" w:color="auto"/>
        <w:right w:val="none" w:sz="0" w:space="0" w:color="auto"/>
      </w:divBdr>
    </w:div>
    <w:div w:id="1062827944">
      <w:bodyDiv w:val="1"/>
      <w:marLeft w:val="0"/>
      <w:marRight w:val="0"/>
      <w:marTop w:val="0"/>
      <w:marBottom w:val="0"/>
      <w:divBdr>
        <w:top w:val="none" w:sz="0" w:space="0" w:color="auto"/>
        <w:left w:val="none" w:sz="0" w:space="0" w:color="auto"/>
        <w:bottom w:val="none" w:sz="0" w:space="0" w:color="auto"/>
        <w:right w:val="none" w:sz="0" w:space="0" w:color="auto"/>
      </w:divBdr>
    </w:div>
    <w:div w:id="1095053711">
      <w:bodyDiv w:val="1"/>
      <w:marLeft w:val="0"/>
      <w:marRight w:val="0"/>
      <w:marTop w:val="0"/>
      <w:marBottom w:val="0"/>
      <w:divBdr>
        <w:top w:val="none" w:sz="0" w:space="0" w:color="auto"/>
        <w:left w:val="none" w:sz="0" w:space="0" w:color="auto"/>
        <w:bottom w:val="none" w:sz="0" w:space="0" w:color="auto"/>
        <w:right w:val="none" w:sz="0" w:space="0" w:color="auto"/>
      </w:divBdr>
    </w:div>
    <w:div w:id="1170484898">
      <w:bodyDiv w:val="1"/>
      <w:marLeft w:val="0"/>
      <w:marRight w:val="0"/>
      <w:marTop w:val="0"/>
      <w:marBottom w:val="0"/>
      <w:divBdr>
        <w:top w:val="none" w:sz="0" w:space="0" w:color="auto"/>
        <w:left w:val="none" w:sz="0" w:space="0" w:color="auto"/>
        <w:bottom w:val="none" w:sz="0" w:space="0" w:color="auto"/>
        <w:right w:val="none" w:sz="0" w:space="0" w:color="auto"/>
      </w:divBdr>
    </w:div>
    <w:div w:id="1192376119">
      <w:bodyDiv w:val="1"/>
      <w:marLeft w:val="0"/>
      <w:marRight w:val="0"/>
      <w:marTop w:val="0"/>
      <w:marBottom w:val="0"/>
      <w:divBdr>
        <w:top w:val="none" w:sz="0" w:space="0" w:color="auto"/>
        <w:left w:val="none" w:sz="0" w:space="0" w:color="auto"/>
        <w:bottom w:val="none" w:sz="0" w:space="0" w:color="auto"/>
        <w:right w:val="none" w:sz="0" w:space="0" w:color="auto"/>
      </w:divBdr>
    </w:div>
    <w:div w:id="1198280606">
      <w:bodyDiv w:val="1"/>
      <w:marLeft w:val="0"/>
      <w:marRight w:val="0"/>
      <w:marTop w:val="0"/>
      <w:marBottom w:val="0"/>
      <w:divBdr>
        <w:top w:val="none" w:sz="0" w:space="0" w:color="auto"/>
        <w:left w:val="none" w:sz="0" w:space="0" w:color="auto"/>
        <w:bottom w:val="none" w:sz="0" w:space="0" w:color="auto"/>
        <w:right w:val="none" w:sz="0" w:space="0" w:color="auto"/>
      </w:divBdr>
    </w:div>
    <w:div w:id="1272280617">
      <w:bodyDiv w:val="1"/>
      <w:marLeft w:val="0"/>
      <w:marRight w:val="0"/>
      <w:marTop w:val="0"/>
      <w:marBottom w:val="0"/>
      <w:divBdr>
        <w:top w:val="none" w:sz="0" w:space="0" w:color="auto"/>
        <w:left w:val="none" w:sz="0" w:space="0" w:color="auto"/>
        <w:bottom w:val="none" w:sz="0" w:space="0" w:color="auto"/>
        <w:right w:val="none" w:sz="0" w:space="0" w:color="auto"/>
      </w:divBdr>
    </w:div>
    <w:div w:id="1406950322">
      <w:bodyDiv w:val="1"/>
      <w:marLeft w:val="0"/>
      <w:marRight w:val="0"/>
      <w:marTop w:val="0"/>
      <w:marBottom w:val="0"/>
      <w:divBdr>
        <w:top w:val="none" w:sz="0" w:space="0" w:color="auto"/>
        <w:left w:val="none" w:sz="0" w:space="0" w:color="auto"/>
        <w:bottom w:val="none" w:sz="0" w:space="0" w:color="auto"/>
        <w:right w:val="none" w:sz="0" w:space="0" w:color="auto"/>
      </w:divBdr>
    </w:div>
    <w:div w:id="1420831916">
      <w:bodyDiv w:val="1"/>
      <w:marLeft w:val="0"/>
      <w:marRight w:val="0"/>
      <w:marTop w:val="0"/>
      <w:marBottom w:val="0"/>
      <w:divBdr>
        <w:top w:val="none" w:sz="0" w:space="0" w:color="auto"/>
        <w:left w:val="none" w:sz="0" w:space="0" w:color="auto"/>
        <w:bottom w:val="none" w:sz="0" w:space="0" w:color="auto"/>
        <w:right w:val="none" w:sz="0" w:space="0" w:color="auto"/>
      </w:divBdr>
    </w:div>
    <w:div w:id="1423408261">
      <w:bodyDiv w:val="1"/>
      <w:marLeft w:val="0"/>
      <w:marRight w:val="0"/>
      <w:marTop w:val="0"/>
      <w:marBottom w:val="0"/>
      <w:divBdr>
        <w:top w:val="none" w:sz="0" w:space="0" w:color="auto"/>
        <w:left w:val="none" w:sz="0" w:space="0" w:color="auto"/>
        <w:bottom w:val="none" w:sz="0" w:space="0" w:color="auto"/>
        <w:right w:val="none" w:sz="0" w:space="0" w:color="auto"/>
      </w:divBdr>
    </w:div>
    <w:div w:id="1496915244">
      <w:bodyDiv w:val="1"/>
      <w:marLeft w:val="0"/>
      <w:marRight w:val="0"/>
      <w:marTop w:val="0"/>
      <w:marBottom w:val="0"/>
      <w:divBdr>
        <w:top w:val="none" w:sz="0" w:space="0" w:color="auto"/>
        <w:left w:val="none" w:sz="0" w:space="0" w:color="auto"/>
        <w:bottom w:val="none" w:sz="0" w:space="0" w:color="auto"/>
        <w:right w:val="none" w:sz="0" w:space="0" w:color="auto"/>
      </w:divBdr>
    </w:div>
    <w:div w:id="1714113857">
      <w:bodyDiv w:val="1"/>
      <w:marLeft w:val="0"/>
      <w:marRight w:val="0"/>
      <w:marTop w:val="0"/>
      <w:marBottom w:val="0"/>
      <w:divBdr>
        <w:top w:val="none" w:sz="0" w:space="0" w:color="auto"/>
        <w:left w:val="none" w:sz="0" w:space="0" w:color="auto"/>
        <w:bottom w:val="none" w:sz="0" w:space="0" w:color="auto"/>
        <w:right w:val="none" w:sz="0" w:space="0" w:color="auto"/>
      </w:divBdr>
    </w:div>
    <w:div w:id="2009405912">
      <w:bodyDiv w:val="1"/>
      <w:marLeft w:val="0"/>
      <w:marRight w:val="0"/>
      <w:marTop w:val="0"/>
      <w:marBottom w:val="0"/>
      <w:divBdr>
        <w:top w:val="none" w:sz="0" w:space="0" w:color="auto"/>
        <w:left w:val="none" w:sz="0" w:space="0" w:color="auto"/>
        <w:bottom w:val="none" w:sz="0" w:space="0" w:color="auto"/>
        <w:right w:val="none" w:sz="0" w:space="0" w:color="auto"/>
      </w:divBdr>
    </w:div>
    <w:div w:id="2015642793">
      <w:bodyDiv w:val="1"/>
      <w:marLeft w:val="0"/>
      <w:marRight w:val="0"/>
      <w:marTop w:val="0"/>
      <w:marBottom w:val="0"/>
      <w:divBdr>
        <w:top w:val="none" w:sz="0" w:space="0" w:color="auto"/>
        <w:left w:val="none" w:sz="0" w:space="0" w:color="auto"/>
        <w:bottom w:val="none" w:sz="0" w:space="0" w:color="auto"/>
        <w:right w:val="none" w:sz="0" w:space="0" w:color="auto"/>
      </w:divBdr>
    </w:div>
    <w:div w:id="2029795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enacted" TargetMode="External"/><Relationship Id="rId13" Type="http://schemas.openxmlformats.org/officeDocument/2006/relationships/hyperlink" Target="https://www.legislation.gov.uk/ukpga/2012/7/contents/enacted" TargetMode="External"/><Relationship Id="rId18" Type="http://schemas.openxmlformats.org/officeDocument/2006/relationships/hyperlink" Target="https://www.skillsforcare.org.uk/Developing-your-workforce/Care-topics/Person-centred-approaches-in-health-and-care/Person-centred-approaches-in-health-and-care.aspx"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uffieldtrust.org.uk/research/integrated-care-for-patients-and-populations-improving-outcomes-by-working-together" TargetMode="External"/><Relationship Id="rId17" Type="http://schemas.openxmlformats.org/officeDocument/2006/relationships/hyperlink" Target="https://www.bgs.org.uk/sites/default/files/content/resources/files/2018-05-04/kf_making_systems_fit.pdf" TargetMode="External"/><Relationship Id="rId2" Type="http://schemas.openxmlformats.org/officeDocument/2006/relationships/numbering" Target="numbering.xml"/><Relationship Id="rId16" Type="http://schemas.openxmlformats.org/officeDocument/2006/relationships/hyperlink" Target="https://behaviourchange.hee.nhs.uk/toolkits/workforce/understanding-behaviour-change" TargetMode="External"/><Relationship Id="rId20" Type="http://schemas.openxmlformats.org/officeDocument/2006/relationships/hyperlink" Target="https://www.who.int/teams/integrated-health-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mls.org.uk/online/wp-content/uploads/2019/07/Understanding-health-and-social-care.pdf" TargetMode="External"/><Relationship Id="rId5" Type="http://schemas.openxmlformats.org/officeDocument/2006/relationships/webSettings" Target="webSettings.xml"/><Relationship Id="rId15" Type="http://schemas.openxmlformats.org/officeDocument/2006/relationships/hyperlink" Target="https://www.legislation.gov.uk/ukpga/1998/42/contents" TargetMode="External"/><Relationship Id="rId23" Type="http://schemas.openxmlformats.org/officeDocument/2006/relationships/theme" Target="theme/theme1.xml"/><Relationship Id="rId10" Type="http://schemas.openxmlformats.org/officeDocument/2006/relationships/hyperlink" Target="https://www.legislation.gov.uk/ukpga/2010/15/contents" TargetMode="External"/><Relationship Id="rId19" Type="http://schemas.openxmlformats.org/officeDocument/2006/relationships/hyperlink" Target="https://www.health.org.uk/resources-and-toolkits/quick-guides/person-centred-care-made-simple" TargetMode="External"/><Relationship Id="rId4" Type="http://schemas.openxmlformats.org/officeDocument/2006/relationships/settings" Target="settings.xml"/><Relationship Id="rId9" Type="http://schemas.openxmlformats.org/officeDocument/2006/relationships/hyperlink" Target="https://www.kingsfund.org.uk/insight-and-analysis/reports/better-services-people-long-term-conditions" TargetMode="External"/><Relationship Id="rId14" Type="http://schemas.openxmlformats.org/officeDocument/2006/relationships/hyperlink" Target="https://www.legislation.gov.uk/ukpga/2022/31/contents/enact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Cou11</b:Tag>
    <b:SourceType>Book</b:SourceType>
    <b:Guid>{03B4C998-A2EF-44F1-94BC-FD05E4B5D630}</b:Guid>
    <b:Title>Engaging Patients in Healthcare</b:Title>
    <b:Year>2011</b:Year>
    <b:Publisher>MC Graw Hill</b:Publisher>
    <b:Edition>1</b:Edition>
    <b:Author>
      <b:Author>
        <b:NameList>
          <b:Person>
            <b:Last>Coulter</b:Last>
            <b:First>Angela </b:First>
          </b:Person>
        </b:NameList>
      </b:Author>
    </b:Author>
    <b:RefOrder>1</b:RefOrder>
  </b:Source>
  <b:Source>
    <b:Tag>Dix13</b:Tag>
    <b:SourceType>Report</b:SourceType>
    <b:Guid>{7959C4B6-1CEF-4E3E-8DAD-2E5E3B4296DE}</b:Guid>
    <b:Title>Delivering better services for people with long-term conditions</b:Title>
    <b:Year>2013</b:Year>
    <b:City>London</b:City>
    <b:Publisher>The King's Fund</b:Publisher>
    <b:Author>
      <b:Author>
        <b:NameList>
          <b:Person>
            <b:Last>Dixon</b:Last>
            <b:First>Anna </b:First>
          </b:Person>
          <b:Person>
            <b:Last>Roberts</b:Last>
            <b:First>Sue </b:First>
          </b:Person>
        </b:NameList>
      </b:Author>
    </b:Author>
    <b:RefOrder>2</b:RefOrder>
  </b:Source>
  <b:Source>
    <b:Tag>Gla17</b:Tag>
    <b:SourceType>DocumentFromInternetSite</b:SourceType>
    <b:Guid>{8A1F79C9-2032-4B22-B32C-17C1FDE4A2D7}</b:Guid>
    <b:Title>Understanding Health and Social Care</b:Title>
    <b:Year>2017</b:Year>
    <b:Month>January</b:Month>
    <b:Day>18</b:Day>
    <b:URL>https://policy.bristoluniversitypress.co.uk/understanding-health-and-social-care</b:URL>
    <b:Author>
      <b:Author>
        <b:NameList>
          <b:Person>
            <b:Last>Glasby</b:Last>
            <b:First>Jon </b:First>
          </b:Person>
        </b:NameList>
      </b:Author>
    </b:Author>
    <b:RefOrder>3</b:RefOrder>
  </b:Source>
  <b:Source>
    <b:Tag>Gla171</b:Tag>
    <b:SourceType>Book</b:SourceType>
    <b:Guid>{7C961C44-DF11-46B6-857C-B58132C77CEE}</b:Guid>
    <b:Title>Understanding Health and Social Care</b:Title>
    <b:Year>2017</b:Year>
    <b:City>Bristol, UK</b:City>
    <b:Publisher>Policy Press</b:Publisher>
    <b:Edition>3</b:Edition>
    <b:Author>
      <b:Author>
        <b:NameList>
          <b:Person>
            <b:Last>Glasby</b:Last>
            <b:First>Jon </b:First>
          </b:Person>
        </b:NameList>
      </b:Author>
    </b:Author>
    <b:RefOrder>4</b:RefOrder>
  </b:Source>
  <b:Source>
    <b:Tag>Nol08</b:Tag>
    <b:SourceType>Book</b:SourceType>
    <b:Guid>{80F95607-7284-49BA-A095-C7FF3A0F5847}</b:Guid>
    <b:Title>Caring for People with Chronic Conditions: A Health System Perspective</b:Title>
    <b:Year>2008</b:Year>
    <b:City>Maidenhead</b:City>
    <b:Publisher>Open University Press</b:Publisher>
    <b:Edition>1</b:Edition>
    <b:Author>
      <b:Author>
        <b:NameList>
          <b:Person>
            <b:Last>Nolte  </b:Last>
            <b:First>Ellen </b:First>
          </b:Person>
          <b:Person>
            <b:Last>McKee</b:Last>
            <b:First>Martin </b:First>
          </b:Person>
        </b:NameList>
      </b:Author>
    </b:Author>
    <b:RefOrder>5</b:RefOrder>
  </b:Source>
  <b:Source>
    <b:Tag>Nic12</b:Tag>
    <b:SourceType>Report</b:SourceType>
    <b:Guid>{B9685D8A-FFDC-428C-81E1-76280989FB33}</b:Guid>
    <b:Title>Integrated Care for Patients and Populations: Improving Outcomes by Working Together</b:Title>
    <b:Year>2012</b:Year>
    <b:City>London</b:City>
    <b:Publisher>The King’s Fund and the Nuffield Trust</b:Publisher>
    <b:Author>
      <b:Author>
        <b:NameList>
          <b:Person>
            <b:Last>al.</b:Last>
            <b:First>Nick</b:First>
            <b:Middle>Goodwin et</b:Middle>
          </b:Person>
        </b:NameList>
      </b:Author>
    </b:Author>
    <b:RefOrder>6</b:RefOrder>
  </b:Source>
  <b:Source>
    <b:Tag>The14</b:Tag>
    <b:SourceType>DocumentFromInternetSite</b:SourceType>
    <b:Guid>{BBB93318-153F-4832-A2A2-F73DBE767729}</b:Guid>
    <b:Title>The Health Foundation</b:Title>
    <b:Year>2014</b:Year>
    <b:URL>https://www.health.org.uk/resources-and-toolkits/quick-guides/person-centred-care-made-simple</b:URL>
    <b:Author>
      <b:Author>
        <b:NameList>
          <b:Person>
            <b:Last>Foundation</b:Last>
            <b:First>The</b:First>
            <b:Middle>Health</b:Middle>
          </b:Person>
        </b:NameList>
      </b:Author>
    </b:Author>
    <b:Month>October</b:Month>
    <b:Day>1</b:Day>
    <b:RefOrder>7</b:RefOrder>
  </b:Source>
  <b:Source>
    <b:Tag>NHS25</b:Tag>
    <b:SourceType>InternetSite</b:SourceType>
    <b:Guid>{7DAD3C6A-A419-41F7-82B3-A5F5AA9B151B}</b:Guid>
    <b:Title>Health Education England – Behaviour Change Toolkit</b:Title>
    <b:Year>2025</b:Year>
    <b:URL>https://behaviourchange.hee.nhs.uk/toolkits/workforce/understanding-behaviour-change</b:URL>
    <b:Author>
      <b:Author>
        <b:NameList>
          <b:Person>
            <b:Last>England</b:Last>
            <b:First>NHS</b:First>
          </b:Person>
        </b:NameList>
      </b:Author>
    </b:Author>
    <b:RefOrder>8</b:RefOrder>
  </b:Source>
  <b:Source>
    <b:Tag>Ski21</b:Tag>
    <b:SourceType>InternetSite</b:SourceType>
    <b:Guid>{B874BA61-6498-4E64-905E-074DF19A73DD}</b:Guid>
    <b:Author>
      <b:Author>
        <b:NameList>
          <b:Person>
            <b:Last>Care</b:Last>
            <b:First>Skills</b:First>
            <b:Middle>for</b:Middle>
          </b:Person>
        </b:NameList>
      </b:Author>
    </b:Author>
    <b:Title>Skills for Care</b:Title>
    <b:Year>2021</b:Year>
    <b:URL>https://www.skillsforcare.org.uk/Developing-your-workforce/Care-topics/Person-centred-approaches-in-health-and-care/Person-centred-approaches-in-health-and-care.aspx#:~:text=Person%2Dcentred%20approaches%20core%20skills,taken%20part%20in%20their%20develop</b:URL>
    <b:RefOrder>9</b:RefOrder>
  </b:Source>
  <b:Source>
    <b:Tag>Oli14</b:Tag>
    <b:SourceType>Report</b:SourceType>
    <b:Guid>{149E0E66-359A-418E-AF68-A3ACD93FABE2}</b:Guid>
    <b:Title>Making our health and care systems fit for an ageing population</b:Title>
    <b:Year>2014</b:Year>
    <b:Publisher>The King’s Fund, </b:Publisher>
    <b:City>London, UK</b:City>
    <b:Author>
      <b:Author>
        <b:NameList>
          <b:Person>
            <b:Last>Oliver</b:Last>
            <b:First>David </b:First>
          </b:Person>
          <b:Person>
            <b:Last> Foot</b:Last>
            <b:First>Catherine</b:First>
          </b:Person>
          <b:Person>
            <b:Last>Humphrie</b:Last>
            <b:First>Richard </b:First>
          </b:Person>
        </b:NameList>
      </b:Author>
    </b:Author>
    <b:RefOrder>10</b:RefOrder>
  </b:Source>
</b:Sources>
</file>

<file path=customXml/itemProps1.xml><?xml version="1.0" encoding="utf-8"?>
<ds:datastoreItem xmlns:ds="http://schemas.openxmlformats.org/officeDocument/2006/customXml" ds:itemID="{B95C53B7-60BC-42C0-A9C0-77E4FE53F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3635</Words>
  <Characters>20722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Abidah Bashir</dc:creator>
  <cp:keywords/>
  <dc:description/>
  <cp:lastModifiedBy>Adibah Bashir</cp:lastModifiedBy>
  <cp:revision>6</cp:revision>
  <dcterms:created xsi:type="dcterms:W3CDTF">2026-03-28T12:37:00Z</dcterms:created>
  <dcterms:modified xsi:type="dcterms:W3CDTF">2026-03-28T12:45:00Z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a43e51c7-dae8-4e63-b389-e66c6b29f5bf</vt:lpwstr>
  </property>
</Properties>
</file>