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02A022" w14:textId="3A48C2AE" w:rsidR="00504D85" w:rsidRDefault="0024134C">
      <w:pPr>
        <w:rPr>
          <w:b/>
          <w:bCs/>
          <w:u w:val="single"/>
        </w:rPr>
      </w:pPr>
      <w:r>
        <w:rPr>
          <w:b/>
          <w:bCs/>
          <w:u w:val="single"/>
        </w:rPr>
        <w:t>Essay 1</w:t>
      </w:r>
    </w:p>
    <w:p w14:paraId="5A02C6E9" w14:textId="7E7E70C1" w:rsidR="0024134C" w:rsidRDefault="0024134C">
      <w:r>
        <w:t>The opening statement for this essay is “Inclusion is increasingly recognised as essential to support and achieve diversity improvement” therefore this essay will about organisational culture and how it affects the work place.</w:t>
      </w:r>
      <w:r w:rsidR="005E7A0F">
        <w:t xml:space="preserve"> I do agree that the more inclusive an organisation is the more diverse it becomes.</w:t>
      </w:r>
    </w:p>
    <w:p w14:paraId="28F43B2C" w14:textId="21DBD2C4" w:rsidR="0024134C" w:rsidRDefault="00126758">
      <w:r>
        <w:t>Organisational culture is the common belief and census within an organisation which drives or helps to drive the work ethos along with affecting the individuals who work within the organisation and how they approach the work place</w:t>
      </w:r>
      <w:r w:rsidR="00B95814">
        <w:t>, as well as who actually works for the organisation</w:t>
      </w:r>
      <w:r>
        <w:t xml:space="preserve">. The affect can be positive or negative. In the past the police </w:t>
      </w:r>
      <w:r w:rsidR="00E87701">
        <w:t>were</w:t>
      </w:r>
      <w:r>
        <w:t xml:space="preserve"> considered to have had quiet a negative or narrow organisational culture by modern standards. Police work forces were predominantly made of white straight men with very few females or other people of minority ethnicities or sexualities. </w:t>
      </w:r>
      <w:sdt>
        <w:sdtPr>
          <w:id w:val="-2035186133"/>
          <w:citation/>
        </w:sdtPr>
        <w:sdtEndPr/>
        <w:sdtContent>
          <w:r w:rsidR="00220E5B">
            <w:fldChar w:fldCharType="begin"/>
          </w:r>
          <w:r w:rsidR="00220E5B">
            <w:instrText xml:space="preserve"> CITATION col221 \l 2057 </w:instrText>
          </w:r>
          <w:r w:rsidR="00220E5B">
            <w:fldChar w:fldCharType="separate"/>
          </w:r>
          <w:r w:rsidR="00AE5FDC">
            <w:rPr>
              <w:noProof/>
            </w:rPr>
            <w:t>(policing, culture and capacity, 2022)</w:t>
          </w:r>
          <w:r w:rsidR="00220E5B">
            <w:fldChar w:fldCharType="end"/>
          </w:r>
        </w:sdtContent>
      </w:sdt>
    </w:p>
    <w:p w14:paraId="117F6A79" w14:textId="7F9B57C4" w:rsidR="00126758" w:rsidRDefault="00126758">
      <w:r>
        <w:t>This led to an imbalanced workforce in relation to diversity</w:t>
      </w:r>
      <w:r w:rsidR="00ED20FB">
        <w:t xml:space="preserve"> which as</w:t>
      </w:r>
      <w:r w:rsidR="005E7A0F">
        <w:t xml:space="preserve"> a</w:t>
      </w:r>
      <w:r w:rsidR="00ED20FB">
        <w:t xml:space="preserve"> vicious cycle only encouraged more white straight males to join the organisation and less women or people of minority ethic groups or minority sexualities</w:t>
      </w:r>
      <w:r w:rsidR="00B95814">
        <w:t xml:space="preserve"> as it was seen as a job that they were not suited to</w:t>
      </w:r>
      <w:r w:rsidR="00E87701">
        <w:t xml:space="preserve"> or accepted in</w:t>
      </w:r>
      <w:r w:rsidR="00ED20FB">
        <w:t>. This also created a culture where misogynistic and discriminatory behaviour was more common, or perceived to be more common within the workplace</w:t>
      </w:r>
      <w:r w:rsidR="005E7A0F">
        <w:t xml:space="preserve"> among staff and when dealing with the public.</w:t>
      </w:r>
      <w:r w:rsidR="00B95814">
        <w:t xml:space="preserve"> This is partly what caused the discouragement on the behalf of minorities to join the police and therefore</w:t>
      </w:r>
      <w:r w:rsidR="005E7A0F">
        <w:t xml:space="preserve"> was not deemed to be an inclusive environment. </w:t>
      </w:r>
    </w:p>
    <w:p w14:paraId="181E8758" w14:textId="72E84115" w:rsidR="00B95814" w:rsidRDefault="00B95814">
      <w:r>
        <w:t>In this day and age the police force encourages a wider range of people to join the organisation to maintain a more balanced work force culture which could in turn prevent a culture that was experienced in the past and could create one that is more diverse</w:t>
      </w:r>
      <w:r w:rsidR="00E87701">
        <w:t xml:space="preserve">, more supportive of differences, </w:t>
      </w:r>
      <w:r>
        <w:t xml:space="preserve"> and less discriminatory, which further encourages more minorities to join.</w:t>
      </w:r>
    </w:p>
    <w:p w14:paraId="287AF840" w14:textId="3F6F5A92" w:rsidR="00BC7972" w:rsidRDefault="00BC7972">
      <w:r>
        <w:t xml:space="preserve">In the past the police have been criticised and found to be discriminatory in relation to the stop search of black males. The statistic that this is based on was not helped by the organisation at the time that severely lacked diversity which propelled the public perception that all police officers were racist. </w:t>
      </w:r>
    </w:p>
    <w:p w14:paraId="5FF21BC8" w14:textId="1F9B43C0" w:rsidR="00756BA9" w:rsidRDefault="00756BA9">
      <w:r>
        <w:t xml:space="preserve">Another problem the metropolitan police in particular faced was the death of a black male by the name of Stephen Lawrence. The force were deemed to not have carried out a fair and reasonable investigation due to the victim being a black male. Again this belief was propelled by the lack of diversity within the organisation. </w:t>
      </w:r>
      <w:sdt>
        <w:sdtPr>
          <w:id w:val="329494346"/>
          <w:citation/>
        </w:sdtPr>
        <w:sdtEndPr/>
        <w:sdtContent>
          <w:r w:rsidR="00220E5B">
            <w:fldChar w:fldCharType="begin"/>
          </w:r>
          <w:r w:rsidR="00220E5B">
            <w:instrText xml:space="preserve"> CITATION Lul23 \l 2057 </w:instrText>
          </w:r>
          <w:r w:rsidR="00220E5B">
            <w:fldChar w:fldCharType="separate"/>
          </w:r>
          <w:r w:rsidR="00AE5FDC">
            <w:rPr>
              <w:noProof/>
            </w:rPr>
            <w:t>(Nickolls, 2023)</w:t>
          </w:r>
          <w:r w:rsidR="00220E5B">
            <w:fldChar w:fldCharType="end"/>
          </w:r>
        </w:sdtContent>
      </w:sdt>
    </w:p>
    <w:p w14:paraId="008C78EA" w14:textId="72FD3DC4" w:rsidR="009573A8" w:rsidRDefault="009573A8">
      <w:r>
        <w:t>Sadiya Akram states that although having a diverse workforce will not necessarily stamp out racism and discrimination completely, as that tends to be more of a “Bad apple individual” to be rooted out, it does in still a better public perception which can lead to less criticism, with more minority groups having a nicer view of the police which can make it more likely for said groups to</w:t>
      </w:r>
      <w:r w:rsidR="00CB278A">
        <w:t xml:space="preserve"> possibly join the police. </w:t>
      </w:r>
      <w:sdt>
        <w:sdtPr>
          <w:id w:val="964156865"/>
          <w:citation/>
        </w:sdtPr>
        <w:sdtEndPr/>
        <w:sdtContent>
          <w:r w:rsidR="00490546">
            <w:fldChar w:fldCharType="begin"/>
          </w:r>
          <w:r w:rsidR="00490546">
            <w:instrText xml:space="preserve"> CITATION Akr22 \l 2057 </w:instrText>
          </w:r>
          <w:r w:rsidR="00490546">
            <w:fldChar w:fldCharType="separate"/>
          </w:r>
          <w:r w:rsidR="00AE5FDC">
            <w:rPr>
              <w:noProof/>
            </w:rPr>
            <w:t>(Akram, 2022)</w:t>
          </w:r>
          <w:r w:rsidR="00490546">
            <w:fldChar w:fldCharType="end"/>
          </w:r>
        </w:sdtContent>
      </w:sdt>
    </w:p>
    <w:p w14:paraId="2DB4803A" w14:textId="587EFA6A" w:rsidR="00CB278A" w:rsidRDefault="00CB278A">
      <w:r>
        <w:t xml:space="preserve">Organisational diversity can also be encouraged through positive discrimination. This is when as discussed above an organisation is lacking a particular demographic so the organisation will aim to employ more people of the said demographic as opposed to the majority that they already employ. This is an employment strategy utilised by organisations in this day and age to help combat the imbalanced work forces. </w:t>
      </w:r>
    </w:p>
    <w:p w14:paraId="09F1BBE5" w14:textId="639D68C6" w:rsidR="008B7A57" w:rsidRDefault="00F72045">
      <w:r>
        <w:t xml:space="preserve">However Durham University conducted research which suggested that solely employing a more diverse workforce to address social inequalities did not directly make the work place more inclusive </w:t>
      </w:r>
      <w:r>
        <w:lastRenderedPageBreak/>
        <w:t>and that the place had to be more inclusive in it’s views and approaches to the minorities. Given the fact that during the study</w:t>
      </w:r>
      <w:r w:rsidR="008B7A57">
        <w:t xml:space="preserve"> the work places recognised this and actively learnt from the minorities they employed and actively became more inclusive and understanding to the individuals, the said individuals did feel more included and part of the organisation. </w:t>
      </w:r>
      <w:sdt>
        <w:sdtPr>
          <w:id w:val="1929384719"/>
          <w:citation/>
        </w:sdtPr>
        <w:sdtEndPr/>
        <w:sdtContent>
          <w:r w:rsidR="00490546">
            <w:fldChar w:fldCharType="begin"/>
          </w:r>
          <w:r w:rsidR="00490546">
            <w:instrText xml:space="preserve"> CITATION Dur19 \l 2057 </w:instrText>
          </w:r>
          <w:r w:rsidR="00490546">
            <w:fldChar w:fldCharType="separate"/>
          </w:r>
          <w:r w:rsidR="00AE5FDC">
            <w:rPr>
              <w:noProof/>
            </w:rPr>
            <w:t>(university, 2019)</w:t>
          </w:r>
          <w:r w:rsidR="00490546">
            <w:fldChar w:fldCharType="end"/>
          </w:r>
        </w:sdtContent>
      </w:sdt>
    </w:p>
    <w:p w14:paraId="0C91DFDE" w14:textId="3CCC7001" w:rsidR="00F72045" w:rsidRDefault="008B7A57">
      <w:r>
        <w:t xml:space="preserve">Even though the addition of these people alone did not make the environment more inclusive it could subsequently do so as if people are feeling happier and more accepted at a particular work place then they will be more likely to encourage the same to others. </w:t>
      </w:r>
    </w:p>
    <w:p w14:paraId="59916BAD" w14:textId="2550342E" w:rsidR="004A3B9A" w:rsidRDefault="00490546">
      <w:r>
        <w:t>To back up Durham’s findings,</w:t>
      </w:r>
      <w:r w:rsidR="004A3B9A">
        <w:t xml:space="preserve"> Ireni Zempi conducted research where previous police officers who were victims of bias and prejudice in the work place due to their minority status. Th</w:t>
      </w:r>
      <w:r w:rsidR="00E87701">
        <w:t>e research displayed</w:t>
      </w:r>
      <w:r w:rsidR="004A3B9A">
        <w:t xml:space="preserve"> that even though police forces have come a long way in terms of employing more people who come from under</w:t>
      </w:r>
      <w:r w:rsidR="00E87701">
        <w:t xml:space="preserve">represented backgrounds compared to the past discrimination still takes place despite having a more diverse force. </w:t>
      </w:r>
      <w:sdt>
        <w:sdtPr>
          <w:id w:val="-431823942"/>
          <w:citation/>
        </w:sdtPr>
        <w:sdtEndPr/>
        <w:sdtContent>
          <w:r w:rsidR="0009672E">
            <w:fldChar w:fldCharType="begin"/>
          </w:r>
          <w:r w:rsidR="0009672E">
            <w:instrText xml:space="preserve"> CITATION Ire20 \l 2057 </w:instrText>
          </w:r>
          <w:r w:rsidR="0009672E">
            <w:fldChar w:fldCharType="separate"/>
          </w:r>
          <w:r w:rsidR="00AE5FDC">
            <w:rPr>
              <w:noProof/>
            </w:rPr>
            <w:t>(Zempi, 2020)</w:t>
          </w:r>
          <w:r w:rsidR="0009672E">
            <w:fldChar w:fldCharType="end"/>
          </w:r>
        </w:sdtContent>
      </w:sdt>
    </w:p>
    <w:p w14:paraId="32D08FD9" w14:textId="329E60BD" w:rsidR="00E87701" w:rsidRDefault="00E87701">
      <w:r>
        <w:t>Once again this suggests that employing a more diverse work force alone is not enough to make an organisation more inclusive, but the decrease in discrimination does display that it is a step in the right direction.</w:t>
      </w:r>
    </w:p>
    <w:p w14:paraId="7F40956A" w14:textId="2A7BF945" w:rsidR="00EB070D" w:rsidRDefault="00EB070D">
      <w:r>
        <w:t>Joe</w:t>
      </w:r>
      <w:r w:rsidR="0009672E">
        <w:t>l</w:t>
      </w:r>
      <w:r>
        <w:t xml:space="preserve"> Miller and others </w:t>
      </w:r>
      <w:r w:rsidR="00DB0F87">
        <w:t>also theorised</w:t>
      </w:r>
      <w:r>
        <w:t xml:space="preserve"> that purely being more inclusive, understanding and having a better knowledge of how to carry out their duty makes a workforce more inclusive regardless of race or ethnicity</w:t>
      </w:r>
      <w:r w:rsidR="00DB0F87">
        <w:t>, in relation to the amount of stop searches of black males. However the study found that the one day training had little to no affect on the statistics</w:t>
      </w:r>
      <w:r w:rsidR="004A3B9A">
        <w:t xml:space="preserve"> of the stop searches.</w:t>
      </w:r>
      <w:sdt>
        <w:sdtPr>
          <w:id w:val="1101526632"/>
          <w:citation/>
        </w:sdtPr>
        <w:sdtEndPr/>
        <w:sdtContent>
          <w:r w:rsidR="0009672E">
            <w:fldChar w:fldCharType="begin"/>
          </w:r>
          <w:r w:rsidR="0009672E">
            <w:instrText xml:space="preserve"> CITATION Joe20 \l 2057 </w:instrText>
          </w:r>
          <w:r w:rsidR="0009672E">
            <w:fldChar w:fldCharType="separate"/>
          </w:r>
          <w:r w:rsidR="00AE5FDC">
            <w:rPr>
              <w:noProof/>
            </w:rPr>
            <w:t xml:space="preserve"> (al J. M., 2020)</w:t>
          </w:r>
          <w:r w:rsidR="0009672E">
            <w:fldChar w:fldCharType="end"/>
          </w:r>
        </w:sdtContent>
      </w:sdt>
    </w:p>
    <w:p w14:paraId="4D0B2137" w14:textId="6AE24B8F" w:rsidR="00DB0F87" w:rsidRDefault="00DB0F87">
      <w:r>
        <w:t>This suggests that for a work force to be more inclusive there needs to be more than</w:t>
      </w:r>
      <w:r w:rsidR="004A3B9A">
        <w:t xml:space="preserve"> just inclusive action or more in depth inclusive action than just one days worth of training. </w:t>
      </w:r>
    </w:p>
    <w:p w14:paraId="4A29A143" w14:textId="6B25F1AD" w:rsidR="001F3CF8" w:rsidRDefault="001F3CF8">
      <w:r>
        <w:t xml:space="preserve">In conclusion I still believe that inclusivity is an integral part of creating a diverse work force. This has been highlighted in the various studies as diversity alone through employment has not been adequate. </w:t>
      </w:r>
    </w:p>
    <w:p w14:paraId="6F77D48A" w14:textId="77777777" w:rsidR="00CC3FBB" w:rsidRDefault="00CC3FBB"/>
    <w:p w14:paraId="1DB24B34" w14:textId="3CC57C86" w:rsidR="00CC3FBB" w:rsidRDefault="00CC3FBB">
      <w:pPr>
        <w:rPr>
          <w:b/>
          <w:bCs/>
        </w:rPr>
      </w:pPr>
      <w:r>
        <w:rPr>
          <w:b/>
          <w:bCs/>
        </w:rPr>
        <w:t>Word count: 939</w:t>
      </w:r>
    </w:p>
    <w:p w14:paraId="5FF19E67" w14:textId="77777777" w:rsidR="00CC3FBB" w:rsidRDefault="00CC3FBB">
      <w:pPr>
        <w:rPr>
          <w:b/>
          <w:bCs/>
        </w:rPr>
      </w:pPr>
    </w:p>
    <w:p w14:paraId="414EB479" w14:textId="02C468C8" w:rsidR="00CC3FBB" w:rsidRDefault="00CC3FBB">
      <w:pPr>
        <w:rPr>
          <w:b/>
          <w:bCs/>
          <w:u w:val="single"/>
        </w:rPr>
      </w:pPr>
      <w:r>
        <w:rPr>
          <w:b/>
          <w:bCs/>
          <w:u w:val="single"/>
        </w:rPr>
        <w:t>Essay 2 – Response policing, evaluating the role of response officers in dealing with critical/major incidents</w:t>
      </w:r>
    </w:p>
    <w:p w14:paraId="152C019D" w14:textId="771E6796" w:rsidR="00CC3FBB" w:rsidRDefault="00CC3FBB">
      <w:r>
        <w:t xml:space="preserve">In this essay I will be explaining and </w:t>
      </w:r>
      <w:r w:rsidR="00B055F3">
        <w:t xml:space="preserve">evaluating the role that response officers have in relation to major and critical incidents. </w:t>
      </w:r>
    </w:p>
    <w:p w14:paraId="3867FD24" w14:textId="77777777" w:rsidR="008A4C49" w:rsidRDefault="00B055F3">
      <w:r>
        <w:t>Firstly a major incident is defined by the college of policing as “</w:t>
      </w:r>
      <w:r>
        <w:rPr>
          <w:i/>
          <w:iCs/>
        </w:rPr>
        <w:t xml:space="preserve">An event or situation with a range of serious consequences which requires special arrangements to be implemented by one or more emergency responder agency”. </w:t>
      </w:r>
      <w:r>
        <w:t>In short an incident which requires an emergency response from one or more emergency service organisations. An example of this could be a car accident where a car has caught fire. The police would be required as there could possibly be a traffic related offence causing the accident, paramedics maybe required due to possible injuries, and the fire service would be required due to the car being on fire.</w:t>
      </w:r>
    </w:p>
    <w:p w14:paraId="130AC14C" w14:textId="4D686142" w:rsidR="00B055F3" w:rsidRDefault="00B055F3">
      <w:r>
        <w:t>A critical incident is defined by the college of policing as “</w:t>
      </w:r>
      <w:r>
        <w:rPr>
          <w:i/>
          <w:iCs/>
        </w:rPr>
        <w:t xml:space="preserve">Any incident where the effectiveness of the police response is likely to have </w:t>
      </w:r>
      <w:r w:rsidR="008C3E7B">
        <w:rPr>
          <w:i/>
          <w:iCs/>
        </w:rPr>
        <w:t xml:space="preserve">a significant impact on the confidence of the victim, their family and/or the community”. </w:t>
      </w:r>
      <w:r w:rsidR="008C3E7B">
        <w:t xml:space="preserve">This essentially means that any incident where the response and work ethic </w:t>
      </w:r>
      <w:r w:rsidR="008C3E7B">
        <w:lastRenderedPageBreak/>
        <w:t xml:space="preserve">of the police could be heavily scrutinised resulting in the name of the organisation being in jeopardy. Sticking with the same car crash example above, it could be deemed a critical incident if one of the drivers died and his death was the result of the other driver driving under the influence of alcohol. Due to the circumstances all and every effort would have to be made I terms of carrying out an effective and thorough investigation as to what cased the death of the driver to firstly; carry out a just procedure but also to maintain public faith within the police as the serious nature of the circumstances would draw more attention from the public than a more common car accident that did not result in a death. </w:t>
      </w:r>
    </w:p>
    <w:p w14:paraId="48FA47C3" w14:textId="611F5A1C" w:rsidR="00653881" w:rsidRDefault="00AE5FDC">
      <w:sdt>
        <w:sdtPr>
          <w:id w:val="1090669078"/>
          <w:citation/>
        </w:sdtPr>
        <w:sdtEndPr/>
        <w:sdtContent>
          <w:r w:rsidR="00653881">
            <w:fldChar w:fldCharType="begin"/>
          </w:r>
          <w:r w:rsidR="00653881">
            <w:instrText xml:space="preserve"> CITATION col235 \l 2057 </w:instrText>
          </w:r>
          <w:r w:rsidR="00653881">
            <w:fldChar w:fldCharType="separate"/>
          </w:r>
          <w:r>
            <w:rPr>
              <w:noProof/>
            </w:rPr>
            <w:t>(policing, college of policing, 2023)</w:t>
          </w:r>
          <w:r w:rsidR="00653881">
            <w:fldChar w:fldCharType="end"/>
          </w:r>
        </w:sdtContent>
      </w:sdt>
    </w:p>
    <w:p w14:paraId="751A9A94" w14:textId="4E8F41D1" w:rsidR="008A4C49" w:rsidRDefault="008A4C49">
      <w:r>
        <w:t>Response officers primarily respond to emergency calls in uniform so play a vital role in both of these types of incidents.</w:t>
      </w:r>
    </w:p>
    <w:p w14:paraId="0924BD69" w14:textId="71CEC48C" w:rsidR="00A25E48" w:rsidRDefault="008A4C49">
      <w:r>
        <w:t xml:space="preserve">Obviously a part of being effective at a critical or major incident is making the correct decisions at the correct times to minimise casualties, victims and negative public perception. </w:t>
      </w:r>
      <w:r w:rsidR="00CE28D0">
        <w:t>As stated by Roycroft this decision making is done by using the national decision making model. The stages of this are broken down into gathering the information available at the time, assessing risk at the time of the incident in light of the information, consider</w:t>
      </w:r>
      <w:r w:rsidR="00A25E48">
        <w:t>ing</w:t>
      </w:r>
      <w:r w:rsidR="00CE28D0">
        <w:t xml:space="preserve"> the </w:t>
      </w:r>
      <w:r w:rsidR="00A25E48">
        <w:t xml:space="preserve">relevant </w:t>
      </w:r>
      <w:r w:rsidR="00CE28D0">
        <w:t xml:space="preserve">powers and policies that are at the disposal of the police at that time, identify possible options and contingency plans to combat the situation, and then acting on all of the above, reviewing the outcome and deciding if more action is required and if so what in light of any new information, </w:t>
      </w:r>
      <w:r w:rsidR="00A25E48">
        <w:t>in</w:t>
      </w:r>
      <w:r w:rsidR="00CE28D0">
        <w:t xml:space="preserve"> turn recycling the national decision model.</w:t>
      </w:r>
      <w:r w:rsidR="00653881">
        <w:t xml:space="preserve"> </w:t>
      </w:r>
      <w:sdt>
        <w:sdtPr>
          <w:id w:val="244230415"/>
          <w:citation/>
        </w:sdtPr>
        <w:sdtEndPr/>
        <w:sdtContent>
          <w:r w:rsidR="00653881">
            <w:fldChar w:fldCharType="begin"/>
          </w:r>
          <w:r w:rsidR="00653881">
            <w:instrText xml:space="preserve"> CITATION Mar19 \l 2057 </w:instrText>
          </w:r>
          <w:r w:rsidR="00653881">
            <w:fldChar w:fldCharType="separate"/>
          </w:r>
          <w:r w:rsidR="00AE5FDC">
            <w:rPr>
              <w:noProof/>
            </w:rPr>
            <w:t>(Roach, 2019)</w:t>
          </w:r>
          <w:r w:rsidR="00653881">
            <w:fldChar w:fldCharType="end"/>
          </w:r>
        </w:sdtContent>
      </w:sdt>
    </w:p>
    <w:p w14:paraId="2DC12E49" w14:textId="53EA73E1" w:rsidR="000A7E41" w:rsidRDefault="000A7E41">
      <w:r>
        <w:t>Major incidents also have an element of communication</w:t>
      </w:r>
      <w:r w:rsidR="00331E17">
        <w:t xml:space="preserve"> between co-working emergency organisations</w:t>
      </w:r>
      <w:r>
        <w:t xml:space="preserve"> a</w:t>
      </w:r>
      <w:r w:rsidR="00331E17">
        <w:t>swell</w:t>
      </w:r>
      <w:r>
        <w:t xml:space="preserve"> but this</w:t>
      </w:r>
      <w:r w:rsidR="00331E17">
        <w:t xml:space="preserve"> links in with the national decision model.</w:t>
      </w:r>
    </w:p>
    <w:p w14:paraId="7C677255" w14:textId="17D14256" w:rsidR="008A4C49" w:rsidRDefault="00A25E48">
      <w:r>
        <w:t>In theory this works very well</w:t>
      </w:r>
      <w:r w:rsidR="00CE28D0">
        <w:t xml:space="preserve"> </w:t>
      </w:r>
      <w:r>
        <w:t xml:space="preserve">as it is an evolving decision making strategy meaning that it </w:t>
      </w:r>
      <w:r w:rsidR="00B7246C">
        <w:t xml:space="preserve">allows </w:t>
      </w:r>
      <w:r>
        <w:t xml:space="preserve">for contingencies and alteration should the situation change and a different strategy be required, and it does work in the field however there are downfalls. </w:t>
      </w:r>
    </w:p>
    <w:p w14:paraId="2300F32D" w14:textId="0F6EEC2B" w:rsidR="00A25E48" w:rsidRDefault="00A25E48">
      <w:r>
        <w:t xml:space="preserve">Decision making and cognitive thinking can be impacted very harshly or very positively by an individual’s mental health </w:t>
      </w:r>
      <w:r w:rsidR="00A10C08">
        <w:t>i</w:t>
      </w:r>
      <w:r>
        <w:t xml:space="preserve">n terms of suffering with their mental health. </w:t>
      </w:r>
      <w:r w:rsidR="00A10C08">
        <w:t xml:space="preserve">Ricardo Caeceda and others have found and supported this. </w:t>
      </w:r>
      <w:sdt>
        <w:sdtPr>
          <w:id w:val="-387196243"/>
          <w:citation/>
        </w:sdtPr>
        <w:sdtEndPr/>
        <w:sdtContent>
          <w:r w:rsidR="00653881">
            <w:fldChar w:fldCharType="begin"/>
          </w:r>
          <w:r w:rsidR="00653881">
            <w:instrText xml:space="preserve"> CITATION Ric14 \l 2057 </w:instrText>
          </w:r>
          <w:r w:rsidR="00653881">
            <w:fldChar w:fldCharType="separate"/>
          </w:r>
          <w:r w:rsidR="00AE5FDC">
            <w:rPr>
              <w:noProof/>
            </w:rPr>
            <w:t>(Ricardo Caceda, 2014)</w:t>
          </w:r>
          <w:r w:rsidR="00653881">
            <w:fldChar w:fldCharType="end"/>
          </w:r>
        </w:sdtContent>
      </w:sdt>
    </w:p>
    <w:p w14:paraId="3DC33B64" w14:textId="25E0FF09" w:rsidR="00A10C08" w:rsidRDefault="00A10C08">
      <w:r>
        <w:t>While bearing this in mind Patricia Jackman and others also conducted a study that revealed that operational police officers reported to be suffering with high levels of stress within the work place. Over time or in large quantities this stress can lead to a negative impact on an individual’s mental health, thus impacting the decisions th</w:t>
      </w:r>
      <w:r w:rsidR="00B7246C">
        <w:t>ose</w:t>
      </w:r>
      <w:r>
        <w:t xml:space="preserve"> officers make in the field</w:t>
      </w:r>
      <w:r w:rsidR="00984F97">
        <w:t>.</w:t>
      </w:r>
    </w:p>
    <w:p w14:paraId="32792994" w14:textId="4DFA0F0D" w:rsidR="00C71D79" w:rsidRDefault="00984F97">
      <w:r>
        <w:t>Jackman also concluded that they believed that the cause of this stress has been linked to funding cuts and staff shortages increasing the workload placed on individual officers.</w:t>
      </w:r>
      <w:r w:rsidR="00A1360C">
        <w:t xml:space="preserve"> </w:t>
      </w:r>
      <w:sdt>
        <w:sdtPr>
          <w:id w:val="-1124545027"/>
          <w:citation/>
        </w:sdtPr>
        <w:sdtEndPr/>
        <w:sdtContent>
          <w:r w:rsidR="00A1360C">
            <w:fldChar w:fldCharType="begin"/>
          </w:r>
          <w:r w:rsidR="00A1360C">
            <w:instrText xml:space="preserve"> CITATION Pat20 \l 2057 </w:instrText>
          </w:r>
          <w:r w:rsidR="00A1360C">
            <w:fldChar w:fldCharType="separate"/>
          </w:r>
          <w:r w:rsidR="00AE5FDC">
            <w:rPr>
              <w:noProof/>
            </w:rPr>
            <w:t>(al P. J., 2020)</w:t>
          </w:r>
          <w:r w:rsidR="00A1360C">
            <w:fldChar w:fldCharType="end"/>
          </w:r>
        </w:sdtContent>
      </w:sdt>
    </w:p>
    <w:p w14:paraId="12278ADB" w14:textId="329C377E" w:rsidR="00B7246C" w:rsidRDefault="00984F97">
      <w:r>
        <w:t xml:space="preserve"> However another stressor that could strongly contribute to a decline in officer</w:t>
      </w:r>
      <w:r w:rsidR="00B7246C">
        <w:t>’</w:t>
      </w:r>
      <w:r>
        <w:t>s mental health or</w:t>
      </w:r>
      <w:r w:rsidR="00C71D79">
        <w:t xml:space="preserve"> effective decision making, </w:t>
      </w:r>
      <w:r w:rsidR="00B7246C">
        <w:t xml:space="preserve">is </w:t>
      </w:r>
      <w:r>
        <w:t xml:space="preserve">a large amount of stress in a short time on an officer </w:t>
      </w:r>
      <w:r w:rsidR="00B7246C">
        <w:t>at</w:t>
      </w:r>
      <w:r>
        <w:t xml:space="preserve"> critical incidents and traumatic events. This was found by Tina B Craddock and Grace Telesco.</w:t>
      </w:r>
      <w:r w:rsidR="00B7246C" w:rsidRPr="00B7246C">
        <w:t xml:space="preserve"> </w:t>
      </w:r>
      <w:sdt>
        <w:sdtPr>
          <w:id w:val="765431092"/>
          <w:citation/>
        </w:sdtPr>
        <w:sdtEndPr/>
        <w:sdtContent>
          <w:r w:rsidR="00A1360C">
            <w:fldChar w:fldCharType="begin"/>
          </w:r>
          <w:r w:rsidR="00A1360C">
            <w:rPr>
              <w:rStyle w:val="Hyperlink"/>
            </w:rPr>
            <w:instrText xml:space="preserve"> CITATION Tin21 \l 2057 </w:instrText>
          </w:r>
          <w:r w:rsidR="00A1360C">
            <w:fldChar w:fldCharType="separate"/>
          </w:r>
          <w:r w:rsidR="00AE5FDC" w:rsidRPr="00AE5FDC">
            <w:rPr>
              <w:noProof/>
              <w:color w:val="0000FF"/>
            </w:rPr>
            <w:t>(Telesco, 2021)</w:t>
          </w:r>
          <w:r w:rsidR="00A1360C">
            <w:fldChar w:fldCharType="end"/>
          </w:r>
        </w:sdtContent>
      </w:sdt>
      <w:r w:rsidR="00B7246C">
        <w:t xml:space="preserve"> </w:t>
      </w:r>
      <w:r w:rsidR="000A7E41">
        <w:t xml:space="preserve">This is also supported by Louise Watson and Leanne Andrews. </w:t>
      </w:r>
      <w:r w:rsidR="00C71D79">
        <w:t xml:space="preserve"> Obviously this means that the sheer gravity of the event can impact an individuals ability to make the best decision compared to making a decision at an incident that holds much less significance. As already stated this ineffective decision making can result in a negative public perception or mismanagement of the situation. </w:t>
      </w:r>
    </w:p>
    <w:p w14:paraId="799F2CCB" w14:textId="5701C413" w:rsidR="00B7246C" w:rsidRDefault="00B7246C">
      <w:r>
        <w:lastRenderedPageBreak/>
        <w:t>Clearly officer’s being in the correct state of mind has a very large bearing on how effective they can be at a major or critical incident</w:t>
      </w:r>
      <w:r w:rsidR="000A7E41">
        <w:t xml:space="preserve"> and despite police organisations being much more aware of this than in years past there are still barriers in place that prevent officers from getting help with their mental wellbeing.</w:t>
      </w:r>
    </w:p>
    <w:p w14:paraId="2D718F7D" w14:textId="1664B425" w:rsidR="000A7E41" w:rsidRDefault="000A7E41">
      <w:r>
        <w:t xml:space="preserve">Watson and Andrews found that despite seventy percent of officers in a particular force were aware of the help that was available to them in regards to mental health, only twenty two percent utilized this help. </w:t>
      </w:r>
      <w:sdt>
        <w:sdtPr>
          <w:id w:val="-391964066"/>
          <w:citation/>
        </w:sdtPr>
        <w:sdtEndPr/>
        <w:sdtContent>
          <w:r w:rsidR="00A1360C">
            <w:fldChar w:fldCharType="begin"/>
          </w:r>
          <w:r w:rsidR="00A1360C">
            <w:instrText xml:space="preserve"> CITATION Lou18 \l 2057 </w:instrText>
          </w:r>
          <w:r w:rsidR="00A1360C">
            <w:fldChar w:fldCharType="separate"/>
          </w:r>
          <w:r w:rsidR="00AE5FDC">
            <w:rPr>
              <w:noProof/>
            </w:rPr>
            <w:t>(Andrews, 2018)</w:t>
          </w:r>
          <w:r w:rsidR="00A1360C">
            <w:fldChar w:fldCharType="end"/>
          </w:r>
        </w:sdtContent>
      </w:sdt>
      <w:r w:rsidR="00A1360C">
        <w:t xml:space="preserve"> </w:t>
      </w:r>
      <w:r>
        <w:t xml:space="preserve">They also stated that Miller found that there was a stigma of “cowardice” associated within the organisation if help was sought. </w:t>
      </w:r>
    </w:p>
    <w:p w14:paraId="104E03D6" w14:textId="1978770C" w:rsidR="00331E17" w:rsidRDefault="00331E17">
      <w:r>
        <w:t xml:space="preserve">I conclude that response officers play a vital role in major and critical incidents and officers very often utilise the national decision making model which does aid them considerably, however this model can be a lot less effective if the said officers are not in the correct state of mind to begin with due to their mental health and stress at work, and therefore this needs to be prioritized and greatly evaluated when considering how effective decision making is at such incidents. </w:t>
      </w:r>
    </w:p>
    <w:p w14:paraId="22426BF3" w14:textId="0CA00FE2" w:rsidR="000A7E41" w:rsidRDefault="000A7E41">
      <w:pPr>
        <w:rPr>
          <w:rStyle w:val="Hyperlink"/>
        </w:rPr>
      </w:pPr>
    </w:p>
    <w:p w14:paraId="3EB3CE5B" w14:textId="13003BD3" w:rsidR="002B411A" w:rsidRDefault="00331E17">
      <w:pPr>
        <w:rPr>
          <w:b/>
          <w:bCs/>
        </w:rPr>
      </w:pPr>
      <w:r w:rsidRPr="00331E17">
        <w:rPr>
          <w:b/>
          <w:bCs/>
        </w:rPr>
        <w:t xml:space="preserve">Word count </w:t>
      </w:r>
      <w:r w:rsidR="002B411A">
        <w:rPr>
          <w:b/>
          <w:bCs/>
        </w:rPr>
        <w:t>–</w:t>
      </w:r>
      <w:r w:rsidRPr="00331E17">
        <w:rPr>
          <w:b/>
          <w:bCs/>
        </w:rPr>
        <w:t xml:space="preserve"> 1003</w:t>
      </w:r>
    </w:p>
    <w:p w14:paraId="292C0B23" w14:textId="77777777" w:rsidR="002B411A" w:rsidRDefault="002B411A">
      <w:pPr>
        <w:rPr>
          <w:b/>
          <w:bCs/>
        </w:rPr>
      </w:pPr>
    </w:p>
    <w:p w14:paraId="2B2F68D2" w14:textId="77777777" w:rsidR="002B411A" w:rsidRDefault="002B411A">
      <w:pPr>
        <w:rPr>
          <w:b/>
          <w:bCs/>
        </w:rPr>
      </w:pPr>
    </w:p>
    <w:p w14:paraId="0EBCD123" w14:textId="70EBD8E6" w:rsidR="002B411A" w:rsidRDefault="002B411A">
      <w:pPr>
        <w:rPr>
          <w:b/>
          <w:bCs/>
          <w:u w:val="single"/>
        </w:rPr>
      </w:pPr>
      <w:r>
        <w:rPr>
          <w:b/>
          <w:bCs/>
          <w:u w:val="single"/>
        </w:rPr>
        <w:t xml:space="preserve">Essay 4 </w:t>
      </w:r>
    </w:p>
    <w:p w14:paraId="730DA161" w14:textId="3BA78746" w:rsidR="002B411A" w:rsidRDefault="002B411A">
      <w:r>
        <w:t xml:space="preserve">In this essay I will be discussing the potential links between serious or organised crime and issues surrounding public protection. I will also be discussing how a bias can impact such incidents. </w:t>
      </w:r>
    </w:p>
    <w:p w14:paraId="293C70E5" w14:textId="7AE991D5" w:rsidR="002B411A" w:rsidRPr="002B411A" w:rsidRDefault="002B411A">
      <w:pPr>
        <w:rPr>
          <w:i/>
          <w:iCs/>
        </w:rPr>
      </w:pPr>
      <w:r>
        <w:t>Organised crime is defined by the CPS as “</w:t>
      </w:r>
      <w:r>
        <w:rPr>
          <w:i/>
          <w:iCs/>
        </w:rPr>
        <w:t xml:space="preserve">Planned and co-ordinated criminal behaviour and conduct by people working together on a continuing basis”. </w:t>
      </w:r>
      <w:sdt>
        <w:sdtPr>
          <w:rPr>
            <w:i/>
            <w:iCs/>
          </w:rPr>
          <w:id w:val="-585148699"/>
          <w:citation/>
        </w:sdtPr>
        <w:sdtEndPr/>
        <w:sdtContent>
          <w:r w:rsidR="00203780">
            <w:rPr>
              <w:i/>
              <w:iCs/>
            </w:rPr>
            <w:fldChar w:fldCharType="begin"/>
          </w:r>
          <w:r w:rsidR="00203780">
            <w:instrText xml:space="preserve"> CITATION Org22 \l 2057 </w:instrText>
          </w:r>
          <w:r w:rsidR="00203780">
            <w:rPr>
              <w:i/>
              <w:iCs/>
            </w:rPr>
            <w:fldChar w:fldCharType="separate"/>
          </w:r>
          <w:r w:rsidR="00AE5FDC">
            <w:rPr>
              <w:noProof/>
            </w:rPr>
            <w:t>(division, 2022)</w:t>
          </w:r>
          <w:r w:rsidR="00203780">
            <w:rPr>
              <w:i/>
              <w:iCs/>
            </w:rPr>
            <w:fldChar w:fldCharType="end"/>
          </w:r>
        </w:sdtContent>
      </w:sdt>
    </w:p>
    <w:p w14:paraId="64733753" w14:textId="77BE6E0D" w:rsidR="00CC3FBB" w:rsidRDefault="002B411A">
      <w:r>
        <w:t xml:space="preserve">From reading the definition it would be right to assume that gang related crime can a lot of the time </w:t>
      </w:r>
      <w:r w:rsidR="00DC0FD9">
        <w:t xml:space="preserve">be </w:t>
      </w:r>
      <w:r>
        <w:t>related to organised crime as this normally includes a number of people working together to commit their crimes</w:t>
      </w:r>
      <w:r w:rsidR="00087A18">
        <w:t xml:space="preserve"> over a long period of time</w:t>
      </w:r>
      <w:r w:rsidR="00DC0FD9">
        <w:t xml:space="preserve">, and can also involve quiet a bit of planning. </w:t>
      </w:r>
      <w:r w:rsidR="00087A18">
        <w:t xml:space="preserve"> Some of the crimes that are committed in relation to organised crime</w:t>
      </w:r>
      <w:r w:rsidR="00DC0FD9">
        <w:t xml:space="preserve"> are</w:t>
      </w:r>
      <w:r w:rsidR="00087A18">
        <w:t>, but not limited to, drug dealing, cuckooing and modern day slavery.</w:t>
      </w:r>
    </w:p>
    <w:p w14:paraId="31721363" w14:textId="413F3CD0" w:rsidR="00DC0FD9" w:rsidRPr="00DC0FD9" w:rsidRDefault="00087A18">
      <w:pPr>
        <w:rPr>
          <w:i/>
          <w:iCs/>
        </w:rPr>
      </w:pPr>
      <w:r>
        <w:t>These crimes in particular heavily impact upon public protection due to the type of people who tend to be victim’s or become entangled within the crime.</w:t>
      </w:r>
      <w:r w:rsidR="00DC0FD9">
        <w:t xml:space="preserve"> These victims can very often be categorised as vulnerable people. A vulnerable person is defined by the college of policing as “</w:t>
      </w:r>
      <w:r w:rsidR="00DC0FD9">
        <w:rPr>
          <w:i/>
          <w:iCs/>
        </w:rPr>
        <w:t xml:space="preserve">If as a result </w:t>
      </w:r>
      <w:r w:rsidR="00B5079F">
        <w:rPr>
          <w:i/>
          <w:iCs/>
        </w:rPr>
        <w:t xml:space="preserve">of their situation or circumstances, they are unable to take care of or protect themselves or others from harm or exploitation”. </w:t>
      </w:r>
      <w:sdt>
        <w:sdtPr>
          <w:rPr>
            <w:i/>
            <w:iCs/>
          </w:rPr>
          <w:id w:val="-989781323"/>
          <w:citation/>
        </w:sdtPr>
        <w:sdtEndPr/>
        <w:sdtContent>
          <w:r w:rsidR="00203780">
            <w:rPr>
              <w:i/>
              <w:iCs/>
            </w:rPr>
            <w:fldChar w:fldCharType="begin"/>
          </w:r>
          <w:r w:rsidR="00203780">
            <w:instrText xml:space="preserve"> CITATION col234 \l 2057 </w:instrText>
          </w:r>
          <w:r w:rsidR="00203780">
            <w:rPr>
              <w:i/>
              <w:iCs/>
            </w:rPr>
            <w:fldChar w:fldCharType="separate"/>
          </w:r>
          <w:r w:rsidR="00AE5FDC">
            <w:rPr>
              <w:noProof/>
            </w:rPr>
            <w:t>(policing, introduction to vulnerability related risk, 2023)</w:t>
          </w:r>
          <w:r w:rsidR="00203780">
            <w:rPr>
              <w:i/>
              <w:iCs/>
            </w:rPr>
            <w:fldChar w:fldCharType="end"/>
          </w:r>
        </w:sdtContent>
      </w:sdt>
    </w:p>
    <w:p w14:paraId="2E3149DD" w14:textId="4106703F" w:rsidR="00087A18" w:rsidRDefault="00087A18">
      <w:r>
        <w:t xml:space="preserve"> For example, drug dealing can lead to younger children from more deprived backgrounds being exploited by the drug ‘suppliers’ to sell the drugs</w:t>
      </w:r>
      <w:r w:rsidR="00BF60DF">
        <w:t>, or transport the drugs</w:t>
      </w:r>
      <w:r>
        <w:t xml:space="preserve"> on their behalf and in turn acting as something of a buffer</w:t>
      </w:r>
      <w:r w:rsidR="002F70DF">
        <w:t xml:space="preserve"> between the ‘boss of the operation’ and the crime being caried out.</w:t>
      </w:r>
      <w:r w:rsidR="00BF60DF">
        <w:t xml:space="preserve"> The transportation between counties is known as ‘County lining’ where the children on times hide the drugs within their on bodies which alone carries it’s own risks. </w:t>
      </w:r>
      <w:sdt>
        <w:sdtPr>
          <w:id w:val="83267530"/>
          <w:citation/>
        </w:sdtPr>
        <w:sdtEndPr/>
        <w:sdtContent>
          <w:r w:rsidR="00203780">
            <w:fldChar w:fldCharType="begin"/>
          </w:r>
          <w:r w:rsidR="00203780">
            <w:instrText xml:space="preserve"> CITATION Gra18 \l 2057 </w:instrText>
          </w:r>
          <w:r w:rsidR="00203780">
            <w:fldChar w:fldCharType="separate"/>
          </w:r>
          <w:r w:rsidR="00AE5FDC">
            <w:rPr>
              <w:noProof/>
            </w:rPr>
            <w:t>(Grace Robinson, 2018)</w:t>
          </w:r>
          <w:r w:rsidR="00203780">
            <w:fldChar w:fldCharType="end"/>
          </w:r>
        </w:sdtContent>
      </w:sdt>
    </w:p>
    <w:p w14:paraId="5188A049" w14:textId="12369F2C" w:rsidR="002F70DF" w:rsidRDefault="002F70DF">
      <w:r>
        <w:t xml:space="preserve">Even though these children may already be easy targets for organised crime </w:t>
      </w:r>
      <w:r w:rsidR="00DC0FD9">
        <w:t xml:space="preserve">perpetrators, once they become part of the crime it can be something of a vicious cycle when it comes to escaping as they can either be too afraid to stop for fear of repercussions from the drug supplier, or the fact that by </w:t>
      </w:r>
      <w:r w:rsidR="00DC0FD9">
        <w:lastRenderedPageBreak/>
        <w:t xml:space="preserve">reporting the crime to the authorities they would effectively be admitting to committing crime themselves. </w:t>
      </w:r>
      <w:sdt>
        <w:sdtPr>
          <w:id w:val="-1866362194"/>
          <w:citation/>
        </w:sdtPr>
        <w:sdtEndPr/>
        <w:sdtContent>
          <w:r w:rsidR="00C523A5">
            <w:fldChar w:fldCharType="begin"/>
          </w:r>
          <w:r w:rsidR="00C523A5">
            <w:instrText xml:space="preserve"> CITATION Jam20 \l 2057 </w:instrText>
          </w:r>
          <w:r w:rsidR="00C523A5">
            <w:fldChar w:fldCharType="separate"/>
          </w:r>
          <w:r w:rsidR="00AE5FDC">
            <w:rPr>
              <w:noProof/>
            </w:rPr>
            <w:t>(James Windle, 2020)</w:t>
          </w:r>
          <w:r w:rsidR="00C523A5">
            <w:fldChar w:fldCharType="end"/>
          </w:r>
        </w:sdtContent>
      </w:sdt>
    </w:p>
    <w:p w14:paraId="03CB5BCE" w14:textId="16932BDF" w:rsidR="00F86034" w:rsidRDefault="00F86034">
      <w:r>
        <w:t xml:space="preserve">As a result of this, the crime and behaviour can fester resulting in the victim becoming part of the gang and the vicious cycle continues. </w:t>
      </w:r>
    </w:p>
    <w:p w14:paraId="4935AF5B" w14:textId="34ACD494" w:rsidR="00F86034" w:rsidRDefault="00F86034">
      <w:r>
        <w:t xml:space="preserve">Within some communities the lifestyle </w:t>
      </w:r>
      <w:r w:rsidR="0050784F">
        <w:t xml:space="preserve">of these criminals can appear as glamorous and lucrative to younger members of the community and the flaunting of it encourages them to take part in the crime as they too desire the same lifestyle. This however can form a bias when conducting an investigation as to who the real suspects are, as despite the victim’s desire to be part of the organised crime, it is this very desire which makes them vulnerable, but this can be easily overlooked due to public perception, or due to the victim claiming to be the only perpetrator so that they I fact become part of that lifestyle. </w:t>
      </w:r>
    </w:p>
    <w:p w14:paraId="2874858E" w14:textId="2515D4A9" w:rsidR="008A5E48" w:rsidRDefault="00087A18">
      <w:r>
        <w:t>Cuckooing involves a vulnerable person of any sort, be it due to mental capacity,</w:t>
      </w:r>
      <w:r w:rsidR="002F70DF">
        <w:t xml:space="preserve"> disability,</w:t>
      </w:r>
      <w:r>
        <w:t xml:space="preserve"> drug dependency or dependency on the perpetrator, being taken advantage of by a perpetrator in terms of their living situation. </w:t>
      </w:r>
      <w:r w:rsidR="002F70DF">
        <w:t>For example, a perpetrator may use the home of somebody with a mental disability as a drugs den or brothel as the victim is too vulnerable to prevent this from happening or report it to the authorities.</w:t>
      </w:r>
      <w:r w:rsidR="00B5079F">
        <w:t xml:space="preserve"> </w:t>
      </w:r>
      <w:sdt>
        <w:sdtPr>
          <w:id w:val="-244960961"/>
          <w:citation/>
        </w:sdtPr>
        <w:sdtEndPr/>
        <w:sdtContent>
          <w:r w:rsidR="008A5E48">
            <w:fldChar w:fldCharType="begin"/>
          </w:r>
          <w:r w:rsidR="008A5E48">
            <w:instrText xml:space="preserve"> CITATION Jac19 \l 2057 </w:instrText>
          </w:r>
          <w:r w:rsidR="008A5E48">
            <w:fldChar w:fldCharType="separate"/>
          </w:r>
          <w:r w:rsidR="00AE5FDC">
            <w:rPr>
              <w:noProof/>
            </w:rPr>
            <w:t>(Jack Spicer, 2019)</w:t>
          </w:r>
          <w:r w:rsidR="008A5E48">
            <w:fldChar w:fldCharType="end"/>
          </w:r>
        </w:sdtContent>
      </w:sdt>
    </w:p>
    <w:p w14:paraId="6884E320" w14:textId="07BAE875" w:rsidR="00087A18" w:rsidRDefault="00B5079F">
      <w:r>
        <w:t>This again means that the vulnerable victim can be labelled as the criminal should the premises be searched leaving no direct link to the perpetrator, unless authorities are already aware of such activity</w:t>
      </w:r>
      <w:r w:rsidR="00BF60DF">
        <w:t xml:space="preserve"> and the perpetrator</w:t>
      </w:r>
      <w:r>
        <w:t xml:space="preserve">. </w:t>
      </w:r>
      <w:r w:rsidR="002F70DF">
        <w:t xml:space="preserve"> Clearly cuckooing can be heavily linked to drug dealing in some cases</w:t>
      </w:r>
      <w:r>
        <w:t xml:space="preserve"> for similar reasons are drug dealers using children as drugs ‘runners’</w:t>
      </w:r>
      <w:r w:rsidR="00BF60DF">
        <w:t xml:space="preserve"> and the reasons for the victim not reporting it are the same.</w:t>
      </w:r>
    </w:p>
    <w:p w14:paraId="7C393CAE" w14:textId="6515E0F4" w:rsidR="008A5E48" w:rsidRDefault="002F70DF">
      <w:r>
        <w:t>Again modern day slavery is when a vulnerable individual is taken advantage of by a perpetrator whereby the perpetrator uses the vulnerability of the victim to make them work for free under unlawful conditions and often illegally.</w:t>
      </w:r>
      <w:r w:rsidR="008A5E48">
        <w:t xml:space="preserve"> </w:t>
      </w:r>
      <w:sdt>
        <w:sdtPr>
          <w:id w:val="749852885"/>
          <w:citation/>
        </w:sdtPr>
        <w:sdtEndPr/>
        <w:sdtContent>
          <w:r w:rsidR="008A5E48">
            <w:fldChar w:fldCharType="begin"/>
          </w:r>
          <w:r w:rsidR="008A5E48">
            <w:instrText xml:space="preserve"> CITATION Joa17 \l 2057 </w:instrText>
          </w:r>
          <w:r w:rsidR="008A5E48">
            <w:fldChar w:fldCharType="separate"/>
          </w:r>
          <w:r w:rsidR="00AE5FDC">
            <w:rPr>
              <w:noProof/>
            </w:rPr>
            <w:t>(Joanna Kidd, 2017)</w:t>
          </w:r>
          <w:r w:rsidR="008A5E48">
            <w:fldChar w:fldCharType="end"/>
          </w:r>
        </w:sdtContent>
      </w:sdt>
    </w:p>
    <w:p w14:paraId="0755593B" w14:textId="2A5E3C3A" w:rsidR="00C94CB5" w:rsidRDefault="002F70DF">
      <w:r>
        <w:t xml:space="preserve"> Illegal immigrants can be prime targets for perpetrators</w:t>
      </w:r>
      <w:r w:rsidR="00C94CB5">
        <w:t xml:space="preserve">. This is because for obvious reasons illegal immigrants lack an official status within the country preventing them from working or acquiring housing as disclosing their presence will mean they are deported. </w:t>
      </w:r>
    </w:p>
    <w:p w14:paraId="029D6F1A" w14:textId="6B8AE65B" w:rsidR="002F70DF" w:rsidRDefault="00C94CB5">
      <w:r>
        <w:t>Some organised crime groups will intentionally traffic foreign national into a country illegally to purposefully use them for this reason, and these victims will co-operate in the first place as they want nothing more to live in the UK once their ‘debt’ to the perpetrator has been paid off. O</w:t>
      </w:r>
      <w:r w:rsidR="00B5079F">
        <w:t>nce again the work carried out can often be</w:t>
      </w:r>
      <w:r>
        <w:t xml:space="preserve"> a</w:t>
      </w:r>
      <w:r w:rsidR="00B5079F">
        <w:t xml:space="preserve"> crime of some sort too. </w:t>
      </w:r>
      <w:sdt>
        <w:sdtPr>
          <w:id w:val="2051796669"/>
          <w:citation/>
        </w:sdtPr>
        <w:sdtEndPr/>
        <w:sdtContent>
          <w:r w:rsidR="00C523A5">
            <w:fldChar w:fldCharType="begin"/>
          </w:r>
          <w:r w:rsidR="00C523A5">
            <w:instrText xml:space="preserve"> CITATION Rob20 \l 2057 </w:instrText>
          </w:r>
          <w:r w:rsidR="00C523A5">
            <w:fldChar w:fldCharType="separate"/>
          </w:r>
          <w:r w:rsidR="00AE5FDC">
            <w:rPr>
              <w:noProof/>
            </w:rPr>
            <w:t>(Robert Caruana, 2020)</w:t>
          </w:r>
          <w:r w:rsidR="00C523A5">
            <w:fldChar w:fldCharType="end"/>
          </w:r>
        </w:sdtContent>
      </w:sdt>
    </w:p>
    <w:p w14:paraId="339EA75F" w14:textId="50608DE4" w:rsidR="00C94CB5" w:rsidRDefault="00C94CB5">
      <w:r>
        <w:t xml:space="preserve">Another potential bias that can impact the investigation of such crimes is the victim being perceived as the creator of his own downfall, even more so when the victim will not </w:t>
      </w:r>
      <w:r w:rsidR="009E0C97">
        <w:t xml:space="preserve">disclose who the perpetrator is. This can also apply to cuckooing when the victim is a drug user themselves and they are dependant on the perpetrator for their personal supply of drugs. </w:t>
      </w:r>
      <w:r>
        <w:t xml:space="preserve"> </w:t>
      </w:r>
    </w:p>
    <w:p w14:paraId="65BDB7BD" w14:textId="121858E6" w:rsidR="00B5079F" w:rsidRDefault="00B5079F">
      <w:r>
        <w:t xml:space="preserve">The common underlying factor between all of these offences are a vulnerable person being taken advantage of to carry out crime, or be party to a crime, while the perpetrator or initiator goes unknown. </w:t>
      </w:r>
      <w:r w:rsidR="009E0C97">
        <w:t xml:space="preserve">This proves that organised crime and gangs have noted this and capitalise on it to best suit them, and given the fact that what makes a person vulnerable can very so drastically from person to person, it can be rather difficult to prove evidentially during an investigation that a vulnerable person was directly under duress or coerced into assisting the perpetrator. </w:t>
      </w:r>
    </w:p>
    <w:p w14:paraId="54457D72" w14:textId="4E9BB5D1" w:rsidR="009E0C97" w:rsidRDefault="009E0C97" w:rsidP="00C81357">
      <w:pPr>
        <w:tabs>
          <w:tab w:val="left" w:pos="2325"/>
        </w:tabs>
        <w:rPr>
          <w:b/>
          <w:bCs/>
        </w:rPr>
      </w:pPr>
      <w:r>
        <w:rPr>
          <w:b/>
          <w:bCs/>
        </w:rPr>
        <w:t>Word Count - 969</w:t>
      </w:r>
      <w:r w:rsidR="00C81357">
        <w:rPr>
          <w:b/>
          <w:bCs/>
        </w:rPr>
        <w:tab/>
      </w:r>
    </w:p>
    <w:p w14:paraId="3F6E98E7" w14:textId="3FA39091" w:rsidR="00C81357" w:rsidRDefault="00C81357" w:rsidP="00C81357">
      <w:pPr>
        <w:tabs>
          <w:tab w:val="left" w:pos="2325"/>
        </w:tabs>
        <w:rPr>
          <w:b/>
          <w:bCs/>
          <w:u w:val="single"/>
        </w:rPr>
      </w:pPr>
      <w:r>
        <w:rPr>
          <w:b/>
          <w:bCs/>
          <w:u w:val="single"/>
        </w:rPr>
        <w:lastRenderedPageBreak/>
        <w:t>Essay 5</w:t>
      </w:r>
    </w:p>
    <w:p w14:paraId="41EE676B" w14:textId="3D440C0D" w:rsidR="00C81357" w:rsidRDefault="00C81357" w:rsidP="00C81357">
      <w:pPr>
        <w:tabs>
          <w:tab w:val="left" w:pos="2325"/>
        </w:tabs>
      </w:pPr>
      <w:r>
        <w:t xml:space="preserve">In this essay I will be evaluating the effectiveness of crime prevention theories and strategies in relation to combating </w:t>
      </w:r>
      <w:r w:rsidR="004D6490">
        <w:t>anti social behaviour.</w:t>
      </w:r>
    </w:p>
    <w:p w14:paraId="18630E40" w14:textId="5ABAA803" w:rsidR="00143F25" w:rsidRDefault="004D6490" w:rsidP="00C81357">
      <w:pPr>
        <w:tabs>
          <w:tab w:val="left" w:pos="2325"/>
        </w:tabs>
      </w:pPr>
      <w:r>
        <w:t xml:space="preserve">Firstly, anti social behaviour is defined by the college of policing as </w:t>
      </w:r>
      <w:r>
        <w:rPr>
          <w:i/>
          <w:iCs/>
        </w:rPr>
        <w:t>“Conduct that has caused, or is likely to cause, harassment, alarm or distress to any person</w:t>
      </w:r>
      <w:r w:rsidR="00143F25">
        <w:rPr>
          <w:i/>
          <w:iCs/>
        </w:rPr>
        <w:t>”.</w:t>
      </w:r>
      <w:r w:rsidR="00143F25">
        <w:t xml:space="preserve"> </w:t>
      </w:r>
      <w:sdt>
        <w:sdtPr>
          <w:id w:val="-1221287210"/>
          <w:citation/>
        </w:sdtPr>
        <w:sdtContent>
          <w:r w:rsidR="00143F25">
            <w:fldChar w:fldCharType="begin"/>
          </w:r>
          <w:r w:rsidR="00143F25">
            <w:instrText xml:space="preserve"> CITATION col236 \l 2057 </w:instrText>
          </w:r>
          <w:r w:rsidR="00143F25">
            <w:fldChar w:fldCharType="separate"/>
          </w:r>
          <w:r w:rsidR="00AE5FDC">
            <w:rPr>
              <w:noProof/>
            </w:rPr>
            <w:t>(policing, Anti social behaviour, 2023)</w:t>
          </w:r>
          <w:r w:rsidR="00143F25">
            <w:fldChar w:fldCharType="end"/>
          </w:r>
        </w:sdtContent>
      </w:sdt>
    </w:p>
    <w:p w14:paraId="6D1F6D77" w14:textId="6DA61AE7" w:rsidR="004D6490" w:rsidRDefault="004D6490" w:rsidP="00C81357">
      <w:pPr>
        <w:tabs>
          <w:tab w:val="left" w:pos="2325"/>
        </w:tabs>
      </w:pPr>
      <w:proofErr w:type="gramStart"/>
      <w:r>
        <w:t>Obviously</w:t>
      </w:r>
      <w:proofErr w:type="gramEnd"/>
      <w:r>
        <w:t xml:space="preserve"> this is a very broad definition and so can encompass a lot of different behaviour</w:t>
      </w:r>
      <w:r w:rsidR="00752FCC">
        <w:t>s,</w:t>
      </w:r>
      <w:r>
        <w:t xml:space="preserve"> but it can be rather prevalent with </w:t>
      </w:r>
      <w:r w:rsidR="00AF317B">
        <w:t>youths</w:t>
      </w:r>
      <w:r>
        <w:t xml:space="preserve">. There are many theorised reasons as to why youths in particular begin </w:t>
      </w:r>
      <w:r w:rsidR="003E0BC1">
        <w:t xml:space="preserve">to </w:t>
      </w:r>
      <w:r>
        <w:t>behave in an anti social manner ranging from economic background, racial background</w:t>
      </w:r>
      <w:r w:rsidR="003E0BC1">
        <w:t>, or</w:t>
      </w:r>
      <w:r>
        <w:t xml:space="preserve"> purely having nothing else to do within their communities and end up acting out as a result, but this list is not exhaustive. Understanding what causes the behaviour </w:t>
      </w:r>
      <w:r w:rsidR="003E0BC1">
        <w:t>however</w:t>
      </w:r>
      <w:r>
        <w:t xml:space="preserve"> can help in trying to combat it. </w:t>
      </w:r>
    </w:p>
    <w:p w14:paraId="6AD61D13" w14:textId="6E705459" w:rsidR="003E0BC1" w:rsidRDefault="003E0BC1" w:rsidP="00C81357">
      <w:pPr>
        <w:tabs>
          <w:tab w:val="left" w:pos="2325"/>
        </w:tabs>
      </w:pPr>
      <w:r>
        <w:t>Gang culture and organise</w:t>
      </w:r>
      <w:r w:rsidR="00752FCC">
        <w:t>d</w:t>
      </w:r>
      <w:r>
        <w:t xml:space="preserve"> crime is a form of anti social behaviour. </w:t>
      </w:r>
      <w:r w:rsidR="00652C2D">
        <w:t>Boulton states that Van der Put et al found that despite single risk factors being an indicator for criminality, multiple risk factors had to cumulative</w:t>
      </w:r>
      <w:r w:rsidR="00752FCC">
        <w:t>ly</w:t>
      </w:r>
      <w:r w:rsidR="00652C2D">
        <w:t xml:space="preserve"> come together to heighten an </w:t>
      </w:r>
      <w:r w:rsidR="00752FCC">
        <w:t>individual’s</w:t>
      </w:r>
      <w:r w:rsidR="00652C2D">
        <w:t xml:space="preserve"> probability of becoming involved in crime.</w:t>
      </w:r>
      <w:r w:rsidR="00143F25">
        <w:t xml:space="preserve"> </w:t>
      </w:r>
      <w:sdt>
        <w:sdtPr>
          <w:id w:val="-2020304537"/>
          <w:citation/>
        </w:sdtPr>
        <w:sdtContent>
          <w:r w:rsidR="00143F25">
            <w:fldChar w:fldCharType="begin"/>
          </w:r>
          <w:r w:rsidR="00143F25">
            <w:instrText xml:space="preserve"> CITATION Lau191 \l 2057 </w:instrText>
          </w:r>
          <w:r w:rsidR="00143F25">
            <w:fldChar w:fldCharType="separate"/>
          </w:r>
          <w:r w:rsidR="00AE5FDC">
            <w:rPr>
              <w:noProof/>
            </w:rPr>
            <w:t>(al L. J., 2019)</w:t>
          </w:r>
          <w:r w:rsidR="00143F25">
            <w:fldChar w:fldCharType="end"/>
          </w:r>
        </w:sdtContent>
      </w:sdt>
      <w:r w:rsidR="00652C2D">
        <w:t xml:space="preserve"> </w:t>
      </w:r>
    </w:p>
    <w:p w14:paraId="07D78C68" w14:textId="53B81E82" w:rsidR="00652C2D" w:rsidRDefault="00652C2D" w:rsidP="00C81357">
      <w:pPr>
        <w:tabs>
          <w:tab w:val="left" w:pos="2325"/>
        </w:tabs>
      </w:pPr>
      <w:r>
        <w:t>What this demonstrates is that an individuals propensity to commit crime or to go onto take part in organised crime is not caused by one underlying issue but a multitude of them. This can make the combating of anti social behaviour and crime difficult as various risk factors can compete against each other.</w:t>
      </w:r>
    </w:p>
    <w:p w14:paraId="495F22C6" w14:textId="22CF3211" w:rsidR="00FD21EF" w:rsidRDefault="00FD21EF" w:rsidP="00C81357">
      <w:pPr>
        <w:tabs>
          <w:tab w:val="left" w:pos="2325"/>
        </w:tabs>
      </w:pPr>
      <w:r>
        <w:t xml:space="preserve">For example, a scenario of a </w:t>
      </w:r>
      <w:proofErr w:type="gramStart"/>
      <w:r>
        <w:t>fifteen year old</w:t>
      </w:r>
      <w:proofErr w:type="gramEnd"/>
      <w:r>
        <w:t xml:space="preserve"> boy who comes from a family who are associated with organised crime and who himself does not have a very stable family life, as in has no strong</w:t>
      </w:r>
      <w:r w:rsidR="00AF317B">
        <w:t xml:space="preserve"> father type</w:t>
      </w:r>
      <w:r>
        <w:t xml:space="preserve"> role model</w:t>
      </w:r>
      <w:r w:rsidR="00AF317B">
        <w:t xml:space="preserve"> emulate</w:t>
      </w:r>
      <w:r>
        <w:t xml:space="preserve">. Boulton states that Marshal found that an individual fitting this </w:t>
      </w:r>
      <w:r w:rsidR="00AF317B">
        <w:t xml:space="preserve">set of </w:t>
      </w:r>
      <w:r>
        <w:t>characteristic</w:t>
      </w:r>
      <w:r w:rsidR="00AF317B">
        <w:t>s</w:t>
      </w:r>
      <w:r>
        <w:t xml:space="preserve"> would be highly likely to be subject to anti social behaviour and organised crime.</w:t>
      </w:r>
    </w:p>
    <w:p w14:paraId="18242510" w14:textId="77777777" w:rsidR="00143F25" w:rsidRDefault="00FD21EF" w:rsidP="00C81357">
      <w:pPr>
        <w:tabs>
          <w:tab w:val="left" w:pos="2325"/>
        </w:tabs>
      </w:pPr>
      <w:r>
        <w:t xml:space="preserve">This person’s risk factors would be compounding here as the lack of role model leaves him vulnerable to gang related activity and the people who </w:t>
      </w:r>
      <w:r w:rsidR="00E565DC">
        <w:t>could potentially be, and should be,</w:t>
      </w:r>
      <w:r>
        <w:t xml:space="preserve"> are part of the problem</w:t>
      </w:r>
      <w:r w:rsidR="00E565DC">
        <w:t>.</w:t>
      </w:r>
      <w:r w:rsidR="00752FCC">
        <w:t xml:space="preserve"> </w:t>
      </w:r>
    </w:p>
    <w:p w14:paraId="69CDF323" w14:textId="48D2002E" w:rsidR="00FD21EF" w:rsidRDefault="00752FCC" w:rsidP="00C81357">
      <w:pPr>
        <w:tabs>
          <w:tab w:val="left" w:pos="2325"/>
        </w:tabs>
      </w:pPr>
      <w:r>
        <w:t xml:space="preserve">This </w:t>
      </w:r>
      <w:r w:rsidR="00143F25">
        <w:t xml:space="preserve">lack of effectiveness when trying to problem solve </w:t>
      </w:r>
      <w:r>
        <w:t>complicat</w:t>
      </w:r>
      <w:r w:rsidR="00143F25">
        <w:t>ed situations like above,</w:t>
      </w:r>
      <w:r>
        <w:t xml:space="preserve"> is evidenced by Karen Bullock where the article states that although problem solving is</w:t>
      </w:r>
      <w:r w:rsidR="00143F25">
        <w:t xml:space="preserve"> </w:t>
      </w:r>
      <w:r>
        <w:t xml:space="preserve">seen within the police as the most effective form of prevention when combating </w:t>
      </w:r>
      <w:proofErr w:type="spellStart"/>
      <w:r>
        <w:t>anti social</w:t>
      </w:r>
      <w:proofErr w:type="spellEnd"/>
      <w:r>
        <w:t xml:space="preserve"> behaviour, research and studies suggest otherwise as the problem solving requires a large amount of assessing to be effective</w:t>
      </w:r>
      <w:r w:rsidR="00143F25">
        <w:t xml:space="preserve"> and </w:t>
      </w:r>
      <w:proofErr w:type="gramStart"/>
      <w:r w:rsidR="00143F25">
        <w:t>actually work</w:t>
      </w:r>
      <w:proofErr w:type="gramEnd"/>
      <w:r w:rsidR="00143F25">
        <w:t xml:space="preserve">. </w:t>
      </w:r>
      <w:sdt>
        <w:sdtPr>
          <w:id w:val="-1408294910"/>
          <w:citation/>
        </w:sdtPr>
        <w:sdtContent>
          <w:r w:rsidR="00143F25">
            <w:fldChar w:fldCharType="begin"/>
          </w:r>
          <w:r w:rsidR="00143F25">
            <w:instrText xml:space="preserve"> CITATION Kar221 \l 2057 </w:instrText>
          </w:r>
          <w:r w:rsidR="00143F25">
            <w:fldChar w:fldCharType="separate"/>
          </w:r>
          <w:r w:rsidR="00AE5FDC">
            <w:rPr>
              <w:noProof/>
            </w:rPr>
            <w:t>(al K. B., 2022)</w:t>
          </w:r>
          <w:r w:rsidR="00143F25">
            <w:fldChar w:fldCharType="end"/>
          </w:r>
        </w:sdtContent>
      </w:sdt>
    </w:p>
    <w:p w14:paraId="1CB7A315" w14:textId="6B0F19F0" w:rsidR="00E565DC" w:rsidRDefault="00E565DC" w:rsidP="00C81357">
      <w:pPr>
        <w:tabs>
          <w:tab w:val="left" w:pos="2325"/>
        </w:tabs>
      </w:pPr>
      <w:r>
        <w:t>Another hurdle to overcome is the compliance and engagement of the individuals</w:t>
      </w:r>
      <w:r w:rsidR="00143F25">
        <w:t xml:space="preserve"> who are at risk</w:t>
      </w:r>
      <w:r>
        <w:t xml:space="preserve">. Boulton says that despite an intervention being put in place for individuals who were deemed to be at a high risk of getting involved with organised crime, only four out of thirty three of the individuals were willing to comply with the help that was on offer to them. </w:t>
      </w:r>
      <w:sdt>
        <w:sdtPr>
          <w:id w:val="-1339233523"/>
          <w:citation/>
        </w:sdtPr>
        <w:sdtContent>
          <w:r w:rsidR="00AE5FDC">
            <w:fldChar w:fldCharType="begin"/>
          </w:r>
          <w:r w:rsidR="00AE5FDC">
            <w:instrText xml:space="preserve"> CITATION Lau191 \l 2057 </w:instrText>
          </w:r>
          <w:r w:rsidR="00AE5FDC">
            <w:fldChar w:fldCharType="separate"/>
          </w:r>
          <w:r w:rsidR="00AE5FDC">
            <w:rPr>
              <w:noProof/>
            </w:rPr>
            <w:t>(al L. J., 2019)</w:t>
          </w:r>
          <w:r w:rsidR="00AE5FDC">
            <w:fldChar w:fldCharType="end"/>
          </w:r>
        </w:sdtContent>
      </w:sdt>
    </w:p>
    <w:p w14:paraId="464804DD" w14:textId="034FB93A" w:rsidR="00985AF2" w:rsidRDefault="00E565DC" w:rsidP="00C81357">
      <w:pPr>
        <w:tabs>
          <w:tab w:val="left" w:pos="2325"/>
        </w:tabs>
      </w:pPr>
      <w:r>
        <w:t>This lack of engagement and compliance was said to be partly attributed to the individuals already being heavily involved in organised crime and that by taking part in the prevention the said individuals were at risk</w:t>
      </w:r>
      <w:r w:rsidR="00985AF2">
        <w:t xml:space="preserve"> </w:t>
      </w:r>
      <w:r>
        <w:t>of harm</w:t>
      </w:r>
      <w:r w:rsidR="00752FCC">
        <w:t xml:space="preserve"> from </w:t>
      </w:r>
      <w:proofErr w:type="gramStart"/>
      <w:r w:rsidR="00752FCC">
        <w:t>other</w:t>
      </w:r>
      <w:proofErr w:type="gramEnd"/>
      <w:r w:rsidR="00752FCC">
        <w:t xml:space="preserve"> criminal within the organisation</w:t>
      </w:r>
      <w:r w:rsidR="00985AF2">
        <w:t xml:space="preserve">. </w:t>
      </w:r>
      <w:proofErr w:type="gramStart"/>
      <w:r w:rsidR="00985AF2">
        <w:t>Again</w:t>
      </w:r>
      <w:proofErr w:type="gramEnd"/>
      <w:r w:rsidR="00985AF2">
        <w:t xml:space="preserve"> this is another competing factor.</w:t>
      </w:r>
    </w:p>
    <w:p w14:paraId="0453220B" w14:textId="4188639A" w:rsidR="00985AF2" w:rsidRDefault="00985AF2" w:rsidP="00C81357">
      <w:pPr>
        <w:tabs>
          <w:tab w:val="left" w:pos="2325"/>
        </w:tabs>
      </w:pPr>
      <w:r>
        <w:t xml:space="preserve">However, despite this being a genuine problem it may also be worth noting that as the said individuals were already involved in organised crime, the same factors may not </w:t>
      </w:r>
      <w:r w:rsidR="00AF317B">
        <w:t>be applicable</w:t>
      </w:r>
      <w:r>
        <w:t xml:space="preserve"> to individuals who are not as heavily involved in organised crime, making the intervention more </w:t>
      </w:r>
      <w:r>
        <w:lastRenderedPageBreak/>
        <w:t>effective for them. This means that it may not be completely fair to suggest that interventions are completely useless for all individuals</w:t>
      </w:r>
      <w:r w:rsidR="00AF317B">
        <w:t xml:space="preserve"> collectively who are possibly subject to crime and </w:t>
      </w:r>
      <w:proofErr w:type="spellStart"/>
      <w:r w:rsidR="00AF317B">
        <w:t>anti social</w:t>
      </w:r>
      <w:proofErr w:type="spellEnd"/>
      <w:r w:rsidR="00AF317B">
        <w:t xml:space="preserve"> behaviour.</w:t>
      </w:r>
      <w:r w:rsidR="00AE5FDC">
        <w:t xml:space="preserve"> </w:t>
      </w:r>
      <w:sdt>
        <w:sdtPr>
          <w:id w:val="-1361964691"/>
          <w:citation/>
        </w:sdtPr>
        <w:sdtContent>
          <w:r w:rsidR="00AE5FDC">
            <w:fldChar w:fldCharType="begin"/>
          </w:r>
          <w:r w:rsidR="00AE5FDC">
            <w:instrText xml:space="preserve"> CITATION Lau191 \l 2057 </w:instrText>
          </w:r>
          <w:r w:rsidR="00AE5FDC">
            <w:fldChar w:fldCharType="separate"/>
          </w:r>
          <w:r w:rsidR="00AE5FDC">
            <w:rPr>
              <w:noProof/>
            </w:rPr>
            <w:t>(al L. J., 2019)</w:t>
          </w:r>
          <w:r w:rsidR="00AE5FDC">
            <w:fldChar w:fldCharType="end"/>
          </w:r>
        </w:sdtContent>
      </w:sdt>
    </w:p>
    <w:p w14:paraId="08840439" w14:textId="19C39463" w:rsidR="00405BD5" w:rsidRDefault="00405BD5" w:rsidP="00C81357">
      <w:pPr>
        <w:tabs>
          <w:tab w:val="left" w:pos="2325"/>
        </w:tabs>
      </w:pPr>
      <w:r>
        <w:t>Another strategy that is used to prevent incidents is predictive policing. Sandhu states that this essentially means by using previous data and information on a large scale the police can predict where and when crime will occur and who are likely to be the culprits</w:t>
      </w:r>
      <w:r w:rsidR="00AF317B">
        <w:t xml:space="preserve"> of the crime, along with the potential victims are</w:t>
      </w:r>
      <w:r>
        <w:t xml:space="preserve">. This could potentially be a fantastic asset in crime prevention for the obvious reasons, however there are drawbacks, namely how new the technology is. Being as new as it is there is very little data to suggest that </w:t>
      </w:r>
      <w:r w:rsidR="00C937F3">
        <w:t xml:space="preserve">it </w:t>
      </w:r>
      <w:r w:rsidR="00AC3FCB">
        <w:t>is effective in the first place.</w:t>
      </w:r>
    </w:p>
    <w:p w14:paraId="40AEDD17" w14:textId="45D8BEE9" w:rsidR="00AC3FCB" w:rsidRDefault="00AC3FCB" w:rsidP="00C81357">
      <w:pPr>
        <w:tabs>
          <w:tab w:val="left" w:pos="2325"/>
        </w:tabs>
      </w:pPr>
      <w:r>
        <w:t xml:space="preserve">But although the technology is relatively new, the data that has been collected thus far suggests that it is effective at decreasing low level crime and </w:t>
      </w:r>
      <w:proofErr w:type="spellStart"/>
      <w:r>
        <w:t>anti social</w:t>
      </w:r>
      <w:proofErr w:type="spellEnd"/>
      <w:r>
        <w:t xml:space="preserve"> behaviour. A counter</w:t>
      </w:r>
      <w:r w:rsidR="00C937F3">
        <w:t xml:space="preserve"> to</w:t>
      </w:r>
      <w:r>
        <w:t xml:space="preserve"> that argument is that not all </w:t>
      </w:r>
      <w:proofErr w:type="spellStart"/>
      <w:r>
        <w:t>anti social</w:t>
      </w:r>
      <w:proofErr w:type="spellEnd"/>
      <w:r>
        <w:t xml:space="preserve"> behaviour is low level crime, such as organised crime, and therefore the strategy can be seen as ineffective. </w:t>
      </w:r>
    </w:p>
    <w:p w14:paraId="22ED1FAA" w14:textId="608A5460" w:rsidR="00AC3FCB" w:rsidRDefault="00AC3FCB" w:rsidP="00C81357">
      <w:pPr>
        <w:tabs>
          <w:tab w:val="left" w:pos="2325"/>
        </w:tabs>
      </w:pPr>
      <w:r>
        <w:t xml:space="preserve">But as stated there is a lack of data to draw any substantial negative conclusion which has </w:t>
      </w:r>
      <w:proofErr w:type="gramStart"/>
      <w:r>
        <w:t>lead</w:t>
      </w:r>
      <w:proofErr w:type="gramEnd"/>
      <w:r>
        <w:t xml:space="preserve"> more police forces to utilise it for the time being</w:t>
      </w:r>
      <w:r w:rsidR="00C937F3">
        <w:t>. This</w:t>
      </w:r>
      <w:r>
        <w:t xml:space="preserve"> will in turn produce more data, giving us a better understanding of how effective the strategy is. </w:t>
      </w:r>
      <w:sdt>
        <w:sdtPr>
          <w:id w:val="-365371064"/>
          <w:citation/>
        </w:sdtPr>
        <w:sdtContent>
          <w:r w:rsidR="00AE5FDC">
            <w:fldChar w:fldCharType="begin"/>
          </w:r>
          <w:r w:rsidR="00AE5FDC">
            <w:instrText xml:space="preserve"> CITATION Aja20 \l 2057 </w:instrText>
          </w:r>
          <w:r w:rsidR="00AE5FDC">
            <w:fldChar w:fldCharType="separate"/>
          </w:r>
          <w:r w:rsidR="00AE5FDC">
            <w:rPr>
              <w:noProof/>
            </w:rPr>
            <w:t>(Fussey, 2020)</w:t>
          </w:r>
          <w:r w:rsidR="00AE5FDC">
            <w:fldChar w:fldCharType="end"/>
          </w:r>
        </w:sdtContent>
      </w:sdt>
    </w:p>
    <w:p w14:paraId="110B0929" w14:textId="5A72483B" w:rsidR="00C937F3" w:rsidRPr="004D6490" w:rsidRDefault="00C937F3" w:rsidP="00C81357">
      <w:pPr>
        <w:tabs>
          <w:tab w:val="left" w:pos="2325"/>
        </w:tabs>
      </w:pPr>
      <w:r>
        <w:t xml:space="preserve">In conclusion I believe the use of current strategies and preventions to be less effective than what should be acceptable. Boulton found that more people within the UK are becoming involved with organised crime. This was recorded by the National Crime Agency in 2018. Along with the argument I have outlined above this proves that the current strategies lack an effectiveness. However, the new evolving technology of predictive policing could potentially remedy this. This however will only become more substantial or not the longer that and frequently the strategy is utilised.  </w:t>
      </w:r>
    </w:p>
    <w:p w14:paraId="07076CEB" w14:textId="0FA038FD" w:rsidR="00087A18" w:rsidRDefault="00143F25">
      <w:pPr>
        <w:rPr>
          <w:b/>
          <w:bCs/>
        </w:rPr>
      </w:pPr>
      <w:r>
        <w:rPr>
          <w:b/>
          <w:bCs/>
        </w:rPr>
        <w:t xml:space="preserve">Word count </w:t>
      </w:r>
      <w:r w:rsidR="00AE5FDC">
        <w:rPr>
          <w:b/>
          <w:bCs/>
        </w:rPr>
        <w:t>–</w:t>
      </w:r>
      <w:r>
        <w:rPr>
          <w:b/>
          <w:bCs/>
        </w:rPr>
        <w:t xml:space="preserve"> 901</w:t>
      </w:r>
    </w:p>
    <w:sdt>
      <w:sdtPr>
        <w:id w:val="2128427337"/>
        <w:docPartObj>
          <w:docPartGallery w:val="Bibliographies"/>
          <w:docPartUnique/>
        </w:docPartObj>
      </w:sdtPr>
      <w:sdtEndPr>
        <w:rPr>
          <w:rFonts w:asciiTheme="minorHAnsi" w:eastAsiaTheme="minorHAnsi" w:hAnsiTheme="minorHAnsi" w:cstheme="minorBidi"/>
          <w:color w:val="auto"/>
          <w:kern w:val="2"/>
          <w:sz w:val="22"/>
          <w:szCs w:val="22"/>
          <w:lang w:val="en-GB"/>
          <w14:ligatures w14:val="standardContextual"/>
        </w:rPr>
      </w:sdtEndPr>
      <w:sdtContent>
        <w:p w14:paraId="45A9346B" w14:textId="7E668E52" w:rsidR="00AE5FDC" w:rsidRDefault="00AE5FDC">
          <w:pPr>
            <w:pStyle w:val="Heading1"/>
          </w:pPr>
          <w:r>
            <w:t>Bibliography</w:t>
          </w:r>
        </w:p>
        <w:sdt>
          <w:sdtPr>
            <w:id w:val="111145805"/>
            <w:bibliography/>
          </w:sdtPr>
          <w:sdtContent>
            <w:p w14:paraId="5100EB99" w14:textId="77777777" w:rsidR="00AE5FDC" w:rsidRDefault="00AE5FDC" w:rsidP="00AE5FDC">
              <w:pPr>
                <w:pStyle w:val="Bibliography"/>
                <w:ind w:left="720" w:hanging="720"/>
                <w:rPr>
                  <w:noProof/>
                  <w:kern w:val="0"/>
                  <w:sz w:val="24"/>
                  <w:szCs w:val="24"/>
                  <w:lang w:val="en-US"/>
                  <w14:ligatures w14:val="none"/>
                </w:rPr>
              </w:pPr>
              <w:r>
                <w:fldChar w:fldCharType="begin"/>
              </w:r>
              <w:r>
                <w:instrText xml:space="preserve"> BIBLIOGRAPHY </w:instrText>
              </w:r>
              <w:r>
                <w:fldChar w:fldCharType="separate"/>
              </w:r>
              <w:r>
                <w:rPr>
                  <w:noProof/>
                  <w:lang w:val="en-US"/>
                </w:rPr>
                <w:t xml:space="preserve">Akram, S. (2022). Police ca change? Cressida Dick, Institutional racism and the metropolitan police. </w:t>
              </w:r>
              <w:r>
                <w:rPr>
                  <w:i/>
                  <w:iCs/>
                  <w:noProof/>
                  <w:lang w:val="en-US"/>
                </w:rPr>
                <w:t>The political quarterly</w:t>
              </w:r>
              <w:r>
                <w:rPr>
                  <w:noProof/>
                  <w:lang w:val="en-US"/>
                </w:rPr>
                <w:t>, 1-10.</w:t>
              </w:r>
            </w:p>
            <w:p w14:paraId="2B5B3DE0" w14:textId="77777777" w:rsidR="00AE5FDC" w:rsidRDefault="00AE5FDC" w:rsidP="00AE5FDC">
              <w:pPr>
                <w:pStyle w:val="Bibliography"/>
                <w:ind w:left="720" w:hanging="720"/>
                <w:rPr>
                  <w:noProof/>
                  <w:lang w:val="en-US"/>
                </w:rPr>
              </w:pPr>
              <w:r>
                <w:rPr>
                  <w:noProof/>
                  <w:lang w:val="en-US"/>
                </w:rPr>
                <w:t xml:space="preserve">al, J. M. (2020). Special issue: tackling disparity, debating evidence based approaches and the 2020 stockholm prize. </w:t>
              </w:r>
              <w:r>
                <w:rPr>
                  <w:i/>
                  <w:iCs/>
                  <w:noProof/>
                  <w:lang w:val="en-US"/>
                </w:rPr>
                <w:t>Criminology and public policy</w:t>
              </w:r>
              <w:r>
                <w:rPr>
                  <w:noProof/>
                  <w:lang w:val="en-US"/>
                </w:rPr>
                <w:t>, 1259 - 1287.</w:t>
              </w:r>
            </w:p>
            <w:p w14:paraId="6661866D" w14:textId="77777777" w:rsidR="00AE5FDC" w:rsidRDefault="00AE5FDC" w:rsidP="00AE5FDC">
              <w:pPr>
                <w:pStyle w:val="Bibliography"/>
                <w:ind w:left="720" w:hanging="720"/>
                <w:rPr>
                  <w:noProof/>
                  <w:lang w:val="en-US"/>
                </w:rPr>
              </w:pPr>
              <w:r>
                <w:rPr>
                  <w:noProof/>
                  <w:lang w:val="en-US"/>
                </w:rPr>
                <w:t xml:space="preserve">al, K. B. (2022). Problem-oriented policing in England and Wales: barriers and facilitators. </w:t>
              </w:r>
              <w:r>
                <w:rPr>
                  <w:i/>
                  <w:iCs/>
                  <w:noProof/>
                  <w:lang w:val="en-US"/>
                </w:rPr>
                <w:t>policing and society</w:t>
              </w:r>
              <w:r>
                <w:rPr>
                  <w:noProof/>
                  <w:lang w:val="en-US"/>
                </w:rPr>
                <w:t>, 1087 - 1102.</w:t>
              </w:r>
            </w:p>
            <w:p w14:paraId="466EEB73" w14:textId="77777777" w:rsidR="00AE5FDC" w:rsidRDefault="00AE5FDC" w:rsidP="00AE5FDC">
              <w:pPr>
                <w:pStyle w:val="Bibliography"/>
                <w:ind w:left="720" w:hanging="720"/>
                <w:rPr>
                  <w:noProof/>
                  <w:lang w:val="en-US"/>
                </w:rPr>
              </w:pPr>
              <w:r>
                <w:rPr>
                  <w:noProof/>
                  <w:lang w:val="en-US"/>
                </w:rPr>
                <w:t xml:space="preserve">al, L. J. (2019). Diverting young men from gangs: a qualitive evaluation. </w:t>
              </w:r>
              <w:r>
                <w:rPr>
                  <w:i/>
                  <w:iCs/>
                  <w:noProof/>
                  <w:lang w:val="en-US"/>
                </w:rPr>
                <w:t>Scholary journal</w:t>
              </w:r>
              <w:r>
                <w:rPr>
                  <w:noProof/>
                  <w:lang w:val="en-US"/>
                </w:rPr>
                <w:t>, 887 - 900.</w:t>
              </w:r>
            </w:p>
            <w:p w14:paraId="284B6B2D" w14:textId="77777777" w:rsidR="00AE5FDC" w:rsidRDefault="00AE5FDC" w:rsidP="00AE5FDC">
              <w:pPr>
                <w:pStyle w:val="Bibliography"/>
                <w:ind w:left="720" w:hanging="720"/>
                <w:rPr>
                  <w:noProof/>
                  <w:lang w:val="en-US"/>
                </w:rPr>
              </w:pPr>
              <w:r>
                <w:rPr>
                  <w:noProof/>
                  <w:lang w:val="en-US"/>
                </w:rPr>
                <w:t xml:space="preserve">al, P. J. (2020). We are fighting a tide that keeps coming against us’: a mixed method exploration of stressors in an English county police force. </w:t>
              </w:r>
              <w:r>
                <w:rPr>
                  <w:i/>
                  <w:iCs/>
                  <w:noProof/>
                  <w:lang w:val="en-US"/>
                </w:rPr>
                <w:t>Police practice and research</w:t>
              </w:r>
              <w:r>
                <w:rPr>
                  <w:noProof/>
                  <w:lang w:val="en-US"/>
                </w:rPr>
                <w:t>, 370-388.</w:t>
              </w:r>
            </w:p>
            <w:p w14:paraId="705B735D" w14:textId="77777777" w:rsidR="00AE5FDC" w:rsidRDefault="00AE5FDC" w:rsidP="00AE5FDC">
              <w:pPr>
                <w:pStyle w:val="Bibliography"/>
                <w:ind w:left="720" w:hanging="720"/>
                <w:rPr>
                  <w:noProof/>
                  <w:lang w:val="en-US"/>
                </w:rPr>
              </w:pPr>
              <w:r>
                <w:rPr>
                  <w:noProof/>
                  <w:lang w:val="en-US"/>
                </w:rPr>
                <w:t xml:space="preserve">Andrews, L. W. (2018). The Effect of a Trauma Risk Management (TRiM) Program on. </w:t>
              </w:r>
              <w:r>
                <w:rPr>
                  <w:i/>
                  <w:iCs/>
                  <w:noProof/>
                  <w:lang w:val="en-US"/>
                </w:rPr>
                <w:t>International Journal of Stress Management</w:t>
              </w:r>
              <w:r>
                <w:rPr>
                  <w:noProof/>
                  <w:lang w:val="en-US"/>
                </w:rPr>
                <w:t>, 348 - 356.</w:t>
              </w:r>
            </w:p>
            <w:p w14:paraId="7F65A4B4" w14:textId="77777777" w:rsidR="00AE5FDC" w:rsidRDefault="00AE5FDC" w:rsidP="00AE5FDC">
              <w:pPr>
                <w:pStyle w:val="Bibliography"/>
                <w:ind w:left="720" w:hanging="720"/>
                <w:rPr>
                  <w:noProof/>
                  <w:lang w:val="en-US"/>
                </w:rPr>
              </w:pPr>
              <w:r>
                <w:rPr>
                  <w:noProof/>
                  <w:lang w:val="en-US"/>
                </w:rPr>
                <w:t xml:space="preserve">division, O. c. (2022). </w:t>
              </w:r>
              <w:r>
                <w:rPr>
                  <w:i/>
                  <w:iCs/>
                  <w:noProof/>
                  <w:lang w:val="en-US"/>
                </w:rPr>
                <w:t xml:space="preserve">Organised crime - strategy </w:t>
              </w:r>
              <w:r>
                <w:rPr>
                  <w:noProof/>
                  <w:lang w:val="en-US"/>
                </w:rPr>
                <w:t>. Retrieved from crown prosecution service: https://www.cps.gov.uk/organised-crime-strategy#:~:text=Organised%20Crime%20is%20defined%20as,together%20on%20a%20continuing%20basis.</w:t>
              </w:r>
            </w:p>
            <w:p w14:paraId="796C7936" w14:textId="77777777" w:rsidR="00AE5FDC" w:rsidRDefault="00AE5FDC" w:rsidP="00AE5FDC">
              <w:pPr>
                <w:pStyle w:val="Bibliography"/>
                <w:ind w:left="720" w:hanging="720"/>
                <w:rPr>
                  <w:noProof/>
                  <w:lang w:val="en-US"/>
                </w:rPr>
              </w:pPr>
              <w:r>
                <w:rPr>
                  <w:noProof/>
                  <w:lang w:val="en-US"/>
                </w:rPr>
                <w:lastRenderedPageBreak/>
                <w:t xml:space="preserve">Fussey, A. S. (2020). The ‘uberization of policing’? How police negotiate and operationalise predictive policing technology. </w:t>
              </w:r>
              <w:r>
                <w:rPr>
                  <w:i/>
                  <w:iCs/>
                  <w:noProof/>
                  <w:lang w:val="en-US"/>
                </w:rPr>
                <w:t>policing and society</w:t>
              </w:r>
              <w:r>
                <w:rPr>
                  <w:noProof/>
                  <w:lang w:val="en-US"/>
                </w:rPr>
                <w:t>, 66 - 81.</w:t>
              </w:r>
            </w:p>
            <w:p w14:paraId="5172F524" w14:textId="77777777" w:rsidR="00AE5FDC" w:rsidRDefault="00AE5FDC" w:rsidP="00AE5FDC">
              <w:pPr>
                <w:pStyle w:val="Bibliography"/>
                <w:ind w:left="720" w:hanging="720"/>
                <w:rPr>
                  <w:noProof/>
                  <w:lang w:val="en-US"/>
                </w:rPr>
              </w:pPr>
              <w:r>
                <w:rPr>
                  <w:noProof/>
                  <w:lang w:val="en-US"/>
                </w:rPr>
                <w:t xml:space="preserve">Grace Robinson, R. M. (2018). Working county lines: child exploitation and illicit drug dealing in Glasgow and Merseyside. </w:t>
              </w:r>
              <w:r>
                <w:rPr>
                  <w:i/>
                  <w:iCs/>
                  <w:noProof/>
                  <w:lang w:val="en-US"/>
                </w:rPr>
                <w:t xml:space="preserve">International journal of offender therapy and comparative criminology </w:t>
              </w:r>
              <w:r>
                <w:rPr>
                  <w:noProof/>
                  <w:lang w:val="en-US"/>
                </w:rPr>
                <w:t>.</w:t>
              </w:r>
            </w:p>
            <w:p w14:paraId="42334EE7" w14:textId="77777777" w:rsidR="00AE5FDC" w:rsidRDefault="00AE5FDC" w:rsidP="00AE5FDC">
              <w:pPr>
                <w:pStyle w:val="Bibliography"/>
                <w:ind w:left="720" w:hanging="720"/>
                <w:rPr>
                  <w:noProof/>
                  <w:lang w:val="en-US"/>
                </w:rPr>
              </w:pPr>
              <w:r>
                <w:rPr>
                  <w:noProof/>
                  <w:lang w:val="en-US"/>
                </w:rPr>
                <w:t xml:space="preserve">Jack Spicer, L. M. (2019). The variable and evolving nature of 'cuckooing' as a form of criminal exploitation in street level drug markets. </w:t>
              </w:r>
              <w:r>
                <w:rPr>
                  <w:i/>
                  <w:iCs/>
                  <w:noProof/>
                  <w:lang w:val="en-US"/>
                </w:rPr>
                <w:t>Trends in organized crime</w:t>
              </w:r>
              <w:r>
                <w:rPr>
                  <w:noProof/>
                  <w:lang w:val="en-US"/>
                </w:rPr>
                <w:t>, 301-323.</w:t>
              </w:r>
            </w:p>
            <w:p w14:paraId="4566D22E" w14:textId="77777777" w:rsidR="00AE5FDC" w:rsidRDefault="00AE5FDC" w:rsidP="00AE5FDC">
              <w:pPr>
                <w:pStyle w:val="Bibliography"/>
                <w:ind w:left="720" w:hanging="720"/>
                <w:rPr>
                  <w:noProof/>
                  <w:lang w:val="en-US"/>
                </w:rPr>
              </w:pPr>
              <w:r>
                <w:rPr>
                  <w:noProof/>
                  <w:lang w:val="en-US"/>
                </w:rPr>
                <w:t xml:space="preserve">James Windle, L. M. (2020). Vulnerable kids going country: Children and young people's involvement in county lines drug dealing. </w:t>
              </w:r>
              <w:r>
                <w:rPr>
                  <w:i/>
                  <w:iCs/>
                  <w:noProof/>
                  <w:lang w:val="en-US"/>
                </w:rPr>
                <w:t>Youth Justice</w:t>
              </w:r>
              <w:r>
                <w:rPr>
                  <w:noProof/>
                  <w:lang w:val="en-US"/>
                </w:rPr>
                <w:t>.</w:t>
              </w:r>
            </w:p>
            <w:p w14:paraId="1499F585" w14:textId="77777777" w:rsidR="00AE5FDC" w:rsidRDefault="00AE5FDC" w:rsidP="00AE5FDC">
              <w:pPr>
                <w:pStyle w:val="Bibliography"/>
                <w:ind w:left="720" w:hanging="720"/>
                <w:rPr>
                  <w:noProof/>
                  <w:lang w:val="en-US"/>
                </w:rPr>
              </w:pPr>
              <w:r>
                <w:rPr>
                  <w:noProof/>
                  <w:lang w:val="en-US"/>
                </w:rPr>
                <w:t xml:space="preserve">Joanna Kidd, J. M. (2017). modern slavery - the adult safeguarding interface. </w:t>
              </w:r>
              <w:r>
                <w:rPr>
                  <w:i/>
                  <w:iCs/>
                  <w:noProof/>
                  <w:lang w:val="en-US"/>
                </w:rPr>
                <w:t>emrald publishing</w:t>
              </w:r>
              <w:r>
                <w:rPr>
                  <w:noProof/>
                  <w:lang w:val="en-US"/>
                </w:rPr>
                <w:t>, 158-166.</w:t>
              </w:r>
            </w:p>
            <w:p w14:paraId="716CBBBE" w14:textId="77777777" w:rsidR="00AE5FDC" w:rsidRDefault="00AE5FDC" w:rsidP="00AE5FDC">
              <w:pPr>
                <w:pStyle w:val="Bibliography"/>
                <w:ind w:left="720" w:hanging="720"/>
                <w:rPr>
                  <w:noProof/>
                  <w:lang w:val="en-US"/>
                </w:rPr>
              </w:pPr>
              <w:r>
                <w:rPr>
                  <w:noProof/>
                  <w:lang w:val="en-US"/>
                </w:rPr>
                <w:t xml:space="preserve">Nickolls, L. m. (2023, july 09). </w:t>
              </w:r>
              <w:r>
                <w:rPr>
                  <w:i/>
                  <w:iCs/>
                  <w:noProof/>
                  <w:lang w:val="en-US"/>
                </w:rPr>
                <w:t>Metropolitan Police investigation into the murder of Stephen Lawrence</w:t>
              </w:r>
              <w:r>
                <w:rPr>
                  <w:noProof/>
                  <w:lang w:val="en-US"/>
                </w:rPr>
                <w:t>. Retrieved from House of commons library: https://commonslibrary.parliament.uk/research-briefings/cdp-2023-0160/</w:t>
              </w:r>
            </w:p>
            <w:p w14:paraId="736B4C5A" w14:textId="77777777" w:rsidR="00AE5FDC" w:rsidRDefault="00AE5FDC" w:rsidP="00AE5FDC">
              <w:pPr>
                <w:pStyle w:val="Bibliography"/>
                <w:ind w:left="720" w:hanging="720"/>
                <w:rPr>
                  <w:noProof/>
                  <w:lang w:val="en-US"/>
                </w:rPr>
              </w:pPr>
              <w:r>
                <w:rPr>
                  <w:noProof/>
                  <w:lang w:val="en-US"/>
                </w:rPr>
                <w:t xml:space="preserve">policing, c. o. (2022, april 25). </w:t>
              </w:r>
              <w:r>
                <w:rPr>
                  <w:i/>
                  <w:iCs/>
                  <w:noProof/>
                  <w:lang w:val="en-US"/>
                </w:rPr>
                <w:t>culture and capacity</w:t>
              </w:r>
              <w:r>
                <w:rPr>
                  <w:noProof/>
                  <w:lang w:val="en-US"/>
                </w:rPr>
                <w:t>. Retrieved from college of policing : https://www.college.police.uk/guidance/effective-supervision/culture-and-capacity</w:t>
              </w:r>
            </w:p>
            <w:p w14:paraId="765CFAEC" w14:textId="77777777" w:rsidR="00AE5FDC" w:rsidRDefault="00AE5FDC" w:rsidP="00AE5FDC">
              <w:pPr>
                <w:pStyle w:val="Bibliography"/>
                <w:ind w:left="720" w:hanging="720"/>
                <w:rPr>
                  <w:noProof/>
                  <w:lang w:val="en-US"/>
                </w:rPr>
              </w:pPr>
              <w:r>
                <w:rPr>
                  <w:noProof/>
                  <w:lang w:val="en-US"/>
                </w:rPr>
                <w:t xml:space="preserve">policing, c. o. (2023). </w:t>
              </w:r>
              <w:r>
                <w:rPr>
                  <w:i/>
                  <w:iCs/>
                  <w:noProof/>
                  <w:lang w:val="en-US"/>
                </w:rPr>
                <w:t>Anti social behaviour</w:t>
              </w:r>
              <w:r>
                <w:rPr>
                  <w:noProof/>
                  <w:lang w:val="en-US"/>
                </w:rPr>
                <w:t>. Retrieved from college of policing : https://www.college.police.uk/anti-social-behaviour</w:t>
              </w:r>
            </w:p>
            <w:p w14:paraId="68133508" w14:textId="77777777" w:rsidR="00AE5FDC" w:rsidRDefault="00AE5FDC" w:rsidP="00AE5FDC">
              <w:pPr>
                <w:pStyle w:val="Bibliography"/>
                <w:ind w:left="720" w:hanging="720"/>
                <w:rPr>
                  <w:noProof/>
                  <w:lang w:val="en-US"/>
                </w:rPr>
              </w:pPr>
              <w:r>
                <w:rPr>
                  <w:noProof/>
                  <w:lang w:val="en-US"/>
                </w:rPr>
                <w:t xml:space="preserve">policing, c. o. (2023). </w:t>
              </w:r>
              <w:r>
                <w:rPr>
                  <w:i/>
                  <w:iCs/>
                  <w:noProof/>
                  <w:lang w:val="en-US"/>
                </w:rPr>
                <w:t>college of policing</w:t>
              </w:r>
              <w:r>
                <w:rPr>
                  <w:noProof/>
                  <w:lang w:val="en-US"/>
                </w:rPr>
                <w:t>. Retrieved from definitions: https://www.college.police.uk/app/civil-emergencies/disaster-victim-identification/definitions#:~:text=A%20critical%20incident%20is%20any,family%20and%2For%20the%20community.</w:t>
              </w:r>
            </w:p>
            <w:p w14:paraId="43E65324" w14:textId="77777777" w:rsidR="00AE5FDC" w:rsidRDefault="00AE5FDC" w:rsidP="00AE5FDC">
              <w:pPr>
                <w:pStyle w:val="Bibliography"/>
                <w:ind w:left="720" w:hanging="720"/>
                <w:rPr>
                  <w:noProof/>
                  <w:lang w:val="en-US"/>
                </w:rPr>
              </w:pPr>
              <w:r>
                <w:rPr>
                  <w:noProof/>
                  <w:lang w:val="en-US"/>
                </w:rPr>
                <w:t xml:space="preserve">policing, c. o. (2023). </w:t>
              </w:r>
              <w:r>
                <w:rPr>
                  <w:i/>
                  <w:iCs/>
                  <w:noProof/>
                  <w:lang w:val="en-US"/>
                </w:rPr>
                <w:t>introduction to vulnerability related risk</w:t>
              </w:r>
              <w:r>
                <w:rPr>
                  <w:noProof/>
                  <w:lang w:val="en-US"/>
                </w:rPr>
                <w:t>. Retrieved from college of policing : https://www.college.police.uk/guidance/vulnerability-related-risks/introduction-vulnerability-related-risk#:~:text=We%20have%20adopted%20the%20THRIVE,others%20from%20harm%20or%20exploitation.</w:t>
              </w:r>
            </w:p>
            <w:p w14:paraId="761060BE" w14:textId="77777777" w:rsidR="00AE5FDC" w:rsidRDefault="00AE5FDC" w:rsidP="00AE5FDC">
              <w:pPr>
                <w:pStyle w:val="Bibliography"/>
                <w:ind w:left="720" w:hanging="720"/>
                <w:rPr>
                  <w:noProof/>
                  <w:lang w:val="en-US"/>
                </w:rPr>
              </w:pPr>
              <w:r>
                <w:rPr>
                  <w:noProof/>
                  <w:lang w:val="en-US"/>
                </w:rPr>
                <w:t xml:space="preserve">Ricardo Caceda, C. B. (2014). Toward an understanding of decision making in severe mental illness. </w:t>
              </w:r>
              <w:r>
                <w:rPr>
                  <w:i/>
                  <w:iCs/>
                  <w:noProof/>
                  <w:lang w:val="en-US"/>
                </w:rPr>
                <w:t>the journal of neuropsychiatry and clinical neurosciences</w:t>
              </w:r>
              <w:r>
                <w:rPr>
                  <w:noProof/>
                  <w:lang w:val="en-US"/>
                </w:rPr>
                <w:t>, 196-213.</w:t>
              </w:r>
            </w:p>
            <w:p w14:paraId="6D5C62F7" w14:textId="77777777" w:rsidR="00AE5FDC" w:rsidRDefault="00AE5FDC" w:rsidP="00AE5FDC">
              <w:pPr>
                <w:pStyle w:val="Bibliography"/>
                <w:ind w:left="720" w:hanging="720"/>
                <w:rPr>
                  <w:noProof/>
                  <w:lang w:val="en-US"/>
                </w:rPr>
              </w:pPr>
              <w:r>
                <w:rPr>
                  <w:noProof/>
                  <w:lang w:val="en-US"/>
                </w:rPr>
                <w:t xml:space="preserve">Roach, M. R. (2019). </w:t>
              </w:r>
              <w:r>
                <w:rPr>
                  <w:i/>
                  <w:iCs/>
                  <w:noProof/>
                  <w:lang w:val="en-US"/>
                </w:rPr>
                <w:t>Decison making in police enquiries and critical incients: what really works?</w:t>
              </w:r>
              <w:r>
                <w:rPr>
                  <w:noProof/>
                  <w:lang w:val="en-US"/>
                </w:rPr>
                <w:t xml:space="preserve"> Palgrave Macmillan UK.</w:t>
              </w:r>
            </w:p>
            <w:p w14:paraId="0C4D8702" w14:textId="77777777" w:rsidR="00AE5FDC" w:rsidRDefault="00AE5FDC" w:rsidP="00AE5FDC">
              <w:pPr>
                <w:pStyle w:val="Bibliography"/>
                <w:ind w:left="720" w:hanging="720"/>
                <w:rPr>
                  <w:noProof/>
                  <w:lang w:val="en-US"/>
                </w:rPr>
              </w:pPr>
              <w:r>
                <w:rPr>
                  <w:noProof/>
                  <w:lang w:val="en-US"/>
                </w:rPr>
                <w:t xml:space="preserve">Robert Caruana, A. C. (2020). Modern slavery in business: the sad and sorry state of a non - field. </w:t>
              </w:r>
              <w:r>
                <w:rPr>
                  <w:i/>
                  <w:iCs/>
                  <w:noProof/>
                  <w:lang w:val="en-US"/>
                </w:rPr>
                <w:t>business and society</w:t>
              </w:r>
              <w:r>
                <w:rPr>
                  <w:noProof/>
                  <w:lang w:val="en-US"/>
                </w:rPr>
                <w:t>.</w:t>
              </w:r>
            </w:p>
            <w:p w14:paraId="15411326" w14:textId="77777777" w:rsidR="00AE5FDC" w:rsidRDefault="00AE5FDC" w:rsidP="00AE5FDC">
              <w:pPr>
                <w:pStyle w:val="Bibliography"/>
                <w:ind w:left="720" w:hanging="720"/>
                <w:rPr>
                  <w:noProof/>
                  <w:lang w:val="en-US"/>
                </w:rPr>
              </w:pPr>
              <w:r>
                <w:rPr>
                  <w:noProof/>
                  <w:lang w:val="en-US"/>
                </w:rPr>
                <w:t xml:space="preserve">Telesco, T. B. (2021). Police Stress and Deleterious Outcomes: Efforts Towards Improving Police Mental Health. </w:t>
              </w:r>
              <w:r>
                <w:rPr>
                  <w:i/>
                  <w:iCs/>
                  <w:noProof/>
                  <w:lang w:val="en-US"/>
                </w:rPr>
                <w:t>Springer nature</w:t>
              </w:r>
              <w:r>
                <w:rPr>
                  <w:noProof/>
                  <w:lang w:val="en-US"/>
                </w:rPr>
                <w:t>, 173 - 182.</w:t>
              </w:r>
            </w:p>
            <w:p w14:paraId="7C884DDA" w14:textId="77777777" w:rsidR="00AE5FDC" w:rsidRDefault="00AE5FDC" w:rsidP="00AE5FDC">
              <w:pPr>
                <w:pStyle w:val="Bibliography"/>
                <w:ind w:left="720" w:hanging="720"/>
                <w:rPr>
                  <w:noProof/>
                  <w:lang w:val="en-US"/>
                </w:rPr>
              </w:pPr>
              <w:r>
                <w:rPr>
                  <w:noProof/>
                  <w:lang w:val="en-US"/>
                </w:rPr>
                <w:t xml:space="preserve">university, D. (2019). </w:t>
              </w:r>
              <w:r>
                <w:rPr>
                  <w:i/>
                  <w:iCs/>
                  <w:noProof/>
                  <w:lang w:val="en-US"/>
                </w:rPr>
                <w:t>Diversity, equality, and inclusion in policing 2019.</w:t>
              </w:r>
              <w:r>
                <w:rPr>
                  <w:noProof/>
                  <w:lang w:val="en-US"/>
                </w:rPr>
                <w:t xml:space="preserve"> Durham: Durham University.</w:t>
              </w:r>
            </w:p>
            <w:p w14:paraId="141F951E" w14:textId="77777777" w:rsidR="00AE5FDC" w:rsidRDefault="00AE5FDC" w:rsidP="00AE5FDC">
              <w:pPr>
                <w:pStyle w:val="Bibliography"/>
                <w:ind w:left="720" w:hanging="720"/>
                <w:rPr>
                  <w:noProof/>
                  <w:lang w:val="en-US"/>
                </w:rPr>
              </w:pPr>
              <w:r>
                <w:rPr>
                  <w:noProof/>
                  <w:lang w:val="en-US"/>
                </w:rPr>
                <w:t xml:space="preserve">Zempi, I. (2020). 'Looking back, I wouldn't join up again': the lived experiences of police officers as victims of bias and prejudice perpetrated by fellow staff within an english police force. </w:t>
              </w:r>
              <w:r>
                <w:rPr>
                  <w:i/>
                  <w:iCs/>
                  <w:noProof/>
                  <w:lang w:val="en-US"/>
                </w:rPr>
                <w:t xml:space="preserve">Police Practice and Research </w:t>
              </w:r>
              <w:r>
                <w:rPr>
                  <w:noProof/>
                  <w:lang w:val="en-US"/>
                </w:rPr>
                <w:t>, 33-48.</w:t>
              </w:r>
            </w:p>
            <w:p w14:paraId="0B1AF125" w14:textId="09316FCA" w:rsidR="00AE5FDC" w:rsidRPr="00AE5FDC" w:rsidRDefault="00AE5FDC">
              <w:r>
                <w:rPr>
                  <w:b/>
                  <w:bCs/>
                  <w:noProof/>
                </w:rPr>
                <w:lastRenderedPageBreak/>
                <w:fldChar w:fldCharType="end"/>
              </w:r>
            </w:p>
          </w:sdtContent>
        </w:sdt>
      </w:sdtContent>
    </w:sdt>
    <w:sectPr w:rsidR="00AE5FDC" w:rsidRPr="00AE5F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134C"/>
    <w:rsid w:val="00087A18"/>
    <w:rsid w:val="0009672E"/>
    <w:rsid w:val="000A7E41"/>
    <w:rsid w:val="00126758"/>
    <w:rsid w:val="00143F25"/>
    <w:rsid w:val="001F3CF8"/>
    <w:rsid w:val="00203780"/>
    <w:rsid w:val="00220E5B"/>
    <w:rsid w:val="0024134C"/>
    <w:rsid w:val="002B411A"/>
    <w:rsid w:val="002F70DF"/>
    <w:rsid w:val="00331E17"/>
    <w:rsid w:val="003E0BC1"/>
    <w:rsid w:val="00405BD5"/>
    <w:rsid w:val="00490546"/>
    <w:rsid w:val="004A3B9A"/>
    <w:rsid w:val="004D6490"/>
    <w:rsid w:val="00504D85"/>
    <w:rsid w:val="0050784F"/>
    <w:rsid w:val="005D5913"/>
    <w:rsid w:val="005E7A0F"/>
    <w:rsid w:val="00652C2D"/>
    <w:rsid w:val="00653881"/>
    <w:rsid w:val="00752FCC"/>
    <w:rsid w:val="00756BA9"/>
    <w:rsid w:val="008A4C49"/>
    <w:rsid w:val="008A5E48"/>
    <w:rsid w:val="008B7A57"/>
    <w:rsid w:val="008C3E7B"/>
    <w:rsid w:val="009573A8"/>
    <w:rsid w:val="00984F97"/>
    <w:rsid w:val="00985AF2"/>
    <w:rsid w:val="009E0C97"/>
    <w:rsid w:val="00A10C08"/>
    <w:rsid w:val="00A1360C"/>
    <w:rsid w:val="00A25E48"/>
    <w:rsid w:val="00AC3FCB"/>
    <w:rsid w:val="00AE5FDC"/>
    <w:rsid w:val="00AF317B"/>
    <w:rsid w:val="00B055F3"/>
    <w:rsid w:val="00B5079F"/>
    <w:rsid w:val="00B639EA"/>
    <w:rsid w:val="00B7246C"/>
    <w:rsid w:val="00B95814"/>
    <w:rsid w:val="00BC070C"/>
    <w:rsid w:val="00BC7972"/>
    <w:rsid w:val="00BF60DF"/>
    <w:rsid w:val="00C523A5"/>
    <w:rsid w:val="00C71D79"/>
    <w:rsid w:val="00C81357"/>
    <w:rsid w:val="00C937F3"/>
    <w:rsid w:val="00C94CB5"/>
    <w:rsid w:val="00CB278A"/>
    <w:rsid w:val="00CC3FBB"/>
    <w:rsid w:val="00CE28D0"/>
    <w:rsid w:val="00DB0F87"/>
    <w:rsid w:val="00DC0FD9"/>
    <w:rsid w:val="00E565DC"/>
    <w:rsid w:val="00E87701"/>
    <w:rsid w:val="00EB070D"/>
    <w:rsid w:val="00ED20FB"/>
    <w:rsid w:val="00F72045"/>
    <w:rsid w:val="00F86034"/>
    <w:rsid w:val="00FD21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D7BFF4"/>
  <w15:docId w15:val="{58E74CB1-6FFD-43FC-96F9-6A67B0F487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0546"/>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0546"/>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490546"/>
  </w:style>
  <w:style w:type="character" w:styleId="Hyperlink">
    <w:name w:val="Hyperlink"/>
    <w:basedOn w:val="DefaultParagraphFont"/>
    <w:uiPriority w:val="99"/>
    <w:semiHidden/>
    <w:unhideWhenUsed/>
    <w:rsid w:val="00A10C08"/>
    <w:rPr>
      <w:color w:val="0000FF"/>
      <w:u w:val="single"/>
    </w:rPr>
  </w:style>
  <w:style w:type="character" w:styleId="FollowedHyperlink">
    <w:name w:val="FollowedHyperlink"/>
    <w:basedOn w:val="DefaultParagraphFont"/>
    <w:uiPriority w:val="99"/>
    <w:semiHidden/>
    <w:unhideWhenUsed/>
    <w:rsid w:val="0065388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167135">
      <w:bodyDiv w:val="1"/>
      <w:marLeft w:val="0"/>
      <w:marRight w:val="0"/>
      <w:marTop w:val="0"/>
      <w:marBottom w:val="0"/>
      <w:divBdr>
        <w:top w:val="none" w:sz="0" w:space="0" w:color="auto"/>
        <w:left w:val="none" w:sz="0" w:space="0" w:color="auto"/>
        <w:bottom w:val="none" w:sz="0" w:space="0" w:color="auto"/>
        <w:right w:val="none" w:sz="0" w:space="0" w:color="auto"/>
      </w:divBdr>
    </w:div>
    <w:div w:id="71120678">
      <w:bodyDiv w:val="1"/>
      <w:marLeft w:val="0"/>
      <w:marRight w:val="0"/>
      <w:marTop w:val="0"/>
      <w:marBottom w:val="0"/>
      <w:divBdr>
        <w:top w:val="none" w:sz="0" w:space="0" w:color="auto"/>
        <w:left w:val="none" w:sz="0" w:space="0" w:color="auto"/>
        <w:bottom w:val="none" w:sz="0" w:space="0" w:color="auto"/>
        <w:right w:val="none" w:sz="0" w:space="0" w:color="auto"/>
      </w:divBdr>
    </w:div>
    <w:div w:id="74866464">
      <w:bodyDiv w:val="1"/>
      <w:marLeft w:val="0"/>
      <w:marRight w:val="0"/>
      <w:marTop w:val="0"/>
      <w:marBottom w:val="0"/>
      <w:divBdr>
        <w:top w:val="none" w:sz="0" w:space="0" w:color="auto"/>
        <w:left w:val="none" w:sz="0" w:space="0" w:color="auto"/>
        <w:bottom w:val="none" w:sz="0" w:space="0" w:color="auto"/>
        <w:right w:val="none" w:sz="0" w:space="0" w:color="auto"/>
      </w:divBdr>
    </w:div>
    <w:div w:id="81337192">
      <w:bodyDiv w:val="1"/>
      <w:marLeft w:val="0"/>
      <w:marRight w:val="0"/>
      <w:marTop w:val="0"/>
      <w:marBottom w:val="0"/>
      <w:divBdr>
        <w:top w:val="none" w:sz="0" w:space="0" w:color="auto"/>
        <w:left w:val="none" w:sz="0" w:space="0" w:color="auto"/>
        <w:bottom w:val="none" w:sz="0" w:space="0" w:color="auto"/>
        <w:right w:val="none" w:sz="0" w:space="0" w:color="auto"/>
      </w:divBdr>
    </w:div>
    <w:div w:id="97215051">
      <w:bodyDiv w:val="1"/>
      <w:marLeft w:val="0"/>
      <w:marRight w:val="0"/>
      <w:marTop w:val="0"/>
      <w:marBottom w:val="0"/>
      <w:divBdr>
        <w:top w:val="none" w:sz="0" w:space="0" w:color="auto"/>
        <w:left w:val="none" w:sz="0" w:space="0" w:color="auto"/>
        <w:bottom w:val="none" w:sz="0" w:space="0" w:color="auto"/>
        <w:right w:val="none" w:sz="0" w:space="0" w:color="auto"/>
      </w:divBdr>
    </w:div>
    <w:div w:id="109860223">
      <w:bodyDiv w:val="1"/>
      <w:marLeft w:val="0"/>
      <w:marRight w:val="0"/>
      <w:marTop w:val="0"/>
      <w:marBottom w:val="0"/>
      <w:divBdr>
        <w:top w:val="none" w:sz="0" w:space="0" w:color="auto"/>
        <w:left w:val="none" w:sz="0" w:space="0" w:color="auto"/>
        <w:bottom w:val="none" w:sz="0" w:space="0" w:color="auto"/>
        <w:right w:val="none" w:sz="0" w:space="0" w:color="auto"/>
      </w:divBdr>
    </w:div>
    <w:div w:id="116145518">
      <w:bodyDiv w:val="1"/>
      <w:marLeft w:val="0"/>
      <w:marRight w:val="0"/>
      <w:marTop w:val="0"/>
      <w:marBottom w:val="0"/>
      <w:divBdr>
        <w:top w:val="none" w:sz="0" w:space="0" w:color="auto"/>
        <w:left w:val="none" w:sz="0" w:space="0" w:color="auto"/>
        <w:bottom w:val="none" w:sz="0" w:space="0" w:color="auto"/>
        <w:right w:val="none" w:sz="0" w:space="0" w:color="auto"/>
      </w:divBdr>
    </w:div>
    <w:div w:id="158274545">
      <w:bodyDiv w:val="1"/>
      <w:marLeft w:val="0"/>
      <w:marRight w:val="0"/>
      <w:marTop w:val="0"/>
      <w:marBottom w:val="0"/>
      <w:divBdr>
        <w:top w:val="none" w:sz="0" w:space="0" w:color="auto"/>
        <w:left w:val="none" w:sz="0" w:space="0" w:color="auto"/>
        <w:bottom w:val="none" w:sz="0" w:space="0" w:color="auto"/>
        <w:right w:val="none" w:sz="0" w:space="0" w:color="auto"/>
      </w:divBdr>
    </w:div>
    <w:div w:id="203830996">
      <w:bodyDiv w:val="1"/>
      <w:marLeft w:val="0"/>
      <w:marRight w:val="0"/>
      <w:marTop w:val="0"/>
      <w:marBottom w:val="0"/>
      <w:divBdr>
        <w:top w:val="none" w:sz="0" w:space="0" w:color="auto"/>
        <w:left w:val="none" w:sz="0" w:space="0" w:color="auto"/>
        <w:bottom w:val="none" w:sz="0" w:space="0" w:color="auto"/>
        <w:right w:val="none" w:sz="0" w:space="0" w:color="auto"/>
      </w:divBdr>
    </w:div>
    <w:div w:id="360128019">
      <w:bodyDiv w:val="1"/>
      <w:marLeft w:val="0"/>
      <w:marRight w:val="0"/>
      <w:marTop w:val="0"/>
      <w:marBottom w:val="0"/>
      <w:divBdr>
        <w:top w:val="none" w:sz="0" w:space="0" w:color="auto"/>
        <w:left w:val="none" w:sz="0" w:space="0" w:color="auto"/>
        <w:bottom w:val="none" w:sz="0" w:space="0" w:color="auto"/>
        <w:right w:val="none" w:sz="0" w:space="0" w:color="auto"/>
      </w:divBdr>
    </w:div>
    <w:div w:id="478688610">
      <w:bodyDiv w:val="1"/>
      <w:marLeft w:val="0"/>
      <w:marRight w:val="0"/>
      <w:marTop w:val="0"/>
      <w:marBottom w:val="0"/>
      <w:divBdr>
        <w:top w:val="none" w:sz="0" w:space="0" w:color="auto"/>
        <w:left w:val="none" w:sz="0" w:space="0" w:color="auto"/>
        <w:bottom w:val="none" w:sz="0" w:space="0" w:color="auto"/>
        <w:right w:val="none" w:sz="0" w:space="0" w:color="auto"/>
      </w:divBdr>
    </w:div>
    <w:div w:id="557210355">
      <w:bodyDiv w:val="1"/>
      <w:marLeft w:val="0"/>
      <w:marRight w:val="0"/>
      <w:marTop w:val="0"/>
      <w:marBottom w:val="0"/>
      <w:divBdr>
        <w:top w:val="none" w:sz="0" w:space="0" w:color="auto"/>
        <w:left w:val="none" w:sz="0" w:space="0" w:color="auto"/>
        <w:bottom w:val="none" w:sz="0" w:space="0" w:color="auto"/>
        <w:right w:val="none" w:sz="0" w:space="0" w:color="auto"/>
      </w:divBdr>
    </w:div>
    <w:div w:id="585966185">
      <w:bodyDiv w:val="1"/>
      <w:marLeft w:val="0"/>
      <w:marRight w:val="0"/>
      <w:marTop w:val="0"/>
      <w:marBottom w:val="0"/>
      <w:divBdr>
        <w:top w:val="none" w:sz="0" w:space="0" w:color="auto"/>
        <w:left w:val="none" w:sz="0" w:space="0" w:color="auto"/>
        <w:bottom w:val="none" w:sz="0" w:space="0" w:color="auto"/>
        <w:right w:val="none" w:sz="0" w:space="0" w:color="auto"/>
      </w:divBdr>
    </w:div>
    <w:div w:id="681973072">
      <w:bodyDiv w:val="1"/>
      <w:marLeft w:val="0"/>
      <w:marRight w:val="0"/>
      <w:marTop w:val="0"/>
      <w:marBottom w:val="0"/>
      <w:divBdr>
        <w:top w:val="none" w:sz="0" w:space="0" w:color="auto"/>
        <w:left w:val="none" w:sz="0" w:space="0" w:color="auto"/>
        <w:bottom w:val="none" w:sz="0" w:space="0" w:color="auto"/>
        <w:right w:val="none" w:sz="0" w:space="0" w:color="auto"/>
      </w:divBdr>
    </w:div>
    <w:div w:id="704334132">
      <w:bodyDiv w:val="1"/>
      <w:marLeft w:val="0"/>
      <w:marRight w:val="0"/>
      <w:marTop w:val="0"/>
      <w:marBottom w:val="0"/>
      <w:divBdr>
        <w:top w:val="none" w:sz="0" w:space="0" w:color="auto"/>
        <w:left w:val="none" w:sz="0" w:space="0" w:color="auto"/>
        <w:bottom w:val="none" w:sz="0" w:space="0" w:color="auto"/>
        <w:right w:val="none" w:sz="0" w:space="0" w:color="auto"/>
      </w:divBdr>
    </w:div>
    <w:div w:id="723870534">
      <w:bodyDiv w:val="1"/>
      <w:marLeft w:val="0"/>
      <w:marRight w:val="0"/>
      <w:marTop w:val="0"/>
      <w:marBottom w:val="0"/>
      <w:divBdr>
        <w:top w:val="none" w:sz="0" w:space="0" w:color="auto"/>
        <w:left w:val="none" w:sz="0" w:space="0" w:color="auto"/>
        <w:bottom w:val="none" w:sz="0" w:space="0" w:color="auto"/>
        <w:right w:val="none" w:sz="0" w:space="0" w:color="auto"/>
      </w:divBdr>
    </w:div>
    <w:div w:id="756293720">
      <w:bodyDiv w:val="1"/>
      <w:marLeft w:val="0"/>
      <w:marRight w:val="0"/>
      <w:marTop w:val="0"/>
      <w:marBottom w:val="0"/>
      <w:divBdr>
        <w:top w:val="none" w:sz="0" w:space="0" w:color="auto"/>
        <w:left w:val="none" w:sz="0" w:space="0" w:color="auto"/>
        <w:bottom w:val="none" w:sz="0" w:space="0" w:color="auto"/>
        <w:right w:val="none" w:sz="0" w:space="0" w:color="auto"/>
      </w:divBdr>
    </w:div>
    <w:div w:id="772239717">
      <w:bodyDiv w:val="1"/>
      <w:marLeft w:val="0"/>
      <w:marRight w:val="0"/>
      <w:marTop w:val="0"/>
      <w:marBottom w:val="0"/>
      <w:divBdr>
        <w:top w:val="none" w:sz="0" w:space="0" w:color="auto"/>
        <w:left w:val="none" w:sz="0" w:space="0" w:color="auto"/>
        <w:bottom w:val="none" w:sz="0" w:space="0" w:color="auto"/>
        <w:right w:val="none" w:sz="0" w:space="0" w:color="auto"/>
      </w:divBdr>
    </w:div>
    <w:div w:id="825627794">
      <w:bodyDiv w:val="1"/>
      <w:marLeft w:val="0"/>
      <w:marRight w:val="0"/>
      <w:marTop w:val="0"/>
      <w:marBottom w:val="0"/>
      <w:divBdr>
        <w:top w:val="none" w:sz="0" w:space="0" w:color="auto"/>
        <w:left w:val="none" w:sz="0" w:space="0" w:color="auto"/>
        <w:bottom w:val="none" w:sz="0" w:space="0" w:color="auto"/>
        <w:right w:val="none" w:sz="0" w:space="0" w:color="auto"/>
      </w:divBdr>
    </w:div>
    <w:div w:id="831262663">
      <w:bodyDiv w:val="1"/>
      <w:marLeft w:val="0"/>
      <w:marRight w:val="0"/>
      <w:marTop w:val="0"/>
      <w:marBottom w:val="0"/>
      <w:divBdr>
        <w:top w:val="none" w:sz="0" w:space="0" w:color="auto"/>
        <w:left w:val="none" w:sz="0" w:space="0" w:color="auto"/>
        <w:bottom w:val="none" w:sz="0" w:space="0" w:color="auto"/>
        <w:right w:val="none" w:sz="0" w:space="0" w:color="auto"/>
      </w:divBdr>
    </w:div>
    <w:div w:id="869103812">
      <w:bodyDiv w:val="1"/>
      <w:marLeft w:val="0"/>
      <w:marRight w:val="0"/>
      <w:marTop w:val="0"/>
      <w:marBottom w:val="0"/>
      <w:divBdr>
        <w:top w:val="none" w:sz="0" w:space="0" w:color="auto"/>
        <w:left w:val="none" w:sz="0" w:space="0" w:color="auto"/>
        <w:bottom w:val="none" w:sz="0" w:space="0" w:color="auto"/>
        <w:right w:val="none" w:sz="0" w:space="0" w:color="auto"/>
      </w:divBdr>
    </w:div>
    <w:div w:id="915093032">
      <w:bodyDiv w:val="1"/>
      <w:marLeft w:val="0"/>
      <w:marRight w:val="0"/>
      <w:marTop w:val="0"/>
      <w:marBottom w:val="0"/>
      <w:divBdr>
        <w:top w:val="none" w:sz="0" w:space="0" w:color="auto"/>
        <w:left w:val="none" w:sz="0" w:space="0" w:color="auto"/>
        <w:bottom w:val="none" w:sz="0" w:space="0" w:color="auto"/>
        <w:right w:val="none" w:sz="0" w:space="0" w:color="auto"/>
      </w:divBdr>
    </w:div>
    <w:div w:id="937450444">
      <w:bodyDiv w:val="1"/>
      <w:marLeft w:val="0"/>
      <w:marRight w:val="0"/>
      <w:marTop w:val="0"/>
      <w:marBottom w:val="0"/>
      <w:divBdr>
        <w:top w:val="none" w:sz="0" w:space="0" w:color="auto"/>
        <w:left w:val="none" w:sz="0" w:space="0" w:color="auto"/>
        <w:bottom w:val="none" w:sz="0" w:space="0" w:color="auto"/>
        <w:right w:val="none" w:sz="0" w:space="0" w:color="auto"/>
      </w:divBdr>
    </w:div>
    <w:div w:id="967323011">
      <w:bodyDiv w:val="1"/>
      <w:marLeft w:val="0"/>
      <w:marRight w:val="0"/>
      <w:marTop w:val="0"/>
      <w:marBottom w:val="0"/>
      <w:divBdr>
        <w:top w:val="none" w:sz="0" w:space="0" w:color="auto"/>
        <w:left w:val="none" w:sz="0" w:space="0" w:color="auto"/>
        <w:bottom w:val="none" w:sz="0" w:space="0" w:color="auto"/>
        <w:right w:val="none" w:sz="0" w:space="0" w:color="auto"/>
      </w:divBdr>
    </w:div>
    <w:div w:id="1028876613">
      <w:bodyDiv w:val="1"/>
      <w:marLeft w:val="0"/>
      <w:marRight w:val="0"/>
      <w:marTop w:val="0"/>
      <w:marBottom w:val="0"/>
      <w:divBdr>
        <w:top w:val="none" w:sz="0" w:space="0" w:color="auto"/>
        <w:left w:val="none" w:sz="0" w:space="0" w:color="auto"/>
        <w:bottom w:val="none" w:sz="0" w:space="0" w:color="auto"/>
        <w:right w:val="none" w:sz="0" w:space="0" w:color="auto"/>
      </w:divBdr>
    </w:div>
    <w:div w:id="1032614742">
      <w:bodyDiv w:val="1"/>
      <w:marLeft w:val="0"/>
      <w:marRight w:val="0"/>
      <w:marTop w:val="0"/>
      <w:marBottom w:val="0"/>
      <w:divBdr>
        <w:top w:val="none" w:sz="0" w:space="0" w:color="auto"/>
        <w:left w:val="none" w:sz="0" w:space="0" w:color="auto"/>
        <w:bottom w:val="none" w:sz="0" w:space="0" w:color="auto"/>
        <w:right w:val="none" w:sz="0" w:space="0" w:color="auto"/>
      </w:divBdr>
    </w:div>
    <w:div w:id="1064252742">
      <w:bodyDiv w:val="1"/>
      <w:marLeft w:val="0"/>
      <w:marRight w:val="0"/>
      <w:marTop w:val="0"/>
      <w:marBottom w:val="0"/>
      <w:divBdr>
        <w:top w:val="none" w:sz="0" w:space="0" w:color="auto"/>
        <w:left w:val="none" w:sz="0" w:space="0" w:color="auto"/>
        <w:bottom w:val="none" w:sz="0" w:space="0" w:color="auto"/>
        <w:right w:val="none" w:sz="0" w:space="0" w:color="auto"/>
      </w:divBdr>
    </w:div>
    <w:div w:id="1106923739">
      <w:bodyDiv w:val="1"/>
      <w:marLeft w:val="0"/>
      <w:marRight w:val="0"/>
      <w:marTop w:val="0"/>
      <w:marBottom w:val="0"/>
      <w:divBdr>
        <w:top w:val="none" w:sz="0" w:space="0" w:color="auto"/>
        <w:left w:val="none" w:sz="0" w:space="0" w:color="auto"/>
        <w:bottom w:val="none" w:sz="0" w:space="0" w:color="auto"/>
        <w:right w:val="none" w:sz="0" w:space="0" w:color="auto"/>
      </w:divBdr>
    </w:div>
    <w:div w:id="1147668088">
      <w:bodyDiv w:val="1"/>
      <w:marLeft w:val="0"/>
      <w:marRight w:val="0"/>
      <w:marTop w:val="0"/>
      <w:marBottom w:val="0"/>
      <w:divBdr>
        <w:top w:val="none" w:sz="0" w:space="0" w:color="auto"/>
        <w:left w:val="none" w:sz="0" w:space="0" w:color="auto"/>
        <w:bottom w:val="none" w:sz="0" w:space="0" w:color="auto"/>
        <w:right w:val="none" w:sz="0" w:space="0" w:color="auto"/>
      </w:divBdr>
    </w:div>
    <w:div w:id="1249116666">
      <w:bodyDiv w:val="1"/>
      <w:marLeft w:val="0"/>
      <w:marRight w:val="0"/>
      <w:marTop w:val="0"/>
      <w:marBottom w:val="0"/>
      <w:divBdr>
        <w:top w:val="none" w:sz="0" w:space="0" w:color="auto"/>
        <w:left w:val="none" w:sz="0" w:space="0" w:color="auto"/>
        <w:bottom w:val="none" w:sz="0" w:space="0" w:color="auto"/>
        <w:right w:val="none" w:sz="0" w:space="0" w:color="auto"/>
      </w:divBdr>
    </w:div>
    <w:div w:id="1259102502">
      <w:bodyDiv w:val="1"/>
      <w:marLeft w:val="0"/>
      <w:marRight w:val="0"/>
      <w:marTop w:val="0"/>
      <w:marBottom w:val="0"/>
      <w:divBdr>
        <w:top w:val="none" w:sz="0" w:space="0" w:color="auto"/>
        <w:left w:val="none" w:sz="0" w:space="0" w:color="auto"/>
        <w:bottom w:val="none" w:sz="0" w:space="0" w:color="auto"/>
        <w:right w:val="none" w:sz="0" w:space="0" w:color="auto"/>
      </w:divBdr>
    </w:div>
    <w:div w:id="1295020174">
      <w:bodyDiv w:val="1"/>
      <w:marLeft w:val="0"/>
      <w:marRight w:val="0"/>
      <w:marTop w:val="0"/>
      <w:marBottom w:val="0"/>
      <w:divBdr>
        <w:top w:val="none" w:sz="0" w:space="0" w:color="auto"/>
        <w:left w:val="none" w:sz="0" w:space="0" w:color="auto"/>
        <w:bottom w:val="none" w:sz="0" w:space="0" w:color="auto"/>
        <w:right w:val="none" w:sz="0" w:space="0" w:color="auto"/>
      </w:divBdr>
    </w:div>
    <w:div w:id="1303805522">
      <w:bodyDiv w:val="1"/>
      <w:marLeft w:val="0"/>
      <w:marRight w:val="0"/>
      <w:marTop w:val="0"/>
      <w:marBottom w:val="0"/>
      <w:divBdr>
        <w:top w:val="none" w:sz="0" w:space="0" w:color="auto"/>
        <w:left w:val="none" w:sz="0" w:space="0" w:color="auto"/>
        <w:bottom w:val="none" w:sz="0" w:space="0" w:color="auto"/>
        <w:right w:val="none" w:sz="0" w:space="0" w:color="auto"/>
      </w:divBdr>
    </w:div>
    <w:div w:id="1317875476">
      <w:bodyDiv w:val="1"/>
      <w:marLeft w:val="0"/>
      <w:marRight w:val="0"/>
      <w:marTop w:val="0"/>
      <w:marBottom w:val="0"/>
      <w:divBdr>
        <w:top w:val="none" w:sz="0" w:space="0" w:color="auto"/>
        <w:left w:val="none" w:sz="0" w:space="0" w:color="auto"/>
        <w:bottom w:val="none" w:sz="0" w:space="0" w:color="auto"/>
        <w:right w:val="none" w:sz="0" w:space="0" w:color="auto"/>
      </w:divBdr>
    </w:div>
    <w:div w:id="1324040793">
      <w:bodyDiv w:val="1"/>
      <w:marLeft w:val="0"/>
      <w:marRight w:val="0"/>
      <w:marTop w:val="0"/>
      <w:marBottom w:val="0"/>
      <w:divBdr>
        <w:top w:val="none" w:sz="0" w:space="0" w:color="auto"/>
        <w:left w:val="none" w:sz="0" w:space="0" w:color="auto"/>
        <w:bottom w:val="none" w:sz="0" w:space="0" w:color="auto"/>
        <w:right w:val="none" w:sz="0" w:space="0" w:color="auto"/>
      </w:divBdr>
    </w:div>
    <w:div w:id="1344167194">
      <w:bodyDiv w:val="1"/>
      <w:marLeft w:val="0"/>
      <w:marRight w:val="0"/>
      <w:marTop w:val="0"/>
      <w:marBottom w:val="0"/>
      <w:divBdr>
        <w:top w:val="none" w:sz="0" w:space="0" w:color="auto"/>
        <w:left w:val="none" w:sz="0" w:space="0" w:color="auto"/>
        <w:bottom w:val="none" w:sz="0" w:space="0" w:color="auto"/>
        <w:right w:val="none" w:sz="0" w:space="0" w:color="auto"/>
      </w:divBdr>
    </w:div>
    <w:div w:id="1474181151">
      <w:bodyDiv w:val="1"/>
      <w:marLeft w:val="0"/>
      <w:marRight w:val="0"/>
      <w:marTop w:val="0"/>
      <w:marBottom w:val="0"/>
      <w:divBdr>
        <w:top w:val="none" w:sz="0" w:space="0" w:color="auto"/>
        <w:left w:val="none" w:sz="0" w:space="0" w:color="auto"/>
        <w:bottom w:val="none" w:sz="0" w:space="0" w:color="auto"/>
        <w:right w:val="none" w:sz="0" w:space="0" w:color="auto"/>
      </w:divBdr>
    </w:div>
    <w:div w:id="1554385997">
      <w:bodyDiv w:val="1"/>
      <w:marLeft w:val="0"/>
      <w:marRight w:val="0"/>
      <w:marTop w:val="0"/>
      <w:marBottom w:val="0"/>
      <w:divBdr>
        <w:top w:val="none" w:sz="0" w:space="0" w:color="auto"/>
        <w:left w:val="none" w:sz="0" w:space="0" w:color="auto"/>
        <w:bottom w:val="none" w:sz="0" w:space="0" w:color="auto"/>
        <w:right w:val="none" w:sz="0" w:space="0" w:color="auto"/>
      </w:divBdr>
    </w:div>
    <w:div w:id="1558324425">
      <w:bodyDiv w:val="1"/>
      <w:marLeft w:val="0"/>
      <w:marRight w:val="0"/>
      <w:marTop w:val="0"/>
      <w:marBottom w:val="0"/>
      <w:divBdr>
        <w:top w:val="none" w:sz="0" w:space="0" w:color="auto"/>
        <w:left w:val="none" w:sz="0" w:space="0" w:color="auto"/>
        <w:bottom w:val="none" w:sz="0" w:space="0" w:color="auto"/>
        <w:right w:val="none" w:sz="0" w:space="0" w:color="auto"/>
      </w:divBdr>
    </w:div>
    <w:div w:id="1700201386">
      <w:bodyDiv w:val="1"/>
      <w:marLeft w:val="0"/>
      <w:marRight w:val="0"/>
      <w:marTop w:val="0"/>
      <w:marBottom w:val="0"/>
      <w:divBdr>
        <w:top w:val="none" w:sz="0" w:space="0" w:color="auto"/>
        <w:left w:val="none" w:sz="0" w:space="0" w:color="auto"/>
        <w:bottom w:val="none" w:sz="0" w:space="0" w:color="auto"/>
        <w:right w:val="none" w:sz="0" w:space="0" w:color="auto"/>
      </w:divBdr>
    </w:div>
    <w:div w:id="1805191743">
      <w:bodyDiv w:val="1"/>
      <w:marLeft w:val="0"/>
      <w:marRight w:val="0"/>
      <w:marTop w:val="0"/>
      <w:marBottom w:val="0"/>
      <w:divBdr>
        <w:top w:val="none" w:sz="0" w:space="0" w:color="auto"/>
        <w:left w:val="none" w:sz="0" w:space="0" w:color="auto"/>
        <w:bottom w:val="none" w:sz="0" w:space="0" w:color="auto"/>
        <w:right w:val="none" w:sz="0" w:space="0" w:color="auto"/>
      </w:divBdr>
    </w:div>
    <w:div w:id="1875385704">
      <w:bodyDiv w:val="1"/>
      <w:marLeft w:val="0"/>
      <w:marRight w:val="0"/>
      <w:marTop w:val="0"/>
      <w:marBottom w:val="0"/>
      <w:divBdr>
        <w:top w:val="none" w:sz="0" w:space="0" w:color="auto"/>
        <w:left w:val="none" w:sz="0" w:space="0" w:color="auto"/>
        <w:bottom w:val="none" w:sz="0" w:space="0" w:color="auto"/>
        <w:right w:val="none" w:sz="0" w:space="0" w:color="auto"/>
      </w:divBdr>
    </w:div>
    <w:div w:id="1881162684">
      <w:bodyDiv w:val="1"/>
      <w:marLeft w:val="0"/>
      <w:marRight w:val="0"/>
      <w:marTop w:val="0"/>
      <w:marBottom w:val="0"/>
      <w:divBdr>
        <w:top w:val="none" w:sz="0" w:space="0" w:color="auto"/>
        <w:left w:val="none" w:sz="0" w:space="0" w:color="auto"/>
        <w:bottom w:val="none" w:sz="0" w:space="0" w:color="auto"/>
        <w:right w:val="none" w:sz="0" w:space="0" w:color="auto"/>
      </w:divBdr>
    </w:div>
    <w:div w:id="1915356773">
      <w:bodyDiv w:val="1"/>
      <w:marLeft w:val="0"/>
      <w:marRight w:val="0"/>
      <w:marTop w:val="0"/>
      <w:marBottom w:val="0"/>
      <w:divBdr>
        <w:top w:val="none" w:sz="0" w:space="0" w:color="auto"/>
        <w:left w:val="none" w:sz="0" w:space="0" w:color="auto"/>
        <w:bottom w:val="none" w:sz="0" w:space="0" w:color="auto"/>
        <w:right w:val="none" w:sz="0" w:space="0" w:color="auto"/>
      </w:divBdr>
    </w:div>
    <w:div w:id="1929773753">
      <w:bodyDiv w:val="1"/>
      <w:marLeft w:val="0"/>
      <w:marRight w:val="0"/>
      <w:marTop w:val="0"/>
      <w:marBottom w:val="0"/>
      <w:divBdr>
        <w:top w:val="none" w:sz="0" w:space="0" w:color="auto"/>
        <w:left w:val="none" w:sz="0" w:space="0" w:color="auto"/>
        <w:bottom w:val="none" w:sz="0" w:space="0" w:color="auto"/>
        <w:right w:val="none" w:sz="0" w:space="0" w:color="auto"/>
      </w:divBdr>
    </w:div>
    <w:div w:id="1940286094">
      <w:bodyDiv w:val="1"/>
      <w:marLeft w:val="0"/>
      <w:marRight w:val="0"/>
      <w:marTop w:val="0"/>
      <w:marBottom w:val="0"/>
      <w:divBdr>
        <w:top w:val="none" w:sz="0" w:space="0" w:color="auto"/>
        <w:left w:val="none" w:sz="0" w:space="0" w:color="auto"/>
        <w:bottom w:val="none" w:sz="0" w:space="0" w:color="auto"/>
        <w:right w:val="none" w:sz="0" w:space="0" w:color="auto"/>
      </w:divBdr>
    </w:div>
    <w:div w:id="2048990377">
      <w:bodyDiv w:val="1"/>
      <w:marLeft w:val="0"/>
      <w:marRight w:val="0"/>
      <w:marTop w:val="0"/>
      <w:marBottom w:val="0"/>
      <w:divBdr>
        <w:top w:val="none" w:sz="0" w:space="0" w:color="auto"/>
        <w:left w:val="none" w:sz="0" w:space="0" w:color="auto"/>
        <w:bottom w:val="none" w:sz="0" w:space="0" w:color="auto"/>
        <w:right w:val="none" w:sz="0" w:space="0" w:color="auto"/>
      </w:divBdr>
    </w:div>
    <w:div w:id="2063626339">
      <w:bodyDiv w:val="1"/>
      <w:marLeft w:val="0"/>
      <w:marRight w:val="0"/>
      <w:marTop w:val="0"/>
      <w:marBottom w:val="0"/>
      <w:divBdr>
        <w:top w:val="none" w:sz="0" w:space="0" w:color="auto"/>
        <w:left w:val="none" w:sz="0" w:space="0" w:color="auto"/>
        <w:bottom w:val="none" w:sz="0" w:space="0" w:color="auto"/>
        <w:right w:val="none" w:sz="0" w:space="0" w:color="auto"/>
      </w:divBdr>
    </w:div>
    <w:div w:id="2084716286">
      <w:bodyDiv w:val="1"/>
      <w:marLeft w:val="0"/>
      <w:marRight w:val="0"/>
      <w:marTop w:val="0"/>
      <w:marBottom w:val="0"/>
      <w:divBdr>
        <w:top w:val="none" w:sz="0" w:space="0" w:color="auto"/>
        <w:left w:val="none" w:sz="0" w:space="0" w:color="auto"/>
        <w:bottom w:val="none" w:sz="0" w:space="0" w:color="auto"/>
        <w:right w:val="none" w:sz="0" w:space="0" w:color="auto"/>
      </w:divBdr>
    </w:div>
    <w:div w:id="2113864456">
      <w:bodyDiv w:val="1"/>
      <w:marLeft w:val="0"/>
      <w:marRight w:val="0"/>
      <w:marTop w:val="0"/>
      <w:marBottom w:val="0"/>
      <w:divBdr>
        <w:top w:val="none" w:sz="0" w:space="0" w:color="auto"/>
        <w:left w:val="none" w:sz="0" w:space="0" w:color="auto"/>
        <w:bottom w:val="none" w:sz="0" w:space="0" w:color="auto"/>
        <w:right w:val="none" w:sz="0" w:space="0" w:color="auto"/>
      </w:divBdr>
    </w:div>
    <w:div w:id="2122799329">
      <w:bodyDiv w:val="1"/>
      <w:marLeft w:val="0"/>
      <w:marRight w:val="0"/>
      <w:marTop w:val="0"/>
      <w:marBottom w:val="0"/>
      <w:divBdr>
        <w:top w:val="none" w:sz="0" w:space="0" w:color="auto"/>
        <w:left w:val="none" w:sz="0" w:space="0" w:color="auto"/>
        <w:bottom w:val="none" w:sz="0" w:space="0" w:color="auto"/>
        <w:right w:val="none" w:sz="0" w:space="0" w:color="auto"/>
      </w:divBdr>
    </w:div>
    <w:div w:id="2131700606">
      <w:bodyDiv w:val="1"/>
      <w:marLeft w:val="0"/>
      <w:marRight w:val="0"/>
      <w:marTop w:val="0"/>
      <w:marBottom w:val="0"/>
      <w:divBdr>
        <w:top w:val="none" w:sz="0" w:space="0" w:color="auto"/>
        <w:left w:val="none" w:sz="0" w:space="0" w:color="auto"/>
        <w:bottom w:val="none" w:sz="0" w:space="0" w:color="auto"/>
        <w:right w:val="none" w:sz="0" w:space="0" w:color="auto"/>
      </w:divBdr>
    </w:div>
    <w:div w:id="214593089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Akr22</b:Tag>
    <b:SourceType>JournalArticle</b:SourceType>
    <b:Guid>{F6CDBF20-32A5-495D-A0B8-1F9066033A0A}</b:Guid>
    <b:Title>Police ca change? Cressida Dick, Institutional racism and the metropolitan police</b:Title>
    <b:Year>2022</b:Year>
    <b:Author>
      <b:Author>
        <b:NameList>
          <b:Person>
            <b:Last>Akram</b:Last>
            <b:First>Sadiya</b:First>
          </b:Person>
        </b:NameList>
      </b:Author>
    </b:Author>
    <b:JournalName>The political quarterly</b:JournalName>
    <b:Pages>1-10</b:Pages>
    <b:RefOrder>3</b:RefOrder>
  </b:Source>
  <b:Source>
    <b:Tag>Dur19</b:Tag>
    <b:SourceType>Report</b:SourceType>
    <b:Guid>{5EB0BDDF-4E58-40FC-8C2C-A5835F6C31D3}</b:Guid>
    <b:Title>Diversity, equality, and inclusion in policing 2019</b:Title>
    <b:Year>2019</b:Year>
    <b:Author>
      <b:Author>
        <b:NameList>
          <b:Person>
            <b:Last>university</b:Last>
            <b:First>Durham</b:First>
          </b:Person>
        </b:NameList>
      </b:Author>
    </b:Author>
    <b:Publisher>Durham University</b:Publisher>
    <b:City>Durham</b:City>
    <b:RefOrder>4</b:RefOrder>
  </b:Source>
  <b:Source>
    <b:Tag>Ire20</b:Tag>
    <b:SourceType>JournalArticle</b:SourceType>
    <b:Guid>{413045F7-E74E-4F51-88AB-8BE14DFAE7DF}</b:Guid>
    <b:Title>'Looking back, I wouldn't join up again': the lived experiences of police officers as victims of bias and prejudice perpetrated by fellow staff within an english police force</b:Title>
    <b:Year>2020</b:Year>
    <b:Author>
      <b:Author>
        <b:NameList>
          <b:Person>
            <b:Last>Zempi</b:Last>
            <b:First>Irene</b:First>
          </b:Person>
        </b:NameList>
      </b:Author>
    </b:Author>
    <b:JournalName>Police Practice and Research </b:JournalName>
    <b:Pages>33-48</b:Pages>
    <b:RefOrder>5</b:RefOrder>
  </b:Source>
  <b:Source>
    <b:Tag>Joe20</b:Tag>
    <b:SourceType>JournalArticle</b:SourceType>
    <b:Guid>{36AF311B-A4AE-471D-8872-EAB31038E267}</b:Guid>
    <b:Author>
      <b:Author>
        <b:NameList>
          <b:Person>
            <b:Last>al</b:Last>
            <b:First>Joel</b:First>
            <b:Middle>Miller et</b:Middle>
          </b:Person>
        </b:NameList>
      </b:Author>
    </b:Author>
    <b:Title>Special issue: tackling disparity, debating evidence based approaches and the 2020 stockholm prize</b:Title>
    <b:JournalName>Criminology and public policy</b:JournalName>
    <b:Year>2020</b:Year>
    <b:Pages>1259 - 1287</b:Pages>
    <b:RefOrder>6</b:RefOrder>
  </b:Source>
  <b:Source>
    <b:Tag>Lul23</b:Tag>
    <b:SourceType>InternetSite</b:SourceType>
    <b:Guid>{30EE2CD7-0DE8-4246-B005-4E9D57A4B181}</b:Guid>
    <b:Title>Metropolitan Police investigation into the murder of Stephen Lawrence</b:Title>
    <b:Year>2023</b:Year>
    <b:Author>
      <b:Author>
        <b:NameList>
          <b:Person>
            <b:Last>Nickolls</b:Last>
            <b:First>Lulu</b:First>
            <b:Middle>meade and Lauren</b:Middle>
          </b:Person>
        </b:NameList>
      </b:Author>
    </b:Author>
    <b:InternetSiteTitle>House of commons library</b:InternetSiteTitle>
    <b:Month>july</b:Month>
    <b:Day>09</b:Day>
    <b:URL>https://commonslibrary.parliament.uk/research-briefings/cdp-2023-0160/</b:URL>
    <b:RefOrder>2</b:RefOrder>
  </b:Source>
  <b:Source>
    <b:Tag>col221</b:Tag>
    <b:SourceType>InternetSite</b:SourceType>
    <b:Guid>{CAA62248-7F32-4D9D-99D5-4997F913D2C6}</b:Guid>
    <b:Author>
      <b:Author>
        <b:NameList>
          <b:Person>
            <b:Last>policing</b:Last>
            <b:First>college</b:First>
            <b:Middle>of</b:Middle>
          </b:Person>
        </b:NameList>
      </b:Author>
    </b:Author>
    <b:Title>culture and capacity</b:Title>
    <b:InternetSiteTitle>college of policing </b:InternetSiteTitle>
    <b:Year>2022</b:Year>
    <b:Month>april</b:Month>
    <b:Day>25</b:Day>
    <b:URL>https://www.college.police.uk/guidance/effective-supervision/culture-and-capacity</b:URL>
    <b:RefOrder>1</b:RefOrder>
  </b:Source>
  <b:Source>
    <b:Tag>Joa17</b:Tag>
    <b:SourceType>JournalArticle</b:SourceType>
    <b:Guid>{8587E74C-2AD8-4C98-9E5E-59F07C72C08F}</b:Guid>
    <b:Title>modern slavery - the adult safeguarding interface</b:Title>
    <b:Year>2017</b:Year>
    <b:Author>
      <b:Author>
        <b:NameList>
          <b:Person>
            <b:Last>Joanna Kidd</b:Last>
            <b:First>Jill</b:First>
            <b:Middle>Manthorpe</b:Middle>
          </b:Person>
        </b:NameList>
      </b:Author>
    </b:Author>
    <b:JournalName>emrald publishing</b:JournalName>
    <b:Pages>158-166</b:Pages>
    <b:RefOrder>18</b:RefOrder>
  </b:Source>
  <b:Source>
    <b:Tag>Jac19</b:Tag>
    <b:SourceType>JournalArticle</b:SourceType>
    <b:Guid>{8E50FB92-14A3-4417-A83C-8DF42DAF945A}</b:Guid>
    <b:Author>
      <b:Author>
        <b:NameList>
          <b:Person>
            <b:Last>Jack Spicer</b:Last>
            <b:First>Leah</b:First>
            <b:Middle>Moyle, Ross Coomber</b:Middle>
          </b:Person>
        </b:NameList>
      </b:Author>
    </b:Author>
    <b:Title>The variable and evolving nature of 'cuckooing' as a form of criminal exploitation in street level drug markets</b:Title>
    <b:JournalName>Trends in organized crime</b:JournalName>
    <b:Year>2019</b:Year>
    <b:Pages>301-323</b:Pages>
    <b:RefOrder>17</b:RefOrder>
  </b:Source>
  <b:Source>
    <b:Tag>Gra18</b:Tag>
    <b:SourceType>JournalArticle</b:SourceType>
    <b:Guid>{30292182-FF71-4B3D-A1C8-02826E1FE995}</b:Guid>
    <b:Author>
      <b:Author>
        <b:NameList>
          <b:Person>
            <b:Last>Grace Robinson</b:Last>
            <b:First>Robert</b:First>
            <b:Middle>Mclean, James Densley</b:Middle>
          </b:Person>
        </b:NameList>
      </b:Author>
    </b:Author>
    <b:Title>Working county lines: child exploitation and illicit drug dealing in Glasgow and Merseyside</b:Title>
    <b:JournalName>International journal of offender therapy and comparative criminology </b:JournalName>
    <b:Year>2018</b:Year>
    <b:RefOrder>15</b:RefOrder>
  </b:Source>
  <b:Source>
    <b:Tag>col234</b:Tag>
    <b:SourceType>InternetSite</b:SourceType>
    <b:Guid>{4C5B6E6D-7908-4EA3-B6AD-511EAEED1136}</b:Guid>
    <b:Title>introduction to vulnerability related risk</b:Title>
    <b:Year>2023</b:Year>
    <b:Author>
      <b:Author>
        <b:NameList>
          <b:Person>
            <b:Last>policing</b:Last>
            <b:First>college</b:First>
            <b:Middle>of</b:Middle>
          </b:Person>
        </b:NameList>
      </b:Author>
    </b:Author>
    <b:InternetSiteTitle>college of policing </b:InternetSiteTitle>
    <b:URL>https://www.college.police.uk/guidance/vulnerability-related-risks/introduction-vulnerability-related-risk#:~:text=We%20have%20adopted%20the%20THRIVE,others%20from%20harm%20or%20exploitation.</b:URL>
    <b:RefOrder>14</b:RefOrder>
  </b:Source>
  <b:Source>
    <b:Tag>Org22</b:Tag>
    <b:SourceType>InternetSite</b:SourceType>
    <b:Guid>{E07AB784-A559-413E-A59D-11E7A0121973}</b:Guid>
    <b:Author>
      <b:Author>
        <b:NameList>
          <b:Person>
            <b:Last>division</b:Last>
            <b:First>Organised</b:First>
            <b:Middle>crime</b:Middle>
          </b:Person>
        </b:NameList>
      </b:Author>
    </b:Author>
    <b:Title>Organised crime - strategy </b:Title>
    <b:InternetSiteTitle>crown prosecution service</b:InternetSiteTitle>
    <b:Year>2022</b:Year>
    <b:URL>https://www.cps.gov.uk/organised-crime-strategy#:~:text=Organised%20Crime%20is%20defined%20as,together%20on%20a%20continuing%20basis.</b:URL>
    <b:RefOrder>13</b:RefOrder>
  </b:Source>
  <b:Source>
    <b:Tag>Jam20</b:Tag>
    <b:SourceType>JournalArticle</b:SourceType>
    <b:Guid>{81E833A9-64A9-42BC-AD7C-874EA2319CBD}</b:Guid>
    <b:Title>Vulnerable kids going country: Children and young people's involvement in county lines drug dealing</b:Title>
    <b:Year>2020</b:Year>
    <b:Author>
      <b:Author>
        <b:NameList>
          <b:Person>
            <b:Last>James Windle</b:Last>
            <b:First>Leah</b:First>
            <b:Middle>Moyle, Ross Coomber</b:Middle>
          </b:Person>
        </b:NameList>
      </b:Author>
    </b:Author>
    <b:JournalName>Youth Justice</b:JournalName>
    <b:RefOrder>16</b:RefOrder>
  </b:Source>
  <b:Source>
    <b:Tag>Rob20</b:Tag>
    <b:SourceType>JournalArticle</b:SourceType>
    <b:Guid>{35387E5D-E66E-4A3F-BFFF-F66A04ADFEA7}</b:Guid>
    <b:Author>
      <b:Author>
        <b:NameList>
          <b:Person>
            <b:Last>Robert Caruana</b:Last>
            <b:First>Andrew</b:First>
            <b:Middle>Crane</b:Middle>
          </b:Person>
        </b:NameList>
      </b:Author>
    </b:Author>
    <b:Title>Modern slavery in business: the sad and sorry state of a non - field</b:Title>
    <b:JournalName>business and society</b:JournalName>
    <b:Year>2020</b:Year>
    <b:RefOrder>19</b:RefOrder>
  </b:Source>
  <b:Source>
    <b:Tag>col235</b:Tag>
    <b:SourceType>InternetSite</b:SourceType>
    <b:Guid>{566F7AE8-F3B5-4741-A65E-10D510DE76AD}</b:Guid>
    <b:Title>college of policing</b:Title>
    <b:Year>2023</b:Year>
    <b:Author>
      <b:Author>
        <b:NameList>
          <b:Person>
            <b:Last>policing</b:Last>
            <b:First>college</b:First>
            <b:Middle>of</b:Middle>
          </b:Person>
        </b:NameList>
      </b:Author>
    </b:Author>
    <b:InternetSiteTitle>definitions</b:InternetSiteTitle>
    <b:URL>https://www.college.police.uk/app/civil-emergencies/disaster-victim-identification/definitions#:~:text=A%20critical%20incident%20is%20any,family%20and%2For%20the%20community.</b:URL>
    <b:RefOrder>7</b:RefOrder>
  </b:Source>
  <b:Source>
    <b:Tag>Mar19</b:Tag>
    <b:SourceType>Book</b:SourceType>
    <b:Guid>{09852E35-E160-4714-824A-4F1B673EC360}</b:Guid>
    <b:Title>Decison making in police enquiries and critical incients: what really works?</b:Title>
    <b:Year>2019</b:Year>
    <b:Author>
      <b:Author>
        <b:NameList>
          <b:Person>
            <b:Last>Roach</b:Last>
            <b:First>Mark</b:First>
            <b:Middle>Roycroft and Jason</b:Middle>
          </b:Person>
        </b:NameList>
      </b:Author>
    </b:Author>
    <b:Publisher>Palgrave Macmillan UK</b:Publisher>
    <b:RefOrder>8</b:RefOrder>
  </b:Source>
  <b:Source>
    <b:Tag>Ric14</b:Tag>
    <b:SourceType>JournalArticle</b:SourceType>
    <b:Guid>{F63C7035-4C00-404F-A4D3-BB7E0C7CC855}</b:Guid>
    <b:Title>Toward an understanding of decision making in severe mental illness</b:Title>
    <b:Year>2014</b:Year>
    <b:Author>
      <b:Author>
        <b:NameList>
          <b:Person>
            <b:Last>Ricardo Caceda</b:Last>
            <b:First>Charles</b:First>
            <b:Middle>B Nemeroff and Phillip D Harvey</b:Middle>
          </b:Person>
        </b:NameList>
      </b:Author>
    </b:Author>
    <b:JournalName>the journal of neuropsychiatry and clinical neurosciences</b:JournalName>
    <b:Pages>196-213</b:Pages>
    <b:RefOrder>9</b:RefOrder>
  </b:Source>
  <b:Source>
    <b:Tag>Pat20</b:Tag>
    <b:SourceType>JournalArticle</b:SourceType>
    <b:Guid>{E4A0934A-3340-46CF-9E77-26AAFD7A2524}</b:Guid>
    <b:Author>
      <b:Author>
        <b:NameList>
          <b:Person>
            <b:Last>al</b:Last>
            <b:First>Patricia</b:First>
            <b:Middle>Jackman et</b:Middle>
          </b:Person>
        </b:NameList>
      </b:Author>
    </b:Author>
    <b:Title>We are fighting a tide that keeps coming against us’: a mixed method exploration of stressors in an English county police force</b:Title>
    <b:JournalName>Police practice and research</b:JournalName>
    <b:Year>2020</b:Year>
    <b:Pages>370-388</b:Pages>
    <b:RefOrder>10</b:RefOrder>
  </b:Source>
  <b:Source>
    <b:Tag>Tin21</b:Tag>
    <b:SourceType>JournalArticle</b:SourceType>
    <b:Guid>{33C25021-0AF5-41BD-847C-C8FC0D9E404F}</b:Guid>
    <b:Author>
      <b:Author>
        <b:NameList>
          <b:Person>
            <b:Last>Telesco</b:Last>
            <b:First>Tina</b:First>
            <b:Middle>B Craddock and Grace</b:Middle>
          </b:Person>
        </b:NameList>
      </b:Author>
    </b:Author>
    <b:Title>Police Stress and Deleterious Outcomes: Efforts Towards Improving Police Mental Health</b:Title>
    <b:JournalName>Springer nature</b:JournalName>
    <b:Year>2021</b:Year>
    <b:Pages>173 - 182</b:Pages>
    <b:RefOrder>11</b:RefOrder>
  </b:Source>
  <b:Source>
    <b:Tag>Lou18</b:Tag>
    <b:SourceType>JournalArticle</b:SourceType>
    <b:Guid>{47A6FE0A-F4DC-41A8-8A10-D564830AECD8}</b:Guid>
    <b:Author>
      <b:Author>
        <b:NameList>
          <b:Person>
            <b:Last>Andrews</b:Last>
            <b:First>Louise</b:First>
            <b:Middle>Watson and Leanne</b:Middle>
          </b:Person>
        </b:NameList>
      </b:Author>
    </b:Author>
    <b:Title>The Effect of a Trauma Risk Management (TRiM) Program on</b:Title>
    <b:JournalName>International Journal of Stress Management</b:JournalName>
    <b:Year>2018</b:Year>
    <b:Pages>348 - 356</b:Pages>
    <b:RefOrder>12</b:RefOrder>
  </b:Source>
  <b:Source>
    <b:Tag>col236</b:Tag>
    <b:SourceType>InternetSite</b:SourceType>
    <b:Guid>{BD824629-CAE3-47C7-9097-B302DA679109}</b:Guid>
    <b:Title>Anti social behaviour</b:Title>
    <b:Year>2023</b:Year>
    <b:Author>
      <b:Author>
        <b:NameList>
          <b:Person>
            <b:Last>policing</b:Last>
            <b:First>college</b:First>
            <b:Middle>of</b:Middle>
          </b:Person>
        </b:NameList>
      </b:Author>
    </b:Author>
    <b:InternetSiteTitle>college of policing </b:InternetSiteTitle>
    <b:URL>https://www.college.police.uk/anti-social-behaviour</b:URL>
    <b:RefOrder>20</b:RefOrder>
  </b:Source>
  <b:Source>
    <b:Tag>Lau191</b:Tag>
    <b:SourceType>JournalArticle</b:SourceType>
    <b:Guid>{39267E6D-6466-403F-B420-5BD0FD622D68}</b:Guid>
    <b:Title>Diverting young men from gangs: a qualitive evaluation</b:Title>
    <b:Year>2019</b:Year>
    <b:Author>
      <b:Author>
        <b:NameList>
          <b:Person>
            <b:Last>al</b:Last>
            <b:First>Laura</b:First>
            <b:Middle>Jane Boulton et</b:Middle>
          </b:Person>
        </b:NameList>
      </b:Author>
    </b:Author>
    <b:JournalName>Scholary journal</b:JournalName>
    <b:Pages>887 - 900</b:Pages>
    <b:RefOrder>21</b:RefOrder>
  </b:Source>
  <b:Source>
    <b:Tag>Kar221</b:Tag>
    <b:SourceType>JournalArticle</b:SourceType>
    <b:Guid>{020907FA-BC1C-4249-A621-988D1001E990}</b:Guid>
    <b:Author>
      <b:Author>
        <b:NameList>
          <b:Person>
            <b:Last>al</b:Last>
            <b:First>Karen</b:First>
            <b:Middle>Bullock et</b:Middle>
          </b:Person>
        </b:NameList>
      </b:Author>
    </b:Author>
    <b:Title>Problem-oriented policing in England and Wales: barriers and facilitators</b:Title>
    <b:JournalName>policing and society</b:JournalName>
    <b:Year>2022</b:Year>
    <b:Pages>1087 - 1102</b:Pages>
    <b:RefOrder>22</b:RefOrder>
  </b:Source>
  <b:Source>
    <b:Tag>Aja20</b:Tag>
    <b:SourceType>JournalArticle</b:SourceType>
    <b:Guid>{01770280-E258-4724-8CE2-27EBE8BA1652}</b:Guid>
    <b:Author>
      <b:Author>
        <b:NameList>
          <b:Person>
            <b:Last>Fussey</b:Last>
            <b:First>Ajay</b:First>
            <b:Middle>Sandhu and Peter</b:Middle>
          </b:Person>
        </b:NameList>
      </b:Author>
    </b:Author>
    <b:Title>The ‘uberization of policing’? How police negotiate and operationalise predictive policing technology</b:Title>
    <b:JournalName>policing and society</b:JournalName>
    <b:Year>2020</b:Year>
    <b:Pages>66 - 81</b:Pages>
    <b:RefOrder>23</b:RefOrder>
  </b:Source>
</b:Sources>
</file>

<file path=customXml/itemProps1.xml><?xml version="1.0" encoding="utf-8"?>
<ds:datastoreItem xmlns:ds="http://schemas.openxmlformats.org/officeDocument/2006/customXml" ds:itemID="{F21FDB12-E582-4411-B147-136EF990D4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TotalTime>
  <Pages>9</Pages>
  <Words>4108</Words>
  <Characters>23418</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Collins,Samir swp8258</dc:creator>
  <cp:keywords/>
  <dc:description/>
  <cp:lastModifiedBy>Collins,Samir swp8258</cp:lastModifiedBy>
  <cp:revision>5</cp:revision>
  <dcterms:created xsi:type="dcterms:W3CDTF">2024-01-07T13:06:00Z</dcterms:created>
  <dcterms:modified xsi:type="dcterms:W3CDTF">2024-01-07T14:27:00Z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2023-12-20T19:08:04Z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d5a3642e-a55f-4d86-9d91-1d939d2865b8</vt:lpwstr>
  </property>
  <property fmtid="{D5CDD505-2E9C-101B-9397-08002B2CF9AE}" pid="8" name="MSIP_Label_66cf8fe5-b7b7-4df7-b38d-1c61ac2f6639_ContentBits">
    <vt:lpwstr>0</vt:lpwstr>
  </property>
</Properties>
</file>