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988560043"/>
        <w:docPartObj>
          <w:docPartGallery w:val="Cover Pages"/>
          <w:docPartUnique/>
        </w:docPartObj>
      </w:sdtPr>
      <w:sdtEndPr>
        <w:rPr>
          <w:noProof/>
          <w:sz w:val="22"/>
          <w:szCs w:val="22"/>
        </w:rPr>
      </w:sdtEndPr>
      <w:sdtContent>
        <w:p w14:paraId="3B5E94EA" w14:textId="7D9F4794" w:rsidR="00326233" w:rsidRDefault="00326233">
          <w:r>
            <w:rPr>
              <w:noProof/>
            </w:rPr>
            <mc:AlternateContent>
              <mc:Choice Requires="wpg">
                <w:drawing>
                  <wp:anchor distT="0" distB="0" distL="114300" distR="114300" simplePos="0" relativeHeight="251659264" behindDoc="1" locked="0" layoutInCell="1" allowOverlap="1" wp14:anchorId="3683BBCF" wp14:editId="2F5B4AB6">
                    <wp:simplePos x="0" y="0"/>
                    <wp:positionH relativeFrom="page">
                      <wp:align>center</wp:align>
                    </wp:positionH>
                    <wp:positionV relativeFrom="page">
                      <wp:align>center</wp:align>
                    </wp:positionV>
                    <wp:extent cx="6858000" cy="9123528"/>
                    <wp:effectExtent l="0" t="0" r="0" b="0"/>
                    <wp:wrapNone/>
                    <wp:docPr id="193" name="Group 198"/>
                    <wp:cNvGraphicFramePr/>
                    <a:graphic xmlns:a="http://schemas.openxmlformats.org/drawingml/2006/main">
                      <a:graphicData uri="http://schemas.microsoft.com/office/word/2010/wordprocessingGroup">
                        <wpg:wgp>
                          <wpg:cNvGrpSpPr/>
                          <wpg:grpSpPr>
                            <a:xfrm>
                              <a:off x="0" y="0"/>
                              <a:ext cx="6858000" cy="9123528"/>
                              <a:chOff x="0" y="0"/>
                              <a:chExt cx="6858000"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9BBAB89" w14:textId="0D45067B" w:rsidR="00326233" w:rsidRDefault="00326233">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990600" y="1374130"/>
                                <a:ext cx="5027295" cy="2641610"/>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3FB2A6B3" w14:textId="77777777" w:rsidR="00302C44" w:rsidRPr="00774C61" w:rsidRDefault="00302C44" w:rsidP="00A2790F">
                                  <w:pPr>
                                    <w:pStyle w:val="NoSpacing"/>
                                    <w:jc w:val="both"/>
                                    <w:rPr>
                                      <w:rFonts w:ascii="Arial" w:eastAsiaTheme="majorEastAsia" w:hAnsi="Arial" w:cs="Arial"/>
                                      <w:b/>
                                      <w:bCs/>
                                      <w:caps/>
                                      <w:color w:val="002060"/>
                                    </w:rPr>
                                  </w:pPr>
                                </w:p>
                                <w:p w14:paraId="43B1F279" w14:textId="77777777" w:rsidR="00302C44" w:rsidRPr="00774C61" w:rsidRDefault="00302C44" w:rsidP="00A2790F">
                                  <w:pPr>
                                    <w:pStyle w:val="NoSpacing"/>
                                    <w:jc w:val="both"/>
                                    <w:rPr>
                                      <w:rFonts w:ascii="Arial" w:eastAsiaTheme="majorEastAsia" w:hAnsi="Arial" w:cs="Arial"/>
                                      <w:b/>
                                      <w:bCs/>
                                      <w:caps/>
                                      <w:color w:val="002060"/>
                                      <w:sz w:val="24"/>
                                      <w:szCs w:val="24"/>
                                      <w:u w:val="single"/>
                                    </w:rPr>
                                  </w:pPr>
                                  <w:r w:rsidRPr="00774C61">
                                    <w:rPr>
                                      <w:rFonts w:ascii="Arial" w:eastAsiaTheme="majorEastAsia" w:hAnsi="Arial" w:cs="Arial"/>
                                      <w:b/>
                                      <w:bCs/>
                                      <w:caps/>
                                      <w:color w:val="002060"/>
                                      <w:sz w:val="24"/>
                                      <w:szCs w:val="24"/>
                                      <w:u w:val="single"/>
                                    </w:rPr>
                                    <w:t>Student Name: Taishee Khan</w:t>
                                  </w:r>
                                </w:p>
                                <w:p w14:paraId="0068B61E" w14:textId="77777777" w:rsidR="00A2790F" w:rsidRPr="00774C61" w:rsidRDefault="00A2790F" w:rsidP="00A2790F">
                                  <w:pPr>
                                    <w:pStyle w:val="NoSpacing"/>
                                    <w:jc w:val="both"/>
                                    <w:rPr>
                                      <w:rFonts w:ascii="Arial" w:eastAsiaTheme="majorEastAsia" w:hAnsi="Arial" w:cs="Arial"/>
                                      <w:b/>
                                      <w:bCs/>
                                      <w:caps/>
                                      <w:color w:val="002060"/>
                                      <w:sz w:val="24"/>
                                      <w:szCs w:val="24"/>
                                      <w:u w:val="single"/>
                                    </w:rPr>
                                  </w:pPr>
                                </w:p>
                                <w:p w14:paraId="1CAFF6CF" w14:textId="77777777" w:rsidR="00302C44" w:rsidRPr="00774C61" w:rsidRDefault="00302C44" w:rsidP="00A2790F">
                                  <w:pPr>
                                    <w:pStyle w:val="NoSpacing"/>
                                    <w:jc w:val="both"/>
                                    <w:rPr>
                                      <w:rFonts w:ascii="Arial" w:eastAsiaTheme="majorEastAsia" w:hAnsi="Arial" w:cs="Arial"/>
                                      <w:b/>
                                      <w:bCs/>
                                      <w:caps/>
                                      <w:color w:val="002060"/>
                                      <w:sz w:val="24"/>
                                      <w:szCs w:val="24"/>
                                      <w:u w:val="single"/>
                                    </w:rPr>
                                  </w:pPr>
                                  <w:r w:rsidRPr="00774C61">
                                    <w:rPr>
                                      <w:rFonts w:ascii="Arial" w:eastAsiaTheme="majorEastAsia" w:hAnsi="Arial" w:cs="Arial"/>
                                      <w:b/>
                                      <w:bCs/>
                                      <w:caps/>
                                      <w:color w:val="002060"/>
                                      <w:sz w:val="24"/>
                                      <w:szCs w:val="24"/>
                                      <w:u w:val="single"/>
                                    </w:rPr>
                                    <w:t>ID number: 2133060</w:t>
                                  </w:r>
                                </w:p>
                                <w:p w14:paraId="6852A4EF" w14:textId="77777777" w:rsidR="00A2790F" w:rsidRPr="00774C61" w:rsidRDefault="00A2790F" w:rsidP="00A2790F">
                                  <w:pPr>
                                    <w:pStyle w:val="NoSpacing"/>
                                    <w:jc w:val="both"/>
                                    <w:rPr>
                                      <w:rFonts w:ascii="Arial" w:eastAsiaTheme="majorEastAsia" w:hAnsi="Arial" w:cs="Arial"/>
                                      <w:b/>
                                      <w:bCs/>
                                      <w:caps/>
                                      <w:color w:val="002060"/>
                                      <w:sz w:val="24"/>
                                      <w:szCs w:val="24"/>
                                      <w:u w:val="single"/>
                                    </w:rPr>
                                  </w:pPr>
                                </w:p>
                                <w:p w14:paraId="259C176D" w14:textId="7CA2C352" w:rsidR="00302C44" w:rsidRPr="00774C61" w:rsidRDefault="00302C44" w:rsidP="00A2790F">
                                  <w:pPr>
                                    <w:pStyle w:val="NoSpacing"/>
                                    <w:jc w:val="both"/>
                                    <w:rPr>
                                      <w:rFonts w:ascii="Arial" w:eastAsiaTheme="majorEastAsia" w:hAnsi="Arial" w:cs="Arial"/>
                                      <w:b/>
                                      <w:bCs/>
                                      <w:caps/>
                                      <w:color w:val="002060"/>
                                      <w:sz w:val="24"/>
                                      <w:szCs w:val="24"/>
                                      <w:u w:val="single"/>
                                    </w:rPr>
                                  </w:pPr>
                                  <w:r w:rsidRPr="00774C61">
                                    <w:rPr>
                                      <w:rFonts w:ascii="Arial" w:eastAsiaTheme="majorEastAsia" w:hAnsi="Arial" w:cs="Arial"/>
                                      <w:b/>
                                      <w:bCs/>
                                      <w:caps/>
                                      <w:color w:val="002060"/>
                                      <w:sz w:val="24"/>
                                      <w:szCs w:val="24"/>
                                      <w:u w:val="single"/>
                                    </w:rPr>
                                    <w:t xml:space="preserve">Module Name: </w:t>
                                  </w:r>
                                  <w:r w:rsidR="00AC2A7E" w:rsidRPr="00774C61">
                                    <w:rPr>
                                      <w:rFonts w:ascii="Arial" w:eastAsiaTheme="majorEastAsia" w:hAnsi="Arial" w:cs="Arial"/>
                                      <w:b/>
                                      <w:bCs/>
                                      <w:caps/>
                                      <w:color w:val="002060"/>
                                      <w:sz w:val="24"/>
                                      <w:szCs w:val="24"/>
                                      <w:u w:val="single"/>
                                    </w:rPr>
                                    <w:t>data secu</w:t>
                                  </w:r>
                                  <w:r w:rsidR="007A797E" w:rsidRPr="00774C61">
                                    <w:rPr>
                                      <w:rFonts w:ascii="Arial" w:eastAsiaTheme="majorEastAsia" w:hAnsi="Arial" w:cs="Arial"/>
                                      <w:b/>
                                      <w:bCs/>
                                      <w:caps/>
                                      <w:color w:val="002060"/>
                                      <w:sz w:val="24"/>
                                      <w:szCs w:val="24"/>
                                      <w:u w:val="single"/>
                                    </w:rPr>
                                    <w:t>rity and compliance</w:t>
                                  </w:r>
                                </w:p>
                                <w:p w14:paraId="70773A32" w14:textId="77777777" w:rsidR="00774C61" w:rsidRPr="00774C61" w:rsidRDefault="00774C61" w:rsidP="00A2790F">
                                  <w:pPr>
                                    <w:pStyle w:val="NoSpacing"/>
                                    <w:jc w:val="both"/>
                                    <w:rPr>
                                      <w:rFonts w:ascii="Arial" w:eastAsiaTheme="majorEastAsia" w:hAnsi="Arial" w:cs="Arial"/>
                                      <w:b/>
                                      <w:bCs/>
                                      <w:caps/>
                                      <w:color w:val="002060"/>
                                      <w:sz w:val="24"/>
                                      <w:szCs w:val="24"/>
                                      <w:u w:val="single"/>
                                    </w:rPr>
                                  </w:pPr>
                                </w:p>
                                <w:p w14:paraId="60025711" w14:textId="27212590" w:rsidR="003C07F8" w:rsidRPr="00774C61" w:rsidRDefault="00302C44" w:rsidP="00A2790F">
                                  <w:pPr>
                                    <w:spacing w:before="120" w:after="120"/>
                                    <w:jc w:val="both"/>
                                    <w:rPr>
                                      <w:rFonts w:ascii="Arial" w:eastAsiaTheme="majorEastAsia" w:hAnsi="Arial" w:cs="Arial"/>
                                      <w:b/>
                                      <w:bCs/>
                                      <w:caps/>
                                      <w:color w:val="002060"/>
                                      <w:sz w:val="24"/>
                                      <w:szCs w:val="24"/>
                                      <w:u w:val="single"/>
                                    </w:rPr>
                                  </w:pPr>
                                  <w:r w:rsidRPr="00774C61">
                                    <w:rPr>
                                      <w:rFonts w:ascii="Arial" w:eastAsiaTheme="majorEastAsia" w:hAnsi="Arial" w:cs="Arial"/>
                                      <w:b/>
                                      <w:bCs/>
                                      <w:caps/>
                                      <w:color w:val="002060"/>
                                      <w:sz w:val="24"/>
                                      <w:szCs w:val="24"/>
                                      <w:u w:val="single"/>
                                    </w:rPr>
                                    <w:t>Module Code:</w:t>
                                  </w:r>
                                  <w:r w:rsidR="007A797E" w:rsidRPr="00774C61">
                                    <w:rPr>
                                      <w:rFonts w:ascii="Arial" w:eastAsiaTheme="majorEastAsia" w:hAnsi="Arial" w:cs="Arial"/>
                                      <w:b/>
                                      <w:bCs/>
                                      <w:caps/>
                                      <w:color w:val="002060"/>
                                      <w:sz w:val="24"/>
                                      <w:szCs w:val="24"/>
                                      <w:u w:val="single"/>
                                    </w:rPr>
                                    <w:t xml:space="preserve"> acc</w:t>
                                  </w:r>
                                  <w:r w:rsidR="002D18D9" w:rsidRPr="00774C61">
                                    <w:rPr>
                                      <w:rFonts w:ascii="Arial" w:eastAsiaTheme="majorEastAsia" w:hAnsi="Arial" w:cs="Arial"/>
                                      <w:b/>
                                      <w:bCs/>
                                      <w:caps/>
                                      <w:color w:val="002060"/>
                                      <w:sz w:val="24"/>
                                      <w:szCs w:val="24"/>
                                      <w:u w:val="single"/>
                                    </w:rPr>
                                    <w:t>a5034</w:t>
                                  </w:r>
                                </w:p>
                                <w:p w14:paraId="76A93C17" w14:textId="77777777" w:rsidR="00A2790F" w:rsidRPr="00774C61" w:rsidRDefault="00A2790F" w:rsidP="00A2790F">
                                  <w:pPr>
                                    <w:spacing w:before="120" w:after="120"/>
                                    <w:jc w:val="both"/>
                                    <w:rPr>
                                      <w:rFonts w:ascii="Arial" w:hAnsi="Arial" w:cs="Arial"/>
                                      <w:b/>
                                      <w:bCs/>
                                      <w:color w:val="002060"/>
                                      <w:sz w:val="22"/>
                                      <w:szCs w:val="22"/>
                                      <w:u w:val="single"/>
                                    </w:rPr>
                                  </w:pPr>
                                </w:p>
                                <w:p w14:paraId="34F3369D" w14:textId="372631FB" w:rsidR="00302C44" w:rsidRPr="00774C61" w:rsidRDefault="00302C44" w:rsidP="00A2790F">
                                  <w:pPr>
                                    <w:pStyle w:val="NoSpacing"/>
                                    <w:jc w:val="both"/>
                                    <w:rPr>
                                      <w:rFonts w:ascii="Arial" w:eastAsia="Arial" w:hAnsi="Arial" w:cs="Arial"/>
                                      <w:b/>
                                      <w:bCs/>
                                      <w:color w:val="002060"/>
                                      <w:u w:val="single"/>
                                    </w:rPr>
                                  </w:pPr>
                                  <w:r w:rsidRPr="00774C61">
                                    <w:rPr>
                                      <w:rFonts w:ascii="Arial" w:eastAsiaTheme="majorEastAsia" w:hAnsi="Arial" w:cs="Arial"/>
                                      <w:b/>
                                      <w:bCs/>
                                      <w:caps/>
                                      <w:color w:val="002060"/>
                                      <w:u w:val="single"/>
                                    </w:rPr>
                                    <w:t xml:space="preserve">Lecturer: </w:t>
                                  </w:r>
                                  <w:r w:rsidR="007C117B" w:rsidRPr="00774C61">
                                    <w:rPr>
                                      <w:rFonts w:ascii="Arial" w:eastAsia="Arial" w:hAnsi="Arial" w:cs="Arial"/>
                                      <w:b/>
                                      <w:bCs/>
                                      <w:color w:val="002060"/>
                                      <w:u w:val="single"/>
                                    </w:rPr>
                                    <w:t>Dr. Mohamed Ben Farah</w:t>
                                  </w:r>
                                </w:p>
                                <w:p w14:paraId="00F7C40A" w14:textId="77777777" w:rsidR="00A2790F" w:rsidRPr="00774C61" w:rsidRDefault="00A2790F" w:rsidP="00A2790F">
                                  <w:pPr>
                                    <w:pStyle w:val="NoSpacing"/>
                                    <w:jc w:val="both"/>
                                    <w:rPr>
                                      <w:rFonts w:ascii="Arial" w:eastAsiaTheme="majorEastAsia" w:hAnsi="Arial" w:cs="Arial"/>
                                      <w:b/>
                                      <w:bCs/>
                                      <w:caps/>
                                      <w:color w:val="002060"/>
                                      <w:sz w:val="24"/>
                                      <w:szCs w:val="24"/>
                                      <w:u w:val="single"/>
                                    </w:rPr>
                                  </w:pPr>
                                </w:p>
                                <w:p w14:paraId="00B8B88E" w14:textId="1BC6EEC3" w:rsidR="00326233" w:rsidRPr="00774C61" w:rsidRDefault="00302C44" w:rsidP="00A2790F">
                                  <w:pPr>
                                    <w:pStyle w:val="NoSpacing"/>
                                    <w:jc w:val="both"/>
                                    <w:rPr>
                                      <w:rFonts w:ascii="Arial" w:eastAsiaTheme="majorEastAsia" w:hAnsi="Arial" w:cs="Arial"/>
                                      <w:b/>
                                      <w:bCs/>
                                      <w:caps/>
                                      <w:color w:val="002060"/>
                                      <w:sz w:val="24"/>
                                      <w:szCs w:val="24"/>
                                      <w:u w:val="single"/>
                                    </w:rPr>
                                  </w:pPr>
                                  <w:r w:rsidRPr="00774C61">
                                    <w:rPr>
                                      <w:rFonts w:ascii="Arial" w:eastAsiaTheme="majorEastAsia" w:hAnsi="Arial" w:cs="Arial"/>
                                      <w:b/>
                                      <w:bCs/>
                                      <w:caps/>
                                      <w:color w:val="002060"/>
                                      <w:sz w:val="24"/>
                                      <w:szCs w:val="24"/>
                                      <w:u w:val="single"/>
                                    </w:rPr>
                                    <w:t>Submission</w:t>
                                  </w:r>
                                  <w:r w:rsidR="002333C1" w:rsidRPr="00774C61">
                                    <w:rPr>
                                      <w:rFonts w:ascii="Arial" w:eastAsiaTheme="majorEastAsia" w:hAnsi="Arial" w:cs="Arial"/>
                                      <w:b/>
                                      <w:bCs/>
                                      <w:caps/>
                                      <w:color w:val="002060"/>
                                      <w:sz w:val="96"/>
                                      <w:szCs w:val="96"/>
                                      <w:u w:val="single"/>
                                    </w:rPr>
                                    <w:t xml:space="preserve"> </w:t>
                                  </w:r>
                                  <w:r w:rsidRPr="00774C61">
                                    <w:rPr>
                                      <w:rFonts w:ascii="Arial" w:eastAsiaTheme="majorEastAsia" w:hAnsi="Arial" w:cs="Arial"/>
                                      <w:b/>
                                      <w:bCs/>
                                      <w:caps/>
                                      <w:color w:val="002060"/>
                                      <w:sz w:val="24"/>
                                      <w:szCs w:val="24"/>
                                      <w:u w:val="single"/>
                                    </w:rPr>
                                    <w:t xml:space="preserve">date: </w:t>
                                  </w:r>
                                  <w:r w:rsidR="00A131BC" w:rsidRPr="00774C61">
                                    <w:rPr>
                                      <w:rFonts w:ascii="Arial" w:eastAsiaTheme="majorEastAsia" w:hAnsi="Arial" w:cs="Arial"/>
                                      <w:b/>
                                      <w:bCs/>
                                      <w:caps/>
                                      <w:color w:val="002060"/>
                                      <w:sz w:val="24"/>
                                      <w:szCs w:val="24"/>
                                      <w:u w:val="single"/>
                                    </w:rPr>
                                    <w:t>31</w:t>
                                  </w:r>
                                  <w:r w:rsidR="00A131BC" w:rsidRPr="00774C61">
                                    <w:rPr>
                                      <w:rFonts w:ascii="Arial" w:eastAsiaTheme="majorEastAsia" w:hAnsi="Arial" w:cs="Arial"/>
                                      <w:b/>
                                      <w:bCs/>
                                      <w:caps/>
                                      <w:color w:val="002060"/>
                                      <w:sz w:val="24"/>
                                      <w:szCs w:val="24"/>
                                      <w:u w:val="single"/>
                                      <w:vertAlign w:val="superscript"/>
                                    </w:rPr>
                                    <w:t>ST JULY</w:t>
                                  </w:r>
                                  <w:r w:rsidRPr="00774C61">
                                    <w:rPr>
                                      <w:rFonts w:ascii="Arial" w:eastAsiaTheme="majorEastAsia" w:hAnsi="Arial" w:cs="Arial"/>
                                      <w:b/>
                                      <w:bCs/>
                                      <w:caps/>
                                      <w:color w:val="002060"/>
                                      <w:sz w:val="24"/>
                                      <w:szCs w:val="24"/>
                                      <w:u w:val="single"/>
                                    </w:rPr>
                                    <w:t xml:space="preserve"> 2026</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90900</wp14:pctHeight>
                    </wp14:sizeRelV>
                  </wp:anchor>
                </w:drawing>
              </mc:Choice>
              <mc:Fallback>
                <w:pict>
                  <v:group w14:anchorId="3683BBCF" id="Group 198" o:spid="_x0000_s1026" style="position:absolute;margin-left:0;margin-top:0;width:540pt;height:718.4pt;z-index:-251657216;mso-height-percent:909;mso-position-horizontal:center;mso-position-horizontal-relative:page;mso-position-vertical:center;mso-position-vertical-relative:page;mso-height-percent:909" coordsize="68580,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5b9bd5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5b9bd5 [3204]" stroked="f" strokeweight="1pt">
                      <v:textbox inset="36pt,57.6pt,36pt,36pt">
                        <w:txbxContent>
                          <w:p w14:paraId="59BBAB89" w14:textId="0D45067B" w:rsidR="00326233" w:rsidRDefault="00326233">
                            <w:pPr>
                              <w:pStyle w:val="NoSpacing"/>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9906;top:13741;width:50272;height:264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3FB2A6B3" w14:textId="77777777" w:rsidR="00302C44" w:rsidRPr="00774C61" w:rsidRDefault="00302C44" w:rsidP="00A2790F">
                            <w:pPr>
                              <w:pStyle w:val="NoSpacing"/>
                              <w:jc w:val="both"/>
                              <w:rPr>
                                <w:rFonts w:ascii="Arial" w:eastAsiaTheme="majorEastAsia" w:hAnsi="Arial" w:cs="Arial"/>
                                <w:b/>
                                <w:bCs/>
                                <w:caps/>
                                <w:color w:val="002060"/>
                              </w:rPr>
                            </w:pPr>
                          </w:p>
                          <w:p w14:paraId="43B1F279" w14:textId="77777777" w:rsidR="00302C44" w:rsidRPr="00774C61" w:rsidRDefault="00302C44" w:rsidP="00A2790F">
                            <w:pPr>
                              <w:pStyle w:val="NoSpacing"/>
                              <w:jc w:val="both"/>
                              <w:rPr>
                                <w:rFonts w:ascii="Arial" w:eastAsiaTheme="majorEastAsia" w:hAnsi="Arial" w:cs="Arial"/>
                                <w:b/>
                                <w:bCs/>
                                <w:caps/>
                                <w:color w:val="002060"/>
                                <w:sz w:val="24"/>
                                <w:szCs w:val="24"/>
                                <w:u w:val="single"/>
                              </w:rPr>
                            </w:pPr>
                            <w:r w:rsidRPr="00774C61">
                              <w:rPr>
                                <w:rFonts w:ascii="Arial" w:eastAsiaTheme="majorEastAsia" w:hAnsi="Arial" w:cs="Arial"/>
                                <w:b/>
                                <w:bCs/>
                                <w:caps/>
                                <w:color w:val="002060"/>
                                <w:sz w:val="24"/>
                                <w:szCs w:val="24"/>
                                <w:u w:val="single"/>
                              </w:rPr>
                              <w:t>Student Name: Taishee Khan</w:t>
                            </w:r>
                          </w:p>
                          <w:p w14:paraId="0068B61E" w14:textId="77777777" w:rsidR="00A2790F" w:rsidRPr="00774C61" w:rsidRDefault="00A2790F" w:rsidP="00A2790F">
                            <w:pPr>
                              <w:pStyle w:val="NoSpacing"/>
                              <w:jc w:val="both"/>
                              <w:rPr>
                                <w:rFonts w:ascii="Arial" w:eastAsiaTheme="majorEastAsia" w:hAnsi="Arial" w:cs="Arial"/>
                                <w:b/>
                                <w:bCs/>
                                <w:caps/>
                                <w:color w:val="002060"/>
                                <w:sz w:val="24"/>
                                <w:szCs w:val="24"/>
                                <w:u w:val="single"/>
                              </w:rPr>
                            </w:pPr>
                          </w:p>
                          <w:p w14:paraId="1CAFF6CF" w14:textId="77777777" w:rsidR="00302C44" w:rsidRPr="00774C61" w:rsidRDefault="00302C44" w:rsidP="00A2790F">
                            <w:pPr>
                              <w:pStyle w:val="NoSpacing"/>
                              <w:jc w:val="both"/>
                              <w:rPr>
                                <w:rFonts w:ascii="Arial" w:eastAsiaTheme="majorEastAsia" w:hAnsi="Arial" w:cs="Arial"/>
                                <w:b/>
                                <w:bCs/>
                                <w:caps/>
                                <w:color w:val="002060"/>
                                <w:sz w:val="24"/>
                                <w:szCs w:val="24"/>
                                <w:u w:val="single"/>
                              </w:rPr>
                            </w:pPr>
                            <w:r w:rsidRPr="00774C61">
                              <w:rPr>
                                <w:rFonts w:ascii="Arial" w:eastAsiaTheme="majorEastAsia" w:hAnsi="Arial" w:cs="Arial"/>
                                <w:b/>
                                <w:bCs/>
                                <w:caps/>
                                <w:color w:val="002060"/>
                                <w:sz w:val="24"/>
                                <w:szCs w:val="24"/>
                                <w:u w:val="single"/>
                              </w:rPr>
                              <w:t>ID number: 2133060</w:t>
                            </w:r>
                          </w:p>
                          <w:p w14:paraId="6852A4EF" w14:textId="77777777" w:rsidR="00A2790F" w:rsidRPr="00774C61" w:rsidRDefault="00A2790F" w:rsidP="00A2790F">
                            <w:pPr>
                              <w:pStyle w:val="NoSpacing"/>
                              <w:jc w:val="both"/>
                              <w:rPr>
                                <w:rFonts w:ascii="Arial" w:eastAsiaTheme="majorEastAsia" w:hAnsi="Arial" w:cs="Arial"/>
                                <w:b/>
                                <w:bCs/>
                                <w:caps/>
                                <w:color w:val="002060"/>
                                <w:sz w:val="24"/>
                                <w:szCs w:val="24"/>
                                <w:u w:val="single"/>
                              </w:rPr>
                            </w:pPr>
                          </w:p>
                          <w:p w14:paraId="259C176D" w14:textId="7CA2C352" w:rsidR="00302C44" w:rsidRPr="00774C61" w:rsidRDefault="00302C44" w:rsidP="00A2790F">
                            <w:pPr>
                              <w:pStyle w:val="NoSpacing"/>
                              <w:jc w:val="both"/>
                              <w:rPr>
                                <w:rFonts w:ascii="Arial" w:eastAsiaTheme="majorEastAsia" w:hAnsi="Arial" w:cs="Arial"/>
                                <w:b/>
                                <w:bCs/>
                                <w:caps/>
                                <w:color w:val="002060"/>
                                <w:sz w:val="24"/>
                                <w:szCs w:val="24"/>
                                <w:u w:val="single"/>
                              </w:rPr>
                            </w:pPr>
                            <w:r w:rsidRPr="00774C61">
                              <w:rPr>
                                <w:rFonts w:ascii="Arial" w:eastAsiaTheme="majorEastAsia" w:hAnsi="Arial" w:cs="Arial"/>
                                <w:b/>
                                <w:bCs/>
                                <w:caps/>
                                <w:color w:val="002060"/>
                                <w:sz w:val="24"/>
                                <w:szCs w:val="24"/>
                                <w:u w:val="single"/>
                              </w:rPr>
                              <w:t xml:space="preserve">Module Name: </w:t>
                            </w:r>
                            <w:r w:rsidR="00AC2A7E" w:rsidRPr="00774C61">
                              <w:rPr>
                                <w:rFonts w:ascii="Arial" w:eastAsiaTheme="majorEastAsia" w:hAnsi="Arial" w:cs="Arial"/>
                                <w:b/>
                                <w:bCs/>
                                <w:caps/>
                                <w:color w:val="002060"/>
                                <w:sz w:val="24"/>
                                <w:szCs w:val="24"/>
                                <w:u w:val="single"/>
                              </w:rPr>
                              <w:t>data secu</w:t>
                            </w:r>
                            <w:r w:rsidR="007A797E" w:rsidRPr="00774C61">
                              <w:rPr>
                                <w:rFonts w:ascii="Arial" w:eastAsiaTheme="majorEastAsia" w:hAnsi="Arial" w:cs="Arial"/>
                                <w:b/>
                                <w:bCs/>
                                <w:caps/>
                                <w:color w:val="002060"/>
                                <w:sz w:val="24"/>
                                <w:szCs w:val="24"/>
                                <w:u w:val="single"/>
                              </w:rPr>
                              <w:t>rity and compliance</w:t>
                            </w:r>
                          </w:p>
                          <w:p w14:paraId="70773A32" w14:textId="77777777" w:rsidR="00774C61" w:rsidRPr="00774C61" w:rsidRDefault="00774C61" w:rsidP="00A2790F">
                            <w:pPr>
                              <w:pStyle w:val="NoSpacing"/>
                              <w:jc w:val="both"/>
                              <w:rPr>
                                <w:rFonts w:ascii="Arial" w:eastAsiaTheme="majorEastAsia" w:hAnsi="Arial" w:cs="Arial"/>
                                <w:b/>
                                <w:bCs/>
                                <w:caps/>
                                <w:color w:val="002060"/>
                                <w:sz w:val="24"/>
                                <w:szCs w:val="24"/>
                                <w:u w:val="single"/>
                              </w:rPr>
                            </w:pPr>
                          </w:p>
                          <w:p w14:paraId="60025711" w14:textId="27212590" w:rsidR="003C07F8" w:rsidRPr="00774C61" w:rsidRDefault="00302C44" w:rsidP="00A2790F">
                            <w:pPr>
                              <w:spacing w:before="120" w:after="120"/>
                              <w:jc w:val="both"/>
                              <w:rPr>
                                <w:rFonts w:ascii="Arial" w:eastAsiaTheme="majorEastAsia" w:hAnsi="Arial" w:cs="Arial"/>
                                <w:b/>
                                <w:bCs/>
                                <w:caps/>
                                <w:color w:val="002060"/>
                                <w:sz w:val="24"/>
                                <w:szCs w:val="24"/>
                                <w:u w:val="single"/>
                              </w:rPr>
                            </w:pPr>
                            <w:r w:rsidRPr="00774C61">
                              <w:rPr>
                                <w:rFonts w:ascii="Arial" w:eastAsiaTheme="majorEastAsia" w:hAnsi="Arial" w:cs="Arial"/>
                                <w:b/>
                                <w:bCs/>
                                <w:caps/>
                                <w:color w:val="002060"/>
                                <w:sz w:val="24"/>
                                <w:szCs w:val="24"/>
                                <w:u w:val="single"/>
                              </w:rPr>
                              <w:t>Module Code:</w:t>
                            </w:r>
                            <w:r w:rsidR="007A797E" w:rsidRPr="00774C61">
                              <w:rPr>
                                <w:rFonts w:ascii="Arial" w:eastAsiaTheme="majorEastAsia" w:hAnsi="Arial" w:cs="Arial"/>
                                <w:b/>
                                <w:bCs/>
                                <w:caps/>
                                <w:color w:val="002060"/>
                                <w:sz w:val="24"/>
                                <w:szCs w:val="24"/>
                                <w:u w:val="single"/>
                              </w:rPr>
                              <w:t xml:space="preserve"> acc</w:t>
                            </w:r>
                            <w:r w:rsidR="002D18D9" w:rsidRPr="00774C61">
                              <w:rPr>
                                <w:rFonts w:ascii="Arial" w:eastAsiaTheme="majorEastAsia" w:hAnsi="Arial" w:cs="Arial"/>
                                <w:b/>
                                <w:bCs/>
                                <w:caps/>
                                <w:color w:val="002060"/>
                                <w:sz w:val="24"/>
                                <w:szCs w:val="24"/>
                                <w:u w:val="single"/>
                              </w:rPr>
                              <w:t>a5034</w:t>
                            </w:r>
                          </w:p>
                          <w:p w14:paraId="76A93C17" w14:textId="77777777" w:rsidR="00A2790F" w:rsidRPr="00774C61" w:rsidRDefault="00A2790F" w:rsidP="00A2790F">
                            <w:pPr>
                              <w:spacing w:before="120" w:after="120"/>
                              <w:jc w:val="both"/>
                              <w:rPr>
                                <w:rFonts w:ascii="Arial" w:hAnsi="Arial" w:cs="Arial"/>
                                <w:b/>
                                <w:bCs/>
                                <w:color w:val="002060"/>
                                <w:sz w:val="22"/>
                                <w:szCs w:val="22"/>
                                <w:u w:val="single"/>
                              </w:rPr>
                            </w:pPr>
                          </w:p>
                          <w:p w14:paraId="34F3369D" w14:textId="372631FB" w:rsidR="00302C44" w:rsidRPr="00774C61" w:rsidRDefault="00302C44" w:rsidP="00A2790F">
                            <w:pPr>
                              <w:pStyle w:val="NoSpacing"/>
                              <w:jc w:val="both"/>
                              <w:rPr>
                                <w:rFonts w:ascii="Arial" w:eastAsia="Arial" w:hAnsi="Arial" w:cs="Arial"/>
                                <w:b/>
                                <w:bCs/>
                                <w:color w:val="002060"/>
                                <w:u w:val="single"/>
                              </w:rPr>
                            </w:pPr>
                            <w:r w:rsidRPr="00774C61">
                              <w:rPr>
                                <w:rFonts w:ascii="Arial" w:eastAsiaTheme="majorEastAsia" w:hAnsi="Arial" w:cs="Arial"/>
                                <w:b/>
                                <w:bCs/>
                                <w:caps/>
                                <w:color w:val="002060"/>
                                <w:u w:val="single"/>
                              </w:rPr>
                              <w:t xml:space="preserve">Lecturer: </w:t>
                            </w:r>
                            <w:r w:rsidR="007C117B" w:rsidRPr="00774C61">
                              <w:rPr>
                                <w:rFonts w:ascii="Arial" w:eastAsia="Arial" w:hAnsi="Arial" w:cs="Arial"/>
                                <w:b/>
                                <w:bCs/>
                                <w:color w:val="002060"/>
                                <w:u w:val="single"/>
                              </w:rPr>
                              <w:t>Dr. Mohamed Ben Farah</w:t>
                            </w:r>
                          </w:p>
                          <w:p w14:paraId="00F7C40A" w14:textId="77777777" w:rsidR="00A2790F" w:rsidRPr="00774C61" w:rsidRDefault="00A2790F" w:rsidP="00A2790F">
                            <w:pPr>
                              <w:pStyle w:val="NoSpacing"/>
                              <w:jc w:val="both"/>
                              <w:rPr>
                                <w:rFonts w:ascii="Arial" w:eastAsiaTheme="majorEastAsia" w:hAnsi="Arial" w:cs="Arial"/>
                                <w:b/>
                                <w:bCs/>
                                <w:caps/>
                                <w:color w:val="002060"/>
                                <w:sz w:val="24"/>
                                <w:szCs w:val="24"/>
                                <w:u w:val="single"/>
                              </w:rPr>
                            </w:pPr>
                          </w:p>
                          <w:p w14:paraId="00B8B88E" w14:textId="1BC6EEC3" w:rsidR="00326233" w:rsidRPr="00774C61" w:rsidRDefault="00302C44" w:rsidP="00A2790F">
                            <w:pPr>
                              <w:pStyle w:val="NoSpacing"/>
                              <w:jc w:val="both"/>
                              <w:rPr>
                                <w:rFonts w:ascii="Arial" w:eastAsiaTheme="majorEastAsia" w:hAnsi="Arial" w:cs="Arial"/>
                                <w:b/>
                                <w:bCs/>
                                <w:caps/>
                                <w:color w:val="002060"/>
                                <w:sz w:val="24"/>
                                <w:szCs w:val="24"/>
                                <w:u w:val="single"/>
                              </w:rPr>
                            </w:pPr>
                            <w:r w:rsidRPr="00774C61">
                              <w:rPr>
                                <w:rFonts w:ascii="Arial" w:eastAsiaTheme="majorEastAsia" w:hAnsi="Arial" w:cs="Arial"/>
                                <w:b/>
                                <w:bCs/>
                                <w:caps/>
                                <w:color w:val="002060"/>
                                <w:sz w:val="24"/>
                                <w:szCs w:val="24"/>
                                <w:u w:val="single"/>
                              </w:rPr>
                              <w:t>Submission</w:t>
                            </w:r>
                            <w:r w:rsidR="002333C1" w:rsidRPr="00774C61">
                              <w:rPr>
                                <w:rFonts w:ascii="Arial" w:eastAsiaTheme="majorEastAsia" w:hAnsi="Arial" w:cs="Arial"/>
                                <w:b/>
                                <w:bCs/>
                                <w:caps/>
                                <w:color w:val="002060"/>
                                <w:sz w:val="96"/>
                                <w:szCs w:val="96"/>
                                <w:u w:val="single"/>
                              </w:rPr>
                              <w:t xml:space="preserve"> </w:t>
                            </w:r>
                            <w:r w:rsidRPr="00774C61">
                              <w:rPr>
                                <w:rFonts w:ascii="Arial" w:eastAsiaTheme="majorEastAsia" w:hAnsi="Arial" w:cs="Arial"/>
                                <w:b/>
                                <w:bCs/>
                                <w:caps/>
                                <w:color w:val="002060"/>
                                <w:sz w:val="24"/>
                                <w:szCs w:val="24"/>
                                <w:u w:val="single"/>
                              </w:rPr>
                              <w:t xml:space="preserve">date: </w:t>
                            </w:r>
                            <w:r w:rsidR="00A131BC" w:rsidRPr="00774C61">
                              <w:rPr>
                                <w:rFonts w:ascii="Arial" w:eastAsiaTheme="majorEastAsia" w:hAnsi="Arial" w:cs="Arial"/>
                                <w:b/>
                                <w:bCs/>
                                <w:caps/>
                                <w:color w:val="002060"/>
                                <w:sz w:val="24"/>
                                <w:szCs w:val="24"/>
                                <w:u w:val="single"/>
                              </w:rPr>
                              <w:t>31</w:t>
                            </w:r>
                            <w:r w:rsidR="00A131BC" w:rsidRPr="00774C61">
                              <w:rPr>
                                <w:rFonts w:ascii="Arial" w:eastAsiaTheme="majorEastAsia" w:hAnsi="Arial" w:cs="Arial"/>
                                <w:b/>
                                <w:bCs/>
                                <w:caps/>
                                <w:color w:val="002060"/>
                                <w:sz w:val="24"/>
                                <w:szCs w:val="24"/>
                                <w:u w:val="single"/>
                                <w:vertAlign w:val="superscript"/>
                              </w:rPr>
                              <w:t>ST JULY</w:t>
                            </w:r>
                            <w:r w:rsidRPr="00774C61">
                              <w:rPr>
                                <w:rFonts w:ascii="Arial" w:eastAsiaTheme="majorEastAsia" w:hAnsi="Arial" w:cs="Arial"/>
                                <w:b/>
                                <w:bCs/>
                                <w:caps/>
                                <w:color w:val="002060"/>
                                <w:sz w:val="24"/>
                                <w:szCs w:val="24"/>
                                <w:u w:val="single"/>
                              </w:rPr>
                              <w:t xml:space="preserve"> 2026</w:t>
                            </w:r>
                          </w:p>
                        </w:txbxContent>
                      </v:textbox>
                    </v:shape>
                    <w10:wrap anchorx="page" anchory="page"/>
                  </v:group>
                </w:pict>
              </mc:Fallback>
            </mc:AlternateContent>
          </w:r>
        </w:p>
        <w:p w14:paraId="7181A943" w14:textId="5D96CF65" w:rsidR="00326233" w:rsidRDefault="00326233">
          <w:pPr>
            <w:rPr>
              <w:noProof/>
              <w:sz w:val="22"/>
              <w:szCs w:val="22"/>
            </w:rPr>
          </w:pPr>
          <w:r>
            <w:rPr>
              <w:noProof/>
              <w:sz w:val="22"/>
              <w:szCs w:val="22"/>
            </w:rPr>
            <w:br w:type="page"/>
          </w:r>
        </w:p>
      </w:sdtContent>
    </w:sdt>
    <w:p w14:paraId="75214E32" w14:textId="160C50BA" w:rsidR="006E66CE" w:rsidRDefault="006E66CE" w:rsidP="006E66CE">
      <w:r>
        <w:rPr>
          <w:rFonts w:eastAsia="Times New Roman"/>
          <w:b/>
          <w:sz w:val="36"/>
        </w:rPr>
        <w:lastRenderedPageBreak/>
        <w:t>The Zero Trust Architecture: A Critical Analysis of its Principles, Implementation Challenges, and Efficacy Compared to Traditional Models</w:t>
      </w:r>
    </w:p>
    <w:p w14:paraId="20C779BD" w14:textId="77777777" w:rsidR="00D7522C" w:rsidRPr="004F5862" w:rsidRDefault="00D7522C" w:rsidP="003B4E04">
      <w:pPr>
        <w:pStyle w:val="Author"/>
        <w:spacing w:before="100" w:beforeAutospacing="1" w:after="100" w:afterAutospacing="1" w:line="120" w:lineRule="auto"/>
      </w:pPr>
    </w:p>
    <w:p w14:paraId="1F960E65" w14:textId="77777777" w:rsidR="00D7522C" w:rsidRPr="004F5862" w:rsidRDefault="00D7522C" w:rsidP="00CA4392">
      <w:pPr>
        <w:pStyle w:val="Author"/>
        <w:spacing w:before="100" w:beforeAutospacing="1" w:after="100" w:afterAutospacing="1" w:line="120" w:lineRule="auto"/>
        <w:sectPr w:rsidR="00D7522C" w:rsidRPr="004F5862" w:rsidSect="00326233">
          <w:footerReference w:type="first" r:id="rId8"/>
          <w:pgSz w:w="11906" w:h="16838" w:code="9"/>
          <w:pgMar w:top="540" w:right="893" w:bottom="1440" w:left="893" w:header="720" w:footer="720" w:gutter="0"/>
          <w:pgNumType w:start="0"/>
          <w:cols w:space="720"/>
          <w:titlePg/>
          <w:docGrid w:linePitch="360"/>
        </w:sectPr>
      </w:pPr>
    </w:p>
    <w:p w14:paraId="5AB2FE26" w14:textId="77777777" w:rsidR="00BD670B" w:rsidRPr="004F5862" w:rsidRDefault="009303D9" w:rsidP="00BD670B">
      <w:pPr>
        <w:pStyle w:val="Author"/>
        <w:spacing w:before="100" w:beforeAutospacing="1"/>
      </w:pPr>
      <w:r w:rsidRPr="004F5862">
        <w:t>line 1</w:t>
      </w:r>
      <w:r w:rsidR="001A3B3D" w:rsidRPr="004F5862">
        <w:t>: 1</w:t>
      </w:r>
      <w:r w:rsidR="001A3B3D" w:rsidRPr="004F5862">
        <w:rPr>
          <w:vertAlign w:val="superscript"/>
        </w:rPr>
        <w:t>st</w:t>
      </w:r>
      <w:r w:rsidR="001A3B3D" w:rsidRPr="004F5862">
        <w:t xml:space="preserve"> </w:t>
      </w:r>
      <w:r w:rsidR="00F847A6" w:rsidRPr="004F5862">
        <w:t>Given Name Surname</w:t>
      </w:r>
      <w:r w:rsidR="001A3B3D" w:rsidRPr="004F5862">
        <w:t xml:space="preserve"> </w:t>
      </w:r>
      <w:r w:rsidR="001A3B3D" w:rsidRPr="004F5862">
        <w:br/>
        <w:t>line 2:</w:t>
      </w:r>
      <w:r w:rsidRPr="004F5862">
        <w:t xml:space="preserve"> </w:t>
      </w:r>
      <w:r w:rsidRPr="004F5862">
        <w:rPr>
          <w:i/>
        </w:rPr>
        <w:t>dept. name of organization</w:t>
      </w:r>
      <w:r w:rsidR="001A3B3D" w:rsidRPr="004F5862">
        <w:rPr>
          <w:i/>
        </w:rPr>
        <w:t xml:space="preserve"> </w:t>
      </w:r>
      <w:r w:rsidR="007B6DDA" w:rsidRPr="004F5862">
        <w:rPr>
          <w:i/>
        </w:rPr>
        <w:br/>
      </w:r>
      <w:r w:rsidR="001A3B3D" w:rsidRPr="004F5862">
        <w:rPr>
          <w:i/>
        </w:rPr>
        <w:t xml:space="preserve">(of </w:t>
      </w:r>
      <w:r w:rsidR="001A3B3D" w:rsidRPr="004F5862">
        <w:rPr>
          <w:i/>
          <w:iCs/>
        </w:rPr>
        <w:t>Affiliation</w:t>
      </w:r>
      <w:r w:rsidR="001A3B3D" w:rsidRPr="004F5862">
        <w:rPr>
          <w:i/>
        </w:rPr>
        <w:t>)</w:t>
      </w:r>
      <w:r w:rsidR="00D72D06" w:rsidRPr="004F5862">
        <w:br/>
      </w:r>
      <w:r w:rsidR="00645D22" w:rsidRPr="004F5862">
        <w:t>li</w:t>
      </w:r>
      <w:r w:rsidRPr="004F5862">
        <w:t xml:space="preserve">ne </w:t>
      </w:r>
      <w:r w:rsidR="001A3B3D" w:rsidRPr="004F5862">
        <w:t>3</w:t>
      </w:r>
      <w:r w:rsidRPr="004F5862">
        <w:t xml:space="preserve">: </w:t>
      </w:r>
      <w:r w:rsidRPr="004F5862">
        <w:rPr>
          <w:i/>
        </w:rPr>
        <w:t xml:space="preserve">name of organization </w:t>
      </w:r>
      <w:r w:rsidR="007B6DDA" w:rsidRPr="004F5862">
        <w:rPr>
          <w:i/>
        </w:rPr>
        <w:br/>
      </w:r>
      <w:r w:rsidR="001A3B3D" w:rsidRPr="004F5862">
        <w:rPr>
          <w:i/>
        </w:rPr>
        <w:t>(of Affiliation)</w:t>
      </w:r>
      <w:r w:rsidR="001A3B3D" w:rsidRPr="004F5862">
        <w:rPr>
          <w:i/>
        </w:rPr>
        <w:br/>
      </w:r>
      <w:r w:rsidRPr="004F5862">
        <w:t xml:space="preserve">line </w:t>
      </w:r>
      <w:r w:rsidR="001A3B3D" w:rsidRPr="004F5862">
        <w:t>4</w:t>
      </w:r>
      <w:r w:rsidRPr="004F5862">
        <w:t>: City, Country</w:t>
      </w:r>
      <w:r w:rsidR="001A3B3D" w:rsidRPr="004F5862">
        <w:br/>
      </w:r>
      <w:r w:rsidRPr="004F5862">
        <w:t xml:space="preserve">line </w:t>
      </w:r>
      <w:r w:rsidR="001A3B3D" w:rsidRPr="004F5862">
        <w:t>5: e</w:t>
      </w:r>
      <w:r w:rsidRPr="004F5862">
        <w:t>ma</w:t>
      </w:r>
      <w:r w:rsidR="001A3B3D" w:rsidRPr="004F5862">
        <w:t>il address</w:t>
      </w:r>
      <w:r w:rsidR="00B768D1" w:rsidRPr="004F5862">
        <w:t xml:space="preserve"> or ORCID</w:t>
      </w:r>
    </w:p>
    <w:p w14:paraId="1FCCE042" w14:textId="77777777" w:rsidR="001A3B3D" w:rsidRPr="004F5862" w:rsidRDefault="00447BB9" w:rsidP="007B6DDA">
      <w:pPr>
        <w:pStyle w:val="Author"/>
        <w:spacing w:before="100" w:beforeAutospacing="1"/>
      </w:pPr>
      <w:r w:rsidRPr="004F5862">
        <w:t>line 1: 4</w:t>
      </w:r>
      <w:r w:rsidRPr="004F5862">
        <w:rPr>
          <w:vertAlign w:val="superscript"/>
        </w:rPr>
        <w:t>th</w:t>
      </w:r>
      <w:r w:rsidRPr="004F5862">
        <w:t xml:space="preserve"> Given Name Surname</w:t>
      </w:r>
      <w:r w:rsidRPr="004F5862">
        <w:br/>
        <w:t xml:space="preserve">line 2: </w:t>
      </w:r>
      <w:r w:rsidRPr="004F5862">
        <w:rPr>
          <w:i/>
        </w:rPr>
        <w:t>dept. name of organization</w:t>
      </w:r>
      <w:r w:rsidRPr="004F5862">
        <w:br/>
      </w:r>
      <w:r w:rsidRPr="004F5862">
        <w:rPr>
          <w:i/>
        </w:rPr>
        <w:t xml:space="preserve">(of </w:t>
      </w:r>
      <w:r w:rsidRPr="004F5862">
        <w:rPr>
          <w:i/>
          <w:iCs/>
        </w:rPr>
        <w:t>Affiliation</w:t>
      </w:r>
      <w:r w:rsidRPr="004F5862">
        <w:rPr>
          <w:i/>
        </w:rPr>
        <w:t>)</w:t>
      </w:r>
      <w:r w:rsidRPr="004F5862">
        <w:br/>
        <w:t xml:space="preserve">line 3: </w:t>
      </w:r>
      <w:r w:rsidRPr="004F5862">
        <w:rPr>
          <w:i/>
        </w:rPr>
        <w:t xml:space="preserve">name of organization </w:t>
      </w:r>
      <w:r w:rsidR="007B6DDA" w:rsidRPr="004F5862">
        <w:rPr>
          <w:i/>
        </w:rPr>
        <w:br/>
      </w:r>
      <w:r w:rsidRPr="004F5862">
        <w:rPr>
          <w:i/>
        </w:rPr>
        <w:t>(of Affiliation)</w:t>
      </w:r>
      <w:r w:rsidRPr="004F5862">
        <w:rPr>
          <w:i/>
        </w:rPr>
        <w:br/>
      </w:r>
      <w:r w:rsidRPr="004F5862">
        <w:t>line 4: City, Country</w:t>
      </w:r>
      <w:r w:rsidRPr="004F5862">
        <w:br/>
        <w:t xml:space="preserve">line 5: email address </w:t>
      </w:r>
      <w:r w:rsidR="00B768D1" w:rsidRPr="004F5862">
        <w:t xml:space="preserve"> or ORCID</w:t>
      </w:r>
      <w:r w:rsidR="00BD670B" w:rsidRPr="004F5862">
        <w:br w:type="column"/>
      </w:r>
      <w:r w:rsidR="001A3B3D" w:rsidRPr="004F5862">
        <w:t>line 1: 2</w:t>
      </w:r>
      <w:r w:rsidR="001A3B3D" w:rsidRPr="004F5862">
        <w:rPr>
          <w:vertAlign w:val="superscript"/>
        </w:rPr>
        <w:t>nd</w:t>
      </w:r>
      <w:r w:rsidR="001A3B3D" w:rsidRPr="004F5862">
        <w:t xml:space="preserve"> </w:t>
      </w:r>
      <w:r w:rsidR="00F847A6" w:rsidRPr="004F5862">
        <w:t>Given Name Surname</w:t>
      </w:r>
      <w:r w:rsidR="001A3B3D" w:rsidRPr="004F5862">
        <w:br/>
        <w:t xml:space="preserve">line 2: </w:t>
      </w:r>
      <w:r w:rsidR="001A3B3D" w:rsidRPr="004F5862">
        <w:rPr>
          <w:i/>
        </w:rPr>
        <w:t xml:space="preserve">dept. name of organization </w:t>
      </w:r>
      <w:r w:rsidR="007B6DDA" w:rsidRPr="004F5862">
        <w:rPr>
          <w:i/>
        </w:rPr>
        <w:br/>
      </w:r>
      <w:r w:rsidR="001A3B3D" w:rsidRPr="004F5862">
        <w:rPr>
          <w:i/>
        </w:rPr>
        <w:t xml:space="preserve">(of </w:t>
      </w:r>
      <w:r w:rsidR="001A3B3D" w:rsidRPr="004F5862">
        <w:rPr>
          <w:i/>
          <w:iCs/>
        </w:rPr>
        <w:t>Affiliation</w:t>
      </w:r>
      <w:r w:rsidR="001A3B3D" w:rsidRPr="004F5862">
        <w:rPr>
          <w:i/>
        </w:rPr>
        <w:t>)</w:t>
      </w:r>
      <w:r w:rsidR="001A3B3D" w:rsidRPr="004F5862">
        <w:br/>
        <w:t xml:space="preserve">line 3: </w:t>
      </w:r>
      <w:r w:rsidR="001A3B3D" w:rsidRPr="004F5862">
        <w:rPr>
          <w:i/>
        </w:rPr>
        <w:t xml:space="preserve">name of organization </w:t>
      </w:r>
      <w:r w:rsidR="007B6DDA" w:rsidRPr="004F5862">
        <w:rPr>
          <w:i/>
        </w:rPr>
        <w:br/>
      </w:r>
      <w:r w:rsidR="001A3B3D" w:rsidRPr="004F5862">
        <w:rPr>
          <w:i/>
        </w:rPr>
        <w:t>(of Affiliation)</w:t>
      </w:r>
      <w:r w:rsidR="001A3B3D" w:rsidRPr="004F5862">
        <w:rPr>
          <w:i/>
        </w:rPr>
        <w:br/>
      </w:r>
      <w:r w:rsidR="001A3B3D" w:rsidRPr="004F5862">
        <w:t>line 4: City, Country</w:t>
      </w:r>
      <w:r w:rsidR="001A3B3D" w:rsidRPr="004F5862">
        <w:br/>
        <w:t>line 5: email address</w:t>
      </w:r>
      <w:r w:rsidR="00B768D1" w:rsidRPr="004F5862">
        <w:t xml:space="preserve"> or ORCID</w:t>
      </w:r>
    </w:p>
    <w:p w14:paraId="11C3FF66" w14:textId="77777777" w:rsidR="001A3B3D" w:rsidRPr="004F5862" w:rsidRDefault="00447BB9" w:rsidP="00447BB9">
      <w:pPr>
        <w:pStyle w:val="Author"/>
        <w:spacing w:before="100" w:beforeAutospacing="1"/>
      </w:pPr>
      <w:r w:rsidRPr="004F5862">
        <w:t>line 1: 5</w:t>
      </w:r>
      <w:r w:rsidRPr="004F5862">
        <w:rPr>
          <w:vertAlign w:val="superscript"/>
        </w:rPr>
        <w:t>th</w:t>
      </w:r>
      <w:r w:rsidRPr="004F5862">
        <w:t xml:space="preserve"> Given Name Surname</w:t>
      </w:r>
      <w:r w:rsidRPr="004F5862">
        <w:br/>
        <w:t xml:space="preserve">line 2: </w:t>
      </w:r>
      <w:r w:rsidRPr="004F5862">
        <w:rPr>
          <w:i/>
        </w:rPr>
        <w:t xml:space="preserve">dept. name of organization </w:t>
      </w:r>
      <w:r w:rsidR="007B6DDA" w:rsidRPr="004F5862">
        <w:rPr>
          <w:i/>
        </w:rPr>
        <w:br/>
      </w:r>
      <w:r w:rsidRPr="004F5862">
        <w:rPr>
          <w:i/>
        </w:rPr>
        <w:t xml:space="preserve">(of </w:t>
      </w:r>
      <w:r w:rsidRPr="004F5862">
        <w:rPr>
          <w:i/>
          <w:iCs/>
        </w:rPr>
        <w:t>Affiliation</w:t>
      </w:r>
      <w:r w:rsidRPr="004F5862">
        <w:rPr>
          <w:i/>
        </w:rPr>
        <w:t>)</w:t>
      </w:r>
      <w:r w:rsidRPr="004F5862">
        <w:br/>
        <w:t xml:space="preserve">line 3: </w:t>
      </w:r>
      <w:r w:rsidRPr="004F5862">
        <w:rPr>
          <w:i/>
        </w:rPr>
        <w:t xml:space="preserve">name of organization </w:t>
      </w:r>
      <w:r w:rsidR="007B6DDA" w:rsidRPr="004F5862">
        <w:rPr>
          <w:i/>
        </w:rPr>
        <w:br/>
      </w:r>
      <w:r w:rsidRPr="004F5862">
        <w:rPr>
          <w:i/>
        </w:rPr>
        <w:t>(of Affiliation)</w:t>
      </w:r>
      <w:r w:rsidRPr="004F5862">
        <w:rPr>
          <w:i/>
        </w:rPr>
        <w:br/>
      </w:r>
      <w:r w:rsidRPr="004F5862">
        <w:t>line 4: City, Country</w:t>
      </w:r>
      <w:r w:rsidRPr="004F5862">
        <w:br/>
        <w:t xml:space="preserve">line 5: email address </w:t>
      </w:r>
      <w:r w:rsidR="00B768D1" w:rsidRPr="004F5862">
        <w:t xml:space="preserve"> or ORCID</w:t>
      </w:r>
      <w:r w:rsidR="00BD670B" w:rsidRPr="004F5862">
        <w:br w:type="column"/>
      </w:r>
      <w:r w:rsidR="001A3B3D" w:rsidRPr="004F5862">
        <w:t>line 1: 3</w:t>
      </w:r>
      <w:r w:rsidR="001A3B3D" w:rsidRPr="004F5862">
        <w:rPr>
          <w:vertAlign w:val="superscript"/>
        </w:rPr>
        <w:t>rd</w:t>
      </w:r>
      <w:r w:rsidR="001A3B3D" w:rsidRPr="004F5862">
        <w:t xml:space="preserve"> </w:t>
      </w:r>
      <w:r w:rsidR="00F847A6" w:rsidRPr="004F5862">
        <w:t>Given Name Surname</w:t>
      </w:r>
      <w:r w:rsidR="001A3B3D" w:rsidRPr="004F5862">
        <w:br/>
        <w:t xml:space="preserve">line 2: </w:t>
      </w:r>
      <w:r w:rsidR="001A3B3D" w:rsidRPr="004F5862">
        <w:rPr>
          <w:i/>
        </w:rPr>
        <w:t xml:space="preserve">dept. name of organization </w:t>
      </w:r>
      <w:r w:rsidR="007B6DDA" w:rsidRPr="004F5862">
        <w:rPr>
          <w:i/>
        </w:rPr>
        <w:br/>
      </w:r>
      <w:r w:rsidR="001A3B3D" w:rsidRPr="004F5862">
        <w:rPr>
          <w:i/>
        </w:rPr>
        <w:t xml:space="preserve">(of </w:t>
      </w:r>
      <w:r w:rsidR="001A3B3D" w:rsidRPr="004F5862">
        <w:rPr>
          <w:i/>
          <w:iCs/>
        </w:rPr>
        <w:t>Affiliation</w:t>
      </w:r>
      <w:r w:rsidR="001A3B3D" w:rsidRPr="004F5862">
        <w:rPr>
          <w:i/>
        </w:rPr>
        <w:t>)</w:t>
      </w:r>
      <w:r w:rsidR="001A3B3D" w:rsidRPr="004F5862">
        <w:br/>
        <w:t xml:space="preserve">line 3: </w:t>
      </w:r>
      <w:r w:rsidR="001A3B3D" w:rsidRPr="004F5862">
        <w:rPr>
          <w:i/>
        </w:rPr>
        <w:t xml:space="preserve">name of organization </w:t>
      </w:r>
      <w:r w:rsidR="007B6DDA" w:rsidRPr="004F5862">
        <w:rPr>
          <w:i/>
        </w:rPr>
        <w:br/>
      </w:r>
      <w:r w:rsidR="001A3B3D" w:rsidRPr="004F5862">
        <w:rPr>
          <w:i/>
        </w:rPr>
        <w:t>(of Affiliation)</w:t>
      </w:r>
      <w:r w:rsidR="001A3B3D" w:rsidRPr="004F5862">
        <w:rPr>
          <w:i/>
        </w:rPr>
        <w:br/>
      </w:r>
      <w:r w:rsidR="001A3B3D" w:rsidRPr="004F5862">
        <w:t>line 4: City, Country</w:t>
      </w:r>
      <w:r w:rsidR="001A3B3D" w:rsidRPr="004F5862">
        <w:br/>
        <w:t>line 5: email address</w:t>
      </w:r>
      <w:r w:rsidR="00B768D1" w:rsidRPr="004F5862">
        <w:t xml:space="preserve"> or ORCID</w:t>
      </w:r>
    </w:p>
    <w:p w14:paraId="2729A11B" w14:textId="77777777" w:rsidR="00447BB9" w:rsidRPr="004F5862" w:rsidRDefault="00447BB9" w:rsidP="00447BB9">
      <w:pPr>
        <w:pStyle w:val="Author"/>
        <w:spacing w:before="100" w:beforeAutospacing="1"/>
      </w:pPr>
      <w:r w:rsidRPr="004F5862">
        <w:t>line 1: 6</w:t>
      </w:r>
      <w:r w:rsidRPr="004F5862">
        <w:rPr>
          <w:vertAlign w:val="superscript"/>
        </w:rPr>
        <w:t>th</w:t>
      </w:r>
      <w:r w:rsidRPr="004F5862">
        <w:t xml:space="preserve"> Given Name Surname</w:t>
      </w:r>
      <w:r w:rsidRPr="004F5862">
        <w:br/>
        <w:t xml:space="preserve">line 2: </w:t>
      </w:r>
      <w:r w:rsidRPr="004F5862">
        <w:rPr>
          <w:i/>
        </w:rPr>
        <w:t xml:space="preserve">dept. name of organization </w:t>
      </w:r>
      <w:r w:rsidR="007B6DDA" w:rsidRPr="004F5862">
        <w:rPr>
          <w:i/>
        </w:rPr>
        <w:br/>
      </w:r>
      <w:r w:rsidRPr="004F5862">
        <w:rPr>
          <w:i/>
        </w:rPr>
        <w:t xml:space="preserve">(of </w:t>
      </w:r>
      <w:r w:rsidRPr="004F5862">
        <w:rPr>
          <w:i/>
          <w:iCs/>
        </w:rPr>
        <w:t>Affiliation</w:t>
      </w:r>
      <w:r w:rsidRPr="004F5862">
        <w:rPr>
          <w:i/>
        </w:rPr>
        <w:t>)</w:t>
      </w:r>
      <w:r w:rsidRPr="004F5862">
        <w:br/>
        <w:t xml:space="preserve">line 3: </w:t>
      </w:r>
      <w:r w:rsidRPr="004F5862">
        <w:rPr>
          <w:i/>
        </w:rPr>
        <w:t xml:space="preserve">name of organization </w:t>
      </w:r>
      <w:r w:rsidR="007B6DDA" w:rsidRPr="004F5862">
        <w:rPr>
          <w:i/>
        </w:rPr>
        <w:br/>
      </w:r>
      <w:r w:rsidRPr="004F5862">
        <w:rPr>
          <w:i/>
        </w:rPr>
        <w:t>(of Affiliation)</w:t>
      </w:r>
      <w:r w:rsidRPr="004F5862">
        <w:rPr>
          <w:i/>
        </w:rPr>
        <w:br/>
      </w:r>
      <w:r w:rsidRPr="004F5862">
        <w:t>line 4: City, Country</w:t>
      </w:r>
      <w:r w:rsidRPr="004F5862">
        <w:br/>
        <w:t>line 5: email address</w:t>
      </w:r>
      <w:r w:rsidR="00B768D1" w:rsidRPr="004F5862">
        <w:t xml:space="preserve"> or ORCID</w:t>
      </w:r>
      <w:r w:rsidRPr="004F5862">
        <w:t xml:space="preserve"> </w:t>
      </w:r>
    </w:p>
    <w:p w14:paraId="0316535E" w14:textId="77777777" w:rsidR="009F1D79" w:rsidRPr="004F5862" w:rsidRDefault="009F1D79">
      <w:pPr>
        <w:rPr>
          <w:sz w:val="22"/>
          <w:szCs w:val="22"/>
        </w:rPr>
        <w:sectPr w:rsidR="009F1D79" w:rsidRPr="004F5862" w:rsidSect="003B4E04">
          <w:type w:val="continuous"/>
          <w:pgSz w:w="11906" w:h="16838" w:code="9"/>
          <w:pgMar w:top="450" w:right="893" w:bottom="1440" w:left="893" w:header="720" w:footer="720" w:gutter="0"/>
          <w:cols w:num="3" w:space="720"/>
          <w:docGrid w:linePitch="360"/>
        </w:sectPr>
      </w:pPr>
    </w:p>
    <w:p w14:paraId="0A88E65D" w14:textId="77777777" w:rsidR="009303D9" w:rsidRPr="004F5862" w:rsidRDefault="00BD670B">
      <w:pPr>
        <w:rPr>
          <w:sz w:val="22"/>
          <w:szCs w:val="22"/>
        </w:rPr>
        <w:sectPr w:rsidR="009303D9" w:rsidRPr="004F5862" w:rsidSect="003B4E04">
          <w:type w:val="continuous"/>
          <w:pgSz w:w="11906" w:h="16838" w:code="9"/>
          <w:pgMar w:top="450" w:right="893" w:bottom="1440" w:left="893" w:header="720" w:footer="720" w:gutter="0"/>
          <w:cols w:num="3" w:space="720"/>
          <w:docGrid w:linePitch="360"/>
        </w:sectPr>
      </w:pPr>
      <w:r w:rsidRPr="004F5862">
        <w:rPr>
          <w:sz w:val="22"/>
          <w:szCs w:val="22"/>
        </w:rPr>
        <w:br w:type="column"/>
      </w:r>
    </w:p>
    <w:p w14:paraId="40FA2D84" w14:textId="49F0941B" w:rsidR="004D72B5" w:rsidRPr="004F5862" w:rsidRDefault="009303D9" w:rsidP="00972203">
      <w:pPr>
        <w:pStyle w:val="Abstract"/>
        <w:rPr>
          <w:i/>
          <w:iCs/>
          <w:sz w:val="22"/>
          <w:szCs w:val="22"/>
        </w:rPr>
      </w:pPr>
      <w:r w:rsidRPr="004F5862">
        <w:rPr>
          <w:i/>
          <w:iCs/>
          <w:sz w:val="22"/>
          <w:szCs w:val="22"/>
        </w:rPr>
        <w:t>Abstract</w:t>
      </w:r>
      <w:r w:rsidR="006F7634" w:rsidRPr="004F5862">
        <w:rPr>
          <w:sz w:val="22"/>
          <w:szCs w:val="22"/>
        </w:rPr>
        <w:t xml:space="preserve">: </w:t>
      </w:r>
      <w:r w:rsidR="006E66CE" w:rsidRPr="004F5862">
        <w:rPr>
          <w:rFonts w:eastAsia="Times New Roman"/>
          <w:b w:val="0"/>
          <w:bCs w:val="0"/>
          <w:sz w:val="22"/>
          <w:szCs w:val="22"/>
        </w:rPr>
        <w:t xml:space="preserve">This paper critically analyses Zero Trust Architecture as a modern security model for </w:t>
      </w:r>
      <w:r w:rsidR="005C2E6D" w:rsidRPr="004F5862">
        <w:rPr>
          <w:rFonts w:eastAsia="Times New Roman"/>
          <w:b w:val="0"/>
          <w:bCs w:val="0"/>
          <w:sz w:val="22"/>
          <w:szCs w:val="22"/>
        </w:rPr>
        <w:t>organizations</w:t>
      </w:r>
      <w:r w:rsidR="006E66CE" w:rsidRPr="004F5862">
        <w:rPr>
          <w:rFonts w:eastAsia="Times New Roman"/>
          <w:b w:val="0"/>
          <w:bCs w:val="0"/>
          <w:sz w:val="22"/>
          <w:szCs w:val="22"/>
        </w:rPr>
        <w:t xml:space="preserve"> operating in cloud, hybrid work and data-intensive environments. It explains the core principles of explicit verification, least privilege, micro-segmentation, continuous monitoring and resource-</w:t>
      </w:r>
      <w:r w:rsidR="00D21C94" w:rsidRPr="004F5862">
        <w:rPr>
          <w:rFonts w:eastAsia="Times New Roman"/>
          <w:b w:val="0"/>
          <w:bCs w:val="0"/>
          <w:sz w:val="22"/>
          <w:szCs w:val="22"/>
        </w:rPr>
        <w:t>centered</w:t>
      </w:r>
      <w:r w:rsidR="006E66CE" w:rsidRPr="004F5862">
        <w:rPr>
          <w:rFonts w:eastAsia="Times New Roman"/>
          <w:b w:val="0"/>
          <w:bCs w:val="0"/>
          <w:sz w:val="22"/>
          <w:szCs w:val="22"/>
        </w:rPr>
        <w:t xml:space="preserve"> protection</w:t>
      </w:r>
      <w:r w:rsidR="00195119">
        <w:rPr>
          <w:rFonts w:eastAsia="Times New Roman"/>
          <w:b w:val="0"/>
          <w:bCs w:val="0"/>
          <w:sz w:val="22"/>
          <w:szCs w:val="22"/>
        </w:rPr>
        <w:t xml:space="preserve">. </w:t>
      </w:r>
      <w:r w:rsidR="006E66CE" w:rsidRPr="004F5862">
        <w:rPr>
          <w:rFonts w:eastAsia="Times New Roman"/>
          <w:b w:val="0"/>
          <w:bCs w:val="0"/>
          <w:sz w:val="22"/>
          <w:szCs w:val="22"/>
        </w:rPr>
        <w:t>The paper argues that Zero Trust is more effective than traditional perimeter-based security because it reduces implicit trust and limits lateral movement; however, its success depends on governance maturity, auditable policies and phased implementation rather than technology purchase alone.</w:t>
      </w:r>
    </w:p>
    <w:p w14:paraId="58B10678" w14:textId="232F4C3D" w:rsidR="009303D9" w:rsidRPr="004F5862" w:rsidRDefault="004D72B5" w:rsidP="00972203">
      <w:pPr>
        <w:pStyle w:val="Keywords"/>
        <w:rPr>
          <w:sz w:val="22"/>
          <w:szCs w:val="22"/>
        </w:rPr>
      </w:pPr>
      <w:r w:rsidRPr="004F5862">
        <w:rPr>
          <w:sz w:val="22"/>
          <w:szCs w:val="22"/>
        </w:rPr>
        <w:t>Keywords—</w:t>
      </w:r>
      <w:r w:rsidR="006E66CE" w:rsidRPr="004F5862">
        <w:rPr>
          <w:rFonts w:eastAsia="Times New Roman"/>
          <w:sz w:val="22"/>
          <w:szCs w:val="22"/>
        </w:rPr>
        <w:t>Zero Trust Architecture; cybersecurity; least privilege; micro-segmentation; NIST; perimeter security; compliance.</w:t>
      </w:r>
    </w:p>
    <w:p w14:paraId="1A521F3C" w14:textId="441951BC" w:rsidR="009303D9" w:rsidRPr="002354E4" w:rsidRDefault="009303D9" w:rsidP="006B6B66">
      <w:pPr>
        <w:pStyle w:val="Heading1"/>
        <w:rPr>
          <w:b/>
          <w:bCs/>
          <w:sz w:val="24"/>
          <w:szCs w:val="24"/>
        </w:rPr>
      </w:pPr>
      <w:r w:rsidRPr="002354E4">
        <w:rPr>
          <w:b/>
          <w:bCs/>
          <w:sz w:val="24"/>
          <w:szCs w:val="24"/>
        </w:rPr>
        <w:t>Introduction</w:t>
      </w:r>
    </w:p>
    <w:p w14:paraId="73E328F3" w14:textId="6989D9D4" w:rsidR="006F7634" w:rsidRPr="004F5862" w:rsidRDefault="00D753C8" w:rsidP="006F7634">
      <w:pPr>
        <w:pStyle w:val="BodyText"/>
        <w:rPr>
          <w:sz w:val="22"/>
          <w:szCs w:val="22"/>
        </w:rPr>
      </w:pPr>
      <w:r w:rsidRPr="004F5862">
        <w:rPr>
          <w:sz w:val="22"/>
          <w:szCs w:val="22"/>
          <w:lang w:val="en-US"/>
        </w:rPr>
        <w:t xml:space="preserve">Zero Trust Architecture (ZTA) is a key reaction to the demise of the simple corporate perimeter. The traditional network security approach was built on a premise that the private internal network will be secure as compared to the public Internet. That is no longer true today since enterprise data is accessible via cloud-to-cloud, software-as-a-service to software-as-a-service, mobile-to-mobile, contractor access, remote connection, and partner integration and application programming interfaces. According to NIST [1], the Zero trust paradigm shifts the focus from the network perimeter to users, assets and resources and doesn't assume trust </w:t>
      </w:r>
    </w:p>
    <w:p w14:paraId="5B84FB04" w14:textId="6CA6F2A1" w:rsidR="009303D9" w:rsidRPr="004F5862" w:rsidRDefault="006F7634" w:rsidP="006F7634">
      <w:pPr>
        <w:pStyle w:val="BodyText"/>
        <w:rPr>
          <w:sz w:val="22"/>
          <w:szCs w:val="22"/>
        </w:rPr>
      </w:pPr>
      <w:r w:rsidRPr="004F5862">
        <w:rPr>
          <w:sz w:val="22"/>
          <w:szCs w:val="22"/>
        </w:rPr>
        <w:t xml:space="preserve">The purpose of this research paper is to critically evaluate the principles of ZTA, the challenges of ZTA implementation in the modern organisations and how </w:t>
      </w:r>
      <w:r w:rsidRPr="004F5862">
        <w:rPr>
          <w:sz w:val="22"/>
          <w:szCs w:val="22"/>
        </w:rPr>
        <w:t>ZTA is more effective than traditional perimeter based security models. Zero Trust is, strategically, better than perimeter security, as it lowers the level of implicit trust, cuts the lateral movement, strengthens identity-centric access, and improves detection with continuous monitoring, the paper claims. But it relies on governance maturity, visibility of assets, integration with legacy systems, data classification, staff capability and measurable policy enforcement. It is therefore advisable to view ZTA as a phased transformation programme and not as a single technical deployment.</w:t>
      </w:r>
    </w:p>
    <w:p w14:paraId="179EA777" w14:textId="52B6A17F" w:rsidR="009303D9" w:rsidRPr="002354E4" w:rsidRDefault="006E66CE" w:rsidP="006B6B66">
      <w:pPr>
        <w:pStyle w:val="Heading1"/>
        <w:rPr>
          <w:b/>
          <w:bCs/>
          <w:sz w:val="22"/>
          <w:szCs w:val="22"/>
        </w:rPr>
      </w:pPr>
      <w:r w:rsidRPr="002354E4">
        <w:rPr>
          <w:b/>
          <w:bCs/>
          <w:sz w:val="22"/>
          <w:szCs w:val="22"/>
        </w:rPr>
        <w:t>ZERO TRUST PRINCIPLES AND ARCHITECTURAL LOGIC</w:t>
      </w:r>
    </w:p>
    <w:p w14:paraId="097CD6D9" w14:textId="13A13337" w:rsidR="00391E7D" w:rsidRPr="004F5862" w:rsidRDefault="007D50E2" w:rsidP="00391E7D">
      <w:pPr>
        <w:rPr>
          <w:sz w:val="22"/>
          <w:szCs w:val="22"/>
        </w:rPr>
      </w:pPr>
      <w:r w:rsidRPr="004F5862">
        <w:rPr>
          <w:noProof/>
          <w:sz w:val="22"/>
          <w:szCs w:val="22"/>
        </w:rPr>
        <w:drawing>
          <wp:inline distT="0" distB="0" distL="0" distR="0" wp14:anchorId="5DA21565" wp14:editId="20837CAA">
            <wp:extent cx="3277166" cy="1843405"/>
            <wp:effectExtent l="0" t="0" r="0" b="4445"/>
            <wp:docPr id="15563649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321726" cy="1868470"/>
                    </a:xfrm>
                    <a:prstGeom prst="rect">
                      <a:avLst/>
                    </a:prstGeom>
                    <a:noFill/>
                  </pic:spPr>
                </pic:pic>
              </a:graphicData>
            </a:graphic>
          </wp:inline>
        </w:drawing>
      </w:r>
    </w:p>
    <w:p w14:paraId="3976E031" w14:textId="27CCBC03" w:rsidR="00BF4125" w:rsidRPr="004F5862" w:rsidRDefault="006F4B16" w:rsidP="00391E7D">
      <w:pPr>
        <w:rPr>
          <w:sz w:val="22"/>
          <w:szCs w:val="22"/>
        </w:rPr>
      </w:pPr>
      <w:r w:rsidRPr="004F5862">
        <w:rPr>
          <w:sz w:val="22"/>
          <w:szCs w:val="22"/>
        </w:rPr>
        <w:t>Conceptual Zero Trust Architecture showing identity verification, policy enforcement and resource protection.</w:t>
      </w:r>
    </w:p>
    <w:p w14:paraId="210C1EC6" w14:textId="77777777" w:rsidR="006F4B16" w:rsidRPr="004F5862" w:rsidRDefault="006F4B16" w:rsidP="00391E7D">
      <w:pPr>
        <w:rPr>
          <w:sz w:val="22"/>
          <w:szCs w:val="22"/>
        </w:rPr>
      </w:pPr>
    </w:p>
    <w:p w14:paraId="7AA4F5A4" w14:textId="4DB0012F" w:rsidR="006F7634" w:rsidRPr="004F5862" w:rsidRDefault="006F7634" w:rsidP="006F7634">
      <w:pPr>
        <w:pStyle w:val="BodyText"/>
        <w:rPr>
          <w:sz w:val="22"/>
          <w:szCs w:val="22"/>
        </w:rPr>
      </w:pPr>
      <w:r w:rsidRPr="004F5862">
        <w:rPr>
          <w:sz w:val="22"/>
          <w:szCs w:val="22"/>
        </w:rPr>
        <w:t xml:space="preserve">The basic concept of ZTA is summarized as “never trust, always verify”, but this can be interpreted as a slogan and not an architectural discipline. ZTA must explicitly verify each access request, implement least </w:t>
      </w:r>
      <w:r w:rsidRPr="004F5862">
        <w:rPr>
          <w:sz w:val="22"/>
          <w:szCs w:val="22"/>
        </w:rPr>
        <w:lastRenderedPageBreak/>
        <w:t>privilege authorisation, segment resources, have robust identity and device assurance, collect continuous telemetry and make adaptive access policy decisions. According to NIST SP 800-207 authentication and authorisation should take place prior to initiating a session and should take into account both the subject and the device [1]. This makes it a decision process where the access is not denied due to network location, but rather due to the fact that a policy engine can obtain enough evidence that the requesting entity, device, session context, and the requested resource meet specified risk conditions</w:t>
      </w:r>
      <w:r w:rsidR="006A2E31" w:rsidRPr="004F5862">
        <w:rPr>
          <w:sz w:val="22"/>
          <w:szCs w:val="22"/>
        </w:rPr>
        <w:t xml:space="preserve"> [2]</w:t>
      </w:r>
      <w:r w:rsidRPr="004F5862">
        <w:rPr>
          <w:sz w:val="22"/>
          <w:szCs w:val="22"/>
        </w:rPr>
        <w:t>.</w:t>
      </w:r>
    </w:p>
    <w:p w14:paraId="25708918" w14:textId="5C73750F" w:rsidR="006F7634" w:rsidRPr="004F5862" w:rsidRDefault="006F7634" w:rsidP="006F7634">
      <w:pPr>
        <w:pStyle w:val="BodyText"/>
        <w:rPr>
          <w:sz w:val="22"/>
          <w:szCs w:val="22"/>
        </w:rPr>
      </w:pPr>
      <w:r w:rsidRPr="004F5862">
        <w:rPr>
          <w:sz w:val="22"/>
          <w:szCs w:val="22"/>
        </w:rPr>
        <w:t>Recent surveys reveal that ZTA is based on a mix of identity and access management (IAM), multi-factor authentication (MFA), encryption, micro-segmentation, endpoint security, trust evaluation, and security automation [3] [4] [</w:t>
      </w:r>
      <w:r w:rsidR="006A2E31" w:rsidRPr="004F5862">
        <w:rPr>
          <w:sz w:val="22"/>
          <w:szCs w:val="22"/>
        </w:rPr>
        <w:t>5</w:t>
      </w:r>
      <w:r w:rsidRPr="004F5862">
        <w:rPr>
          <w:sz w:val="22"/>
          <w:szCs w:val="22"/>
        </w:rPr>
        <w:t>]. Identity becomes the new control plane as it connects users, devices, applications and data to policy</w:t>
      </w:r>
      <w:r w:rsidR="00B759D6">
        <w:rPr>
          <w:sz w:val="22"/>
          <w:szCs w:val="22"/>
        </w:rPr>
        <w:t xml:space="preserve">. </w:t>
      </w:r>
      <w:r w:rsidRPr="004F5862">
        <w:rPr>
          <w:sz w:val="22"/>
          <w:szCs w:val="22"/>
        </w:rPr>
        <w:t>Micro-segmentation is the concept of breaking up the infrastructure and apps into smaller surfaces of protection which means that if one service is compromised, attackers will not be able to move around that much</w:t>
      </w:r>
      <w:r w:rsidR="006A2E31" w:rsidRPr="004F5862">
        <w:rPr>
          <w:sz w:val="22"/>
          <w:szCs w:val="22"/>
        </w:rPr>
        <w:t xml:space="preserve"> [6]</w:t>
      </w:r>
      <w:r w:rsidRPr="004F5862">
        <w:rPr>
          <w:sz w:val="22"/>
          <w:szCs w:val="22"/>
        </w:rPr>
        <w:t>. Continuous monitoring provides another layer of detection to reassess access when risk indicators are detected, including being at an unusual location, an unmanaged device status, impossible travel, abnormal data transfer or access to high-value records.</w:t>
      </w:r>
    </w:p>
    <w:p w14:paraId="4522E337" w14:textId="69482293" w:rsidR="009303D9" w:rsidRPr="004F5862" w:rsidRDefault="006F7634" w:rsidP="006F7634">
      <w:pPr>
        <w:pStyle w:val="BodyText"/>
        <w:rPr>
          <w:sz w:val="22"/>
          <w:szCs w:val="22"/>
        </w:rPr>
      </w:pPr>
      <w:r w:rsidRPr="004F5862">
        <w:rPr>
          <w:sz w:val="22"/>
          <w:szCs w:val="22"/>
        </w:rPr>
        <w:t>A mature ZTA also considers data as a protected surface. The organisation determines what data stores, business services and workflows are important and then designs controls around those. This is especially applicable for regulated industries where non-compliance often happens through unmanaged access to sensitive data, poor auditability, and prolonged response times to incidents and a lack of evidence for risk management. NIST CSF 2.0 facilitates this governance in that it links cyber security outcomes to enterprise risk management via these functions: Govern, Identify, Protect, Detect, Respond and Recover [2].</w:t>
      </w:r>
    </w:p>
    <w:p w14:paraId="17F150FC" w14:textId="39AF2A20" w:rsidR="009303D9" w:rsidRPr="00A65EB1" w:rsidRDefault="006E66CE" w:rsidP="006B6B66">
      <w:pPr>
        <w:pStyle w:val="Heading1"/>
        <w:rPr>
          <w:b/>
          <w:bCs/>
          <w:sz w:val="22"/>
          <w:szCs w:val="22"/>
        </w:rPr>
      </w:pPr>
      <w:r w:rsidRPr="00A65EB1">
        <w:rPr>
          <w:b/>
          <w:bCs/>
          <w:sz w:val="22"/>
          <w:szCs w:val="22"/>
        </w:rPr>
        <w:t>LIMITATIONS OF TRADITIONAL PERIMETER SECURITY</w:t>
      </w:r>
    </w:p>
    <w:p w14:paraId="66AF00E2" w14:textId="032D3A41" w:rsidR="006F7634" w:rsidRPr="004F5862" w:rsidRDefault="006F7634" w:rsidP="006F7634">
      <w:pPr>
        <w:pStyle w:val="BodyText"/>
        <w:rPr>
          <w:sz w:val="22"/>
          <w:szCs w:val="22"/>
        </w:rPr>
      </w:pPr>
      <w:r w:rsidRPr="004F5862">
        <w:rPr>
          <w:sz w:val="22"/>
          <w:szCs w:val="22"/>
        </w:rPr>
        <w:t>Traditional perimeter security is based on boundary defence. Edges of network placed with firewalls, virtual private networks, demilitarised zones and intrusion prevention systems to prevent external attackers. This model is still valid, but it is no longer enough with the blurring of the perimeter in the cloud and remote working and third-party ecosystems</w:t>
      </w:r>
      <w:r w:rsidR="006A2E31" w:rsidRPr="004F5862">
        <w:rPr>
          <w:sz w:val="22"/>
          <w:szCs w:val="22"/>
        </w:rPr>
        <w:t xml:space="preserve"> [6]</w:t>
      </w:r>
      <w:r w:rsidRPr="004F5862">
        <w:rPr>
          <w:sz w:val="22"/>
          <w:szCs w:val="22"/>
        </w:rPr>
        <w:t>. A VPN can confirm that a user has accessed the network; however, many legacy networks grant wide access once a user has logged on</w:t>
      </w:r>
      <w:r w:rsidR="00240DEC">
        <w:rPr>
          <w:sz w:val="22"/>
          <w:szCs w:val="22"/>
        </w:rPr>
        <w:t xml:space="preserve">. </w:t>
      </w:r>
      <w:r w:rsidRPr="004F5862">
        <w:rPr>
          <w:sz w:val="22"/>
          <w:szCs w:val="22"/>
        </w:rPr>
        <w:t>This hard shell soft centre dilemma is that powerful external structures can be paired with over-trusting internal structures</w:t>
      </w:r>
      <w:r w:rsidR="006A2E31" w:rsidRPr="004F5862">
        <w:rPr>
          <w:sz w:val="22"/>
          <w:szCs w:val="22"/>
        </w:rPr>
        <w:t xml:space="preserve"> [3]</w:t>
      </w:r>
      <w:r w:rsidRPr="004F5862">
        <w:rPr>
          <w:sz w:val="22"/>
          <w:szCs w:val="22"/>
        </w:rPr>
        <w:t>.</w:t>
      </w:r>
    </w:p>
    <w:p w14:paraId="1FBC9C4E" w14:textId="5FFCDB30" w:rsidR="00D7522C" w:rsidRPr="004F5862" w:rsidRDefault="00D753C8" w:rsidP="006F7634">
      <w:pPr>
        <w:pStyle w:val="BodyText"/>
        <w:rPr>
          <w:sz w:val="22"/>
          <w:szCs w:val="22"/>
          <w:lang w:val="en-US"/>
        </w:rPr>
      </w:pPr>
      <w:r w:rsidRPr="004F5862">
        <w:rPr>
          <w:sz w:val="22"/>
          <w:szCs w:val="22"/>
          <w:lang w:val="en-US"/>
        </w:rPr>
        <w:t xml:space="preserve">Perimeter models fall short with today's identity threats, too. Adversaries may masquerade themselves via phishing, credential stuffing, session hijacking, </w:t>
      </w:r>
      <w:r w:rsidRPr="004F5862">
        <w:rPr>
          <w:sz w:val="22"/>
          <w:szCs w:val="22"/>
          <w:lang w:val="en-US"/>
        </w:rPr>
        <w:t>device stealing, and compromising. If the network is implicitly trusted after authentication then security staff would only know about the abuse upon its access or exfiltration.</w:t>
      </w:r>
      <w:r w:rsidR="00240DEC">
        <w:rPr>
          <w:sz w:val="22"/>
          <w:szCs w:val="22"/>
          <w:lang w:val="en-US"/>
        </w:rPr>
        <w:t xml:space="preserve"> </w:t>
      </w:r>
      <w:r w:rsidRPr="004F5862">
        <w:rPr>
          <w:sz w:val="22"/>
          <w:szCs w:val="22"/>
          <w:lang w:val="en-US"/>
        </w:rPr>
        <w:t xml:space="preserve">In contrast, ZTA takes the stance that compromise is necessary and it continually monitors access based on identity, device health, sensitivity of the application, and </w:t>
      </w:r>
      <w:r w:rsidR="00D21C94" w:rsidRPr="004F5862">
        <w:rPr>
          <w:sz w:val="22"/>
          <w:szCs w:val="22"/>
          <w:lang w:val="en-US"/>
        </w:rPr>
        <w:t>behavioral</w:t>
      </w:r>
      <w:r w:rsidRPr="004F5862">
        <w:rPr>
          <w:sz w:val="22"/>
          <w:szCs w:val="22"/>
          <w:lang w:val="en-US"/>
        </w:rPr>
        <w:t xml:space="preserve"> telemetry [5]. Perimeter controls are not irrelevant, but rather should not be the primary emphasis of the perimeter of the trust</w:t>
      </w:r>
      <w:r w:rsidR="006F7634" w:rsidRPr="004F5862">
        <w:rPr>
          <w:sz w:val="22"/>
          <w:szCs w:val="22"/>
        </w:rPr>
        <w:t>.</w:t>
      </w:r>
    </w:p>
    <w:p w14:paraId="5D2DD83B" w14:textId="50FF2467" w:rsidR="009303D9" w:rsidRPr="00A65EB1" w:rsidRDefault="006E66CE" w:rsidP="006B6B66">
      <w:pPr>
        <w:pStyle w:val="Heading1"/>
        <w:rPr>
          <w:b/>
          <w:bCs/>
          <w:sz w:val="22"/>
          <w:szCs w:val="22"/>
        </w:rPr>
      </w:pPr>
      <w:r w:rsidRPr="00A65EB1">
        <w:rPr>
          <w:b/>
          <w:bCs/>
          <w:sz w:val="22"/>
          <w:szCs w:val="22"/>
        </w:rPr>
        <w:t>IMPLEMENTATION CHALLENGES</w:t>
      </w:r>
    </w:p>
    <w:p w14:paraId="43607FA5" w14:textId="39DBF610" w:rsidR="006F7634" w:rsidRPr="004F5862" w:rsidRDefault="006F7634" w:rsidP="006F7634">
      <w:pPr>
        <w:pStyle w:val="BodyText"/>
        <w:rPr>
          <w:bCs/>
          <w:sz w:val="22"/>
          <w:szCs w:val="22"/>
        </w:rPr>
      </w:pPr>
      <w:r w:rsidRPr="004F5862">
        <w:rPr>
          <w:bCs/>
          <w:sz w:val="22"/>
          <w:szCs w:val="22"/>
        </w:rPr>
        <w:t>The first challenge is visibility of assets. Zero Trust is impossible to implement if the organisation does not know what applications, data stores, devices, service accounts and privileged pathways exist. There are shadow IT, unmanaged SaaS tools, and legacy servers and even undocumented dependencies in many enterprises. The lack of accurate inventory and data classification can lead to either inadequate policies for mitigating risk or overly strict policies for managing data that impede business operations. Therefore, ZTA migration studies focus on preparation, identification of protected surfaces and mapping of transaction-flows before enforcement [5].</w:t>
      </w:r>
    </w:p>
    <w:p w14:paraId="680DC8B0" w14:textId="77777777" w:rsidR="006F7634" w:rsidRPr="004F5862" w:rsidRDefault="006F7634" w:rsidP="006F7634">
      <w:pPr>
        <w:pStyle w:val="BodyText"/>
        <w:rPr>
          <w:bCs/>
          <w:sz w:val="22"/>
          <w:szCs w:val="22"/>
        </w:rPr>
      </w:pPr>
      <w:r w:rsidRPr="004F5862">
        <w:rPr>
          <w:bCs/>
          <w:sz w:val="22"/>
          <w:szCs w:val="22"/>
        </w:rPr>
        <w:t>Legacy integration is the second challenge. There are many older applications that were developed for network-based trust that do not natively support the latest generation of identity protocols, adaptive authentication, or fine-grained authorisation and detailed logging. Their replacement involves high cost and potential operating risk. Organisations might require identity-aware proxies, segmentation gateways, privileged access management (PAM) and compensating controls during transition. This helps to build a phased maturity model instead of a "big bang". This is also true of CISA's Zero Trust Maturity Model, which outlines the Zero Trust journey with a story of identity, devices, networks, applications/workloads, data and cross-cutting visibility/analytics/automation [2,3].</w:t>
      </w:r>
    </w:p>
    <w:p w14:paraId="73D8E96B" w14:textId="320100FD" w:rsidR="006F7634" w:rsidRPr="004F5862" w:rsidRDefault="006F7634" w:rsidP="006F7634">
      <w:pPr>
        <w:pStyle w:val="BodyText"/>
        <w:rPr>
          <w:bCs/>
          <w:sz w:val="22"/>
          <w:szCs w:val="22"/>
        </w:rPr>
      </w:pPr>
      <w:r w:rsidRPr="004F5862">
        <w:rPr>
          <w:bCs/>
          <w:sz w:val="22"/>
          <w:szCs w:val="22"/>
        </w:rPr>
        <w:t>ZTA can be seen as surveillance or obstruction by staff if security staff do not design usable workflows and explain the risk basis. Security teams need to acquire new expertise in identity engineering, cloud policy, telemetry analysis and automation as well. In fact, several recent pieces of literature point to complexity, skills shortages, cost and varying interpretations of what Zero Trust is as stumbling blocks to the adoption of ZTA [6] [7].</w:t>
      </w:r>
    </w:p>
    <w:p w14:paraId="1A9E45B8" w14:textId="209359BA" w:rsidR="009303D9" w:rsidRPr="004F5862" w:rsidRDefault="00D753C8" w:rsidP="006F7634">
      <w:pPr>
        <w:pStyle w:val="BodyText"/>
        <w:rPr>
          <w:bCs/>
          <w:sz w:val="22"/>
          <w:szCs w:val="22"/>
        </w:rPr>
      </w:pPr>
      <w:r w:rsidRPr="004F5862">
        <w:rPr>
          <w:bCs/>
          <w:sz w:val="22"/>
          <w:szCs w:val="22"/>
          <w:lang w:val="en-US"/>
        </w:rPr>
        <w:t xml:space="preserve">The fourth challenge is related to the quality of policy. ZTA relies on specific, testable and auditable access policies. Having a policy like “users must be verified” is not sufficient. An measurable policy would be that privileged access to customer data should be given with phishing resistant multi factor authentication, compliment and managed device, just in time approval and logging and terminating sessions on risky activity. Badly written policies can result in security holes, or </w:t>
      </w:r>
      <w:r w:rsidRPr="004F5862">
        <w:rPr>
          <w:bCs/>
          <w:sz w:val="22"/>
          <w:szCs w:val="22"/>
          <w:lang w:val="en-US"/>
        </w:rPr>
        <w:lastRenderedPageBreak/>
        <w:t>inefficient operations. Hence, governance review, change management, exception handling, and metrics such as mean time to detect, percentage of privileged accounts that are covered by MFA, critical applications behind conditional access and number of excessive permissions removed should be incorporated into the implementation</w:t>
      </w:r>
      <w:r w:rsidR="006F7634" w:rsidRPr="004F5862">
        <w:rPr>
          <w:bCs/>
          <w:sz w:val="22"/>
          <w:szCs w:val="22"/>
        </w:rPr>
        <w:t>.</w:t>
      </w:r>
    </w:p>
    <w:p w14:paraId="5E8A8F53" w14:textId="77777777" w:rsidR="007F34B8" w:rsidRPr="00A65EB1" w:rsidRDefault="007F34B8" w:rsidP="007F34B8">
      <w:pPr>
        <w:pStyle w:val="Heading1"/>
        <w:rPr>
          <w:b/>
          <w:bCs/>
          <w:sz w:val="22"/>
          <w:szCs w:val="22"/>
        </w:rPr>
      </w:pPr>
      <w:r w:rsidRPr="00A65EB1">
        <w:rPr>
          <w:b/>
          <w:bCs/>
          <w:sz w:val="22"/>
          <w:szCs w:val="22"/>
        </w:rPr>
        <w:t>EFFECTIVENESS COMPARED WITH TRADITIONAL MODELS</w:t>
      </w:r>
    </w:p>
    <w:p w14:paraId="3F09BE21" w14:textId="72325642" w:rsidR="006F7634" w:rsidRPr="004F5862" w:rsidRDefault="007F34B8" w:rsidP="006F7634">
      <w:pPr>
        <w:spacing w:after="60"/>
        <w:jc w:val="both"/>
        <w:rPr>
          <w:rFonts w:eastAsia="Times New Roman"/>
          <w:sz w:val="22"/>
          <w:szCs w:val="22"/>
        </w:rPr>
      </w:pPr>
      <w:r w:rsidRPr="004F5862">
        <w:rPr>
          <w:rFonts w:eastAsia="Times New Roman"/>
          <w:sz w:val="22"/>
          <w:szCs w:val="22"/>
        </w:rPr>
        <w:t xml:space="preserve">      </w:t>
      </w:r>
      <w:r w:rsidR="00D753C8" w:rsidRPr="004F5862">
        <w:rPr>
          <w:rFonts w:eastAsia="Times New Roman"/>
          <w:sz w:val="22"/>
          <w:szCs w:val="22"/>
        </w:rPr>
        <w:t>ZTA offers better perimeter security in four ways. One of the ways it does this is by reducing the implicit trust. In the traditional world, security means that once a person or device has crossed the perimeter they are secure. The Zero Trust approach is to presume that all requests could be dangerous and require showing proof before access is granted [1]. Secondly, ZTA has a restriction on the lateral movement. Micro-segmentation and least privilege restrict the ability of an attacker to roam freely in the environment after compromising one account or one server. Third, ZTA is capable of telemetry of access decisions, which helps detect. The security team will be able to view who accessed what, on what device, when, and how they accessed it with their actions. Fourth, ZTA enhances compliance as it creates the stronger evidence of audit for access governance, protection of data and investigation of incidents</w:t>
      </w:r>
      <w:r w:rsidR="006F7634" w:rsidRPr="004F5862">
        <w:rPr>
          <w:rFonts w:eastAsia="Times New Roman"/>
          <w:sz w:val="22"/>
          <w:szCs w:val="22"/>
        </w:rPr>
        <w:t>.</w:t>
      </w:r>
    </w:p>
    <w:p w14:paraId="6C61C4C3" w14:textId="4888E580" w:rsidR="007F34B8" w:rsidRPr="004F5862" w:rsidRDefault="006F7634" w:rsidP="006F7634">
      <w:pPr>
        <w:spacing w:after="60"/>
        <w:jc w:val="both"/>
        <w:rPr>
          <w:sz w:val="22"/>
          <w:szCs w:val="22"/>
        </w:rPr>
      </w:pPr>
      <w:r w:rsidRPr="004F5862">
        <w:rPr>
          <w:rFonts w:eastAsia="Times New Roman"/>
          <w:sz w:val="22"/>
          <w:szCs w:val="22"/>
        </w:rPr>
        <w:t xml:space="preserve">      The effectiveness of ZTA should not be overstated. It does not make an </w:t>
      </w:r>
      <w:r w:rsidR="00D21C94" w:rsidRPr="004F5862">
        <w:rPr>
          <w:rFonts w:eastAsia="Times New Roman"/>
          <w:sz w:val="22"/>
          <w:szCs w:val="22"/>
        </w:rPr>
        <w:t>organization</w:t>
      </w:r>
      <w:r w:rsidRPr="004F5862">
        <w:rPr>
          <w:rFonts w:eastAsia="Times New Roman"/>
          <w:sz w:val="22"/>
          <w:szCs w:val="22"/>
        </w:rPr>
        <w:t xml:space="preserve"> breach-proof. Software vulnerabilities, unauthorized access to a privileged identity, policy configuration errors, and attacks against the ZTA control plane are all possible attack strategies employed by an attacker. Additionally, the improper implementation of Zero Trust can lead to a false sense of security when </w:t>
      </w:r>
      <w:r w:rsidR="00D21C94" w:rsidRPr="004F5862">
        <w:rPr>
          <w:rFonts w:eastAsia="Times New Roman"/>
          <w:sz w:val="22"/>
          <w:szCs w:val="22"/>
        </w:rPr>
        <w:t>organizations</w:t>
      </w:r>
      <w:r w:rsidRPr="004F5862">
        <w:rPr>
          <w:rFonts w:eastAsia="Times New Roman"/>
          <w:sz w:val="22"/>
          <w:szCs w:val="22"/>
        </w:rPr>
        <w:t xml:space="preserve"> purchase stand-alone tools without the rethinking of governance, asset management and response procedures. Recent reviews have come to a more balanced conclusion that ZTA is conceptually and technically stronger than perimeter security, but empirical evidence with respect to cost-effectiveness, sector-specific outcomes and their impact on long-term operational impact is still evolving [7]. The application of this restriction becomes relevant for </w:t>
      </w:r>
      <w:r w:rsidR="0088072E" w:rsidRPr="004F5862">
        <w:rPr>
          <w:rFonts w:eastAsia="Times New Roman"/>
          <w:sz w:val="22"/>
          <w:szCs w:val="22"/>
        </w:rPr>
        <w:t>analysis</w:t>
      </w:r>
      <w:r w:rsidRPr="004F5862">
        <w:rPr>
          <w:rFonts w:eastAsia="Times New Roman"/>
          <w:sz w:val="22"/>
          <w:szCs w:val="22"/>
        </w:rPr>
        <w:t xml:space="preserve"> level 5, as it demonstrates that the ZTA is no magic bullet, but a risk management approach, which depends on the capability of </w:t>
      </w:r>
      <w:r w:rsidR="0088072E" w:rsidRPr="004F5862">
        <w:rPr>
          <w:rFonts w:eastAsia="Times New Roman"/>
          <w:sz w:val="22"/>
          <w:szCs w:val="22"/>
        </w:rPr>
        <w:t>organizations</w:t>
      </w:r>
      <w:r w:rsidRPr="004F5862">
        <w:rPr>
          <w:rFonts w:eastAsia="Times New Roman"/>
          <w:sz w:val="22"/>
          <w:szCs w:val="22"/>
        </w:rPr>
        <w:t>.</w:t>
      </w:r>
    </w:p>
    <w:p w14:paraId="7DC6548A" w14:textId="77C84F85" w:rsidR="007F34B8" w:rsidRPr="00A65EB1" w:rsidRDefault="007F34B8" w:rsidP="007F34B8">
      <w:pPr>
        <w:pStyle w:val="Heading1"/>
        <w:rPr>
          <w:b/>
          <w:bCs/>
          <w:sz w:val="22"/>
          <w:szCs w:val="22"/>
        </w:rPr>
      </w:pPr>
      <w:r w:rsidRPr="00A65EB1">
        <w:rPr>
          <w:b/>
          <w:bCs/>
          <w:sz w:val="22"/>
          <w:szCs w:val="22"/>
        </w:rPr>
        <w:t>PRACTICAL DEPLOYMENT MODEL</w:t>
      </w:r>
    </w:p>
    <w:p w14:paraId="05AC25EA" w14:textId="337FF19F" w:rsidR="006F7634" w:rsidRPr="004F5862" w:rsidRDefault="007F34B8" w:rsidP="006F7634">
      <w:pPr>
        <w:spacing w:after="60"/>
        <w:jc w:val="both"/>
        <w:rPr>
          <w:rFonts w:eastAsia="Times New Roman"/>
          <w:sz w:val="22"/>
          <w:szCs w:val="22"/>
        </w:rPr>
      </w:pPr>
      <w:r w:rsidRPr="004F5862">
        <w:rPr>
          <w:rFonts w:eastAsia="Times New Roman"/>
          <w:sz w:val="22"/>
          <w:szCs w:val="22"/>
        </w:rPr>
        <w:t xml:space="preserve">     </w:t>
      </w:r>
      <w:r w:rsidR="006F7634" w:rsidRPr="004F5862">
        <w:rPr>
          <w:rFonts w:eastAsia="Times New Roman"/>
          <w:sz w:val="22"/>
          <w:szCs w:val="22"/>
        </w:rPr>
        <w:t xml:space="preserve">A practical deployment should begin with governance. Risk appetite, critical assets, compliance requirements and funding priorities should be established by the board and senior management. Security leaders should then list out today the following protected surfaces: customer databases, customer identity platforms, payment systems, source code </w:t>
      </w:r>
      <w:r w:rsidR="006F7634" w:rsidRPr="004F5862">
        <w:rPr>
          <w:rFonts w:eastAsia="Times New Roman"/>
          <w:sz w:val="22"/>
          <w:szCs w:val="22"/>
        </w:rPr>
        <w:t>repositories, high-risk SaaS applications and critical operational systems</w:t>
      </w:r>
      <w:r w:rsidR="006A2E31" w:rsidRPr="004F5862">
        <w:rPr>
          <w:rFonts w:eastAsia="Times New Roman"/>
          <w:sz w:val="22"/>
          <w:szCs w:val="22"/>
        </w:rPr>
        <w:t xml:space="preserve"> [8]</w:t>
      </w:r>
      <w:r w:rsidR="006F7634" w:rsidRPr="004F5862">
        <w:rPr>
          <w:rFonts w:eastAsia="Times New Roman"/>
          <w:sz w:val="22"/>
          <w:szCs w:val="22"/>
        </w:rPr>
        <w:t xml:space="preserve">. Then, transaction flows should be mapped, and the </w:t>
      </w:r>
      <w:r w:rsidR="0088072E" w:rsidRPr="004F5862">
        <w:rPr>
          <w:rFonts w:eastAsia="Times New Roman"/>
          <w:sz w:val="22"/>
          <w:szCs w:val="22"/>
        </w:rPr>
        <w:t>organization</w:t>
      </w:r>
      <w:r w:rsidR="006F7634" w:rsidRPr="004F5862">
        <w:rPr>
          <w:rFonts w:eastAsia="Times New Roman"/>
          <w:sz w:val="22"/>
          <w:szCs w:val="22"/>
        </w:rPr>
        <w:t xml:space="preserve"> should have insight into which users, applications, service accounts and devices have legitimate access. This helps to avoid over-segmentation and ensures business continuity.</w:t>
      </w:r>
    </w:p>
    <w:p w14:paraId="7DD76261" w14:textId="1C7A7823" w:rsidR="007F34B8" w:rsidRPr="004F5862" w:rsidRDefault="006F7634" w:rsidP="006F7634">
      <w:pPr>
        <w:spacing w:after="60"/>
        <w:jc w:val="both"/>
        <w:rPr>
          <w:sz w:val="22"/>
          <w:szCs w:val="22"/>
        </w:rPr>
      </w:pPr>
      <w:r w:rsidRPr="004F5862">
        <w:rPr>
          <w:rFonts w:eastAsia="Times New Roman"/>
          <w:sz w:val="22"/>
          <w:szCs w:val="22"/>
        </w:rPr>
        <w:t xml:space="preserve">      Once mapped, the </w:t>
      </w:r>
      <w:r w:rsidR="0088072E" w:rsidRPr="004F5862">
        <w:rPr>
          <w:rFonts w:eastAsia="Times New Roman"/>
          <w:sz w:val="22"/>
          <w:szCs w:val="22"/>
        </w:rPr>
        <w:t>organization</w:t>
      </w:r>
      <w:r w:rsidRPr="004F5862">
        <w:rPr>
          <w:rFonts w:eastAsia="Times New Roman"/>
          <w:sz w:val="22"/>
          <w:szCs w:val="22"/>
        </w:rPr>
        <w:t xml:space="preserve"> can institute conditional access and least privileges. In particular, high-risk resources should be protected first, as they impose the highest risk for business and for regulations. Technical controls include phishing-resistant MFA for privileged users, device compliance checks, privileged access management, endpoint detection and response, security information and event management, data loss prevention, encryption and automated vulnerability scanning</w:t>
      </w:r>
      <w:r w:rsidR="006A2E31" w:rsidRPr="004F5862">
        <w:rPr>
          <w:rFonts w:eastAsia="Times New Roman"/>
          <w:sz w:val="22"/>
          <w:szCs w:val="22"/>
        </w:rPr>
        <w:t xml:space="preserve"> [9]</w:t>
      </w:r>
      <w:r w:rsidRPr="004F5862">
        <w:rPr>
          <w:rFonts w:eastAsia="Times New Roman"/>
          <w:sz w:val="22"/>
          <w:szCs w:val="22"/>
        </w:rPr>
        <w:t>. Security orchestration automation can decrease response time by disabling suspicious accounts, isolating devices, revoking tokens, creating incident tickets, and holding onto evidence. They are controls that are directly related to the assignment requirement and are used to anticipate, protect, detect and automatically respond to threats</w:t>
      </w:r>
      <w:r w:rsidR="006A2E31" w:rsidRPr="004F5862">
        <w:rPr>
          <w:rFonts w:eastAsia="Times New Roman"/>
          <w:sz w:val="22"/>
          <w:szCs w:val="22"/>
        </w:rPr>
        <w:t xml:space="preserve"> [10]</w:t>
      </w:r>
      <w:r w:rsidRPr="004F5862">
        <w:rPr>
          <w:rFonts w:eastAsia="Times New Roman"/>
          <w:sz w:val="22"/>
          <w:szCs w:val="22"/>
        </w:rPr>
        <w:t>. The comparison below is a summary of the architectural change.</w:t>
      </w:r>
    </w:p>
    <w:p w14:paraId="4AE611E8" w14:textId="50701AFE" w:rsidR="007F34B8" w:rsidRPr="00A65EB1" w:rsidRDefault="007F34B8" w:rsidP="007F34B8">
      <w:pPr>
        <w:pStyle w:val="Heading1"/>
        <w:rPr>
          <w:b/>
          <w:bCs/>
          <w:sz w:val="22"/>
          <w:szCs w:val="22"/>
        </w:rPr>
      </w:pPr>
      <w:r w:rsidRPr="00A65EB1">
        <w:rPr>
          <w:b/>
          <w:bCs/>
          <w:sz w:val="22"/>
          <w:szCs w:val="22"/>
        </w:rPr>
        <w:t>CRITICAL EVALUATION</w:t>
      </w:r>
    </w:p>
    <w:p w14:paraId="055CEFCF" w14:textId="267E947F" w:rsidR="006F7634" w:rsidRPr="004F5862" w:rsidRDefault="007F34B8" w:rsidP="006F7634">
      <w:pPr>
        <w:spacing w:after="60"/>
        <w:jc w:val="both"/>
        <w:rPr>
          <w:rFonts w:eastAsia="Times New Roman"/>
          <w:sz w:val="22"/>
          <w:szCs w:val="22"/>
        </w:rPr>
      </w:pPr>
      <w:r w:rsidRPr="004F5862">
        <w:rPr>
          <w:rFonts w:eastAsia="Times New Roman"/>
          <w:sz w:val="22"/>
          <w:szCs w:val="22"/>
        </w:rPr>
        <w:t xml:space="preserve">    </w:t>
      </w:r>
      <w:r w:rsidR="006F7634" w:rsidRPr="004F5862">
        <w:rPr>
          <w:rFonts w:eastAsia="Times New Roman"/>
          <w:sz w:val="22"/>
          <w:szCs w:val="22"/>
        </w:rPr>
        <w:t xml:space="preserve">ZTA's biggest selling point is that it brings security in line with enterprise reality. There is no longer one trusted network where </w:t>
      </w:r>
      <w:r w:rsidR="0088072E" w:rsidRPr="004F5862">
        <w:rPr>
          <w:rFonts w:eastAsia="Times New Roman"/>
          <w:sz w:val="22"/>
          <w:szCs w:val="22"/>
        </w:rPr>
        <w:t>organizations</w:t>
      </w:r>
      <w:r w:rsidR="006F7634" w:rsidRPr="004F5862">
        <w:rPr>
          <w:rFonts w:eastAsia="Times New Roman"/>
          <w:sz w:val="22"/>
          <w:szCs w:val="22"/>
        </w:rPr>
        <w:t xml:space="preserve"> run, and there is no longer just one data </w:t>
      </w:r>
      <w:r w:rsidR="0088072E" w:rsidRPr="004F5862">
        <w:rPr>
          <w:rFonts w:eastAsia="Times New Roman"/>
          <w:sz w:val="22"/>
          <w:szCs w:val="22"/>
        </w:rPr>
        <w:t>center</w:t>
      </w:r>
      <w:r w:rsidR="006F7634" w:rsidRPr="004F5862">
        <w:rPr>
          <w:rFonts w:eastAsia="Times New Roman"/>
          <w:sz w:val="22"/>
          <w:szCs w:val="22"/>
        </w:rPr>
        <w:t xml:space="preserve"> where sensitive data is stored. ZTA can therefore be a response to risk conditions which perimeter security is not designed to manage. It also enhances accountability as access decisions get logged and made explicit. This aids in meeting privacy, operational resilience and information security standards as </w:t>
      </w:r>
      <w:r w:rsidR="0088072E" w:rsidRPr="004F5862">
        <w:rPr>
          <w:rFonts w:eastAsia="Times New Roman"/>
          <w:sz w:val="22"/>
          <w:szCs w:val="22"/>
        </w:rPr>
        <w:t>organizations</w:t>
      </w:r>
      <w:r w:rsidR="006F7634" w:rsidRPr="004F5862">
        <w:rPr>
          <w:rFonts w:eastAsia="Times New Roman"/>
          <w:sz w:val="22"/>
          <w:szCs w:val="22"/>
        </w:rPr>
        <w:t xml:space="preserve"> can demonstrate who accessed sensitive assets and for what purposes.</w:t>
      </w:r>
    </w:p>
    <w:p w14:paraId="70092FC5" w14:textId="77777777" w:rsidR="00904A5F" w:rsidRDefault="006F7634" w:rsidP="006F7634">
      <w:pPr>
        <w:spacing w:after="60"/>
        <w:jc w:val="both"/>
        <w:rPr>
          <w:rFonts w:eastAsia="Times New Roman"/>
          <w:sz w:val="22"/>
          <w:szCs w:val="22"/>
        </w:rPr>
      </w:pPr>
      <w:r w:rsidRPr="004F5862">
        <w:rPr>
          <w:rFonts w:eastAsia="Times New Roman"/>
          <w:sz w:val="22"/>
          <w:szCs w:val="22"/>
        </w:rPr>
        <w:t xml:space="preserve">     However, ZTA may fail when treated as a vendor-driven technology purchase. The Zero Trust principles of asset ownership, policy governance, data classification, and incident response maturity are not built into MFA and endpoint tools and segmentation and cannot be had without implementing it. The other downside is price. There is a need to invest in identity platforms, monitoring, cloud security, staffing and process redesign for ZTA. Smaller organizations might not require an enterprise-wide change but a prioritized version, based on the most valuable data. The third is complexity. The more dynamic the policy engine becomes, the more important it is to test decisions, prevent lockouts and monitor policy drift. So in order to achieve ZTA, it is imperative that the continuous improvement cycle, rather than the one-off migration is followed.</w:t>
      </w:r>
    </w:p>
    <w:p w14:paraId="05044F41" w14:textId="22E616E6" w:rsidR="007F34B8" w:rsidRPr="00904A5F" w:rsidRDefault="006F7634" w:rsidP="006F7634">
      <w:pPr>
        <w:spacing w:after="60"/>
        <w:jc w:val="both"/>
        <w:rPr>
          <w:rFonts w:eastAsia="Times New Roman"/>
          <w:sz w:val="22"/>
          <w:szCs w:val="22"/>
        </w:rPr>
      </w:pPr>
      <w:r w:rsidRPr="004F5862">
        <w:rPr>
          <w:rFonts w:eastAsia="Times New Roman"/>
          <w:sz w:val="22"/>
          <w:szCs w:val="22"/>
        </w:rPr>
        <w:lastRenderedPageBreak/>
        <w:t xml:space="preserve"> The difference is that ZTA is not </w:t>
      </w:r>
      <w:r w:rsidR="0088072E" w:rsidRPr="004F5862">
        <w:rPr>
          <w:rFonts w:eastAsia="Times New Roman"/>
          <w:sz w:val="22"/>
          <w:szCs w:val="22"/>
        </w:rPr>
        <w:t>perimeter centric</w:t>
      </w:r>
      <w:r w:rsidRPr="004F5862">
        <w:rPr>
          <w:rFonts w:eastAsia="Times New Roman"/>
          <w:sz w:val="22"/>
          <w:szCs w:val="22"/>
        </w:rPr>
        <w:t>. It introduces resource-centred protection and continuous verification that better align with cloud, hybrid work and API connected environments.</w:t>
      </w:r>
    </w:p>
    <w:p w14:paraId="116128D0" w14:textId="14D87E40" w:rsidR="007F34B8" w:rsidRPr="004F5862" w:rsidRDefault="007F34B8" w:rsidP="007F34B8">
      <w:pPr>
        <w:pStyle w:val="Heading1"/>
        <w:rPr>
          <w:sz w:val="22"/>
          <w:szCs w:val="22"/>
        </w:rPr>
      </w:pPr>
      <w:r w:rsidRPr="004F5862">
        <w:rPr>
          <w:sz w:val="22"/>
          <w:szCs w:val="22"/>
        </w:rPr>
        <w:t>METRICS, GOVERNANCE AND CONTINUOUS IMPROVEMENT</w:t>
      </w:r>
    </w:p>
    <w:p w14:paraId="1E2E6E03" w14:textId="79EC65F2" w:rsidR="006F7634" w:rsidRPr="004F5862" w:rsidRDefault="007F34B8" w:rsidP="006F7634">
      <w:pPr>
        <w:spacing w:after="60"/>
        <w:jc w:val="both"/>
        <w:rPr>
          <w:rFonts w:eastAsia="Times New Roman"/>
          <w:sz w:val="22"/>
          <w:szCs w:val="22"/>
        </w:rPr>
      </w:pPr>
      <w:r w:rsidRPr="004F5862">
        <w:rPr>
          <w:rFonts w:eastAsia="Times New Roman"/>
          <w:sz w:val="22"/>
          <w:szCs w:val="22"/>
        </w:rPr>
        <w:t xml:space="preserve">     </w:t>
      </w:r>
      <w:r w:rsidR="0088072E" w:rsidRPr="004F5862">
        <w:rPr>
          <w:rFonts w:eastAsia="Times New Roman"/>
          <w:sz w:val="22"/>
          <w:szCs w:val="22"/>
        </w:rPr>
        <w:t>Organizations</w:t>
      </w:r>
      <w:r w:rsidR="006F7634" w:rsidRPr="004F5862">
        <w:rPr>
          <w:rFonts w:eastAsia="Times New Roman"/>
          <w:sz w:val="22"/>
          <w:szCs w:val="22"/>
        </w:rPr>
        <w:t xml:space="preserve"> must consider measurable outcomes in advance to assess the effectiveness of ZTA. Some of these metrics to consider are percentage of critical applications protected by conditional access, percentage of privileged accounts using phishing-resistant MFA, the number of stale privileged accounts removed, mean time to detect, mean time to contain, percentage of devices managed that meet compliance baselines and the number of policy exceptions older than 30 days </w:t>
      </w:r>
    </w:p>
    <w:p w14:paraId="763F2BB3" w14:textId="245E1FD7" w:rsidR="006F7634" w:rsidRPr="004F5862" w:rsidRDefault="006F7634" w:rsidP="006F7634">
      <w:pPr>
        <w:spacing w:after="60"/>
        <w:jc w:val="both"/>
        <w:rPr>
          <w:rFonts w:eastAsia="Times New Roman"/>
          <w:sz w:val="22"/>
          <w:szCs w:val="22"/>
        </w:rPr>
      </w:pPr>
      <w:r w:rsidRPr="004F5862">
        <w:rPr>
          <w:rFonts w:eastAsia="Times New Roman"/>
          <w:sz w:val="22"/>
          <w:szCs w:val="22"/>
        </w:rPr>
        <w:t xml:space="preserve">      Continuous improvement is required as well as the trust decision is dynamic. Until identity integration, logging, data classification, vulnerability scanning and access policies have been approved, new systems should not go live. This will turn Zero Trust into an ongoing governance practice, not a short-term project.</w:t>
      </w:r>
    </w:p>
    <w:p w14:paraId="707C5E39" w14:textId="43A00308" w:rsidR="006F7634" w:rsidRPr="004F5862" w:rsidRDefault="006F7634" w:rsidP="006F7634">
      <w:pPr>
        <w:spacing w:after="60"/>
        <w:jc w:val="both"/>
        <w:rPr>
          <w:rFonts w:eastAsia="Times New Roman"/>
          <w:sz w:val="22"/>
          <w:szCs w:val="22"/>
        </w:rPr>
      </w:pPr>
      <w:r w:rsidRPr="004F5862">
        <w:rPr>
          <w:rFonts w:eastAsia="Times New Roman"/>
          <w:sz w:val="22"/>
          <w:szCs w:val="22"/>
        </w:rPr>
        <w:t>These exceptions should not be hidden, but should be documented with business owners, compensating controls, and expiry dates and review evidence. It is a more realistic and more audit-friendly method than promising 100% compliance</w:t>
      </w:r>
    </w:p>
    <w:p w14:paraId="3E1D06B9" w14:textId="66ABD800" w:rsidR="007F34B8" w:rsidRPr="004F5862" w:rsidRDefault="006F7634" w:rsidP="006F7634">
      <w:pPr>
        <w:spacing w:after="60"/>
        <w:jc w:val="both"/>
        <w:rPr>
          <w:sz w:val="22"/>
          <w:szCs w:val="22"/>
        </w:rPr>
      </w:pPr>
      <w:r w:rsidRPr="004F5862">
        <w:rPr>
          <w:rFonts w:eastAsia="Times New Roman"/>
          <w:sz w:val="22"/>
          <w:szCs w:val="22"/>
        </w:rPr>
        <w:t xml:space="preserve">     </w:t>
      </w:r>
      <w:r w:rsidR="006E6625" w:rsidRPr="004F5862">
        <w:rPr>
          <w:rFonts w:eastAsia="Times New Roman"/>
          <w:sz w:val="22"/>
          <w:szCs w:val="22"/>
        </w:rPr>
        <w:t>Finally</w:t>
      </w:r>
      <w:r w:rsidRPr="004F5862">
        <w:rPr>
          <w:rFonts w:eastAsia="Times New Roman"/>
          <w:sz w:val="22"/>
          <w:szCs w:val="22"/>
        </w:rPr>
        <w:t>, ZTA should be connected with supplier and cloud governance. Managed service providers and SaaS administrators, as well as third parties, can establish privileged routes that circumvent internal controls. These are therefore some key components of a full Zero Trust environment: contractual security clauses, federated identity, logging requirements, and periodic access reviews.</w:t>
      </w:r>
    </w:p>
    <w:p w14:paraId="7A97B966" w14:textId="4261AD43" w:rsidR="007F34B8" w:rsidRPr="00A65EB1" w:rsidRDefault="007F34B8" w:rsidP="007F34B8">
      <w:pPr>
        <w:pStyle w:val="Heading1"/>
        <w:rPr>
          <w:b/>
          <w:bCs/>
          <w:sz w:val="22"/>
          <w:szCs w:val="22"/>
        </w:rPr>
      </w:pPr>
      <w:r w:rsidRPr="00A65EB1">
        <w:rPr>
          <w:b/>
          <w:bCs/>
          <w:sz w:val="22"/>
          <w:szCs w:val="22"/>
        </w:rPr>
        <w:t>CONCLUSION</w:t>
      </w:r>
    </w:p>
    <w:p w14:paraId="29B08839" w14:textId="339FA15E" w:rsidR="007F34B8" w:rsidRPr="004F5862" w:rsidRDefault="007F34B8" w:rsidP="007F34B8">
      <w:pPr>
        <w:spacing w:after="60"/>
        <w:jc w:val="both"/>
        <w:rPr>
          <w:sz w:val="22"/>
          <w:szCs w:val="22"/>
        </w:rPr>
      </w:pPr>
      <w:r w:rsidRPr="004F5862">
        <w:rPr>
          <w:rFonts w:eastAsia="Times New Roman"/>
          <w:sz w:val="22"/>
          <w:szCs w:val="22"/>
        </w:rPr>
        <w:t xml:space="preserve">     </w:t>
      </w:r>
      <w:r w:rsidR="00D753C8" w:rsidRPr="004F5862">
        <w:rPr>
          <w:rFonts w:eastAsia="Times New Roman"/>
          <w:sz w:val="22"/>
          <w:szCs w:val="22"/>
        </w:rPr>
        <w:t xml:space="preserve">Zero Trust Architecture is more secure than the traditional perimeter </w:t>
      </w:r>
      <w:r w:rsidR="00D21C94" w:rsidRPr="004F5862">
        <w:rPr>
          <w:rFonts w:eastAsia="Times New Roman"/>
          <w:sz w:val="22"/>
          <w:szCs w:val="22"/>
        </w:rPr>
        <w:t>defense</w:t>
      </w:r>
      <w:r w:rsidR="00D753C8" w:rsidRPr="004F5862">
        <w:rPr>
          <w:rFonts w:eastAsia="Times New Roman"/>
          <w:sz w:val="22"/>
          <w:szCs w:val="22"/>
        </w:rPr>
        <w:t xml:space="preserve"> approach by eliminating implicit trust, focusing on protecting resources, implementing the principle of least privilege, enhancing identity assurance, and enabling micro-segmentation and ongoing monitoring. It's particularly relevant for </w:t>
      </w:r>
      <w:r w:rsidR="00D21C94" w:rsidRPr="004F5862">
        <w:rPr>
          <w:rFonts w:eastAsia="Times New Roman"/>
          <w:sz w:val="22"/>
          <w:szCs w:val="22"/>
        </w:rPr>
        <w:t>organizations</w:t>
      </w:r>
      <w:r w:rsidR="00D753C8" w:rsidRPr="004F5862">
        <w:rPr>
          <w:rFonts w:eastAsia="Times New Roman"/>
          <w:sz w:val="22"/>
          <w:szCs w:val="22"/>
        </w:rPr>
        <w:t xml:space="preserve"> that are hybrid, cloud, SaaS dependent </w:t>
      </w:r>
      <w:r w:rsidR="00D753C8" w:rsidRPr="004F5862">
        <w:rPr>
          <w:rFonts w:eastAsia="Times New Roman"/>
          <w:sz w:val="22"/>
          <w:szCs w:val="22"/>
        </w:rPr>
        <w:t>and regulated</w:t>
      </w:r>
      <w:r w:rsidR="006F7634" w:rsidRPr="004F5862">
        <w:rPr>
          <w:rFonts w:eastAsia="Times New Roman"/>
          <w:sz w:val="22"/>
          <w:szCs w:val="22"/>
        </w:rPr>
        <w:t>. However, ZTA alone is not the whole solutionThe best line of defense is to choose Zero Trust as a cybersecurity transformation process that can be executed as a phased approach and aligns with the NIST SP 800-207 and NIST CSF 2.0. While it is more resilient against credential abuse, lateral movement and uncontrolled data access when compared to traditional models, it still needs to be measured, audited and continually improved to provide real security value.</w:t>
      </w:r>
    </w:p>
    <w:p w14:paraId="7466CA72" w14:textId="77777777" w:rsidR="007F34B8" w:rsidRPr="00A65EB1" w:rsidRDefault="007F34B8" w:rsidP="007F34B8">
      <w:pPr>
        <w:pStyle w:val="Heading1"/>
        <w:rPr>
          <w:b/>
          <w:bCs/>
          <w:sz w:val="22"/>
          <w:szCs w:val="22"/>
        </w:rPr>
      </w:pPr>
      <w:r w:rsidRPr="00A65EB1">
        <w:rPr>
          <w:b/>
          <w:bCs/>
          <w:sz w:val="22"/>
          <w:szCs w:val="22"/>
        </w:rPr>
        <w:t>REFERENCES</w:t>
      </w:r>
    </w:p>
    <w:p w14:paraId="7AAC5EB3" w14:textId="77777777" w:rsidR="006A2E31" w:rsidRPr="004F5862" w:rsidRDefault="006A2E31" w:rsidP="006A2E31">
      <w:pPr>
        <w:pStyle w:val="ListParagraph"/>
        <w:numPr>
          <w:ilvl w:val="0"/>
          <w:numId w:val="25"/>
        </w:numPr>
        <w:spacing w:after="60"/>
        <w:jc w:val="both"/>
        <w:rPr>
          <w:rFonts w:eastAsia="Times New Roman"/>
          <w:sz w:val="22"/>
          <w:szCs w:val="22"/>
        </w:rPr>
      </w:pPr>
      <w:r w:rsidRPr="004F5862">
        <w:rPr>
          <w:rFonts w:eastAsia="Times New Roman"/>
          <w:sz w:val="22"/>
          <w:szCs w:val="22"/>
        </w:rPr>
        <w:t>Campbell R. Zero Trust for AI Systems: A Reference Architecture and Assurance Framework.</w:t>
      </w:r>
    </w:p>
    <w:p w14:paraId="6FCCB50D" w14:textId="77777777" w:rsidR="006A2E31" w:rsidRPr="004F5862" w:rsidRDefault="006A2E31" w:rsidP="006A2E31">
      <w:pPr>
        <w:pStyle w:val="ListParagraph"/>
        <w:numPr>
          <w:ilvl w:val="0"/>
          <w:numId w:val="25"/>
        </w:numPr>
        <w:spacing w:after="60"/>
        <w:jc w:val="both"/>
        <w:rPr>
          <w:rFonts w:eastAsia="Times New Roman"/>
          <w:sz w:val="22"/>
          <w:szCs w:val="22"/>
        </w:rPr>
      </w:pPr>
      <w:r w:rsidRPr="004F5862">
        <w:rPr>
          <w:rFonts w:eastAsia="Times New Roman"/>
          <w:sz w:val="22"/>
          <w:szCs w:val="22"/>
        </w:rPr>
        <w:t>Pascoe C, Quinn S, Scarfone K. The NIST cybersecurity framework (CSF) 2.0.</w:t>
      </w:r>
    </w:p>
    <w:p w14:paraId="320CB237" w14:textId="77777777" w:rsidR="006A2E31" w:rsidRPr="004F5862" w:rsidRDefault="006A2E31" w:rsidP="006A2E31">
      <w:pPr>
        <w:pStyle w:val="ListParagraph"/>
        <w:numPr>
          <w:ilvl w:val="0"/>
          <w:numId w:val="25"/>
        </w:numPr>
        <w:spacing w:after="60"/>
        <w:jc w:val="both"/>
        <w:rPr>
          <w:rFonts w:eastAsia="Times New Roman"/>
          <w:sz w:val="22"/>
          <w:szCs w:val="22"/>
        </w:rPr>
      </w:pPr>
      <w:r w:rsidRPr="004F5862">
        <w:rPr>
          <w:rFonts w:eastAsia="Times New Roman"/>
          <w:sz w:val="22"/>
          <w:szCs w:val="22"/>
        </w:rPr>
        <w:t>Yeoh W, Liu M, Shore M, Jiang F. Zero trust cybersecurity: Critical success factors and A maturity assessment framework. Computers &amp; Security. 2023 Oct 1;133:103412.</w:t>
      </w:r>
    </w:p>
    <w:p w14:paraId="0B2D3F17" w14:textId="77777777" w:rsidR="006A2E31" w:rsidRPr="004F5862" w:rsidRDefault="006A2E31" w:rsidP="006A2E31">
      <w:pPr>
        <w:pStyle w:val="ListParagraph"/>
        <w:numPr>
          <w:ilvl w:val="0"/>
          <w:numId w:val="25"/>
        </w:numPr>
        <w:spacing w:after="60"/>
        <w:jc w:val="both"/>
        <w:rPr>
          <w:rFonts w:eastAsia="Times New Roman"/>
          <w:sz w:val="22"/>
          <w:szCs w:val="22"/>
        </w:rPr>
      </w:pPr>
      <w:r w:rsidRPr="004F5862">
        <w:rPr>
          <w:rFonts w:eastAsia="Times New Roman"/>
          <w:sz w:val="22"/>
          <w:szCs w:val="22"/>
        </w:rPr>
        <w:t>Syed NF, Shah SW, Shaghaghi A, Anwar A, Baig Z, Doss R. Zero trust architecture (zta): A comprehensive survey. IEEE access. 2022 May 12;10:57143-79.</w:t>
      </w:r>
    </w:p>
    <w:p w14:paraId="2FC39467" w14:textId="77777777" w:rsidR="006A2E31" w:rsidRPr="004F5862" w:rsidRDefault="006A2E31" w:rsidP="006A2E31">
      <w:pPr>
        <w:pStyle w:val="ListParagraph"/>
        <w:numPr>
          <w:ilvl w:val="0"/>
          <w:numId w:val="25"/>
        </w:numPr>
        <w:spacing w:after="60"/>
        <w:jc w:val="both"/>
        <w:rPr>
          <w:rFonts w:eastAsia="Times New Roman"/>
          <w:sz w:val="22"/>
          <w:szCs w:val="22"/>
        </w:rPr>
      </w:pPr>
      <w:r w:rsidRPr="004F5862">
        <w:rPr>
          <w:rFonts w:eastAsia="Times New Roman"/>
          <w:sz w:val="22"/>
          <w:szCs w:val="22"/>
        </w:rPr>
        <w:t>Teerakanok S, Uehara T, Inomata A. Migrating to zero trust architecture: Reviews and challenges. Security and Communication Networks. 2021;2021(1):9947347.</w:t>
      </w:r>
    </w:p>
    <w:p w14:paraId="457CE5FF" w14:textId="77777777" w:rsidR="006A2E31" w:rsidRPr="004F5862" w:rsidRDefault="006A2E31" w:rsidP="006A2E31">
      <w:pPr>
        <w:pStyle w:val="ListParagraph"/>
        <w:numPr>
          <w:ilvl w:val="0"/>
          <w:numId w:val="25"/>
        </w:numPr>
        <w:spacing w:after="60"/>
        <w:jc w:val="both"/>
        <w:rPr>
          <w:rFonts w:eastAsia="Times New Roman"/>
          <w:sz w:val="22"/>
          <w:szCs w:val="22"/>
        </w:rPr>
      </w:pPr>
      <w:r w:rsidRPr="004F5862">
        <w:rPr>
          <w:rFonts w:eastAsia="Times New Roman"/>
          <w:sz w:val="22"/>
          <w:szCs w:val="22"/>
        </w:rPr>
        <w:t>Kang H, Liu G, Wang Q, Meng L, Liu J. Theory and application of zero trust security: A brief survey. Entropy. 2023 Nov 28;25(12):1595.</w:t>
      </w:r>
    </w:p>
    <w:p w14:paraId="0F6E45C2" w14:textId="77777777" w:rsidR="006A2E31" w:rsidRPr="004F5862" w:rsidRDefault="006A2E31" w:rsidP="006A2E31">
      <w:pPr>
        <w:pStyle w:val="ListParagraph"/>
        <w:numPr>
          <w:ilvl w:val="0"/>
          <w:numId w:val="25"/>
        </w:numPr>
        <w:spacing w:after="60"/>
        <w:jc w:val="both"/>
        <w:rPr>
          <w:rFonts w:eastAsia="Times New Roman"/>
          <w:sz w:val="22"/>
          <w:szCs w:val="22"/>
        </w:rPr>
      </w:pPr>
      <w:r w:rsidRPr="004F5862">
        <w:rPr>
          <w:rFonts w:eastAsia="Times New Roman"/>
          <w:sz w:val="22"/>
          <w:szCs w:val="22"/>
        </w:rPr>
        <w:t>Dhiman P, Saini N, Gulzar Y, Turaev S, Kaur A, Nisa KU, Hamid Y. A review and comparative analysis of relevant approaches of zero trust network model. Sensors. 2024 Feb 19;24(4):1328.</w:t>
      </w:r>
    </w:p>
    <w:p w14:paraId="449F6579" w14:textId="77777777" w:rsidR="006A2E31" w:rsidRPr="004F5862" w:rsidRDefault="006A2E31" w:rsidP="006A2E31">
      <w:pPr>
        <w:pStyle w:val="ListParagraph"/>
        <w:numPr>
          <w:ilvl w:val="0"/>
          <w:numId w:val="25"/>
        </w:numPr>
        <w:spacing w:after="60"/>
        <w:jc w:val="both"/>
        <w:rPr>
          <w:rFonts w:eastAsia="Times New Roman"/>
          <w:sz w:val="22"/>
          <w:szCs w:val="22"/>
        </w:rPr>
      </w:pPr>
      <w:r w:rsidRPr="004F5862">
        <w:rPr>
          <w:rFonts w:eastAsia="Times New Roman"/>
          <w:sz w:val="22"/>
          <w:szCs w:val="22"/>
        </w:rPr>
        <w:t>Gambo ML, Almulhem A. Zero Trust Architecture: A systematic literature review. Journal of Network and Systems Management. 2026 Mar;34(1):25.</w:t>
      </w:r>
    </w:p>
    <w:p w14:paraId="23DD0C56" w14:textId="77777777" w:rsidR="006A2E31" w:rsidRPr="004F5862" w:rsidRDefault="006A2E31" w:rsidP="006A2E31">
      <w:pPr>
        <w:pStyle w:val="ListParagraph"/>
        <w:numPr>
          <w:ilvl w:val="0"/>
          <w:numId w:val="25"/>
        </w:numPr>
        <w:spacing w:after="60"/>
        <w:jc w:val="both"/>
        <w:rPr>
          <w:rFonts w:eastAsia="Times New Roman"/>
          <w:sz w:val="22"/>
          <w:szCs w:val="22"/>
        </w:rPr>
      </w:pPr>
      <w:r w:rsidRPr="004F5862">
        <w:rPr>
          <w:rFonts w:eastAsia="Times New Roman"/>
          <w:sz w:val="22"/>
          <w:szCs w:val="22"/>
        </w:rPr>
        <w:t>He Y, Huang D, Chen L, Ni Y, Ma X. A survey on zero trust architecture: Challenges and future trends. Wireless Communications and Mobile Computing. 2022;2022(1):6476274.</w:t>
      </w:r>
    </w:p>
    <w:p w14:paraId="2CBC4D6A" w14:textId="47E74D5D" w:rsidR="00836367" w:rsidRPr="004F5862" w:rsidRDefault="006A2E31" w:rsidP="006A2E31">
      <w:pPr>
        <w:pStyle w:val="references"/>
        <w:numPr>
          <w:ilvl w:val="0"/>
          <w:numId w:val="25"/>
        </w:numPr>
        <w:spacing w:line="240" w:lineRule="auto"/>
        <w:rPr>
          <w:rFonts w:eastAsia="SimSun"/>
          <w:b/>
          <w:noProof w:val="0"/>
          <w:color w:val="FF0000"/>
          <w:spacing w:val="-1"/>
          <w:sz w:val="22"/>
          <w:szCs w:val="22"/>
          <w:lang w:val="x-none" w:eastAsia="x-none"/>
        </w:rPr>
        <w:sectPr w:rsidR="00836367" w:rsidRPr="004F5862" w:rsidSect="003B4E04">
          <w:type w:val="continuous"/>
          <w:pgSz w:w="11906" w:h="16838" w:code="9"/>
          <w:pgMar w:top="1080" w:right="907" w:bottom="1440" w:left="907" w:header="720" w:footer="720" w:gutter="0"/>
          <w:cols w:num="2" w:space="360"/>
          <w:docGrid w:linePitch="360"/>
        </w:sectPr>
      </w:pPr>
      <w:r w:rsidRPr="004F5862">
        <w:rPr>
          <w:rFonts w:eastAsia="Times New Roman"/>
          <w:noProof w:val="0"/>
          <w:sz w:val="22"/>
          <w:szCs w:val="22"/>
        </w:rPr>
        <w:t>Collier ZA, Sarkis J. The zero trust supply chain: Managing supply chain risk in the absence of trust. International Journal of Production Research. 2021 Jun 3;59(11):3430-45.</w:t>
      </w:r>
    </w:p>
    <w:p w14:paraId="4EF2B8B8" w14:textId="24F28CBA" w:rsidR="009303D9" w:rsidRPr="004F5862" w:rsidRDefault="009303D9" w:rsidP="005B520E">
      <w:pPr>
        <w:rPr>
          <w:sz w:val="22"/>
          <w:szCs w:val="22"/>
        </w:rPr>
      </w:pPr>
    </w:p>
    <w:p w14:paraId="4677997D" w14:textId="77777777" w:rsidR="0002429D" w:rsidRPr="004F5862" w:rsidRDefault="0002429D" w:rsidP="005B520E">
      <w:pPr>
        <w:rPr>
          <w:sz w:val="22"/>
          <w:szCs w:val="22"/>
        </w:rPr>
      </w:pPr>
    </w:p>
    <w:p w14:paraId="5D51CAAA" w14:textId="77777777" w:rsidR="0088072E" w:rsidRDefault="0088072E" w:rsidP="009A5541">
      <w:pPr>
        <w:jc w:val="both"/>
        <w:sectPr w:rsidR="0088072E" w:rsidSect="003B4E04">
          <w:type w:val="continuous"/>
          <w:pgSz w:w="11906" w:h="16838" w:code="9"/>
          <w:pgMar w:top="1080" w:right="893" w:bottom="1440" w:left="893" w:header="720" w:footer="720" w:gutter="0"/>
          <w:cols w:space="720"/>
          <w:docGrid w:linePitch="360"/>
        </w:sectPr>
      </w:pPr>
    </w:p>
    <w:p w14:paraId="7131F185" w14:textId="77777777" w:rsidR="0088072E" w:rsidRDefault="0088072E" w:rsidP="005B520E">
      <w:pPr>
        <w:sectPr w:rsidR="0088072E" w:rsidSect="009A5541">
          <w:type w:val="continuous"/>
          <w:pgSz w:w="11906" w:h="16838" w:code="9"/>
          <w:pgMar w:top="1080" w:right="893" w:bottom="1440" w:left="893" w:header="720" w:footer="720" w:gutter="0"/>
          <w:cols w:space="708"/>
          <w:docGrid w:linePitch="360"/>
        </w:sectPr>
      </w:pPr>
    </w:p>
    <w:p w14:paraId="0B0ACE93" w14:textId="484036E1" w:rsidR="0002429D" w:rsidRDefault="009A5541" w:rsidP="005B520E">
      <w:pPr>
        <w:rPr>
          <w:b/>
          <w:bCs/>
          <w:sz w:val="32"/>
          <w:szCs w:val="32"/>
        </w:rPr>
      </w:pPr>
      <w:r>
        <w:lastRenderedPageBreak/>
        <w:t xml:space="preserve">                                </w:t>
      </w:r>
      <w:r w:rsidRPr="00B24F05">
        <w:rPr>
          <w:b/>
          <w:bCs/>
          <w:sz w:val="32"/>
          <w:szCs w:val="32"/>
        </w:rPr>
        <w:t xml:space="preserve">Task 2: </w:t>
      </w:r>
      <w:r w:rsidR="00B24F05" w:rsidRPr="00B24F05">
        <w:rPr>
          <w:b/>
          <w:bCs/>
          <w:sz w:val="32"/>
          <w:szCs w:val="32"/>
        </w:rPr>
        <w:t>Equifax 2017 Data Breach Case Scenario</w:t>
      </w:r>
    </w:p>
    <w:p w14:paraId="08BE9924" w14:textId="77777777" w:rsidR="00B24F05" w:rsidRDefault="00B24F05" w:rsidP="005B520E">
      <w:pPr>
        <w:rPr>
          <w:b/>
          <w:bCs/>
          <w:sz w:val="32"/>
          <w:szCs w:val="32"/>
        </w:rPr>
      </w:pPr>
    </w:p>
    <w:sdt>
      <w:sdtPr>
        <w:rPr>
          <w:rFonts w:ascii="Times New Roman" w:eastAsia="Times New Roman" w:hAnsi="Times New Roman" w:cstheme="minorBidi"/>
          <w:b w:val="0"/>
          <w:bCs w:val="0"/>
          <w:color w:val="auto"/>
          <w:sz w:val="22"/>
          <w:szCs w:val="22"/>
          <w:lang w:val="en-US"/>
        </w:rPr>
        <w:id w:val="-375308679"/>
        <w:docPartObj>
          <w:docPartGallery w:val="Table of Contents"/>
          <w:docPartUnique/>
        </w:docPartObj>
      </w:sdtPr>
      <w:sdtEndPr>
        <w:rPr>
          <w:rFonts w:eastAsia="SimSun" w:cs="Times New Roman"/>
          <w:noProof/>
          <w:sz w:val="20"/>
          <w:szCs w:val="20"/>
        </w:rPr>
      </w:sdtEndPr>
      <w:sdtContent>
        <w:p w14:paraId="7654EB24" w14:textId="4F4AD6EE" w:rsidR="00B24F05" w:rsidRPr="00D66ED4" w:rsidRDefault="00B24F05" w:rsidP="00B24F05">
          <w:pPr>
            <w:pStyle w:val="TOCHeading"/>
            <w:jc w:val="center"/>
            <w:rPr>
              <w:rFonts w:ascii="Times New Roman" w:hAnsi="Times New Roman" w:cs="Times New Roman"/>
            </w:rPr>
          </w:pPr>
          <w:r w:rsidRPr="00D66ED4">
            <w:rPr>
              <w:rFonts w:ascii="Times New Roman" w:hAnsi="Times New Roman" w:cs="Times New Roman"/>
            </w:rPr>
            <w:t>Contents</w:t>
          </w:r>
        </w:p>
        <w:p w14:paraId="32CDB020" w14:textId="77777777" w:rsidR="00B24F05" w:rsidRDefault="00B24F05" w:rsidP="00B24F05">
          <w:pPr>
            <w:pStyle w:val="TOC1"/>
            <w:tabs>
              <w:tab w:val="right" w:leader="dot" w:pos="9016"/>
            </w:tabs>
            <w:rPr>
              <w:noProof/>
            </w:rPr>
          </w:pPr>
          <w:r>
            <w:fldChar w:fldCharType="begin"/>
          </w:r>
          <w:r>
            <w:instrText xml:space="preserve"> TOC \o "1-3" \h \z \u </w:instrText>
          </w:r>
          <w:r>
            <w:fldChar w:fldCharType="separate"/>
          </w:r>
          <w:hyperlink w:anchor="_Toc234421407" w:history="1">
            <w:r w:rsidRPr="007C3FCB">
              <w:rPr>
                <w:rStyle w:val="Hyperlink"/>
                <w:noProof/>
              </w:rPr>
              <w:t>1. Introduction and Case Context</w:t>
            </w:r>
            <w:r>
              <w:rPr>
                <w:noProof/>
                <w:webHidden/>
              </w:rPr>
              <w:tab/>
            </w:r>
            <w:r>
              <w:rPr>
                <w:noProof/>
                <w:webHidden/>
              </w:rPr>
              <w:fldChar w:fldCharType="begin"/>
            </w:r>
            <w:r>
              <w:rPr>
                <w:noProof/>
                <w:webHidden/>
              </w:rPr>
              <w:instrText xml:space="preserve"> PAGEREF _Toc234421407 \h </w:instrText>
            </w:r>
            <w:r>
              <w:rPr>
                <w:noProof/>
                <w:webHidden/>
              </w:rPr>
            </w:r>
            <w:r>
              <w:rPr>
                <w:noProof/>
                <w:webHidden/>
              </w:rPr>
              <w:fldChar w:fldCharType="separate"/>
            </w:r>
            <w:r>
              <w:rPr>
                <w:noProof/>
                <w:webHidden/>
              </w:rPr>
              <w:t>2</w:t>
            </w:r>
            <w:r>
              <w:rPr>
                <w:noProof/>
                <w:webHidden/>
              </w:rPr>
              <w:fldChar w:fldCharType="end"/>
            </w:r>
          </w:hyperlink>
        </w:p>
        <w:p w14:paraId="17EA92C5" w14:textId="77777777" w:rsidR="00B24F05" w:rsidRDefault="00B24F05" w:rsidP="00B24F05">
          <w:pPr>
            <w:pStyle w:val="TOC1"/>
            <w:tabs>
              <w:tab w:val="right" w:leader="dot" w:pos="9016"/>
            </w:tabs>
            <w:rPr>
              <w:noProof/>
            </w:rPr>
          </w:pPr>
          <w:hyperlink w:anchor="_Toc234421408" w:history="1">
            <w:r w:rsidRPr="007C3FCB">
              <w:rPr>
                <w:rStyle w:val="Hyperlink"/>
                <w:noProof/>
              </w:rPr>
              <w:t>2. Organisational Structure and Accountability</w:t>
            </w:r>
            <w:r>
              <w:rPr>
                <w:noProof/>
                <w:webHidden/>
              </w:rPr>
              <w:tab/>
            </w:r>
            <w:r>
              <w:rPr>
                <w:noProof/>
                <w:webHidden/>
              </w:rPr>
              <w:fldChar w:fldCharType="begin"/>
            </w:r>
            <w:r>
              <w:rPr>
                <w:noProof/>
                <w:webHidden/>
              </w:rPr>
              <w:instrText xml:space="preserve"> PAGEREF _Toc234421408 \h </w:instrText>
            </w:r>
            <w:r>
              <w:rPr>
                <w:noProof/>
                <w:webHidden/>
              </w:rPr>
            </w:r>
            <w:r>
              <w:rPr>
                <w:noProof/>
                <w:webHidden/>
              </w:rPr>
              <w:fldChar w:fldCharType="separate"/>
            </w:r>
            <w:r>
              <w:rPr>
                <w:noProof/>
                <w:webHidden/>
              </w:rPr>
              <w:t>2</w:t>
            </w:r>
            <w:r>
              <w:rPr>
                <w:noProof/>
                <w:webHidden/>
              </w:rPr>
              <w:fldChar w:fldCharType="end"/>
            </w:r>
          </w:hyperlink>
        </w:p>
        <w:p w14:paraId="1D0D4C8F" w14:textId="77777777" w:rsidR="00B24F05" w:rsidRDefault="00B24F05" w:rsidP="00B24F05">
          <w:pPr>
            <w:pStyle w:val="TOC1"/>
            <w:tabs>
              <w:tab w:val="right" w:leader="dot" w:pos="9016"/>
            </w:tabs>
            <w:rPr>
              <w:noProof/>
            </w:rPr>
          </w:pPr>
          <w:hyperlink w:anchor="_Toc234421409" w:history="1">
            <w:r w:rsidRPr="007C3FCB">
              <w:rPr>
                <w:rStyle w:val="Hyperlink"/>
                <w:noProof/>
              </w:rPr>
              <w:t>3. Policies and Procedures</w:t>
            </w:r>
            <w:r>
              <w:rPr>
                <w:noProof/>
                <w:webHidden/>
              </w:rPr>
              <w:tab/>
            </w:r>
            <w:r>
              <w:rPr>
                <w:noProof/>
                <w:webHidden/>
              </w:rPr>
              <w:fldChar w:fldCharType="begin"/>
            </w:r>
            <w:r>
              <w:rPr>
                <w:noProof/>
                <w:webHidden/>
              </w:rPr>
              <w:instrText xml:space="preserve"> PAGEREF _Toc234421409 \h </w:instrText>
            </w:r>
            <w:r>
              <w:rPr>
                <w:noProof/>
                <w:webHidden/>
              </w:rPr>
            </w:r>
            <w:r>
              <w:rPr>
                <w:noProof/>
                <w:webHidden/>
              </w:rPr>
              <w:fldChar w:fldCharType="separate"/>
            </w:r>
            <w:r>
              <w:rPr>
                <w:noProof/>
                <w:webHidden/>
              </w:rPr>
              <w:t>3</w:t>
            </w:r>
            <w:r>
              <w:rPr>
                <w:noProof/>
                <w:webHidden/>
              </w:rPr>
              <w:fldChar w:fldCharType="end"/>
            </w:r>
          </w:hyperlink>
        </w:p>
        <w:p w14:paraId="223EDE3F" w14:textId="77777777" w:rsidR="00B24F05" w:rsidRDefault="00B24F05" w:rsidP="00B24F05">
          <w:pPr>
            <w:pStyle w:val="TOC1"/>
            <w:tabs>
              <w:tab w:val="right" w:leader="dot" w:pos="9016"/>
            </w:tabs>
            <w:rPr>
              <w:noProof/>
            </w:rPr>
          </w:pPr>
          <w:hyperlink w:anchor="_Toc234421410" w:history="1">
            <w:r w:rsidRPr="007C3FCB">
              <w:rPr>
                <w:rStyle w:val="Hyperlink"/>
                <w:noProof/>
              </w:rPr>
              <w:t>4. Governance and Strategic Alignment Using NIST CSF 2.0</w:t>
            </w:r>
            <w:r>
              <w:rPr>
                <w:noProof/>
                <w:webHidden/>
              </w:rPr>
              <w:tab/>
            </w:r>
            <w:r>
              <w:rPr>
                <w:noProof/>
                <w:webHidden/>
              </w:rPr>
              <w:fldChar w:fldCharType="begin"/>
            </w:r>
            <w:r>
              <w:rPr>
                <w:noProof/>
                <w:webHidden/>
              </w:rPr>
              <w:instrText xml:space="preserve"> PAGEREF _Toc234421410 \h </w:instrText>
            </w:r>
            <w:r>
              <w:rPr>
                <w:noProof/>
                <w:webHidden/>
              </w:rPr>
            </w:r>
            <w:r>
              <w:rPr>
                <w:noProof/>
                <w:webHidden/>
              </w:rPr>
              <w:fldChar w:fldCharType="separate"/>
            </w:r>
            <w:r>
              <w:rPr>
                <w:noProof/>
                <w:webHidden/>
              </w:rPr>
              <w:t>4</w:t>
            </w:r>
            <w:r>
              <w:rPr>
                <w:noProof/>
                <w:webHidden/>
              </w:rPr>
              <w:fldChar w:fldCharType="end"/>
            </w:r>
          </w:hyperlink>
        </w:p>
        <w:p w14:paraId="60E0D7A0" w14:textId="77777777" w:rsidR="00B24F05" w:rsidRDefault="00B24F05" w:rsidP="00B24F05">
          <w:pPr>
            <w:pStyle w:val="TOC1"/>
            <w:tabs>
              <w:tab w:val="right" w:leader="dot" w:pos="9016"/>
            </w:tabs>
            <w:rPr>
              <w:noProof/>
            </w:rPr>
          </w:pPr>
          <w:hyperlink w:anchor="_Toc234421411" w:history="1">
            <w:r w:rsidRPr="007C3FCB">
              <w:rPr>
                <w:rStyle w:val="Hyperlink"/>
                <w:noProof/>
              </w:rPr>
              <w:t>5. High-Level Risk Management and Assessment</w:t>
            </w:r>
            <w:r>
              <w:rPr>
                <w:noProof/>
                <w:webHidden/>
              </w:rPr>
              <w:tab/>
            </w:r>
            <w:r>
              <w:rPr>
                <w:noProof/>
                <w:webHidden/>
              </w:rPr>
              <w:fldChar w:fldCharType="begin"/>
            </w:r>
            <w:r>
              <w:rPr>
                <w:noProof/>
                <w:webHidden/>
              </w:rPr>
              <w:instrText xml:space="preserve"> PAGEREF _Toc234421411 \h </w:instrText>
            </w:r>
            <w:r>
              <w:rPr>
                <w:noProof/>
                <w:webHidden/>
              </w:rPr>
            </w:r>
            <w:r>
              <w:rPr>
                <w:noProof/>
                <w:webHidden/>
              </w:rPr>
              <w:fldChar w:fldCharType="separate"/>
            </w:r>
            <w:r>
              <w:rPr>
                <w:noProof/>
                <w:webHidden/>
              </w:rPr>
              <w:t>4</w:t>
            </w:r>
            <w:r>
              <w:rPr>
                <w:noProof/>
                <w:webHidden/>
              </w:rPr>
              <w:fldChar w:fldCharType="end"/>
            </w:r>
          </w:hyperlink>
        </w:p>
        <w:p w14:paraId="2CBCEC91" w14:textId="77777777" w:rsidR="00B24F05" w:rsidRDefault="00B24F05" w:rsidP="00B24F05">
          <w:pPr>
            <w:pStyle w:val="TOC1"/>
            <w:tabs>
              <w:tab w:val="right" w:leader="dot" w:pos="9016"/>
            </w:tabs>
            <w:rPr>
              <w:noProof/>
            </w:rPr>
          </w:pPr>
          <w:hyperlink w:anchor="_Toc234421412" w:history="1">
            <w:r w:rsidRPr="007C3FCB">
              <w:rPr>
                <w:rStyle w:val="Hyperlink"/>
                <w:noProof/>
              </w:rPr>
              <w:t>6. Compliance, Incident Response and Protection Controls</w:t>
            </w:r>
            <w:r>
              <w:rPr>
                <w:noProof/>
                <w:webHidden/>
              </w:rPr>
              <w:tab/>
            </w:r>
            <w:r>
              <w:rPr>
                <w:noProof/>
                <w:webHidden/>
              </w:rPr>
              <w:fldChar w:fldCharType="begin"/>
            </w:r>
            <w:r>
              <w:rPr>
                <w:noProof/>
                <w:webHidden/>
              </w:rPr>
              <w:instrText xml:space="preserve"> PAGEREF _Toc234421412 \h </w:instrText>
            </w:r>
            <w:r>
              <w:rPr>
                <w:noProof/>
                <w:webHidden/>
              </w:rPr>
            </w:r>
            <w:r>
              <w:rPr>
                <w:noProof/>
                <w:webHidden/>
              </w:rPr>
              <w:fldChar w:fldCharType="separate"/>
            </w:r>
            <w:r>
              <w:rPr>
                <w:noProof/>
                <w:webHidden/>
              </w:rPr>
              <w:t>5</w:t>
            </w:r>
            <w:r>
              <w:rPr>
                <w:noProof/>
                <w:webHidden/>
              </w:rPr>
              <w:fldChar w:fldCharType="end"/>
            </w:r>
          </w:hyperlink>
        </w:p>
        <w:p w14:paraId="66CC4F8A" w14:textId="77777777" w:rsidR="00B24F05" w:rsidRDefault="00B24F05" w:rsidP="00B24F05">
          <w:pPr>
            <w:pStyle w:val="TOC1"/>
            <w:tabs>
              <w:tab w:val="right" w:leader="dot" w:pos="9016"/>
            </w:tabs>
            <w:rPr>
              <w:noProof/>
            </w:rPr>
          </w:pPr>
          <w:hyperlink w:anchor="_Toc234421413" w:history="1">
            <w:r w:rsidRPr="007C3FCB">
              <w:rPr>
                <w:rStyle w:val="Hyperlink"/>
                <w:noProof/>
              </w:rPr>
              <w:t>7. Design Justification and Programme Roadmap</w:t>
            </w:r>
            <w:r>
              <w:rPr>
                <w:noProof/>
                <w:webHidden/>
              </w:rPr>
              <w:tab/>
            </w:r>
            <w:r>
              <w:rPr>
                <w:noProof/>
                <w:webHidden/>
              </w:rPr>
              <w:fldChar w:fldCharType="begin"/>
            </w:r>
            <w:r>
              <w:rPr>
                <w:noProof/>
                <w:webHidden/>
              </w:rPr>
              <w:instrText xml:space="preserve"> PAGEREF _Toc234421413 \h </w:instrText>
            </w:r>
            <w:r>
              <w:rPr>
                <w:noProof/>
                <w:webHidden/>
              </w:rPr>
            </w:r>
            <w:r>
              <w:rPr>
                <w:noProof/>
                <w:webHidden/>
              </w:rPr>
              <w:fldChar w:fldCharType="separate"/>
            </w:r>
            <w:r>
              <w:rPr>
                <w:noProof/>
                <w:webHidden/>
              </w:rPr>
              <w:t>6</w:t>
            </w:r>
            <w:r>
              <w:rPr>
                <w:noProof/>
                <w:webHidden/>
              </w:rPr>
              <w:fldChar w:fldCharType="end"/>
            </w:r>
          </w:hyperlink>
        </w:p>
        <w:p w14:paraId="47144B4E" w14:textId="77777777" w:rsidR="00B24F05" w:rsidRDefault="00B24F05" w:rsidP="00B24F05">
          <w:pPr>
            <w:pStyle w:val="TOC1"/>
            <w:tabs>
              <w:tab w:val="right" w:leader="dot" w:pos="9016"/>
            </w:tabs>
            <w:rPr>
              <w:noProof/>
            </w:rPr>
          </w:pPr>
          <w:hyperlink w:anchor="_Toc234421414" w:history="1">
            <w:r w:rsidRPr="007C3FCB">
              <w:rPr>
                <w:rStyle w:val="Hyperlink"/>
                <w:noProof/>
              </w:rPr>
              <w:t>8. Assurance Metrics and Review Mechanisms</w:t>
            </w:r>
            <w:r>
              <w:rPr>
                <w:noProof/>
                <w:webHidden/>
              </w:rPr>
              <w:tab/>
            </w:r>
            <w:r>
              <w:rPr>
                <w:noProof/>
                <w:webHidden/>
              </w:rPr>
              <w:fldChar w:fldCharType="begin"/>
            </w:r>
            <w:r>
              <w:rPr>
                <w:noProof/>
                <w:webHidden/>
              </w:rPr>
              <w:instrText xml:space="preserve"> PAGEREF _Toc234421414 \h </w:instrText>
            </w:r>
            <w:r>
              <w:rPr>
                <w:noProof/>
                <w:webHidden/>
              </w:rPr>
            </w:r>
            <w:r>
              <w:rPr>
                <w:noProof/>
                <w:webHidden/>
              </w:rPr>
              <w:fldChar w:fldCharType="separate"/>
            </w:r>
            <w:r>
              <w:rPr>
                <w:noProof/>
                <w:webHidden/>
              </w:rPr>
              <w:t>7</w:t>
            </w:r>
            <w:r>
              <w:rPr>
                <w:noProof/>
                <w:webHidden/>
              </w:rPr>
              <w:fldChar w:fldCharType="end"/>
            </w:r>
          </w:hyperlink>
        </w:p>
        <w:p w14:paraId="7099D7EF" w14:textId="77777777" w:rsidR="00B24F05" w:rsidRDefault="00B24F05" w:rsidP="00B24F05">
          <w:pPr>
            <w:pStyle w:val="TOC1"/>
            <w:tabs>
              <w:tab w:val="right" w:leader="dot" w:pos="9016"/>
            </w:tabs>
            <w:rPr>
              <w:noProof/>
            </w:rPr>
          </w:pPr>
          <w:hyperlink w:anchor="_Toc234421415" w:history="1">
            <w:r w:rsidRPr="007C3FCB">
              <w:rPr>
                <w:rStyle w:val="Hyperlink"/>
                <w:noProof/>
              </w:rPr>
              <w:t>9. Conclusion</w:t>
            </w:r>
            <w:r>
              <w:rPr>
                <w:noProof/>
                <w:webHidden/>
              </w:rPr>
              <w:tab/>
            </w:r>
            <w:r>
              <w:rPr>
                <w:noProof/>
                <w:webHidden/>
              </w:rPr>
              <w:fldChar w:fldCharType="begin"/>
            </w:r>
            <w:r>
              <w:rPr>
                <w:noProof/>
                <w:webHidden/>
              </w:rPr>
              <w:instrText xml:space="preserve"> PAGEREF _Toc234421415 \h </w:instrText>
            </w:r>
            <w:r>
              <w:rPr>
                <w:noProof/>
                <w:webHidden/>
              </w:rPr>
            </w:r>
            <w:r>
              <w:rPr>
                <w:noProof/>
                <w:webHidden/>
              </w:rPr>
              <w:fldChar w:fldCharType="separate"/>
            </w:r>
            <w:r>
              <w:rPr>
                <w:noProof/>
                <w:webHidden/>
              </w:rPr>
              <w:t>8</w:t>
            </w:r>
            <w:r>
              <w:rPr>
                <w:noProof/>
                <w:webHidden/>
              </w:rPr>
              <w:fldChar w:fldCharType="end"/>
            </w:r>
          </w:hyperlink>
        </w:p>
        <w:p w14:paraId="58FDDB8B" w14:textId="77777777" w:rsidR="00B24F05" w:rsidRDefault="00B24F05" w:rsidP="00B24F05">
          <w:pPr>
            <w:pStyle w:val="TOC1"/>
            <w:tabs>
              <w:tab w:val="right" w:leader="dot" w:pos="9016"/>
            </w:tabs>
            <w:rPr>
              <w:noProof/>
            </w:rPr>
          </w:pPr>
          <w:hyperlink w:anchor="_Toc234421416" w:history="1">
            <w:r w:rsidRPr="007C3FCB">
              <w:rPr>
                <w:rStyle w:val="Hyperlink"/>
                <w:noProof/>
              </w:rPr>
              <w:t>References</w:t>
            </w:r>
            <w:r>
              <w:rPr>
                <w:noProof/>
                <w:webHidden/>
              </w:rPr>
              <w:tab/>
            </w:r>
            <w:r>
              <w:rPr>
                <w:noProof/>
                <w:webHidden/>
              </w:rPr>
              <w:fldChar w:fldCharType="begin"/>
            </w:r>
            <w:r>
              <w:rPr>
                <w:noProof/>
                <w:webHidden/>
              </w:rPr>
              <w:instrText xml:space="preserve"> PAGEREF _Toc234421416 \h </w:instrText>
            </w:r>
            <w:r>
              <w:rPr>
                <w:noProof/>
                <w:webHidden/>
              </w:rPr>
            </w:r>
            <w:r>
              <w:rPr>
                <w:noProof/>
                <w:webHidden/>
              </w:rPr>
              <w:fldChar w:fldCharType="separate"/>
            </w:r>
            <w:r>
              <w:rPr>
                <w:noProof/>
                <w:webHidden/>
              </w:rPr>
              <w:t>9</w:t>
            </w:r>
            <w:r>
              <w:rPr>
                <w:noProof/>
                <w:webHidden/>
              </w:rPr>
              <w:fldChar w:fldCharType="end"/>
            </w:r>
          </w:hyperlink>
        </w:p>
        <w:p w14:paraId="1DDC36BE" w14:textId="77777777" w:rsidR="00B24F05" w:rsidRDefault="00B24F05" w:rsidP="00B24F05">
          <w:pPr>
            <w:rPr>
              <w:noProof/>
            </w:rPr>
          </w:pPr>
          <w:r>
            <w:rPr>
              <w:b/>
              <w:bCs/>
              <w:noProof/>
            </w:rPr>
            <w:fldChar w:fldCharType="end"/>
          </w:r>
        </w:p>
      </w:sdtContent>
    </w:sdt>
    <w:p w14:paraId="35D44E87" w14:textId="77777777" w:rsidR="00B24F05" w:rsidRDefault="00B24F05" w:rsidP="005B520E">
      <w:pPr>
        <w:rPr>
          <w:b/>
          <w:bCs/>
          <w:sz w:val="32"/>
          <w:szCs w:val="32"/>
        </w:rPr>
      </w:pPr>
    </w:p>
    <w:p w14:paraId="2381F8AB" w14:textId="77777777" w:rsidR="00B24F05" w:rsidRDefault="00B24F05" w:rsidP="005B520E">
      <w:pPr>
        <w:rPr>
          <w:b/>
          <w:bCs/>
          <w:sz w:val="32"/>
          <w:szCs w:val="32"/>
        </w:rPr>
      </w:pPr>
    </w:p>
    <w:p w14:paraId="5CC8C7C8" w14:textId="77777777" w:rsidR="00B24F05" w:rsidRPr="00B24F05" w:rsidRDefault="00B24F05" w:rsidP="005B520E">
      <w:pPr>
        <w:rPr>
          <w:b/>
          <w:bCs/>
          <w:sz w:val="32"/>
          <w:szCs w:val="32"/>
        </w:rPr>
      </w:pPr>
    </w:p>
    <w:p w14:paraId="50019C44" w14:textId="77777777" w:rsidR="00B24F05" w:rsidRDefault="00B24F05" w:rsidP="005B520E"/>
    <w:p w14:paraId="43F820FD" w14:textId="77777777" w:rsidR="00B24F05" w:rsidRDefault="00B24F05" w:rsidP="005B520E"/>
    <w:p w14:paraId="741D017D" w14:textId="77777777" w:rsidR="00B24F05" w:rsidRDefault="00B24F05" w:rsidP="005B520E"/>
    <w:p w14:paraId="7A9A82B3" w14:textId="77777777" w:rsidR="00B24F05" w:rsidRDefault="00B24F05" w:rsidP="005B520E"/>
    <w:p w14:paraId="330FDA4A" w14:textId="77777777" w:rsidR="00B24F05" w:rsidRDefault="00B24F05" w:rsidP="005B520E"/>
    <w:p w14:paraId="724EFFD5" w14:textId="77777777" w:rsidR="00B24F05" w:rsidRDefault="00B24F05" w:rsidP="005B520E"/>
    <w:p w14:paraId="7777C032" w14:textId="77777777" w:rsidR="00B24F05" w:rsidRDefault="00B24F05" w:rsidP="005B520E"/>
    <w:p w14:paraId="72038E19" w14:textId="77777777" w:rsidR="00B24F05" w:rsidRDefault="00B24F05" w:rsidP="005B520E"/>
    <w:p w14:paraId="000B672B" w14:textId="77777777" w:rsidR="00B24F05" w:rsidRDefault="00B24F05" w:rsidP="005B520E"/>
    <w:p w14:paraId="161FF9A5" w14:textId="77777777" w:rsidR="00B24F05" w:rsidRDefault="00B24F05" w:rsidP="005B520E"/>
    <w:p w14:paraId="4953F7B4" w14:textId="77777777" w:rsidR="00B24F05" w:rsidRDefault="00B24F05" w:rsidP="005B520E"/>
    <w:p w14:paraId="3B581CE8" w14:textId="77777777" w:rsidR="00B24F05" w:rsidRDefault="00B24F05" w:rsidP="005B520E"/>
    <w:p w14:paraId="169A6E34" w14:textId="77777777" w:rsidR="00B24F05" w:rsidRDefault="00B24F05" w:rsidP="005B520E"/>
    <w:p w14:paraId="51216709" w14:textId="77777777" w:rsidR="00B24F05" w:rsidRDefault="00B24F05" w:rsidP="005B520E"/>
    <w:p w14:paraId="402488F0" w14:textId="77777777" w:rsidR="00B24F05" w:rsidRDefault="00B24F05" w:rsidP="005B520E"/>
    <w:p w14:paraId="09426392" w14:textId="77777777" w:rsidR="00B24F05" w:rsidRDefault="00B24F05" w:rsidP="005B520E"/>
    <w:p w14:paraId="3DD0B946" w14:textId="77777777" w:rsidR="00B24F05" w:rsidRDefault="00B24F05" w:rsidP="005B520E"/>
    <w:p w14:paraId="0F37842B" w14:textId="77777777" w:rsidR="00B24F05" w:rsidRDefault="00B24F05" w:rsidP="005B520E"/>
    <w:p w14:paraId="3414BFAD" w14:textId="77777777" w:rsidR="00B24F05" w:rsidRDefault="00B24F05" w:rsidP="005B520E"/>
    <w:p w14:paraId="6F94FA9E" w14:textId="77777777" w:rsidR="00B24F05" w:rsidRDefault="00B24F05" w:rsidP="005B520E"/>
    <w:p w14:paraId="03C3D5E8" w14:textId="77777777" w:rsidR="00B24F05" w:rsidRDefault="00B24F05" w:rsidP="005B520E"/>
    <w:p w14:paraId="7A2C869F" w14:textId="77777777" w:rsidR="00B24F05" w:rsidRDefault="00B24F05" w:rsidP="005B520E"/>
    <w:p w14:paraId="32FEA6F7" w14:textId="77777777" w:rsidR="00B24F05" w:rsidRDefault="00B24F05" w:rsidP="005B520E"/>
    <w:p w14:paraId="47F0ED2F" w14:textId="77777777" w:rsidR="00B24F05" w:rsidRDefault="00B24F05" w:rsidP="005B520E"/>
    <w:p w14:paraId="14B7FC6C" w14:textId="77777777" w:rsidR="00B24F05" w:rsidRDefault="00B24F05" w:rsidP="005B520E"/>
    <w:p w14:paraId="5D7F0499" w14:textId="77777777" w:rsidR="00B24F05" w:rsidRDefault="00B24F05" w:rsidP="005B520E"/>
    <w:p w14:paraId="7262A3BF" w14:textId="77777777" w:rsidR="00B24F05" w:rsidRDefault="00B24F05" w:rsidP="005B520E"/>
    <w:p w14:paraId="650437D8" w14:textId="77777777" w:rsidR="00B24F05" w:rsidRDefault="00B24F05" w:rsidP="005B520E"/>
    <w:p w14:paraId="27D14316" w14:textId="77777777" w:rsidR="00B24F05" w:rsidRDefault="00B24F05" w:rsidP="005B520E"/>
    <w:p w14:paraId="13109748" w14:textId="77777777" w:rsidR="00B24F05" w:rsidRDefault="00B24F05" w:rsidP="005B520E"/>
    <w:p w14:paraId="4E9D9D75" w14:textId="77777777" w:rsidR="00B24F05" w:rsidRPr="00AA3F59" w:rsidRDefault="00B24F05" w:rsidP="005B520E">
      <w:pPr>
        <w:rPr>
          <w:sz w:val="22"/>
          <w:szCs w:val="22"/>
        </w:rPr>
      </w:pPr>
    </w:p>
    <w:p w14:paraId="2FD1F23B" w14:textId="77777777" w:rsidR="00B24F05" w:rsidRPr="00AA3F59" w:rsidRDefault="00B24F05" w:rsidP="005B520E">
      <w:pPr>
        <w:rPr>
          <w:sz w:val="22"/>
          <w:szCs w:val="22"/>
        </w:rPr>
      </w:pPr>
    </w:p>
    <w:p w14:paraId="6CC4EEFB" w14:textId="77777777" w:rsidR="00B24F05" w:rsidRPr="00AA3F59" w:rsidRDefault="00B24F05" w:rsidP="00B24F05">
      <w:pPr>
        <w:pStyle w:val="Heading1"/>
        <w:numPr>
          <w:ilvl w:val="0"/>
          <w:numId w:val="0"/>
        </w:numPr>
        <w:spacing w:before="0" w:line="360" w:lineRule="auto"/>
        <w:jc w:val="both"/>
        <w:rPr>
          <w:sz w:val="22"/>
          <w:szCs w:val="22"/>
        </w:rPr>
      </w:pPr>
      <w:r w:rsidRPr="00AA3F59">
        <w:rPr>
          <w:rFonts w:eastAsia="Times New Roman"/>
          <w:sz w:val="22"/>
          <w:szCs w:val="22"/>
        </w:rPr>
        <w:t xml:space="preserve">1. </w:t>
      </w:r>
      <w:r w:rsidRPr="00AA3F59">
        <w:rPr>
          <w:rFonts w:eastAsia="Times New Roman"/>
          <w:b/>
          <w:bCs/>
          <w:sz w:val="22"/>
          <w:szCs w:val="22"/>
        </w:rPr>
        <w:t>Introduction and Case Context</w:t>
      </w:r>
    </w:p>
    <w:p w14:paraId="5A1105D3" w14:textId="44221E07" w:rsidR="00B24F05" w:rsidRPr="00AA3F59" w:rsidRDefault="00B24F05" w:rsidP="00B24F05">
      <w:pPr>
        <w:spacing w:line="360" w:lineRule="auto"/>
        <w:jc w:val="both"/>
        <w:rPr>
          <w:sz w:val="22"/>
          <w:szCs w:val="22"/>
        </w:rPr>
      </w:pPr>
      <w:r w:rsidRPr="00AA3F59">
        <w:rPr>
          <w:sz w:val="22"/>
          <w:szCs w:val="22"/>
        </w:rPr>
        <w:t xml:space="preserve">The 2017 Equifax breach is a major case for studying data security and compliance because it shows how a single unpatched vulnerability can become an enterprise-level governance failure. Equifax announced in September 2017 that attackers had accessed personal information relating to approximately 143 million U.S. consumers, later reflected in regulatory settlement material as 147 million people </w:t>
      </w:r>
      <w:r w:rsidRPr="00AA3F59">
        <w:rPr>
          <w:sz w:val="22"/>
          <w:szCs w:val="22"/>
        </w:rPr>
        <w:fldChar w:fldCharType="begin"/>
      </w:r>
      <w:r w:rsidRPr="00AA3F59">
        <w:rPr>
          <w:sz w:val="22"/>
          <w:szCs w:val="22"/>
        </w:rPr>
        <w:instrText xml:space="preserve"> ADDIN EN.CITE &lt;EndNote&gt;&lt;Cite&gt;&lt;Author&gt;Equifax&lt;/Author&gt;&lt;Year&gt;2017&lt;/Year&gt;&lt;RecNum&gt;637&lt;/RecNum&gt;&lt;DisplayText&gt;[1]&lt;/DisplayText&gt;&lt;record&gt;&lt;rec-number&gt;637&lt;/rec-number&gt;&lt;foreign-keys&gt;&lt;key app="EN" db-id="099ptrwarsvtw4ezvanvzvxb22prvx0rfdvf" timestamp="1783508906"&gt;637&lt;/key&gt;&lt;/foreign-keys&gt;&lt;ref-type name="Web Page"&gt;12&lt;/ref-type&gt;&lt;contributors&gt;&lt;authors&gt;&lt;author&gt;Equifax&lt;/author&gt;&lt;/authors&gt;&lt;/contributors&gt;&lt;titles&gt;&lt;title&gt;Equifax releases details on cybersecurity incident, announces personnel changes&lt;/title&gt;&lt;/titles&gt;&lt;dates&gt;&lt;year&gt;2017&lt;/year&gt;&lt;/dates&gt;&lt;urls&gt;&lt;related-urls&gt;&lt;url&gt;https://investor.equifax.com/news-events/press-releases/detail/237/equifax-releases-details-on-cybersecurity-incident&lt;/url&gt;&lt;/related-urls&gt;&lt;/urls&gt;&lt;/record&gt;&lt;/Cite&gt;&lt;/EndNote&gt;</w:instrText>
      </w:r>
      <w:r w:rsidRPr="00AA3F59">
        <w:rPr>
          <w:sz w:val="22"/>
          <w:szCs w:val="22"/>
        </w:rPr>
        <w:fldChar w:fldCharType="separate"/>
      </w:r>
      <w:r w:rsidRPr="00AA3F59">
        <w:rPr>
          <w:noProof/>
          <w:sz w:val="22"/>
          <w:szCs w:val="22"/>
        </w:rPr>
        <w:t>[1]</w:t>
      </w:r>
      <w:r w:rsidRPr="00AA3F59">
        <w:rPr>
          <w:sz w:val="22"/>
          <w:szCs w:val="22"/>
        </w:rPr>
        <w:fldChar w:fldCharType="end"/>
      </w:r>
      <w:r w:rsidRPr="00AA3F59">
        <w:rPr>
          <w:sz w:val="22"/>
          <w:szCs w:val="22"/>
        </w:rPr>
        <w:t xml:space="preserve">. </w:t>
      </w:r>
    </w:p>
    <w:p w14:paraId="5A194631" w14:textId="77777777" w:rsidR="00B24F05" w:rsidRPr="00AA3F59" w:rsidRDefault="00B24F05" w:rsidP="00B24F05">
      <w:pPr>
        <w:spacing w:line="360" w:lineRule="auto"/>
        <w:jc w:val="both"/>
        <w:rPr>
          <w:sz w:val="22"/>
          <w:szCs w:val="22"/>
        </w:rPr>
      </w:pPr>
      <w:r w:rsidRPr="00AA3F59">
        <w:rPr>
          <w:sz w:val="22"/>
          <w:szCs w:val="22"/>
        </w:rPr>
        <w:t>The purpose of this task is to design a structured cybersecurity programme that would address the weaknesses evident in the case. The proposed programme uses NIST CSF 2.0 as the strategic framework, supported by Zero Trust Architecture, ISO/IEC 27001-style governance, vulnerability management, incident response planning, continuous monitoring and data protection controls. The programme is designed to anticipate, protect, detect, respond and recover, while also creating board-level accountability and auditable compliance evidence.</w:t>
      </w:r>
    </w:p>
    <w:p w14:paraId="16A6BE23" w14:textId="77777777" w:rsidR="00B24F05" w:rsidRPr="00AA3F59" w:rsidRDefault="00B24F05" w:rsidP="00DE34C4">
      <w:pPr>
        <w:pStyle w:val="Heading1"/>
        <w:numPr>
          <w:ilvl w:val="0"/>
          <w:numId w:val="0"/>
        </w:numPr>
        <w:spacing w:before="0" w:line="360" w:lineRule="auto"/>
        <w:jc w:val="both"/>
        <w:rPr>
          <w:b/>
          <w:bCs/>
          <w:sz w:val="22"/>
          <w:szCs w:val="22"/>
        </w:rPr>
      </w:pPr>
      <w:r w:rsidRPr="00AA3F59">
        <w:rPr>
          <w:rFonts w:eastAsia="Times New Roman"/>
          <w:b/>
          <w:bCs/>
          <w:sz w:val="22"/>
          <w:szCs w:val="22"/>
        </w:rPr>
        <w:t>2. Organisational Structure and Accountability</w:t>
      </w:r>
    </w:p>
    <w:p w14:paraId="15D9139E" w14:textId="07C2EBC1" w:rsidR="00B24F05" w:rsidRPr="00AA3F59" w:rsidRDefault="00B24F05" w:rsidP="00B24F05">
      <w:pPr>
        <w:spacing w:line="360" w:lineRule="auto"/>
        <w:jc w:val="both"/>
        <w:rPr>
          <w:sz w:val="22"/>
          <w:szCs w:val="22"/>
        </w:rPr>
      </w:pPr>
      <w:r w:rsidRPr="00AA3F59">
        <w:rPr>
          <w:sz w:val="22"/>
          <w:szCs w:val="22"/>
        </w:rPr>
        <w:t xml:space="preserve">Equifax's first failure was accountability. A cybersecurity programme cannot be built solely on the shoulders of technical teams, as it relies on governance principles such as patching, risk acceptance, budget, public notification and consumer protection. The proposed structure will thus bring cybersecurity oversight to the Board level via a Board Risk and Cybersecurity Committee. This committee should be provided with monthly cyber risk dashboards, and escalation to the committee for critical vulnerabilities that impact internet-facing systems or regulated personal data should be done within 24-hours. </w:t>
      </w:r>
    </w:p>
    <w:p w14:paraId="43D25224" w14:textId="77777777" w:rsidR="00B24F05" w:rsidRPr="00AA3F59" w:rsidRDefault="00B24F05" w:rsidP="00B24F05">
      <w:pPr>
        <w:spacing w:line="360" w:lineRule="auto"/>
        <w:jc w:val="both"/>
        <w:rPr>
          <w:sz w:val="22"/>
          <w:szCs w:val="22"/>
        </w:rPr>
      </w:pPr>
      <w:r w:rsidRPr="00AA3F59">
        <w:rPr>
          <w:sz w:val="22"/>
          <w:szCs w:val="22"/>
        </w:rPr>
        <w:t>A series of five operational roles are needed below CISO. The Zero Trust design, segmentation, secure access and control standards are owned by a Security Architecture Lead. A Vulnerability and Patch Manager is the owner of the asset-based vulnerability scanning, exception reporting and remediation service-level agreements. Secure Coding, Dependency Management, Code Review and Application Security Testing are the responsibility of a Secure Software Development Lead. The role of the Security Operations Centre Manager is to have ownership of SIEM, EDR, threat hunting and incident triage. The Data Protection and Compliance Officer is responsible for compliance, breach notification protocols, records of processing, retention requirements and regulatory records. There needs to be measurable responsibilities and escalation authority for each role. This framework transforms cybersecurity into a well-managed risk management process.</w:t>
      </w:r>
    </w:p>
    <w:p w14:paraId="76A5FC54" w14:textId="77777777" w:rsidR="00B24F05" w:rsidRPr="00AA3F59" w:rsidRDefault="00B24F05" w:rsidP="00B24F05">
      <w:pPr>
        <w:spacing w:line="360" w:lineRule="auto"/>
        <w:jc w:val="center"/>
        <w:rPr>
          <w:b/>
          <w:bCs/>
          <w:sz w:val="22"/>
          <w:szCs w:val="22"/>
        </w:rPr>
      </w:pPr>
      <w:r w:rsidRPr="00AA3F59">
        <w:rPr>
          <w:b/>
          <w:bCs/>
          <w:noProof/>
          <w:sz w:val="22"/>
          <w:szCs w:val="22"/>
        </w:rPr>
        <w:lastRenderedPageBreak/>
        <w:drawing>
          <wp:inline distT="0" distB="0" distL="0" distR="0" wp14:anchorId="43E885F1" wp14:editId="230EA4CB">
            <wp:extent cx="5657216" cy="4242912"/>
            <wp:effectExtent l="19050" t="19050" r="19685" b="24765"/>
            <wp:docPr id="74074248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667983" cy="4250987"/>
                    </a:xfrm>
                    <a:prstGeom prst="rect">
                      <a:avLst/>
                    </a:prstGeom>
                    <a:noFill/>
                    <a:ln w="9525">
                      <a:solidFill>
                        <a:schemeClr val="tx1"/>
                      </a:solidFill>
                    </a:ln>
                  </pic:spPr>
                </pic:pic>
              </a:graphicData>
            </a:graphic>
          </wp:inline>
        </w:drawing>
      </w:r>
    </w:p>
    <w:p w14:paraId="58CE06C5" w14:textId="77777777" w:rsidR="00B24F05" w:rsidRPr="00AA3F59" w:rsidRDefault="00B24F05" w:rsidP="00B24F05">
      <w:pPr>
        <w:spacing w:line="360" w:lineRule="auto"/>
        <w:jc w:val="center"/>
        <w:rPr>
          <w:sz w:val="22"/>
          <w:szCs w:val="22"/>
        </w:rPr>
      </w:pPr>
      <w:r w:rsidRPr="00AA3F59">
        <w:rPr>
          <w:b/>
          <w:bCs/>
          <w:sz w:val="22"/>
          <w:szCs w:val="22"/>
        </w:rPr>
        <w:t>Figure 1.</w:t>
      </w:r>
      <w:r w:rsidRPr="00AA3F59">
        <w:rPr>
          <w:sz w:val="22"/>
          <w:szCs w:val="22"/>
        </w:rPr>
        <w:t xml:space="preserve"> Proposed governance and accountability model for an Equifax-type organisation.</w:t>
      </w:r>
    </w:p>
    <w:p w14:paraId="72E68EE7" w14:textId="77777777" w:rsidR="00B24F05" w:rsidRPr="00AA3F59" w:rsidRDefault="00B24F05" w:rsidP="00DE34C4">
      <w:pPr>
        <w:pStyle w:val="Heading1"/>
        <w:numPr>
          <w:ilvl w:val="0"/>
          <w:numId w:val="0"/>
        </w:numPr>
        <w:spacing w:before="0" w:line="360" w:lineRule="auto"/>
        <w:jc w:val="both"/>
        <w:rPr>
          <w:b/>
          <w:bCs/>
          <w:sz w:val="22"/>
          <w:szCs w:val="22"/>
        </w:rPr>
      </w:pPr>
      <w:r w:rsidRPr="00AA3F59">
        <w:rPr>
          <w:rFonts w:eastAsia="Times New Roman"/>
          <w:b/>
          <w:bCs/>
          <w:sz w:val="22"/>
          <w:szCs w:val="22"/>
        </w:rPr>
        <w:t>3. Policies and Procedures</w:t>
      </w:r>
    </w:p>
    <w:p w14:paraId="12051DDF" w14:textId="77777777" w:rsidR="00B24F05" w:rsidRPr="00AA3F59" w:rsidRDefault="00B24F05" w:rsidP="00B24F05">
      <w:pPr>
        <w:spacing w:line="360" w:lineRule="auto"/>
        <w:jc w:val="both"/>
        <w:rPr>
          <w:sz w:val="22"/>
          <w:szCs w:val="22"/>
        </w:rPr>
      </w:pPr>
      <w:r w:rsidRPr="00AA3F59">
        <w:rPr>
          <w:sz w:val="22"/>
          <w:szCs w:val="22"/>
        </w:rPr>
        <w:t xml:space="preserve">Enforceable policies that are measurable, auditable and enterprise risk aligned are required for the programme. The vulnerability management policy should include a full asset inventory of the internet-facing assets, internal servers, cloud workloads, 3rd-party components, software libraries and business owners. Any internet-facing systems with critical vulnerabilities should be remedied within 72 hours, high-priority vulnerabilities within 7 days, and medium-priority vulnerabilities within 30 days; unless approved by the CISO in accordance with the following documented risk exception process and reported to the risk committee. </w:t>
      </w:r>
    </w:p>
    <w:p w14:paraId="6957A17E" w14:textId="5BDAF419" w:rsidR="00B24F05" w:rsidRPr="00AA3F59" w:rsidRDefault="00B24F05" w:rsidP="00B24F05">
      <w:pPr>
        <w:spacing w:line="360" w:lineRule="auto"/>
        <w:jc w:val="both"/>
        <w:rPr>
          <w:sz w:val="22"/>
          <w:szCs w:val="22"/>
        </w:rPr>
      </w:pPr>
      <w:r w:rsidRPr="00AA3F59">
        <w:rPr>
          <w:sz w:val="22"/>
          <w:szCs w:val="22"/>
        </w:rPr>
        <w:t xml:space="preserve">The patch management procedure should define intake, testing, deployment, verification and evidence retention. A closure ticket should include some documentation that the patch was applied or that the vulnerability was removed. Email requests cannot be </w:t>
      </w:r>
      <w:r w:rsidR="00D21C94" w:rsidRPr="00AA3F59">
        <w:rPr>
          <w:sz w:val="22"/>
          <w:szCs w:val="22"/>
        </w:rPr>
        <w:t>honored</w:t>
      </w:r>
      <w:r w:rsidRPr="00AA3F59">
        <w:rPr>
          <w:sz w:val="22"/>
          <w:szCs w:val="22"/>
        </w:rPr>
        <w:t xml:space="preserve"> because it is not proof of remediation. For applications that process sensitive data, the secure software development lifecycle policy should include dependency scanning, software bill of materials, static and dynamic application testing, peer review and pre-production secure configuration review and sign-off </w:t>
      </w:r>
      <w:r w:rsidRPr="00AA3F59">
        <w:rPr>
          <w:sz w:val="22"/>
          <w:szCs w:val="22"/>
        </w:rPr>
        <w:fldChar w:fldCharType="begin"/>
      </w:r>
      <w:r w:rsidRPr="00AA3F59">
        <w:rPr>
          <w:sz w:val="22"/>
          <w:szCs w:val="22"/>
        </w:rPr>
        <w:instrText xml:space="preserve"> ADDIN EN.CITE &lt;EndNote&gt;&lt;Cite&gt;&lt;Author&gt;Alauthman&lt;/Author&gt;&lt;Year&gt;2025&lt;/Year&gt;&lt;RecNum&gt;638&lt;/RecNum&gt;&lt;DisplayText&gt;[2]&lt;/DisplayText&gt;&lt;record&gt;&lt;rec-number&gt;638&lt;/rec-number&gt;&lt;foreign-keys&gt;&lt;key app="EN" db-id="099ptrwarsvtw4ezvanvzvxb22prvx0rfdvf" timestamp="1783509415"&gt;638&lt;/key&gt;&lt;/foreign-keys&gt;&lt;ref-type name="Book Section"&gt;5&lt;/ref-type&gt;&lt;contributors&gt;&lt;authors&gt;&lt;author&gt;Alauthman, Mohammad&lt;/author&gt;&lt;author&gt;Al-Qerem, Ahmad&lt;/author&gt;&lt;author&gt;Aldweesh, Amjad&lt;/author&gt;&lt;author&gt;Almomani, Ammar&lt;/author&gt;&lt;/authors&gt;&lt;/contributors&gt;&lt;titles&gt;&lt;title&gt;Secure SDLC Frameworks: Leveraging DevSecOps to Enhance Software Security&lt;/title&gt;&lt;secondary-title&gt;Modern Insights on Smart and Secure Software Development&lt;/secondary-title&gt;&lt;/titles&gt;&lt;pages&gt;77-118&lt;/pages&gt;&lt;dates&gt;&lt;year&gt;2025&lt;/year&gt;&lt;/dates&gt;&lt;publisher&gt;IGI Global Scientific Publishing&lt;/publisher&gt;&lt;urls&gt;&lt;/urls&gt;&lt;electronic-resource-num&gt;https://doi.org/10.4018/979-8-3693-9851-7.ch003&lt;/electronic-resource-num&gt;&lt;/record&gt;&lt;/Cite&gt;&lt;/EndNote&gt;</w:instrText>
      </w:r>
      <w:r w:rsidRPr="00AA3F59">
        <w:rPr>
          <w:sz w:val="22"/>
          <w:szCs w:val="22"/>
        </w:rPr>
        <w:fldChar w:fldCharType="separate"/>
      </w:r>
      <w:r w:rsidRPr="00AA3F59">
        <w:rPr>
          <w:noProof/>
          <w:sz w:val="22"/>
          <w:szCs w:val="22"/>
        </w:rPr>
        <w:t>[2]</w:t>
      </w:r>
      <w:r w:rsidRPr="00AA3F59">
        <w:rPr>
          <w:sz w:val="22"/>
          <w:szCs w:val="22"/>
        </w:rPr>
        <w:fldChar w:fldCharType="end"/>
      </w:r>
      <w:r w:rsidRPr="00AA3F59">
        <w:rPr>
          <w:sz w:val="22"/>
          <w:szCs w:val="22"/>
        </w:rPr>
        <w:t xml:space="preserve">. Furthermore, the monitoring policy should include the </w:t>
      </w:r>
      <w:r w:rsidR="00D21C94" w:rsidRPr="00AA3F59">
        <w:rPr>
          <w:sz w:val="22"/>
          <w:szCs w:val="22"/>
        </w:rPr>
        <w:t>centralized</w:t>
      </w:r>
      <w:r w:rsidRPr="00AA3F59">
        <w:rPr>
          <w:sz w:val="22"/>
          <w:szCs w:val="22"/>
        </w:rPr>
        <w:t xml:space="preserve"> collection of logs from web apps, identity platforms, endpoint tools, databases, firewalls, and cloud services. Alerts need to have response playbooks mapped to them, and high-severity alerts need to be owned and have a time target. </w:t>
      </w:r>
    </w:p>
    <w:p w14:paraId="61DB426D" w14:textId="77777777" w:rsidR="00B24F05" w:rsidRPr="00AA3F59" w:rsidRDefault="00B24F05" w:rsidP="00DE34C4">
      <w:pPr>
        <w:pStyle w:val="Heading1"/>
        <w:numPr>
          <w:ilvl w:val="0"/>
          <w:numId w:val="0"/>
        </w:numPr>
        <w:spacing w:before="0" w:line="360" w:lineRule="auto"/>
        <w:jc w:val="both"/>
        <w:rPr>
          <w:b/>
          <w:bCs/>
          <w:sz w:val="22"/>
          <w:szCs w:val="22"/>
        </w:rPr>
      </w:pPr>
      <w:r w:rsidRPr="00AA3F59">
        <w:rPr>
          <w:rFonts w:eastAsia="Times New Roman"/>
          <w:b/>
          <w:bCs/>
          <w:sz w:val="22"/>
          <w:szCs w:val="22"/>
        </w:rPr>
        <w:lastRenderedPageBreak/>
        <w:t>4. Governance and Strategic Alignment Using NIST CSF 2.0</w:t>
      </w:r>
    </w:p>
    <w:p w14:paraId="33903FC4" w14:textId="59846129" w:rsidR="00B24F05" w:rsidRPr="00AA3F59" w:rsidRDefault="00B24F05" w:rsidP="00B24F05">
      <w:pPr>
        <w:spacing w:line="360" w:lineRule="auto"/>
        <w:jc w:val="both"/>
        <w:rPr>
          <w:sz w:val="22"/>
          <w:szCs w:val="22"/>
        </w:rPr>
      </w:pPr>
      <w:r w:rsidRPr="00AA3F59">
        <w:rPr>
          <w:sz w:val="22"/>
          <w:szCs w:val="22"/>
        </w:rPr>
        <w:t xml:space="preserve">NIST CSF 2.0 is suitable because it connects cybersecurity with enterprise risk management. It has six functions: Govern, Identify, Protect, Detect, Respond and Recover. The Govern function is of key importance for Equifax-type </w:t>
      </w:r>
      <w:r w:rsidR="00D21C94" w:rsidRPr="00AA3F59">
        <w:rPr>
          <w:sz w:val="22"/>
          <w:szCs w:val="22"/>
        </w:rPr>
        <w:t>organizations</w:t>
      </w:r>
      <w:r w:rsidRPr="00AA3F59">
        <w:rPr>
          <w:sz w:val="22"/>
          <w:szCs w:val="22"/>
        </w:rPr>
        <w:t xml:space="preserve"> as consumer trust, regulatory compliance and business continuity rely on the accountability of the Executive. This programme should set out a cyber-risk appetite statement that outlines unacceptable risk situations like Internet-facing services with critical vulnerabilities not patched, access with privileged credentials without multi-factor authentication, processing of regulated data using unsupported software, unencrypted bulk data extraction etc </w:t>
      </w:r>
      <w:r w:rsidRPr="00AA3F59">
        <w:rPr>
          <w:sz w:val="22"/>
          <w:szCs w:val="22"/>
        </w:rPr>
        <w:fldChar w:fldCharType="begin"/>
      </w:r>
      <w:r w:rsidRPr="00AA3F59">
        <w:rPr>
          <w:sz w:val="22"/>
          <w:szCs w:val="22"/>
        </w:rPr>
        <w:instrText xml:space="preserve"> ADDIN EN.CITE &lt;EndNote&gt;&lt;Cite&gt;&lt;Author&gt;Weis&lt;/Author&gt;&lt;Year&gt;2024&lt;/Year&gt;&lt;RecNum&gt;639&lt;/RecNum&gt;&lt;DisplayText&gt;[3]&lt;/DisplayText&gt;&lt;record&gt;&lt;rec-number&gt;639&lt;/rec-number&gt;&lt;foreign-keys&gt;&lt;key app="EN" db-id="099ptrwarsvtw4ezvanvzvxb22prvx0rfdvf" timestamp="1783509690"&gt;639&lt;/key&gt;&lt;/foreign-keys&gt;&lt;ref-type name="Book Section"&gt;5&lt;/ref-type&gt;&lt;contributors&gt;&lt;authors&gt;&lt;author&gt;Weis, Dan&lt;/author&gt;&lt;/authors&gt;&lt;secondary-authors&gt;&lt;author&gt;Weis, Dan&lt;/author&gt;&lt;/secondary-authors&gt;&lt;/contributors&gt;&lt;titles&gt;&lt;title&gt;Understanding Cyber Risk and Cyber Resilience&lt;/title&gt;&lt;secondary-title&gt;Boardroom Cybersecurity: A Director&amp;apos;s Guide to Mastering Cybersecurity Fundamentals&lt;/secondary-title&gt;&lt;/titles&gt;&lt;pages&gt;93-232&lt;/pages&gt;&lt;dates&gt;&lt;year&gt;2024&lt;/year&gt;&lt;pub-dates&gt;&lt;date&gt;2024//&lt;/date&gt;&lt;/pub-dates&gt;&lt;/dates&gt;&lt;pub-location&gt;Berkeley, CA&lt;/pub-location&gt;&lt;publisher&gt;Apress&lt;/publisher&gt;&lt;isbn&gt;979-8-8688-0785-5&lt;/isbn&gt;&lt;urls&gt;&lt;related-urls&gt;&lt;url&gt;https://doi.org/10.1007/979-8-8688-0785-5_7&lt;/url&gt;&lt;/related-urls&gt;&lt;/urls&gt;&lt;electronic-resource-num&gt;10.1007/979-8-8688-0785-5_7&lt;/electronic-resource-num&gt;&lt;/record&gt;&lt;/Cite&gt;&lt;/EndNote&gt;</w:instrText>
      </w:r>
      <w:r w:rsidRPr="00AA3F59">
        <w:rPr>
          <w:sz w:val="22"/>
          <w:szCs w:val="22"/>
        </w:rPr>
        <w:fldChar w:fldCharType="separate"/>
      </w:r>
      <w:r w:rsidRPr="00AA3F59">
        <w:rPr>
          <w:noProof/>
          <w:sz w:val="22"/>
          <w:szCs w:val="22"/>
        </w:rPr>
        <w:t>[3]</w:t>
      </w:r>
      <w:r w:rsidRPr="00AA3F59">
        <w:rPr>
          <w:sz w:val="22"/>
          <w:szCs w:val="22"/>
        </w:rPr>
        <w:fldChar w:fldCharType="end"/>
      </w:r>
      <w:r w:rsidRPr="00AA3F59">
        <w:rPr>
          <w:sz w:val="22"/>
          <w:szCs w:val="22"/>
        </w:rPr>
        <w:t>.</w:t>
      </w:r>
    </w:p>
    <w:p w14:paraId="3FEB18D2" w14:textId="02EBC4AE" w:rsidR="00B24F05" w:rsidRPr="00AA3F59" w:rsidRDefault="00B24F05" w:rsidP="00B24F05">
      <w:pPr>
        <w:spacing w:line="360" w:lineRule="auto"/>
        <w:jc w:val="both"/>
        <w:rPr>
          <w:sz w:val="22"/>
          <w:szCs w:val="22"/>
        </w:rPr>
      </w:pPr>
      <w:r w:rsidRPr="00AA3F59">
        <w:rPr>
          <w:sz w:val="22"/>
          <w:szCs w:val="22"/>
        </w:rPr>
        <w:t xml:space="preserve">Inventory assets, business-impact analysis, mapping and data classification from third parties are identified. </w:t>
      </w:r>
      <w:r w:rsidR="00B63E69" w:rsidRPr="00AA3F59">
        <w:rPr>
          <w:sz w:val="22"/>
          <w:szCs w:val="22"/>
        </w:rPr>
        <w:t>Responding</w:t>
      </w:r>
      <w:r w:rsidRPr="00AA3F59">
        <w:rPr>
          <w:sz w:val="22"/>
          <w:szCs w:val="22"/>
        </w:rPr>
        <w:t xml:space="preserve"> should include tested incident playbooks, decision trees for legal notification, communications with the Executive and forensic preservation. Recover involves business continuity, disaster recovery, consumer support, and lessons learned and control improvement </w:t>
      </w:r>
      <w:r w:rsidRPr="00AA3F59">
        <w:rPr>
          <w:sz w:val="22"/>
          <w:szCs w:val="22"/>
        </w:rPr>
        <w:fldChar w:fldCharType="begin"/>
      </w:r>
      <w:r w:rsidRPr="00AA3F59">
        <w:rPr>
          <w:sz w:val="22"/>
          <w:szCs w:val="22"/>
        </w:rPr>
        <w:instrText xml:space="preserve"> ADDIN EN.CITE &lt;EndNote&gt;&lt;Cite&gt;&lt;Author&gt;Kesa&lt;/Author&gt;&lt;Year&gt;2023&lt;/Year&gt;&lt;RecNum&gt;640&lt;/RecNum&gt;&lt;DisplayText&gt;[4]&lt;/DisplayText&gt;&lt;record&gt;&lt;rec-number&gt;640&lt;/rec-number&gt;&lt;foreign-keys&gt;&lt;key app="EN" db-id="099ptrwarsvtw4ezvanvzvxb22prvx0rfdvf" timestamp="1783509768"&gt;640&lt;/key&gt;&lt;/foreign-keys&gt;&lt;ref-type name="Journal Article"&gt;17&lt;/ref-type&gt;&lt;contributors&gt;&lt;authors&gt;&lt;author&gt;Kesa, Derick Musundi&lt;/author&gt;&lt;/authors&gt;&lt;/contributors&gt;&lt;titles&gt;&lt;title&gt;Ensuring resilience: Integrating IT disaster recovery planning and business continuity for sustainable information technology operations&lt;/title&gt;&lt;secondary-title&gt;World Journal of Advanced Research and Reviews&lt;/secondary-title&gt;&lt;/titles&gt;&lt;periodical&gt;&lt;full-title&gt;World Journal of Advanced Research and Reviews&lt;/full-title&gt;&lt;/periodical&gt;&lt;pages&gt;970-992&lt;/pages&gt;&lt;volume&gt;18&lt;/volume&gt;&lt;number&gt;3&lt;/number&gt;&lt;dates&gt;&lt;year&gt;2023&lt;/year&gt;&lt;/dates&gt;&lt;urls&gt;&lt;/urls&gt;&lt;electronic-resource-num&gt;https://doi.org/10.30574/wjarr.2023.18.3.1166&lt;/electronic-resource-num&gt;&lt;/record&gt;&lt;/Cite&gt;&lt;/EndNote&gt;</w:instrText>
      </w:r>
      <w:r w:rsidRPr="00AA3F59">
        <w:rPr>
          <w:sz w:val="22"/>
          <w:szCs w:val="22"/>
        </w:rPr>
        <w:fldChar w:fldCharType="separate"/>
      </w:r>
      <w:r w:rsidRPr="00AA3F59">
        <w:rPr>
          <w:noProof/>
          <w:sz w:val="22"/>
          <w:szCs w:val="22"/>
        </w:rPr>
        <w:t>[4]</w:t>
      </w:r>
      <w:r w:rsidRPr="00AA3F59">
        <w:rPr>
          <w:sz w:val="22"/>
          <w:szCs w:val="22"/>
        </w:rPr>
        <w:fldChar w:fldCharType="end"/>
      </w:r>
      <w:r w:rsidRPr="00AA3F59">
        <w:rPr>
          <w:sz w:val="22"/>
          <w:szCs w:val="22"/>
        </w:rPr>
        <w:t xml:space="preserve">. This alignment reveals that cybersecurity is not just a standalone objective but an integral component of business objectives. It helps to safeguard customer trust and </w:t>
      </w:r>
      <w:r w:rsidR="00D21C94" w:rsidRPr="00AA3F59">
        <w:rPr>
          <w:sz w:val="22"/>
          <w:szCs w:val="22"/>
        </w:rPr>
        <w:t>minimize</w:t>
      </w:r>
      <w:r w:rsidRPr="00AA3F59">
        <w:rPr>
          <w:sz w:val="22"/>
          <w:szCs w:val="22"/>
        </w:rPr>
        <w:t xml:space="preserve"> customer regulatory risk, ensures services are continuous and enhances long-term service resilience.</w:t>
      </w:r>
    </w:p>
    <w:p w14:paraId="3924093B" w14:textId="00858F01" w:rsidR="00B24F05" w:rsidRPr="00AA3F59" w:rsidRDefault="00B24F05" w:rsidP="00DE34C4">
      <w:pPr>
        <w:pStyle w:val="Heading1"/>
        <w:numPr>
          <w:ilvl w:val="0"/>
          <w:numId w:val="0"/>
        </w:numPr>
        <w:spacing w:before="0" w:line="360" w:lineRule="auto"/>
        <w:jc w:val="both"/>
        <w:rPr>
          <w:b/>
          <w:bCs/>
          <w:sz w:val="22"/>
          <w:szCs w:val="22"/>
        </w:rPr>
      </w:pPr>
      <w:r w:rsidRPr="00AA3F59">
        <w:rPr>
          <w:rFonts w:eastAsia="Times New Roman"/>
          <w:b/>
          <w:bCs/>
          <w:sz w:val="22"/>
          <w:szCs w:val="22"/>
        </w:rPr>
        <w:t>5. High-Level Risk Management and Assessment</w:t>
      </w:r>
    </w:p>
    <w:p w14:paraId="3682E737" w14:textId="29E4FAD7" w:rsidR="00B24F05" w:rsidRPr="00AA3F59" w:rsidRDefault="00B24F05" w:rsidP="00B24F05">
      <w:pPr>
        <w:spacing w:line="360" w:lineRule="auto"/>
        <w:jc w:val="both"/>
        <w:rPr>
          <w:sz w:val="22"/>
          <w:szCs w:val="22"/>
        </w:rPr>
      </w:pPr>
      <w:r w:rsidRPr="00AA3F59">
        <w:rPr>
          <w:sz w:val="22"/>
          <w:szCs w:val="22"/>
        </w:rPr>
        <w:t xml:space="preserve">There are four priority risks identified in the Equifax scenario in a high-level risk assessment. First of all, web applications that are exposed to the Internet are high likelihood, high impact, as they are accessible to attackers and can contain regulated personal data. The Apache Struts issue is an example of such an issue. External attack-surface management, emergency patching, web app firewalls, application security testing and compensating isolation (CAI) when there is no patch available immediately are all mitigations </w:t>
      </w:r>
      <w:r w:rsidRPr="00AA3F59">
        <w:rPr>
          <w:sz w:val="22"/>
          <w:szCs w:val="22"/>
        </w:rPr>
        <w:fldChar w:fldCharType="begin"/>
      </w:r>
      <w:r w:rsidRPr="00AA3F59">
        <w:rPr>
          <w:sz w:val="22"/>
          <w:szCs w:val="22"/>
        </w:rPr>
        <w:instrText xml:space="preserve"> ADDIN EN.CITE &lt;EndNote&gt;&lt;Cite&gt;&lt;Author&gt;Cui&lt;/Author&gt;&lt;Year&gt;2025&lt;/Year&gt;&lt;RecNum&gt;641&lt;/RecNum&gt;&lt;DisplayText&gt;[5]&lt;/DisplayText&gt;&lt;record&gt;&lt;rec-number&gt;641&lt;/rec-number&gt;&lt;foreign-keys&gt;&lt;key app="EN" db-id="099ptrwarsvtw4ezvanvzvxb22prvx0rfdvf" timestamp="1783509950"&gt;641&lt;/key&gt;&lt;/foreign-keys&gt;&lt;ref-type name="Journal Article"&gt;17&lt;/ref-type&gt;&lt;contributors&gt;&lt;authors&gt;&lt;author&gt;Cui, Zhuohan&lt;/author&gt;&lt;author&gt;Song, Zikun&lt;/author&gt;&lt;/authors&gt;&lt;/contributors&gt;&lt;titles&gt;&lt;title&gt;Enterprise Security Incident Analysis and Countermeasures Based on the T-Mobile Data Breach&lt;/title&gt;&lt;secondary-title&gt;arXiv preprint arXiv:2507.12937&lt;/secondary-title&gt;&lt;/titles&gt;&lt;periodical&gt;&lt;full-title&gt;arXiv preprint arXiv:2507.12937&lt;/full-title&gt;&lt;/periodical&gt;&lt;dates&gt;&lt;year&gt;2025&lt;/year&gt;&lt;/dates&gt;&lt;urls&gt;&lt;/urls&gt;&lt;electronic-resource-num&gt;https://doi.org/10.48550/arXiv.2507.12937&lt;/electronic-resource-num&gt;&lt;/record&gt;&lt;/Cite&gt;&lt;/EndNote&gt;</w:instrText>
      </w:r>
      <w:r w:rsidRPr="00AA3F59">
        <w:rPr>
          <w:sz w:val="22"/>
          <w:szCs w:val="22"/>
        </w:rPr>
        <w:fldChar w:fldCharType="separate"/>
      </w:r>
      <w:r w:rsidRPr="00AA3F59">
        <w:rPr>
          <w:noProof/>
          <w:sz w:val="22"/>
          <w:szCs w:val="22"/>
        </w:rPr>
        <w:t>[5]</w:t>
      </w:r>
      <w:r w:rsidRPr="00AA3F59">
        <w:rPr>
          <w:sz w:val="22"/>
          <w:szCs w:val="22"/>
        </w:rPr>
        <w:fldChar w:fldCharType="end"/>
      </w:r>
      <w:r w:rsidRPr="00AA3F59">
        <w:rPr>
          <w:sz w:val="22"/>
          <w:szCs w:val="22"/>
        </w:rPr>
        <w:t xml:space="preserve">. Second, patch gaps lead to systemic risk, as once public proof-of-concept information is available, there is an easier path to exploit the known vulnerabilities. The mitigation(s) are software bill of materials, dependency scanning and vendor advisory monitoring. Fourth, a segmentation weakness has an impact because once an attacker gains access to one application, they have access to databases or other systems. The Zero Trust mitigation measures are Zero Trust segmentation, identity-based access, network allowlisting, and database activity monitoring </w:t>
      </w:r>
      <w:r w:rsidRPr="00AA3F59">
        <w:rPr>
          <w:sz w:val="22"/>
          <w:szCs w:val="22"/>
        </w:rPr>
        <w:fldChar w:fldCharType="begin"/>
      </w:r>
      <w:r w:rsidRPr="00AA3F59">
        <w:rPr>
          <w:sz w:val="22"/>
          <w:szCs w:val="22"/>
        </w:rPr>
        <w:instrText xml:space="preserve"> ADDIN EN.CITE &lt;EndNote&gt;&lt;Cite&gt;&lt;Author&gt;George&lt;/Author&gt;&lt;Year&gt;2026&lt;/Year&gt;&lt;RecNum&gt;642&lt;/RecNum&gt;&lt;DisplayText&gt;[6]&lt;/DisplayText&gt;&lt;record&gt;&lt;rec-number&gt;642&lt;/rec-number&gt;&lt;foreign-keys&gt;&lt;key app="EN" db-id="099ptrwarsvtw4ezvanvzvxb22prvx0rfdvf" timestamp="1783509997"&gt;642&lt;/key&gt;&lt;/foreign-keys&gt;&lt;ref-type name="Journal Article"&gt;17&lt;/ref-type&gt;&lt;contributors&gt;&lt;authors&gt;&lt;author&gt;George, A Shaji&lt;/author&gt;&lt;author&gt;Baskar, T&lt;/author&gt;&lt;author&gt;Karthikeyan, MM&lt;/author&gt;&lt;/authors&gt;&lt;/contributors&gt;&lt;titles&gt;&lt;title&gt;Cloud Security Architecture: A Comprehensive Guide to Zero Trust, Governance, and Operational Resilience&lt;/title&gt;&lt;secondary-title&gt;Partners Universal International Innovation Journal&lt;/secondary-title&gt;&lt;/titles&gt;&lt;periodical&gt;&lt;full-title&gt;Partners Universal International Innovation Journal&lt;/full-title&gt;&lt;/periodical&gt;&lt;pages&gt;44-69&lt;/pages&gt;&lt;volume&gt;4&lt;/volume&gt;&lt;number&gt;2&lt;/number&gt;&lt;dates&gt;&lt;year&gt;2026&lt;/year&gt;&lt;/dates&gt;&lt;isbn&gt;2583-9675&lt;/isbn&gt;&lt;urls&gt;&lt;/urls&gt;&lt;electronic-resource-num&gt;https://doi.org/10.5281/zenodo.19551592%20&lt;/electronic-resource-num&gt;&lt;/record&gt;&lt;/Cite&gt;&lt;/EndNote&gt;</w:instrText>
      </w:r>
      <w:r w:rsidRPr="00AA3F59">
        <w:rPr>
          <w:sz w:val="22"/>
          <w:szCs w:val="22"/>
        </w:rPr>
        <w:fldChar w:fldCharType="separate"/>
      </w:r>
      <w:r w:rsidRPr="00AA3F59">
        <w:rPr>
          <w:noProof/>
          <w:sz w:val="22"/>
          <w:szCs w:val="22"/>
        </w:rPr>
        <w:t>[6]</w:t>
      </w:r>
      <w:r w:rsidRPr="00AA3F59">
        <w:rPr>
          <w:sz w:val="22"/>
          <w:szCs w:val="22"/>
        </w:rPr>
        <w:fldChar w:fldCharType="end"/>
      </w:r>
      <w:r w:rsidRPr="00AA3F59">
        <w:rPr>
          <w:sz w:val="22"/>
          <w:szCs w:val="22"/>
        </w:rPr>
        <w:t>.</w:t>
      </w:r>
    </w:p>
    <w:p w14:paraId="56ECE718" w14:textId="1D905C69" w:rsidR="00B24F05" w:rsidRPr="00AA3F59" w:rsidRDefault="00B24F05" w:rsidP="00B24F05">
      <w:pPr>
        <w:spacing w:line="360" w:lineRule="auto"/>
        <w:jc w:val="both"/>
        <w:rPr>
          <w:sz w:val="22"/>
          <w:szCs w:val="22"/>
        </w:rPr>
      </w:pPr>
      <w:r w:rsidRPr="00AA3F59">
        <w:rPr>
          <w:sz w:val="22"/>
          <w:szCs w:val="22"/>
        </w:rPr>
        <w:t xml:space="preserve">Risk </w:t>
      </w:r>
      <w:r w:rsidR="00B8149E" w:rsidRPr="00AA3F59">
        <w:rPr>
          <w:sz w:val="22"/>
          <w:szCs w:val="22"/>
        </w:rPr>
        <w:t>prioritization</w:t>
      </w:r>
      <w:r w:rsidRPr="00AA3F59">
        <w:rPr>
          <w:sz w:val="22"/>
          <w:szCs w:val="22"/>
        </w:rPr>
        <w:t xml:space="preserve"> should combine likelihood, impact and maturity control. The most critical vulnerabilities that affect applications running on the web that are connected to sensitive data should be </w:t>
      </w:r>
      <w:r w:rsidR="009D466B" w:rsidRPr="00AA3F59">
        <w:rPr>
          <w:sz w:val="22"/>
          <w:szCs w:val="22"/>
        </w:rPr>
        <w:t>prioritized</w:t>
      </w:r>
      <w:r w:rsidRPr="00AA3F59">
        <w:rPr>
          <w:sz w:val="22"/>
          <w:szCs w:val="22"/>
        </w:rPr>
        <w:t xml:space="preserve"> as they are known to be exploitable, have a high exposure and severe regulatory impact. Risks should be documented in a live risk register and added to the Board Risk and Cybersecurity Committee's agenda to be reviewed by the accountable owner(s). If mitigating the risk is not possible in the timeframe requested, then the residual risk should be accepted only when the business owner, CISO and executive risk owner agree that suitable controls have been put in place to compensate for this risk.</w:t>
      </w:r>
    </w:p>
    <w:p w14:paraId="596A73CF" w14:textId="77777777" w:rsidR="00B24F05" w:rsidRPr="00AA3F59" w:rsidRDefault="00B24F05" w:rsidP="00B24F05">
      <w:pPr>
        <w:spacing w:line="360" w:lineRule="auto"/>
        <w:jc w:val="both"/>
        <w:rPr>
          <w:sz w:val="22"/>
          <w:szCs w:val="22"/>
        </w:rPr>
      </w:pPr>
      <w:r w:rsidRPr="00AA3F59">
        <w:rPr>
          <w:b/>
          <w:bCs/>
          <w:sz w:val="22"/>
          <w:szCs w:val="22"/>
        </w:rPr>
        <w:lastRenderedPageBreak/>
        <w:t>Table 1.</w:t>
      </w:r>
      <w:r w:rsidRPr="00AA3F59">
        <w:rPr>
          <w:sz w:val="22"/>
          <w:szCs w:val="22"/>
        </w:rPr>
        <w:t xml:space="preserve"> High-level risk assessment for the Equifax breach scenario.</w:t>
      </w:r>
    </w:p>
    <w:tbl>
      <w:tblPr>
        <w:tblStyle w:val="GridTable4-Accent4"/>
        <w:tblW w:w="0" w:type="auto"/>
        <w:tblLook w:val="04A0" w:firstRow="1" w:lastRow="0" w:firstColumn="1" w:lastColumn="0" w:noHBand="0" w:noVBand="1"/>
      </w:tblPr>
      <w:tblGrid>
        <w:gridCol w:w="1866"/>
        <w:gridCol w:w="1803"/>
        <w:gridCol w:w="1733"/>
        <w:gridCol w:w="1744"/>
        <w:gridCol w:w="1870"/>
      </w:tblGrid>
      <w:tr w:rsidR="00B24F05" w:rsidRPr="00AA3F59" w14:paraId="2D984929" w14:textId="77777777" w:rsidTr="003B59F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7" w:type="dxa"/>
          </w:tcPr>
          <w:p w14:paraId="63E9C236" w14:textId="77777777" w:rsidR="00B24F05" w:rsidRPr="00AA3F59" w:rsidRDefault="00B24F05" w:rsidP="003B59FB">
            <w:pPr>
              <w:spacing w:line="360" w:lineRule="auto"/>
              <w:jc w:val="both"/>
            </w:pPr>
            <w:r w:rsidRPr="00AA3F59">
              <w:t>Risk</w:t>
            </w:r>
          </w:p>
        </w:tc>
        <w:tc>
          <w:tcPr>
            <w:tcW w:w="1987" w:type="dxa"/>
          </w:tcPr>
          <w:p w14:paraId="19CC6EAE" w14:textId="77777777" w:rsidR="00B24F05" w:rsidRPr="00AA3F59" w:rsidRDefault="00B24F05" w:rsidP="003B59FB">
            <w:pPr>
              <w:spacing w:line="360" w:lineRule="auto"/>
              <w:jc w:val="both"/>
              <w:cnfStyle w:val="100000000000" w:firstRow="1" w:lastRow="0" w:firstColumn="0" w:lastColumn="0" w:oddVBand="0" w:evenVBand="0" w:oddHBand="0" w:evenHBand="0" w:firstRowFirstColumn="0" w:firstRowLastColumn="0" w:lastRowFirstColumn="0" w:lastRowLastColumn="0"/>
            </w:pPr>
            <w:r w:rsidRPr="00AA3F59">
              <w:t>Likelihood</w:t>
            </w:r>
          </w:p>
        </w:tc>
        <w:tc>
          <w:tcPr>
            <w:tcW w:w="1987" w:type="dxa"/>
          </w:tcPr>
          <w:p w14:paraId="52BED39D" w14:textId="77777777" w:rsidR="00B24F05" w:rsidRPr="00AA3F59" w:rsidRDefault="00B24F05" w:rsidP="003B59FB">
            <w:pPr>
              <w:spacing w:line="360" w:lineRule="auto"/>
              <w:jc w:val="both"/>
              <w:cnfStyle w:val="100000000000" w:firstRow="1" w:lastRow="0" w:firstColumn="0" w:lastColumn="0" w:oddVBand="0" w:evenVBand="0" w:oddHBand="0" w:evenHBand="0" w:firstRowFirstColumn="0" w:firstRowLastColumn="0" w:lastRowFirstColumn="0" w:lastRowLastColumn="0"/>
            </w:pPr>
            <w:r w:rsidRPr="00AA3F59">
              <w:t>Impact</w:t>
            </w:r>
          </w:p>
        </w:tc>
        <w:tc>
          <w:tcPr>
            <w:tcW w:w="1987" w:type="dxa"/>
          </w:tcPr>
          <w:p w14:paraId="7DC91608" w14:textId="77777777" w:rsidR="00B24F05" w:rsidRPr="00AA3F59" w:rsidRDefault="00B24F05" w:rsidP="003B59FB">
            <w:pPr>
              <w:spacing w:line="360" w:lineRule="auto"/>
              <w:jc w:val="both"/>
              <w:cnfStyle w:val="100000000000" w:firstRow="1" w:lastRow="0" w:firstColumn="0" w:lastColumn="0" w:oddVBand="0" w:evenVBand="0" w:oddHBand="0" w:evenHBand="0" w:firstRowFirstColumn="0" w:firstRowLastColumn="0" w:lastRowFirstColumn="0" w:lastRowLastColumn="0"/>
            </w:pPr>
            <w:r w:rsidRPr="00AA3F59">
              <w:t>Priority</w:t>
            </w:r>
          </w:p>
        </w:tc>
        <w:tc>
          <w:tcPr>
            <w:tcW w:w="1987" w:type="dxa"/>
          </w:tcPr>
          <w:p w14:paraId="265F359B" w14:textId="77777777" w:rsidR="00B24F05" w:rsidRPr="00AA3F59" w:rsidRDefault="00B24F05" w:rsidP="003B59FB">
            <w:pPr>
              <w:spacing w:line="360" w:lineRule="auto"/>
              <w:jc w:val="both"/>
              <w:cnfStyle w:val="100000000000" w:firstRow="1" w:lastRow="0" w:firstColumn="0" w:lastColumn="0" w:oddVBand="0" w:evenVBand="0" w:oddHBand="0" w:evenHBand="0" w:firstRowFirstColumn="0" w:firstRowLastColumn="0" w:lastRowFirstColumn="0" w:lastRowLastColumn="0"/>
            </w:pPr>
            <w:r w:rsidRPr="00AA3F59">
              <w:t>Main mitigation</w:t>
            </w:r>
          </w:p>
        </w:tc>
      </w:tr>
      <w:tr w:rsidR="00B24F05" w:rsidRPr="00AA3F59" w14:paraId="7CA8203D" w14:textId="77777777" w:rsidTr="003B59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7" w:type="dxa"/>
          </w:tcPr>
          <w:p w14:paraId="463B792B" w14:textId="77777777" w:rsidR="00B24F05" w:rsidRPr="00AA3F59" w:rsidRDefault="00B24F05" w:rsidP="003B59FB">
            <w:pPr>
              <w:spacing w:line="360" w:lineRule="auto"/>
              <w:jc w:val="both"/>
            </w:pPr>
            <w:r w:rsidRPr="00AA3F59">
              <w:rPr>
                <w:b w:val="0"/>
              </w:rPr>
              <w:t>Internet-facing vulnerable web applications</w:t>
            </w:r>
          </w:p>
        </w:tc>
        <w:tc>
          <w:tcPr>
            <w:tcW w:w="1987" w:type="dxa"/>
          </w:tcPr>
          <w:p w14:paraId="72A44733" w14:textId="77777777" w:rsidR="00B24F05" w:rsidRPr="00AA3F59" w:rsidRDefault="00B24F05" w:rsidP="003B59FB">
            <w:pPr>
              <w:spacing w:line="360" w:lineRule="auto"/>
              <w:jc w:val="both"/>
              <w:cnfStyle w:val="000000100000" w:firstRow="0" w:lastRow="0" w:firstColumn="0" w:lastColumn="0" w:oddVBand="0" w:evenVBand="0" w:oddHBand="1" w:evenHBand="0" w:firstRowFirstColumn="0" w:firstRowLastColumn="0" w:lastRowFirstColumn="0" w:lastRowLastColumn="0"/>
            </w:pPr>
            <w:r w:rsidRPr="00AA3F59">
              <w:t>High</w:t>
            </w:r>
          </w:p>
        </w:tc>
        <w:tc>
          <w:tcPr>
            <w:tcW w:w="1987" w:type="dxa"/>
          </w:tcPr>
          <w:p w14:paraId="234C74E7" w14:textId="77777777" w:rsidR="00B24F05" w:rsidRPr="00AA3F59" w:rsidRDefault="00B24F05" w:rsidP="003B59FB">
            <w:pPr>
              <w:spacing w:line="360" w:lineRule="auto"/>
              <w:jc w:val="both"/>
              <w:cnfStyle w:val="000000100000" w:firstRow="0" w:lastRow="0" w:firstColumn="0" w:lastColumn="0" w:oddVBand="0" w:evenVBand="0" w:oddHBand="1" w:evenHBand="0" w:firstRowFirstColumn="0" w:firstRowLastColumn="0" w:lastRowFirstColumn="0" w:lastRowLastColumn="0"/>
            </w:pPr>
            <w:r w:rsidRPr="00AA3F59">
              <w:t>Very high</w:t>
            </w:r>
          </w:p>
        </w:tc>
        <w:tc>
          <w:tcPr>
            <w:tcW w:w="1987" w:type="dxa"/>
          </w:tcPr>
          <w:p w14:paraId="472D81AF" w14:textId="77777777" w:rsidR="00B24F05" w:rsidRPr="00AA3F59" w:rsidRDefault="00B24F05" w:rsidP="003B59FB">
            <w:pPr>
              <w:spacing w:line="360" w:lineRule="auto"/>
              <w:jc w:val="both"/>
              <w:cnfStyle w:val="000000100000" w:firstRow="0" w:lastRow="0" w:firstColumn="0" w:lastColumn="0" w:oddVBand="0" w:evenVBand="0" w:oddHBand="1" w:evenHBand="0" w:firstRowFirstColumn="0" w:firstRowLastColumn="0" w:lastRowFirstColumn="0" w:lastRowLastColumn="0"/>
            </w:pPr>
            <w:r w:rsidRPr="00AA3F59">
              <w:t>Critical</w:t>
            </w:r>
          </w:p>
        </w:tc>
        <w:tc>
          <w:tcPr>
            <w:tcW w:w="1987" w:type="dxa"/>
          </w:tcPr>
          <w:p w14:paraId="37D4E028" w14:textId="77777777" w:rsidR="00B24F05" w:rsidRPr="00AA3F59" w:rsidRDefault="00B24F05" w:rsidP="003B59FB">
            <w:pPr>
              <w:spacing w:line="360" w:lineRule="auto"/>
              <w:jc w:val="both"/>
              <w:cnfStyle w:val="000000100000" w:firstRow="0" w:lastRow="0" w:firstColumn="0" w:lastColumn="0" w:oddVBand="0" w:evenVBand="0" w:oddHBand="1" w:evenHBand="0" w:firstRowFirstColumn="0" w:firstRowLastColumn="0" w:lastRowFirstColumn="0" w:lastRowLastColumn="0"/>
            </w:pPr>
            <w:r w:rsidRPr="00AA3F59">
              <w:t>Attack-surface management, emergency patching, WAF and isolation</w:t>
            </w:r>
          </w:p>
        </w:tc>
      </w:tr>
      <w:tr w:rsidR="00B24F05" w:rsidRPr="00AA3F59" w14:paraId="3351E7A9" w14:textId="77777777" w:rsidTr="003B59FB">
        <w:tc>
          <w:tcPr>
            <w:cnfStyle w:val="001000000000" w:firstRow="0" w:lastRow="0" w:firstColumn="1" w:lastColumn="0" w:oddVBand="0" w:evenVBand="0" w:oddHBand="0" w:evenHBand="0" w:firstRowFirstColumn="0" w:firstRowLastColumn="0" w:lastRowFirstColumn="0" w:lastRowLastColumn="0"/>
            <w:tcW w:w="1987" w:type="dxa"/>
          </w:tcPr>
          <w:p w14:paraId="58E9CFD3" w14:textId="77777777" w:rsidR="00B24F05" w:rsidRPr="00AA3F59" w:rsidRDefault="00B24F05" w:rsidP="003B59FB">
            <w:pPr>
              <w:spacing w:line="360" w:lineRule="auto"/>
              <w:jc w:val="both"/>
            </w:pPr>
            <w:r w:rsidRPr="00AA3F59">
              <w:rPr>
                <w:b w:val="0"/>
              </w:rPr>
              <w:t>Patch gaps and weak remediation evidence</w:t>
            </w:r>
          </w:p>
        </w:tc>
        <w:tc>
          <w:tcPr>
            <w:tcW w:w="1987" w:type="dxa"/>
          </w:tcPr>
          <w:p w14:paraId="1CD6C1AC" w14:textId="77777777" w:rsidR="00B24F05" w:rsidRPr="00AA3F59" w:rsidRDefault="00B24F05" w:rsidP="003B59FB">
            <w:pPr>
              <w:spacing w:line="360" w:lineRule="auto"/>
              <w:jc w:val="both"/>
              <w:cnfStyle w:val="000000000000" w:firstRow="0" w:lastRow="0" w:firstColumn="0" w:lastColumn="0" w:oddVBand="0" w:evenVBand="0" w:oddHBand="0" w:evenHBand="0" w:firstRowFirstColumn="0" w:firstRowLastColumn="0" w:lastRowFirstColumn="0" w:lastRowLastColumn="0"/>
            </w:pPr>
            <w:r w:rsidRPr="00AA3F59">
              <w:t>High</w:t>
            </w:r>
          </w:p>
        </w:tc>
        <w:tc>
          <w:tcPr>
            <w:tcW w:w="1987" w:type="dxa"/>
          </w:tcPr>
          <w:p w14:paraId="75D0AC29" w14:textId="77777777" w:rsidR="00B24F05" w:rsidRPr="00AA3F59" w:rsidRDefault="00B24F05" w:rsidP="003B59FB">
            <w:pPr>
              <w:spacing w:line="360" w:lineRule="auto"/>
              <w:jc w:val="both"/>
              <w:cnfStyle w:val="000000000000" w:firstRow="0" w:lastRow="0" w:firstColumn="0" w:lastColumn="0" w:oddVBand="0" w:evenVBand="0" w:oddHBand="0" w:evenHBand="0" w:firstRowFirstColumn="0" w:firstRowLastColumn="0" w:lastRowFirstColumn="0" w:lastRowLastColumn="0"/>
            </w:pPr>
            <w:r w:rsidRPr="00AA3F59">
              <w:t>Very high</w:t>
            </w:r>
          </w:p>
        </w:tc>
        <w:tc>
          <w:tcPr>
            <w:tcW w:w="1987" w:type="dxa"/>
          </w:tcPr>
          <w:p w14:paraId="6169A870" w14:textId="77777777" w:rsidR="00B24F05" w:rsidRPr="00AA3F59" w:rsidRDefault="00B24F05" w:rsidP="003B59FB">
            <w:pPr>
              <w:spacing w:line="360" w:lineRule="auto"/>
              <w:jc w:val="both"/>
              <w:cnfStyle w:val="000000000000" w:firstRow="0" w:lastRow="0" w:firstColumn="0" w:lastColumn="0" w:oddVBand="0" w:evenVBand="0" w:oddHBand="0" w:evenHBand="0" w:firstRowFirstColumn="0" w:firstRowLastColumn="0" w:lastRowFirstColumn="0" w:lastRowLastColumn="0"/>
            </w:pPr>
            <w:r w:rsidRPr="00AA3F59">
              <w:t>Critical</w:t>
            </w:r>
          </w:p>
        </w:tc>
        <w:tc>
          <w:tcPr>
            <w:tcW w:w="1987" w:type="dxa"/>
          </w:tcPr>
          <w:p w14:paraId="2D6FC128" w14:textId="77777777" w:rsidR="00B24F05" w:rsidRPr="00AA3F59" w:rsidRDefault="00B24F05" w:rsidP="003B59FB">
            <w:pPr>
              <w:spacing w:line="360" w:lineRule="auto"/>
              <w:jc w:val="both"/>
              <w:cnfStyle w:val="000000000000" w:firstRow="0" w:lastRow="0" w:firstColumn="0" w:lastColumn="0" w:oddVBand="0" w:evenVBand="0" w:oddHBand="0" w:evenHBand="0" w:firstRowFirstColumn="0" w:firstRowLastColumn="0" w:lastRowFirstColumn="0" w:lastRowLastColumn="0"/>
            </w:pPr>
            <w:r w:rsidRPr="00AA3F59">
              <w:t>SLA-based patch process, validation scans and executive exceptions</w:t>
            </w:r>
          </w:p>
        </w:tc>
      </w:tr>
      <w:tr w:rsidR="00B24F05" w:rsidRPr="00AA3F59" w14:paraId="78B6D241" w14:textId="77777777" w:rsidTr="003B59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7" w:type="dxa"/>
          </w:tcPr>
          <w:p w14:paraId="683106D9" w14:textId="77777777" w:rsidR="00B24F05" w:rsidRPr="00AA3F59" w:rsidRDefault="00B24F05" w:rsidP="003B59FB">
            <w:pPr>
              <w:spacing w:line="360" w:lineRule="auto"/>
              <w:jc w:val="both"/>
            </w:pPr>
            <w:r w:rsidRPr="00AA3F59">
              <w:rPr>
                <w:b w:val="0"/>
              </w:rPr>
              <w:t>Open-source and third-party component exposure</w:t>
            </w:r>
          </w:p>
        </w:tc>
        <w:tc>
          <w:tcPr>
            <w:tcW w:w="1987" w:type="dxa"/>
          </w:tcPr>
          <w:p w14:paraId="3BE0A579" w14:textId="77777777" w:rsidR="00B24F05" w:rsidRPr="00AA3F59" w:rsidRDefault="00B24F05" w:rsidP="003B59FB">
            <w:pPr>
              <w:spacing w:line="360" w:lineRule="auto"/>
              <w:jc w:val="both"/>
              <w:cnfStyle w:val="000000100000" w:firstRow="0" w:lastRow="0" w:firstColumn="0" w:lastColumn="0" w:oddVBand="0" w:evenVBand="0" w:oddHBand="1" w:evenHBand="0" w:firstRowFirstColumn="0" w:firstRowLastColumn="0" w:lastRowFirstColumn="0" w:lastRowLastColumn="0"/>
            </w:pPr>
            <w:r w:rsidRPr="00AA3F59">
              <w:t>Medium-high</w:t>
            </w:r>
          </w:p>
        </w:tc>
        <w:tc>
          <w:tcPr>
            <w:tcW w:w="1987" w:type="dxa"/>
          </w:tcPr>
          <w:p w14:paraId="3438E95A" w14:textId="77777777" w:rsidR="00B24F05" w:rsidRPr="00AA3F59" w:rsidRDefault="00B24F05" w:rsidP="003B59FB">
            <w:pPr>
              <w:spacing w:line="360" w:lineRule="auto"/>
              <w:jc w:val="both"/>
              <w:cnfStyle w:val="000000100000" w:firstRow="0" w:lastRow="0" w:firstColumn="0" w:lastColumn="0" w:oddVBand="0" w:evenVBand="0" w:oddHBand="1" w:evenHBand="0" w:firstRowFirstColumn="0" w:firstRowLastColumn="0" w:lastRowFirstColumn="0" w:lastRowLastColumn="0"/>
            </w:pPr>
            <w:r w:rsidRPr="00AA3F59">
              <w:t>High</w:t>
            </w:r>
          </w:p>
        </w:tc>
        <w:tc>
          <w:tcPr>
            <w:tcW w:w="1987" w:type="dxa"/>
          </w:tcPr>
          <w:p w14:paraId="065CE5BC" w14:textId="77777777" w:rsidR="00B24F05" w:rsidRPr="00AA3F59" w:rsidRDefault="00B24F05" w:rsidP="003B59FB">
            <w:pPr>
              <w:spacing w:line="360" w:lineRule="auto"/>
              <w:jc w:val="both"/>
              <w:cnfStyle w:val="000000100000" w:firstRow="0" w:lastRow="0" w:firstColumn="0" w:lastColumn="0" w:oddVBand="0" w:evenVBand="0" w:oddHBand="1" w:evenHBand="0" w:firstRowFirstColumn="0" w:firstRowLastColumn="0" w:lastRowFirstColumn="0" w:lastRowLastColumn="0"/>
            </w:pPr>
            <w:r w:rsidRPr="00AA3F59">
              <w:t>High</w:t>
            </w:r>
          </w:p>
        </w:tc>
        <w:tc>
          <w:tcPr>
            <w:tcW w:w="1987" w:type="dxa"/>
          </w:tcPr>
          <w:p w14:paraId="34E60E14" w14:textId="77777777" w:rsidR="00B24F05" w:rsidRPr="00AA3F59" w:rsidRDefault="00B24F05" w:rsidP="003B59FB">
            <w:pPr>
              <w:spacing w:line="360" w:lineRule="auto"/>
              <w:jc w:val="both"/>
              <w:cnfStyle w:val="000000100000" w:firstRow="0" w:lastRow="0" w:firstColumn="0" w:lastColumn="0" w:oddVBand="0" w:evenVBand="0" w:oddHBand="1" w:evenHBand="0" w:firstRowFirstColumn="0" w:firstRowLastColumn="0" w:lastRowFirstColumn="0" w:lastRowLastColumn="0"/>
            </w:pPr>
            <w:r w:rsidRPr="00AA3F59">
              <w:t>SBOM, dependency scanning and vendor advisory monitoring</w:t>
            </w:r>
          </w:p>
        </w:tc>
      </w:tr>
      <w:tr w:rsidR="00B24F05" w:rsidRPr="00AA3F59" w14:paraId="416C0DA8" w14:textId="77777777" w:rsidTr="003B59FB">
        <w:tc>
          <w:tcPr>
            <w:cnfStyle w:val="001000000000" w:firstRow="0" w:lastRow="0" w:firstColumn="1" w:lastColumn="0" w:oddVBand="0" w:evenVBand="0" w:oddHBand="0" w:evenHBand="0" w:firstRowFirstColumn="0" w:firstRowLastColumn="0" w:lastRowFirstColumn="0" w:lastRowLastColumn="0"/>
            <w:tcW w:w="1987" w:type="dxa"/>
          </w:tcPr>
          <w:p w14:paraId="18AD0246" w14:textId="77777777" w:rsidR="00B24F05" w:rsidRPr="00AA3F59" w:rsidRDefault="00B24F05" w:rsidP="003B59FB">
            <w:pPr>
              <w:spacing w:line="360" w:lineRule="auto"/>
              <w:jc w:val="both"/>
            </w:pPr>
            <w:r w:rsidRPr="00AA3F59">
              <w:rPr>
                <w:b w:val="0"/>
              </w:rPr>
              <w:t>Weak segmentation between web tiers and sensitive databases</w:t>
            </w:r>
          </w:p>
        </w:tc>
        <w:tc>
          <w:tcPr>
            <w:tcW w:w="1987" w:type="dxa"/>
          </w:tcPr>
          <w:p w14:paraId="403CF83E" w14:textId="77777777" w:rsidR="00B24F05" w:rsidRPr="00AA3F59" w:rsidRDefault="00B24F05" w:rsidP="003B59FB">
            <w:pPr>
              <w:spacing w:line="360" w:lineRule="auto"/>
              <w:jc w:val="both"/>
              <w:cnfStyle w:val="000000000000" w:firstRow="0" w:lastRow="0" w:firstColumn="0" w:lastColumn="0" w:oddVBand="0" w:evenVBand="0" w:oddHBand="0" w:evenHBand="0" w:firstRowFirstColumn="0" w:firstRowLastColumn="0" w:lastRowFirstColumn="0" w:lastRowLastColumn="0"/>
            </w:pPr>
            <w:r w:rsidRPr="00AA3F59">
              <w:t>Medium-high</w:t>
            </w:r>
          </w:p>
        </w:tc>
        <w:tc>
          <w:tcPr>
            <w:tcW w:w="1987" w:type="dxa"/>
          </w:tcPr>
          <w:p w14:paraId="7E0C40EE" w14:textId="77777777" w:rsidR="00B24F05" w:rsidRPr="00AA3F59" w:rsidRDefault="00B24F05" w:rsidP="003B59FB">
            <w:pPr>
              <w:spacing w:line="360" w:lineRule="auto"/>
              <w:jc w:val="both"/>
              <w:cnfStyle w:val="000000000000" w:firstRow="0" w:lastRow="0" w:firstColumn="0" w:lastColumn="0" w:oddVBand="0" w:evenVBand="0" w:oddHBand="0" w:evenHBand="0" w:firstRowFirstColumn="0" w:firstRowLastColumn="0" w:lastRowFirstColumn="0" w:lastRowLastColumn="0"/>
            </w:pPr>
            <w:r w:rsidRPr="00AA3F59">
              <w:t>Very high</w:t>
            </w:r>
          </w:p>
        </w:tc>
        <w:tc>
          <w:tcPr>
            <w:tcW w:w="1987" w:type="dxa"/>
          </w:tcPr>
          <w:p w14:paraId="3723E592" w14:textId="77777777" w:rsidR="00B24F05" w:rsidRPr="00AA3F59" w:rsidRDefault="00B24F05" w:rsidP="003B59FB">
            <w:pPr>
              <w:spacing w:line="360" w:lineRule="auto"/>
              <w:jc w:val="both"/>
              <w:cnfStyle w:val="000000000000" w:firstRow="0" w:lastRow="0" w:firstColumn="0" w:lastColumn="0" w:oddVBand="0" w:evenVBand="0" w:oddHBand="0" w:evenHBand="0" w:firstRowFirstColumn="0" w:firstRowLastColumn="0" w:lastRowFirstColumn="0" w:lastRowLastColumn="0"/>
            </w:pPr>
            <w:r w:rsidRPr="00AA3F59">
              <w:t>Critical</w:t>
            </w:r>
          </w:p>
        </w:tc>
        <w:tc>
          <w:tcPr>
            <w:tcW w:w="1987" w:type="dxa"/>
          </w:tcPr>
          <w:p w14:paraId="772AD64C" w14:textId="77777777" w:rsidR="00B24F05" w:rsidRPr="00AA3F59" w:rsidRDefault="00B24F05" w:rsidP="003B59FB">
            <w:pPr>
              <w:spacing w:line="360" w:lineRule="auto"/>
              <w:jc w:val="both"/>
              <w:cnfStyle w:val="000000000000" w:firstRow="0" w:lastRow="0" w:firstColumn="0" w:lastColumn="0" w:oddVBand="0" w:evenVBand="0" w:oddHBand="0" w:evenHBand="0" w:firstRowFirstColumn="0" w:firstRowLastColumn="0" w:lastRowFirstColumn="0" w:lastRowLastColumn="0"/>
            </w:pPr>
            <w:r w:rsidRPr="00AA3F59">
              <w:t>Zero Trust micro-segmentation and database access monitoring</w:t>
            </w:r>
          </w:p>
        </w:tc>
      </w:tr>
      <w:tr w:rsidR="00B24F05" w:rsidRPr="00AA3F59" w14:paraId="66305BB6" w14:textId="77777777" w:rsidTr="003B59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7" w:type="dxa"/>
          </w:tcPr>
          <w:p w14:paraId="6954BD2C" w14:textId="77777777" w:rsidR="00B24F05" w:rsidRPr="00AA3F59" w:rsidRDefault="00B24F05" w:rsidP="003B59FB">
            <w:pPr>
              <w:spacing w:line="360" w:lineRule="auto"/>
              <w:jc w:val="both"/>
            </w:pPr>
            <w:r w:rsidRPr="00AA3F59">
              <w:rPr>
                <w:b w:val="0"/>
              </w:rPr>
              <w:t>Insufficient monitoring and expired inspection certificates</w:t>
            </w:r>
          </w:p>
        </w:tc>
        <w:tc>
          <w:tcPr>
            <w:tcW w:w="1987" w:type="dxa"/>
          </w:tcPr>
          <w:p w14:paraId="72EA2456" w14:textId="77777777" w:rsidR="00B24F05" w:rsidRPr="00AA3F59" w:rsidRDefault="00B24F05" w:rsidP="003B59FB">
            <w:pPr>
              <w:spacing w:line="360" w:lineRule="auto"/>
              <w:jc w:val="both"/>
              <w:cnfStyle w:val="000000100000" w:firstRow="0" w:lastRow="0" w:firstColumn="0" w:lastColumn="0" w:oddVBand="0" w:evenVBand="0" w:oddHBand="1" w:evenHBand="0" w:firstRowFirstColumn="0" w:firstRowLastColumn="0" w:lastRowFirstColumn="0" w:lastRowLastColumn="0"/>
            </w:pPr>
            <w:r w:rsidRPr="00AA3F59">
              <w:t>Medium</w:t>
            </w:r>
          </w:p>
        </w:tc>
        <w:tc>
          <w:tcPr>
            <w:tcW w:w="1987" w:type="dxa"/>
          </w:tcPr>
          <w:p w14:paraId="1B80F1E7" w14:textId="77777777" w:rsidR="00B24F05" w:rsidRPr="00AA3F59" w:rsidRDefault="00B24F05" w:rsidP="003B59FB">
            <w:pPr>
              <w:spacing w:line="360" w:lineRule="auto"/>
              <w:jc w:val="both"/>
              <w:cnfStyle w:val="000000100000" w:firstRow="0" w:lastRow="0" w:firstColumn="0" w:lastColumn="0" w:oddVBand="0" w:evenVBand="0" w:oddHBand="1" w:evenHBand="0" w:firstRowFirstColumn="0" w:firstRowLastColumn="0" w:lastRowFirstColumn="0" w:lastRowLastColumn="0"/>
            </w:pPr>
            <w:r w:rsidRPr="00AA3F59">
              <w:t>High</w:t>
            </w:r>
          </w:p>
        </w:tc>
        <w:tc>
          <w:tcPr>
            <w:tcW w:w="1987" w:type="dxa"/>
          </w:tcPr>
          <w:p w14:paraId="3CCCEBBB" w14:textId="77777777" w:rsidR="00B24F05" w:rsidRPr="00AA3F59" w:rsidRDefault="00B24F05" w:rsidP="003B59FB">
            <w:pPr>
              <w:spacing w:line="360" w:lineRule="auto"/>
              <w:jc w:val="both"/>
              <w:cnfStyle w:val="000000100000" w:firstRow="0" w:lastRow="0" w:firstColumn="0" w:lastColumn="0" w:oddVBand="0" w:evenVBand="0" w:oddHBand="1" w:evenHBand="0" w:firstRowFirstColumn="0" w:firstRowLastColumn="0" w:lastRowFirstColumn="0" w:lastRowLastColumn="0"/>
            </w:pPr>
            <w:r w:rsidRPr="00AA3F59">
              <w:t>High</w:t>
            </w:r>
          </w:p>
        </w:tc>
        <w:tc>
          <w:tcPr>
            <w:tcW w:w="1987" w:type="dxa"/>
          </w:tcPr>
          <w:p w14:paraId="1C7C4359" w14:textId="77777777" w:rsidR="00B24F05" w:rsidRPr="00AA3F59" w:rsidRDefault="00B24F05" w:rsidP="003B59FB">
            <w:pPr>
              <w:spacing w:line="360" w:lineRule="auto"/>
              <w:jc w:val="both"/>
              <w:cnfStyle w:val="000000100000" w:firstRow="0" w:lastRow="0" w:firstColumn="0" w:lastColumn="0" w:oddVBand="0" w:evenVBand="0" w:oddHBand="1" w:evenHBand="0" w:firstRowFirstColumn="0" w:firstRowLastColumn="0" w:lastRowFirstColumn="0" w:lastRowLastColumn="0"/>
            </w:pPr>
            <w:r w:rsidRPr="00AA3F59">
              <w:t>SIEM/EDR health checks, certificate monitoring and alert ownership</w:t>
            </w:r>
          </w:p>
        </w:tc>
      </w:tr>
    </w:tbl>
    <w:p w14:paraId="683B3FAA" w14:textId="77777777" w:rsidR="00B24F05" w:rsidRPr="00AA3F59" w:rsidRDefault="00B24F05" w:rsidP="00B24F05">
      <w:pPr>
        <w:spacing w:line="360" w:lineRule="auto"/>
        <w:jc w:val="both"/>
        <w:rPr>
          <w:sz w:val="22"/>
          <w:szCs w:val="22"/>
        </w:rPr>
      </w:pPr>
    </w:p>
    <w:p w14:paraId="440641D6" w14:textId="77777777" w:rsidR="00B24F05" w:rsidRPr="00AA3F59" w:rsidRDefault="00B24F05" w:rsidP="00DE34C4">
      <w:pPr>
        <w:pStyle w:val="Heading1"/>
        <w:numPr>
          <w:ilvl w:val="0"/>
          <w:numId w:val="0"/>
        </w:numPr>
        <w:spacing w:before="0" w:line="360" w:lineRule="auto"/>
        <w:jc w:val="both"/>
        <w:rPr>
          <w:b/>
          <w:bCs/>
          <w:sz w:val="22"/>
          <w:szCs w:val="22"/>
        </w:rPr>
      </w:pPr>
      <w:r w:rsidRPr="00AA3F59">
        <w:rPr>
          <w:rFonts w:eastAsia="Times New Roman"/>
          <w:b/>
          <w:bCs/>
          <w:sz w:val="22"/>
          <w:szCs w:val="22"/>
        </w:rPr>
        <w:t>6. Compliance, Incident Response and Protection Controls</w:t>
      </w:r>
    </w:p>
    <w:p w14:paraId="3F1889DB" w14:textId="77777777" w:rsidR="00B24F05" w:rsidRPr="00AA3F59" w:rsidRDefault="00B24F05" w:rsidP="00B24F05">
      <w:pPr>
        <w:spacing w:line="360" w:lineRule="auto"/>
        <w:jc w:val="both"/>
        <w:rPr>
          <w:sz w:val="22"/>
          <w:szCs w:val="22"/>
        </w:rPr>
      </w:pPr>
      <w:r w:rsidRPr="00AA3F59">
        <w:rPr>
          <w:sz w:val="22"/>
          <w:szCs w:val="22"/>
        </w:rPr>
        <w:t xml:space="preserve">The compliance programme should clearly specify what constitutes a breach and how it is communicated before it happens. This encompasses U.S. state breach notification laws, the expectations of the Federal Trade Commission, industry requirements and contractual requirements, as well as notification requirements under the GDPR if applicable for the affected jurisdictions. A breach notification decision tree should include criteria to determine when to engage legal, privacy, executive and communications teams; the facts required for notification; who will approve external communications; and how to support affected individuals. The lack of communication and consumer </w:t>
      </w:r>
      <w:r w:rsidRPr="00AA3F59">
        <w:rPr>
          <w:sz w:val="22"/>
          <w:szCs w:val="22"/>
        </w:rPr>
        <w:lastRenderedPageBreak/>
        <w:t xml:space="preserve">support is another example of how poor communication and unclear consumer support can exacerbate the damage done after a technical incident has been contained, as Equifax's response demonstrates </w:t>
      </w:r>
      <w:r w:rsidRPr="00AA3F59">
        <w:rPr>
          <w:sz w:val="22"/>
          <w:szCs w:val="22"/>
        </w:rPr>
        <w:fldChar w:fldCharType="begin"/>
      </w:r>
      <w:r w:rsidRPr="00AA3F59">
        <w:rPr>
          <w:sz w:val="22"/>
          <w:szCs w:val="22"/>
        </w:rPr>
        <w:instrText xml:space="preserve"> ADDIN EN.CITE &lt;EndNote&gt;&lt;Cite&gt;&lt;Author&gt;Igwe-Nmaju&lt;/Author&gt;&lt;Year&gt;2022&lt;/Year&gt;&lt;RecNum&gt;643&lt;/RecNum&gt;&lt;DisplayText&gt;[7]&lt;/DisplayText&gt;&lt;record&gt;&lt;rec-number&gt;643&lt;/rec-number&gt;&lt;foreign-keys&gt;&lt;key app="EN" db-id="099ptrwarsvtw4ezvanvzvxb22prvx0rfdvf" timestamp="1783510232"&gt;643&lt;/key&gt;&lt;/foreign-keys&gt;&lt;ref-type name="Journal Article"&gt;17&lt;/ref-type&gt;&lt;contributors&gt;&lt;authors&gt;&lt;author&gt;Igwe-Nmaju, Chibogwu&lt;/author&gt;&lt;author&gt;Anadozie, Chidozie&lt;/author&gt;&lt;/authors&gt;&lt;/contributors&gt;&lt;titles&gt;&lt;title&gt;Commanding digital trust in high-stakes sectors: communication strategies for sustaining stakeholder confidence amid technological risk&lt;/title&gt;&lt;secondary-title&gt;World Journal of Advanced Research and Reviews&lt;/secondary-title&gt;&lt;/titles&gt;&lt;periodical&gt;&lt;full-title&gt;World Journal of Advanced Research and Reviews&lt;/full-title&gt;&lt;/periodical&gt;&lt;pages&gt;609-630&lt;/pages&gt;&lt;volume&gt;15&lt;/volume&gt;&lt;number&gt;3&lt;/number&gt;&lt;dates&gt;&lt;year&gt;2022&lt;/year&gt;&lt;/dates&gt;&lt;urls&gt;&lt;/urls&gt;&lt;electronic-resource-num&gt;https://doi.org/10.30574/wjarr.2022.15.3.0920&lt;/electronic-resource-num&gt;&lt;/record&gt;&lt;/Cite&gt;&lt;/EndNote&gt;</w:instrText>
      </w:r>
      <w:r w:rsidRPr="00AA3F59">
        <w:rPr>
          <w:sz w:val="22"/>
          <w:szCs w:val="22"/>
        </w:rPr>
        <w:fldChar w:fldCharType="separate"/>
      </w:r>
      <w:r w:rsidRPr="00AA3F59">
        <w:rPr>
          <w:noProof/>
          <w:sz w:val="22"/>
          <w:szCs w:val="22"/>
        </w:rPr>
        <w:t>[7]</w:t>
      </w:r>
      <w:r w:rsidRPr="00AA3F59">
        <w:rPr>
          <w:sz w:val="22"/>
          <w:szCs w:val="22"/>
        </w:rPr>
        <w:fldChar w:fldCharType="end"/>
      </w:r>
      <w:r w:rsidRPr="00AA3F59">
        <w:rPr>
          <w:sz w:val="22"/>
          <w:szCs w:val="22"/>
        </w:rPr>
        <w:t>.</w:t>
      </w:r>
    </w:p>
    <w:p w14:paraId="2B6D6B9B" w14:textId="1796D04A" w:rsidR="00B24F05" w:rsidRPr="00AA3F59" w:rsidRDefault="00B24F05" w:rsidP="00B24F05">
      <w:pPr>
        <w:spacing w:line="360" w:lineRule="auto"/>
        <w:jc w:val="both"/>
        <w:rPr>
          <w:sz w:val="22"/>
          <w:szCs w:val="22"/>
        </w:rPr>
      </w:pPr>
      <w:r w:rsidRPr="00AA3F59">
        <w:rPr>
          <w:sz w:val="22"/>
          <w:szCs w:val="22"/>
        </w:rPr>
        <w:t xml:space="preserve">The lifecycle of preparing, detecting, </w:t>
      </w:r>
      <w:r w:rsidR="009D466B" w:rsidRPr="00AA3F59">
        <w:rPr>
          <w:sz w:val="22"/>
          <w:szCs w:val="22"/>
        </w:rPr>
        <w:t>analyzing</w:t>
      </w:r>
      <w:r w:rsidRPr="00AA3F59">
        <w:rPr>
          <w:sz w:val="22"/>
          <w:szCs w:val="22"/>
        </w:rPr>
        <w:t xml:space="preserve">, containing, eradicating, recovering and learning from incidents should be followed in incident response. Preparation involves playbooks for exploited web apps, credential compromise, data exfiltration, ransomware and insider misuse. Detection should be a combination of SIEM correlation, endpoint detection and response, cloud telemetry, database monitoring and anomalies </w:t>
      </w:r>
      <w:r w:rsidRPr="00AA3F59">
        <w:rPr>
          <w:sz w:val="22"/>
          <w:szCs w:val="22"/>
        </w:rPr>
        <w:fldChar w:fldCharType="begin"/>
      </w:r>
      <w:r w:rsidRPr="00AA3F59">
        <w:rPr>
          <w:sz w:val="22"/>
          <w:szCs w:val="22"/>
        </w:rPr>
        <w:instrText xml:space="preserve"> ADDIN EN.CITE &lt;EndNote&gt;&lt;Cite&gt;&lt;Author&gt;Shehzad&lt;/Author&gt;&lt;Year&gt;2026&lt;/Year&gt;&lt;RecNum&gt;644&lt;/RecNum&gt;&lt;DisplayText&gt;[8]&lt;/DisplayText&gt;&lt;record&gt;&lt;rec-number&gt;644&lt;/rec-number&gt;&lt;foreign-keys&gt;&lt;key app="EN" db-id="099ptrwarsvtw4ezvanvzvxb22prvx0rfdvf" timestamp="1783510285"&gt;644&lt;/key&gt;&lt;/foreign-keys&gt;&lt;ref-type name="Journal Article"&gt;17&lt;/ref-type&gt;&lt;contributors&gt;&lt;authors&gt;&lt;author&gt;Shehzad, Hafiz Malik Usman&lt;/author&gt;&lt;author&gt;Hussain, Altaf&lt;/author&gt;&lt;/authors&gt;&lt;/contributors&gt;&lt;titles&gt;&lt;title&gt;A Cyber Secure Framework for Modern Database Systems&lt;/title&gt;&lt;secondary-title&gt;Cloud Computing and Data Science&lt;/secondary-title&gt;&lt;/titles&gt;&lt;periodical&gt;&lt;full-title&gt;Cloud Computing and Data Science&lt;/full-title&gt;&lt;/periodical&gt;&lt;pages&gt;314-331&lt;/pages&gt;&lt;dates&gt;&lt;year&gt;2026&lt;/year&gt;&lt;/dates&gt;&lt;isbn&gt;2737-4092&lt;/isbn&gt;&lt;urls&gt;&lt;/urls&gt;&lt;electronic-resource-num&gt;https://doi.org/10.37256/ccds.72202610054&lt;/electronic-resource-num&gt;&lt;/record&gt;&lt;/Cite&gt;&lt;/EndNote&gt;</w:instrText>
      </w:r>
      <w:r w:rsidRPr="00AA3F59">
        <w:rPr>
          <w:sz w:val="22"/>
          <w:szCs w:val="22"/>
        </w:rPr>
        <w:fldChar w:fldCharType="separate"/>
      </w:r>
      <w:r w:rsidRPr="00AA3F59">
        <w:rPr>
          <w:noProof/>
          <w:sz w:val="22"/>
          <w:szCs w:val="22"/>
        </w:rPr>
        <w:t>[8]</w:t>
      </w:r>
      <w:r w:rsidRPr="00AA3F59">
        <w:rPr>
          <w:sz w:val="22"/>
          <w:szCs w:val="22"/>
        </w:rPr>
        <w:fldChar w:fldCharType="end"/>
      </w:r>
      <w:r w:rsidRPr="00AA3F59">
        <w:rPr>
          <w:sz w:val="22"/>
          <w:szCs w:val="22"/>
        </w:rPr>
        <w:t>. Systems must be patched and rebuilt in a validated manner and have improved monitoring and executive sign-off before returning to service. Disaster recovery plans must provide for the safety of critical consumer services in the event of a failure while systems that are compromised are isolated.</w:t>
      </w:r>
    </w:p>
    <w:p w14:paraId="1FC5D301" w14:textId="17B86210" w:rsidR="00B24F05" w:rsidRPr="00AA3F59" w:rsidRDefault="00B24F05" w:rsidP="00B24F05">
      <w:pPr>
        <w:spacing w:line="360" w:lineRule="auto"/>
        <w:jc w:val="both"/>
        <w:rPr>
          <w:sz w:val="22"/>
          <w:szCs w:val="22"/>
        </w:rPr>
      </w:pPr>
      <w:r w:rsidRPr="00AA3F59">
        <w:rPr>
          <w:sz w:val="22"/>
          <w:szCs w:val="22"/>
        </w:rPr>
        <w:t xml:space="preserve">Consider using multiple layers of protection controls. Continuous vulnerability scanning and external attack-surface monitoring can predict vulnerabilities by detecting vulnerabilities before they are exploited. Through endpoint detection and response, suspicious process </w:t>
      </w:r>
      <w:r w:rsidR="009D466B" w:rsidRPr="00AA3F59">
        <w:rPr>
          <w:sz w:val="22"/>
          <w:szCs w:val="22"/>
        </w:rPr>
        <w:t>behavior</w:t>
      </w:r>
      <w:r w:rsidRPr="00AA3F59">
        <w:rPr>
          <w:sz w:val="22"/>
          <w:szCs w:val="22"/>
        </w:rPr>
        <w:t xml:space="preserve"> is detected, thereby decreasing dwell time. If someone accesses the data without permission, encryption will ensure that confidentiality is maintained. The use of strong authentication and privileged access management helps to </w:t>
      </w:r>
      <w:r w:rsidR="009D466B" w:rsidRPr="00AA3F59">
        <w:rPr>
          <w:sz w:val="22"/>
          <w:szCs w:val="22"/>
        </w:rPr>
        <w:t>minimize</w:t>
      </w:r>
      <w:r w:rsidRPr="00AA3F59">
        <w:rPr>
          <w:sz w:val="22"/>
          <w:szCs w:val="22"/>
        </w:rPr>
        <w:t xml:space="preserve"> credentials abuse </w:t>
      </w:r>
      <w:r w:rsidRPr="00AA3F59">
        <w:rPr>
          <w:sz w:val="22"/>
          <w:szCs w:val="22"/>
        </w:rPr>
        <w:fldChar w:fldCharType="begin"/>
      </w:r>
      <w:r w:rsidRPr="00AA3F59">
        <w:rPr>
          <w:sz w:val="22"/>
          <w:szCs w:val="22"/>
        </w:rPr>
        <w:instrText xml:space="preserve"> ADDIN EN.CITE &lt;EndNote&gt;&lt;Cite&gt;&lt;Author&gt;Oluoha&lt;/Author&gt;&lt;Year&gt;2025&lt;/Year&gt;&lt;RecNum&gt;645&lt;/RecNum&gt;&lt;DisplayText&gt;[9]&lt;/DisplayText&gt;&lt;record&gt;&lt;rec-number&gt;645&lt;/rec-number&gt;&lt;foreign-keys&gt;&lt;key app="EN" db-id="099ptrwarsvtw4ezvanvzvxb22prvx0rfdvf" timestamp="1783510324"&gt;645&lt;/key&gt;&lt;/foreign-keys&gt;&lt;ref-type name="Journal Article"&gt;17&lt;/ref-type&gt;&lt;contributors&gt;&lt;authors&gt;&lt;author&gt;Oluoha, Oluchukwu Modesta&lt;/author&gt;&lt;author&gt;Odeshina, Abisola&lt;/author&gt;&lt;author&gt;Reis, Oluwatosin&lt;/author&gt;&lt;author&gt;Okpeke, Friday&lt;/author&gt;&lt;author&gt;Attipoe, Verlinda&lt;/author&gt;&lt;author&gt;Orieno, Omamode Henry&lt;/author&gt;&lt;/authors&gt;&lt;/contributors&gt;&lt;titles&gt;&lt;title&gt;Designing advanced digital solutions for privileged access management and continuous compliance monitoring&lt;/title&gt;&lt;secondary-title&gt;World Scientific News&lt;/secondary-title&gt;&lt;/titles&gt;&lt;periodical&gt;&lt;full-title&gt;World Scientific News&lt;/full-title&gt;&lt;/periodical&gt;&lt;pages&gt;256-301&lt;/pages&gt;&lt;volume&gt;203&lt;/volume&gt;&lt;dates&gt;&lt;year&gt;2025&lt;/year&gt;&lt;/dates&gt;&lt;urls&gt;&lt;/urls&gt;&lt;/record&gt;&lt;/Cite&gt;&lt;/EndNote&gt;</w:instrText>
      </w:r>
      <w:r w:rsidRPr="00AA3F59">
        <w:rPr>
          <w:sz w:val="22"/>
          <w:szCs w:val="22"/>
        </w:rPr>
        <w:fldChar w:fldCharType="separate"/>
      </w:r>
      <w:r w:rsidRPr="00AA3F59">
        <w:rPr>
          <w:noProof/>
          <w:sz w:val="22"/>
          <w:szCs w:val="22"/>
        </w:rPr>
        <w:t>[9]</w:t>
      </w:r>
      <w:r w:rsidRPr="00AA3F59">
        <w:rPr>
          <w:sz w:val="22"/>
          <w:szCs w:val="22"/>
        </w:rPr>
        <w:fldChar w:fldCharType="end"/>
      </w:r>
      <w:r w:rsidRPr="00AA3F59">
        <w:rPr>
          <w:sz w:val="22"/>
          <w:szCs w:val="22"/>
        </w:rPr>
        <w:t xml:space="preserve">. Network micro-segmentation restricts the extent of the </w:t>
      </w:r>
      <w:r w:rsidR="009D466B" w:rsidRPr="00AA3F59">
        <w:rPr>
          <w:sz w:val="22"/>
          <w:szCs w:val="22"/>
        </w:rPr>
        <w:t>organization’s</w:t>
      </w:r>
      <w:r w:rsidRPr="00AA3F59">
        <w:rPr>
          <w:sz w:val="22"/>
          <w:szCs w:val="22"/>
        </w:rPr>
        <w:t xml:space="preserve"> impact by blocking lateral movement within the network from a breached web application to the sensitive databases. Devices can be auto-isolated, accounts can be disabled, incident tickets can be opened and notified to responders, and SOAR playbooks can do all these, decreasing response time.</w:t>
      </w:r>
    </w:p>
    <w:p w14:paraId="033CA1F6" w14:textId="7CDFD353" w:rsidR="00B24F05" w:rsidRPr="00AA3F59" w:rsidRDefault="00B24F05" w:rsidP="00B24F05">
      <w:pPr>
        <w:spacing w:line="360" w:lineRule="auto"/>
        <w:jc w:val="both"/>
        <w:rPr>
          <w:sz w:val="22"/>
          <w:szCs w:val="22"/>
        </w:rPr>
      </w:pPr>
      <w:r w:rsidRPr="00AA3F59">
        <w:rPr>
          <w:b/>
          <w:bCs/>
          <w:sz w:val="22"/>
          <w:szCs w:val="22"/>
        </w:rPr>
        <w:t>Table 2.</w:t>
      </w:r>
      <w:r w:rsidRPr="00AA3F59">
        <w:rPr>
          <w:sz w:val="22"/>
          <w:szCs w:val="22"/>
        </w:rPr>
        <w:t xml:space="preserve"> Control mapping to reduce dwell time and </w:t>
      </w:r>
      <w:r w:rsidR="0037366F" w:rsidRPr="00AA3F59">
        <w:rPr>
          <w:sz w:val="22"/>
          <w:szCs w:val="22"/>
        </w:rPr>
        <w:t>organizational</w:t>
      </w:r>
      <w:r w:rsidRPr="00AA3F59">
        <w:rPr>
          <w:sz w:val="22"/>
          <w:szCs w:val="22"/>
        </w:rPr>
        <w:t xml:space="preserve"> impact.</w:t>
      </w:r>
    </w:p>
    <w:tbl>
      <w:tblPr>
        <w:tblStyle w:val="GridTable4-Accent2"/>
        <w:tblW w:w="0" w:type="auto"/>
        <w:tblLook w:val="04A0" w:firstRow="1" w:lastRow="0" w:firstColumn="1" w:lastColumn="0" w:noHBand="0" w:noVBand="1"/>
      </w:tblPr>
      <w:tblGrid>
        <w:gridCol w:w="3011"/>
        <w:gridCol w:w="2992"/>
        <w:gridCol w:w="3013"/>
      </w:tblGrid>
      <w:tr w:rsidR="00B24F05" w:rsidRPr="00AA3F59" w14:paraId="4016509E" w14:textId="77777777" w:rsidTr="003B59F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12" w:type="dxa"/>
          </w:tcPr>
          <w:p w14:paraId="481E109D" w14:textId="77777777" w:rsidR="00B24F05" w:rsidRPr="00AA3F59" w:rsidRDefault="00B24F05" w:rsidP="003B59FB">
            <w:pPr>
              <w:spacing w:line="360" w:lineRule="auto"/>
              <w:jc w:val="both"/>
            </w:pPr>
            <w:r w:rsidRPr="00AA3F59">
              <w:t>Control</w:t>
            </w:r>
          </w:p>
        </w:tc>
        <w:tc>
          <w:tcPr>
            <w:tcW w:w="3312" w:type="dxa"/>
          </w:tcPr>
          <w:p w14:paraId="4470445C" w14:textId="77777777" w:rsidR="00B24F05" w:rsidRPr="00AA3F59" w:rsidRDefault="00B24F05" w:rsidP="003B59FB">
            <w:pPr>
              <w:spacing w:line="360" w:lineRule="auto"/>
              <w:jc w:val="both"/>
              <w:cnfStyle w:val="100000000000" w:firstRow="1" w:lastRow="0" w:firstColumn="0" w:lastColumn="0" w:oddVBand="0" w:evenVBand="0" w:oddHBand="0" w:evenHBand="0" w:firstRowFirstColumn="0" w:firstRowLastColumn="0" w:lastRowFirstColumn="0" w:lastRowLastColumn="0"/>
            </w:pPr>
            <w:r w:rsidRPr="00AA3F59">
              <w:t>Purpose</w:t>
            </w:r>
          </w:p>
        </w:tc>
        <w:tc>
          <w:tcPr>
            <w:tcW w:w="3312" w:type="dxa"/>
          </w:tcPr>
          <w:p w14:paraId="21FB486D" w14:textId="77777777" w:rsidR="00B24F05" w:rsidRPr="00AA3F59" w:rsidRDefault="00B24F05" w:rsidP="003B59FB">
            <w:pPr>
              <w:spacing w:line="360" w:lineRule="auto"/>
              <w:jc w:val="both"/>
              <w:cnfStyle w:val="100000000000" w:firstRow="1" w:lastRow="0" w:firstColumn="0" w:lastColumn="0" w:oddVBand="0" w:evenVBand="0" w:oddHBand="0" w:evenHBand="0" w:firstRowFirstColumn="0" w:firstRowLastColumn="0" w:lastRowFirstColumn="0" w:lastRowLastColumn="0"/>
            </w:pPr>
            <w:r w:rsidRPr="00AA3F59">
              <w:t>Impact on dwell time / breach impact</w:t>
            </w:r>
          </w:p>
        </w:tc>
      </w:tr>
      <w:tr w:rsidR="00B24F05" w:rsidRPr="00AA3F59" w14:paraId="3A93328F" w14:textId="77777777" w:rsidTr="003B59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12" w:type="dxa"/>
          </w:tcPr>
          <w:p w14:paraId="331FA121" w14:textId="77777777" w:rsidR="00B24F05" w:rsidRPr="00AA3F59" w:rsidRDefault="00B24F05" w:rsidP="003B59FB">
            <w:pPr>
              <w:spacing w:line="360" w:lineRule="auto"/>
              <w:jc w:val="both"/>
            </w:pPr>
            <w:r w:rsidRPr="00AA3F59">
              <w:rPr>
                <w:b w:val="0"/>
              </w:rPr>
              <w:t>Continuous vulnerability scanning</w:t>
            </w:r>
          </w:p>
        </w:tc>
        <w:tc>
          <w:tcPr>
            <w:tcW w:w="3312" w:type="dxa"/>
          </w:tcPr>
          <w:p w14:paraId="5F753FC2" w14:textId="77777777" w:rsidR="00B24F05" w:rsidRPr="00AA3F59" w:rsidRDefault="00B24F05" w:rsidP="003B59FB">
            <w:pPr>
              <w:spacing w:line="360" w:lineRule="auto"/>
              <w:jc w:val="both"/>
              <w:cnfStyle w:val="000000100000" w:firstRow="0" w:lastRow="0" w:firstColumn="0" w:lastColumn="0" w:oddVBand="0" w:evenVBand="0" w:oddHBand="1" w:evenHBand="0" w:firstRowFirstColumn="0" w:firstRowLastColumn="0" w:lastRowFirstColumn="0" w:lastRowLastColumn="0"/>
            </w:pPr>
            <w:r w:rsidRPr="00AA3F59">
              <w:t>Finds exposed weaknesses before attackers exploit them</w:t>
            </w:r>
          </w:p>
        </w:tc>
        <w:tc>
          <w:tcPr>
            <w:tcW w:w="3312" w:type="dxa"/>
          </w:tcPr>
          <w:p w14:paraId="301BEE56" w14:textId="77777777" w:rsidR="00B24F05" w:rsidRPr="00AA3F59" w:rsidRDefault="00B24F05" w:rsidP="003B59FB">
            <w:pPr>
              <w:spacing w:line="360" w:lineRule="auto"/>
              <w:jc w:val="both"/>
              <w:cnfStyle w:val="000000100000" w:firstRow="0" w:lastRow="0" w:firstColumn="0" w:lastColumn="0" w:oddVBand="0" w:evenVBand="0" w:oddHBand="1" w:evenHBand="0" w:firstRowFirstColumn="0" w:firstRowLastColumn="0" w:lastRowFirstColumn="0" w:lastRowLastColumn="0"/>
            </w:pPr>
            <w:r w:rsidRPr="00AA3F59">
              <w:t>Reduces likelihood of preventable compromise</w:t>
            </w:r>
          </w:p>
        </w:tc>
      </w:tr>
      <w:tr w:rsidR="00B24F05" w:rsidRPr="00AA3F59" w14:paraId="62C89243" w14:textId="77777777" w:rsidTr="003B59FB">
        <w:tc>
          <w:tcPr>
            <w:cnfStyle w:val="001000000000" w:firstRow="0" w:lastRow="0" w:firstColumn="1" w:lastColumn="0" w:oddVBand="0" w:evenVBand="0" w:oddHBand="0" w:evenHBand="0" w:firstRowFirstColumn="0" w:firstRowLastColumn="0" w:lastRowFirstColumn="0" w:lastRowLastColumn="0"/>
            <w:tcW w:w="3312" w:type="dxa"/>
          </w:tcPr>
          <w:p w14:paraId="3C075F35" w14:textId="77777777" w:rsidR="00B24F05" w:rsidRPr="00AA3F59" w:rsidRDefault="00B24F05" w:rsidP="003B59FB">
            <w:pPr>
              <w:spacing w:line="360" w:lineRule="auto"/>
              <w:jc w:val="both"/>
            </w:pPr>
            <w:r w:rsidRPr="00AA3F59">
              <w:rPr>
                <w:b w:val="0"/>
              </w:rPr>
              <w:t>SIEM and database activity monitoring</w:t>
            </w:r>
          </w:p>
        </w:tc>
        <w:tc>
          <w:tcPr>
            <w:tcW w:w="3312" w:type="dxa"/>
          </w:tcPr>
          <w:p w14:paraId="01DC4422" w14:textId="77777777" w:rsidR="00B24F05" w:rsidRPr="00AA3F59" w:rsidRDefault="00B24F05" w:rsidP="003B59FB">
            <w:pPr>
              <w:spacing w:line="360" w:lineRule="auto"/>
              <w:jc w:val="both"/>
              <w:cnfStyle w:val="000000000000" w:firstRow="0" w:lastRow="0" w:firstColumn="0" w:lastColumn="0" w:oddVBand="0" w:evenVBand="0" w:oddHBand="0" w:evenHBand="0" w:firstRowFirstColumn="0" w:firstRowLastColumn="0" w:lastRowFirstColumn="0" w:lastRowLastColumn="0"/>
            </w:pPr>
            <w:r w:rsidRPr="00AA3F59">
              <w:t>Correlates logs and flags abnormal queries or transfers</w:t>
            </w:r>
          </w:p>
        </w:tc>
        <w:tc>
          <w:tcPr>
            <w:tcW w:w="3312" w:type="dxa"/>
          </w:tcPr>
          <w:p w14:paraId="7A2E7196" w14:textId="77777777" w:rsidR="00B24F05" w:rsidRPr="00AA3F59" w:rsidRDefault="00B24F05" w:rsidP="003B59FB">
            <w:pPr>
              <w:spacing w:line="360" w:lineRule="auto"/>
              <w:jc w:val="both"/>
              <w:cnfStyle w:val="000000000000" w:firstRow="0" w:lastRow="0" w:firstColumn="0" w:lastColumn="0" w:oddVBand="0" w:evenVBand="0" w:oddHBand="0" w:evenHBand="0" w:firstRowFirstColumn="0" w:firstRowLastColumn="0" w:lastRowFirstColumn="0" w:lastRowLastColumn="0"/>
            </w:pPr>
            <w:r w:rsidRPr="00AA3F59">
              <w:t>Shortens detection time and identifies exfiltration</w:t>
            </w:r>
          </w:p>
        </w:tc>
      </w:tr>
      <w:tr w:rsidR="00B24F05" w:rsidRPr="00AA3F59" w14:paraId="124AD280" w14:textId="77777777" w:rsidTr="003B59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12" w:type="dxa"/>
          </w:tcPr>
          <w:p w14:paraId="439FEE2E" w14:textId="77777777" w:rsidR="00B24F05" w:rsidRPr="00AA3F59" w:rsidRDefault="00B24F05" w:rsidP="003B59FB">
            <w:pPr>
              <w:spacing w:line="360" w:lineRule="auto"/>
              <w:jc w:val="both"/>
            </w:pPr>
            <w:r w:rsidRPr="00AA3F59">
              <w:rPr>
                <w:b w:val="0"/>
              </w:rPr>
              <w:t>EDR</w:t>
            </w:r>
          </w:p>
        </w:tc>
        <w:tc>
          <w:tcPr>
            <w:tcW w:w="3312" w:type="dxa"/>
          </w:tcPr>
          <w:p w14:paraId="69812C61" w14:textId="77777777" w:rsidR="00B24F05" w:rsidRPr="00AA3F59" w:rsidRDefault="00B24F05" w:rsidP="003B59FB">
            <w:pPr>
              <w:spacing w:line="360" w:lineRule="auto"/>
              <w:jc w:val="both"/>
              <w:cnfStyle w:val="000000100000" w:firstRow="0" w:lastRow="0" w:firstColumn="0" w:lastColumn="0" w:oddVBand="0" w:evenVBand="0" w:oddHBand="1" w:evenHBand="0" w:firstRowFirstColumn="0" w:firstRowLastColumn="0" w:lastRowFirstColumn="0" w:lastRowLastColumn="0"/>
            </w:pPr>
            <w:r w:rsidRPr="00AA3F59">
              <w:t>Detects suspicious endpoint processes and lateral activity</w:t>
            </w:r>
          </w:p>
        </w:tc>
        <w:tc>
          <w:tcPr>
            <w:tcW w:w="3312" w:type="dxa"/>
          </w:tcPr>
          <w:p w14:paraId="1B9084FE" w14:textId="77777777" w:rsidR="00B24F05" w:rsidRPr="00AA3F59" w:rsidRDefault="00B24F05" w:rsidP="003B59FB">
            <w:pPr>
              <w:spacing w:line="360" w:lineRule="auto"/>
              <w:jc w:val="both"/>
              <w:cnfStyle w:val="000000100000" w:firstRow="0" w:lastRow="0" w:firstColumn="0" w:lastColumn="0" w:oddVBand="0" w:evenVBand="0" w:oddHBand="1" w:evenHBand="0" w:firstRowFirstColumn="0" w:firstRowLastColumn="0" w:lastRowFirstColumn="0" w:lastRowLastColumn="0"/>
            </w:pPr>
            <w:r w:rsidRPr="00AA3F59">
              <w:t>Enables rapid isolation of affected hosts</w:t>
            </w:r>
          </w:p>
        </w:tc>
      </w:tr>
      <w:tr w:rsidR="00B24F05" w:rsidRPr="00AA3F59" w14:paraId="358EE941" w14:textId="77777777" w:rsidTr="003B59FB">
        <w:tc>
          <w:tcPr>
            <w:cnfStyle w:val="001000000000" w:firstRow="0" w:lastRow="0" w:firstColumn="1" w:lastColumn="0" w:oddVBand="0" w:evenVBand="0" w:oddHBand="0" w:evenHBand="0" w:firstRowFirstColumn="0" w:firstRowLastColumn="0" w:lastRowFirstColumn="0" w:lastRowLastColumn="0"/>
            <w:tcW w:w="3312" w:type="dxa"/>
          </w:tcPr>
          <w:p w14:paraId="5B7A4440" w14:textId="77777777" w:rsidR="00B24F05" w:rsidRPr="00AA3F59" w:rsidRDefault="00B24F05" w:rsidP="003B59FB">
            <w:pPr>
              <w:spacing w:line="360" w:lineRule="auto"/>
              <w:jc w:val="both"/>
            </w:pPr>
            <w:r w:rsidRPr="00AA3F59">
              <w:rPr>
                <w:b w:val="0"/>
              </w:rPr>
              <w:t>MFA and privileged access management</w:t>
            </w:r>
          </w:p>
        </w:tc>
        <w:tc>
          <w:tcPr>
            <w:tcW w:w="3312" w:type="dxa"/>
          </w:tcPr>
          <w:p w14:paraId="7C993D96" w14:textId="77777777" w:rsidR="00B24F05" w:rsidRPr="00AA3F59" w:rsidRDefault="00B24F05" w:rsidP="003B59FB">
            <w:pPr>
              <w:spacing w:line="360" w:lineRule="auto"/>
              <w:jc w:val="both"/>
              <w:cnfStyle w:val="000000000000" w:firstRow="0" w:lastRow="0" w:firstColumn="0" w:lastColumn="0" w:oddVBand="0" w:evenVBand="0" w:oddHBand="0" w:evenHBand="0" w:firstRowFirstColumn="0" w:firstRowLastColumn="0" w:lastRowFirstColumn="0" w:lastRowLastColumn="0"/>
            </w:pPr>
            <w:r w:rsidRPr="00AA3F59">
              <w:t>Controls account abuse and admin access</w:t>
            </w:r>
          </w:p>
        </w:tc>
        <w:tc>
          <w:tcPr>
            <w:tcW w:w="3312" w:type="dxa"/>
          </w:tcPr>
          <w:p w14:paraId="1DDCAABD" w14:textId="77777777" w:rsidR="00B24F05" w:rsidRPr="00AA3F59" w:rsidRDefault="00B24F05" w:rsidP="003B59FB">
            <w:pPr>
              <w:spacing w:line="360" w:lineRule="auto"/>
              <w:jc w:val="both"/>
              <w:cnfStyle w:val="000000000000" w:firstRow="0" w:lastRow="0" w:firstColumn="0" w:lastColumn="0" w:oddVBand="0" w:evenVBand="0" w:oddHBand="0" w:evenHBand="0" w:firstRowFirstColumn="0" w:firstRowLastColumn="0" w:lastRowFirstColumn="0" w:lastRowLastColumn="0"/>
            </w:pPr>
            <w:r w:rsidRPr="00AA3F59">
              <w:t>Limits unauthorised privilege use</w:t>
            </w:r>
          </w:p>
        </w:tc>
      </w:tr>
      <w:tr w:rsidR="00B24F05" w:rsidRPr="00AA3F59" w14:paraId="1BFFA15F" w14:textId="77777777" w:rsidTr="003B59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12" w:type="dxa"/>
          </w:tcPr>
          <w:p w14:paraId="46973F39" w14:textId="77777777" w:rsidR="00B24F05" w:rsidRPr="00AA3F59" w:rsidRDefault="00B24F05" w:rsidP="003B59FB">
            <w:pPr>
              <w:spacing w:line="360" w:lineRule="auto"/>
              <w:jc w:val="both"/>
            </w:pPr>
            <w:r w:rsidRPr="00AA3F59">
              <w:rPr>
                <w:b w:val="0"/>
              </w:rPr>
              <w:t>Encryption and tokenisation</w:t>
            </w:r>
          </w:p>
        </w:tc>
        <w:tc>
          <w:tcPr>
            <w:tcW w:w="3312" w:type="dxa"/>
          </w:tcPr>
          <w:p w14:paraId="33615B07" w14:textId="77777777" w:rsidR="00B24F05" w:rsidRPr="00AA3F59" w:rsidRDefault="00B24F05" w:rsidP="003B59FB">
            <w:pPr>
              <w:spacing w:line="360" w:lineRule="auto"/>
              <w:jc w:val="both"/>
              <w:cnfStyle w:val="000000100000" w:firstRow="0" w:lastRow="0" w:firstColumn="0" w:lastColumn="0" w:oddVBand="0" w:evenVBand="0" w:oddHBand="1" w:evenHBand="0" w:firstRowFirstColumn="0" w:firstRowLastColumn="0" w:lastRowFirstColumn="0" w:lastRowLastColumn="0"/>
            </w:pPr>
            <w:r w:rsidRPr="00AA3F59">
              <w:t>Protects sensitive personal data</w:t>
            </w:r>
          </w:p>
        </w:tc>
        <w:tc>
          <w:tcPr>
            <w:tcW w:w="3312" w:type="dxa"/>
          </w:tcPr>
          <w:p w14:paraId="38EDF5E8" w14:textId="77777777" w:rsidR="00B24F05" w:rsidRPr="00AA3F59" w:rsidRDefault="00B24F05" w:rsidP="003B59FB">
            <w:pPr>
              <w:spacing w:line="360" w:lineRule="auto"/>
              <w:jc w:val="both"/>
              <w:cnfStyle w:val="000000100000" w:firstRow="0" w:lastRow="0" w:firstColumn="0" w:lastColumn="0" w:oddVBand="0" w:evenVBand="0" w:oddHBand="1" w:evenHBand="0" w:firstRowFirstColumn="0" w:firstRowLastColumn="0" w:lastRowFirstColumn="0" w:lastRowLastColumn="0"/>
            </w:pPr>
            <w:r w:rsidRPr="00AA3F59">
              <w:t>Reduces impact if storage is accessed</w:t>
            </w:r>
          </w:p>
        </w:tc>
      </w:tr>
      <w:tr w:rsidR="00B24F05" w:rsidRPr="00AA3F59" w14:paraId="7743ED13" w14:textId="77777777" w:rsidTr="003B59FB">
        <w:tc>
          <w:tcPr>
            <w:cnfStyle w:val="001000000000" w:firstRow="0" w:lastRow="0" w:firstColumn="1" w:lastColumn="0" w:oddVBand="0" w:evenVBand="0" w:oddHBand="0" w:evenHBand="0" w:firstRowFirstColumn="0" w:firstRowLastColumn="0" w:lastRowFirstColumn="0" w:lastRowLastColumn="0"/>
            <w:tcW w:w="3312" w:type="dxa"/>
          </w:tcPr>
          <w:p w14:paraId="38DE760E" w14:textId="77777777" w:rsidR="00B24F05" w:rsidRPr="00AA3F59" w:rsidRDefault="00B24F05" w:rsidP="003B59FB">
            <w:pPr>
              <w:spacing w:line="360" w:lineRule="auto"/>
              <w:jc w:val="both"/>
            </w:pPr>
            <w:r w:rsidRPr="00AA3F59">
              <w:rPr>
                <w:b w:val="0"/>
              </w:rPr>
              <w:t>SOAR playbooks</w:t>
            </w:r>
          </w:p>
        </w:tc>
        <w:tc>
          <w:tcPr>
            <w:tcW w:w="3312" w:type="dxa"/>
          </w:tcPr>
          <w:p w14:paraId="4963C7EF" w14:textId="77777777" w:rsidR="00B24F05" w:rsidRPr="00AA3F59" w:rsidRDefault="00B24F05" w:rsidP="003B59FB">
            <w:pPr>
              <w:spacing w:line="360" w:lineRule="auto"/>
              <w:jc w:val="both"/>
              <w:cnfStyle w:val="000000000000" w:firstRow="0" w:lastRow="0" w:firstColumn="0" w:lastColumn="0" w:oddVBand="0" w:evenVBand="0" w:oddHBand="0" w:evenHBand="0" w:firstRowFirstColumn="0" w:firstRowLastColumn="0" w:lastRowFirstColumn="0" w:lastRowLastColumn="0"/>
            </w:pPr>
            <w:r w:rsidRPr="00AA3F59">
              <w:t>Automates isolation, account disabling and evidence capture</w:t>
            </w:r>
          </w:p>
        </w:tc>
        <w:tc>
          <w:tcPr>
            <w:tcW w:w="3312" w:type="dxa"/>
          </w:tcPr>
          <w:p w14:paraId="13F9F54B" w14:textId="77777777" w:rsidR="00B24F05" w:rsidRPr="00AA3F59" w:rsidRDefault="00B24F05" w:rsidP="003B59FB">
            <w:pPr>
              <w:spacing w:line="360" w:lineRule="auto"/>
              <w:jc w:val="both"/>
              <w:cnfStyle w:val="000000000000" w:firstRow="0" w:lastRow="0" w:firstColumn="0" w:lastColumn="0" w:oddVBand="0" w:evenVBand="0" w:oddHBand="0" w:evenHBand="0" w:firstRowFirstColumn="0" w:firstRowLastColumn="0" w:lastRowFirstColumn="0" w:lastRowLastColumn="0"/>
            </w:pPr>
            <w:r w:rsidRPr="00AA3F59">
              <w:t>Accelerates containment and response consistency</w:t>
            </w:r>
          </w:p>
        </w:tc>
      </w:tr>
    </w:tbl>
    <w:p w14:paraId="03EADFE7" w14:textId="77777777" w:rsidR="00B24F05" w:rsidRPr="00AA3F59" w:rsidRDefault="00B24F05" w:rsidP="00B24F05">
      <w:pPr>
        <w:spacing w:line="360" w:lineRule="auto"/>
        <w:jc w:val="both"/>
        <w:rPr>
          <w:sz w:val="22"/>
          <w:szCs w:val="22"/>
        </w:rPr>
      </w:pPr>
    </w:p>
    <w:p w14:paraId="649C46E8" w14:textId="77777777" w:rsidR="00B24F05" w:rsidRPr="00AA3F59" w:rsidRDefault="00B24F05" w:rsidP="00DE34C4">
      <w:pPr>
        <w:pStyle w:val="Heading1"/>
        <w:numPr>
          <w:ilvl w:val="0"/>
          <w:numId w:val="0"/>
        </w:numPr>
        <w:spacing w:before="0" w:line="360" w:lineRule="auto"/>
        <w:jc w:val="both"/>
        <w:rPr>
          <w:b/>
          <w:bCs/>
          <w:sz w:val="22"/>
          <w:szCs w:val="22"/>
        </w:rPr>
      </w:pPr>
      <w:r w:rsidRPr="00AA3F59">
        <w:rPr>
          <w:rFonts w:eastAsia="Times New Roman"/>
          <w:b/>
          <w:bCs/>
          <w:sz w:val="22"/>
          <w:szCs w:val="22"/>
        </w:rPr>
        <w:lastRenderedPageBreak/>
        <w:t>7. Design Justification and Programme Roadmap</w:t>
      </w:r>
    </w:p>
    <w:p w14:paraId="5A590FA4" w14:textId="62B919D8" w:rsidR="00B24F05" w:rsidRPr="00AA3F59" w:rsidRDefault="00B24F05" w:rsidP="00B24F05">
      <w:pPr>
        <w:spacing w:line="360" w:lineRule="auto"/>
        <w:jc w:val="both"/>
        <w:rPr>
          <w:sz w:val="22"/>
          <w:szCs w:val="22"/>
        </w:rPr>
      </w:pPr>
      <w:r w:rsidRPr="00AA3F59">
        <w:rPr>
          <w:sz w:val="22"/>
          <w:szCs w:val="22"/>
        </w:rPr>
        <w:t xml:space="preserve">A programme to be implemented in stages should be proposed. The first phase (0-90 days) should be oriented towards critical risk reduction: asset inventory for internet-facing systems, critical vulnerability remediation, multi-factor authentication for privileged accounts, </w:t>
      </w:r>
      <w:r w:rsidR="0037366F" w:rsidRPr="00AA3F59">
        <w:rPr>
          <w:sz w:val="22"/>
          <w:szCs w:val="22"/>
        </w:rPr>
        <w:t>centralized</w:t>
      </w:r>
      <w:r w:rsidRPr="00AA3F59">
        <w:rPr>
          <w:sz w:val="22"/>
          <w:szCs w:val="22"/>
        </w:rPr>
        <w:t xml:space="preserve"> logging and incident response escalation. Phase two (3-9 months) will be required to deploy secure SDLC, dependency scanning, EDR, SIEM use cases, database monitoring and database data classification. The third phase (9-18 months) will bring in Zero Trust Segmentation, Just in Time Privileged Access, Auto SOAR Response, Continuous Control Monitoring and Board Level Risk Dashboards. </w:t>
      </w:r>
    </w:p>
    <w:p w14:paraId="25B9ECDB" w14:textId="35098BEB" w:rsidR="00B24F05" w:rsidRPr="00AA3F59" w:rsidRDefault="00B24F05" w:rsidP="00B24F05">
      <w:pPr>
        <w:spacing w:line="360" w:lineRule="auto"/>
        <w:jc w:val="both"/>
        <w:rPr>
          <w:sz w:val="22"/>
          <w:szCs w:val="22"/>
        </w:rPr>
      </w:pPr>
      <w:r w:rsidRPr="00AA3F59">
        <w:rPr>
          <w:sz w:val="22"/>
          <w:szCs w:val="22"/>
        </w:rPr>
        <w:t xml:space="preserve">Root Cause is the basis for design and not just treating symptoms. Using a web application firewall alone may limit the risk of being exploited, but if there is no governance, asset inventory and verified patching, then this failure can continue to happen. Credential abuse can be mitigated with MFA alone, but within applications an attacker may be able to find a path to sensitive databases. While encryption will protect confidentiality, monitoring is crucial to detect any exfiltration promptly if it occurs – otherwise the </w:t>
      </w:r>
      <w:r w:rsidR="0037366F" w:rsidRPr="00AA3F59">
        <w:rPr>
          <w:sz w:val="22"/>
          <w:szCs w:val="22"/>
        </w:rPr>
        <w:t>organization</w:t>
      </w:r>
      <w:r w:rsidRPr="00AA3F59">
        <w:rPr>
          <w:sz w:val="22"/>
          <w:szCs w:val="22"/>
        </w:rPr>
        <w:t xml:space="preserve"> may fail to be aware. The programme thus integrates the accountability of </w:t>
      </w:r>
      <w:r w:rsidR="0037366F" w:rsidRPr="00AA3F59">
        <w:rPr>
          <w:sz w:val="22"/>
          <w:szCs w:val="22"/>
        </w:rPr>
        <w:t>organizations</w:t>
      </w:r>
      <w:r w:rsidRPr="00AA3F59">
        <w:rPr>
          <w:sz w:val="22"/>
          <w:szCs w:val="22"/>
        </w:rPr>
        <w:t>, enforcement of policy, strategic integration, risk assessment and technical protection into a unified security operating model.</w:t>
      </w:r>
    </w:p>
    <w:p w14:paraId="68C06513" w14:textId="77777777" w:rsidR="00B24F05" w:rsidRPr="00AA3F59" w:rsidRDefault="00B24F05" w:rsidP="00B24F05">
      <w:pPr>
        <w:spacing w:line="360" w:lineRule="auto"/>
        <w:jc w:val="both"/>
        <w:rPr>
          <w:sz w:val="22"/>
          <w:szCs w:val="22"/>
        </w:rPr>
      </w:pPr>
      <w:r w:rsidRPr="00AA3F59">
        <w:rPr>
          <w:b/>
          <w:bCs/>
          <w:sz w:val="22"/>
          <w:szCs w:val="22"/>
        </w:rPr>
        <w:t>Table 3.</w:t>
      </w:r>
      <w:r w:rsidRPr="00AA3F59">
        <w:rPr>
          <w:sz w:val="22"/>
          <w:szCs w:val="22"/>
        </w:rPr>
        <w:t xml:space="preserve"> Phased cybersecurity programme roadmap.</w:t>
      </w:r>
    </w:p>
    <w:tbl>
      <w:tblPr>
        <w:tblStyle w:val="GridTable4-Accent6"/>
        <w:tblW w:w="0" w:type="auto"/>
        <w:tblLook w:val="04A0" w:firstRow="1" w:lastRow="0" w:firstColumn="1" w:lastColumn="0" w:noHBand="0" w:noVBand="1"/>
      </w:tblPr>
      <w:tblGrid>
        <w:gridCol w:w="2176"/>
        <w:gridCol w:w="2258"/>
        <w:gridCol w:w="2310"/>
        <w:gridCol w:w="2272"/>
      </w:tblGrid>
      <w:tr w:rsidR="00B24F05" w:rsidRPr="00AA3F59" w14:paraId="0C5C7C57" w14:textId="77777777" w:rsidTr="003B59F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84" w:type="dxa"/>
          </w:tcPr>
          <w:p w14:paraId="37F269BD" w14:textId="77777777" w:rsidR="00B24F05" w:rsidRPr="00AA3F59" w:rsidRDefault="00B24F05" w:rsidP="003B59FB">
            <w:pPr>
              <w:spacing w:line="360" w:lineRule="auto"/>
              <w:jc w:val="both"/>
            </w:pPr>
            <w:r w:rsidRPr="00AA3F59">
              <w:t>Phase</w:t>
            </w:r>
          </w:p>
        </w:tc>
        <w:tc>
          <w:tcPr>
            <w:tcW w:w="2484" w:type="dxa"/>
          </w:tcPr>
          <w:p w14:paraId="69CF3759" w14:textId="77777777" w:rsidR="00B24F05" w:rsidRPr="00AA3F59" w:rsidRDefault="00B24F05" w:rsidP="003B59FB">
            <w:pPr>
              <w:spacing w:line="360" w:lineRule="auto"/>
              <w:jc w:val="both"/>
              <w:cnfStyle w:val="100000000000" w:firstRow="1" w:lastRow="0" w:firstColumn="0" w:lastColumn="0" w:oddVBand="0" w:evenVBand="0" w:oddHBand="0" w:evenHBand="0" w:firstRowFirstColumn="0" w:firstRowLastColumn="0" w:lastRowFirstColumn="0" w:lastRowLastColumn="0"/>
            </w:pPr>
            <w:r w:rsidRPr="00AA3F59">
              <w:t>Timeframe</w:t>
            </w:r>
          </w:p>
        </w:tc>
        <w:tc>
          <w:tcPr>
            <w:tcW w:w="2484" w:type="dxa"/>
          </w:tcPr>
          <w:p w14:paraId="4D8B3A4E" w14:textId="77777777" w:rsidR="00B24F05" w:rsidRPr="00AA3F59" w:rsidRDefault="00B24F05" w:rsidP="003B59FB">
            <w:pPr>
              <w:spacing w:line="360" w:lineRule="auto"/>
              <w:jc w:val="both"/>
              <w:cnfStyle w:val="100000000000" w:firstRow="1" w:lastRow="0" w:firstColumn="0" w:lastColumn="0" w:oddVBand="0" w:evenVBand="0" w:oddHBand="0" w:evenHBand="0" w:firstRowFirstColumn="0" w:firstRowLastColumn="0" w:lastRowFirstColumn="0" w:lastRowLastColumn="0"/>
            </w:pPr>
            <w:r w:rsidRPr="00AA3F59">
              <w:t>Priority actions</w:t>
            </w:r>
          </w:p>
        </w:tc>
        <w:tc>
          <w:tcPr>
            <w:tcW w:w="2484" w:type="dxa"/>
          </w:tcPr>
          <w:p w14:paraId="7148AE88" w14:textId="77777777" w:rsidR="00B24F05" w:rsidRPr="00AA3F59" w:rsidRDefault="00B24F05" w:rsidP="003B59FB">
            <w:pPr>
              <w:spacing w:line="360" w:lineRule="auto"/>
              <w:jc w:val="both"/>
              <w:cnfStyle w:val="100000000000" w:firstRow="1" w:lastRow="0" w:firstColumn="0" w:lastColumn="0" w:oddVBand="0" w:evenVBand="0" w:oddHBand="0" w:evenHBand="0" w:firstRowFirstColumn="0" w:firstRowLastColumn="0" w:lastRowFirstColumn="0" w:lastRowLastColumn="0"/>
            </w:pPr>
            <w:r w:rsidRPr="00AA3F59">
              <w:t>Expected outcome</w:t>
            </w:r>
          </w:p>
        </w:tc>
      </w:tr>
      <w:tr w:rsidR="00B24F05" w:rsidRPr="00AA3F59" w14:paraId="0BAC95DB" w14:textId="77777777" w:rsidTr="003B59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84" w:type="dxa"/>
          </w:tcPr>
          <w:p w14:paraId="531ABC7E" w14:textId="77777777" w:rsidR="00B24F05" w:rsidRPr="00AA3F59" w:rsidRDefault="00B24F05" w:rsidP="003B59FB">
            <w:pPr>
              <w:spacing w:line="360" w:lineRule="auto"/>
              <w:jc w:val="both"/>
            </w:pPr>
            <w:r w:rsidRPr="00AA3F59">
              <w:rPr>
                <w:b w:val="0"/>
              </w:rPr>
              <w:t>1</w:t>
            </w:r>
          </w:p>
        </w:tc>
        <w:tc>
          <w:tcPr>
            <w:tcW w:w="2484" w:type="dxa"/>
          </w:tcPr>
          <w:p w14:paraId="43BE1207" w14:textId="77777777" w:rsidR="00B24F05" w:rsidRPr="00AA3F59" w:rsidRDefault="00B24F05" w:rsidP="003B59FB">
            <w:pPr>
              <w:spacing w:line="360" w:lineRule="auto"/>
              <w:jc w:val="both"/>
              <w:cnfStyle w:val="000000100000" w:firstRow="0" w:lastRow="0" w:firstColumn="0" w:lastColumn="0" w:oddVBand="0" w:evenVBand="0" w:oddHBand="1" w:evenHBand="0" w:firstRowFirstColumn="0" w:firstRowLastColumn="0" w:lastRowFirstColumn="0" w:lastRowLastColumn="0"/>
            </w:pPr>
            <w:r w:rsidRPr="00AA3F59">
              <w:t>0-90 days</w:t>
            </w:r>
          </w:p>
        </w:tc>
        <w:tc>
          <w:tcPr>
            <w:tcW w:w="2484" w:type="dxa"/>
          </w:tcPr>
          <w:p w14:paraId="6DC671BA" w14:textId="77777777" w:rsidR="00B24F05" w:rsidRPr="00AA3F59" w:rsidRDefault="00B24F05" w:rsidP="003B59FB">
            <w:pPr>
              <w:spacing w:line="360" w:lineRule="auto"/>
              <w:jc w:val="both"/>
              <w:cnfStyle w:val="000000100000" w:firstRow="0" w:lastRow="0" w:firstColumn="0" w:lastColumn="0" w:oddVBand="0" w:evenVBand="0" w:oddHBand="1" w:evenHBand="0" w:firstRowFirstColumn="0" w:firstRowLastColumn="0" w:lastRowFirstColumn="0" w:lastRowLastColumn="0"/>
            </w:pPr>
            <w:r w:rsidRPr="00AA3F59">
              <w:t>Critical asset inventory, emergency patching, MFA for privileged users, centralised logging</w:t>
            </w:r>
          </w:p>
        </w:tc>
        <w:tc>
          <w:tcPr>
            <w:tcW w:w="2484" w:type="dxa"/>
          </w:tcPr>
          <w:p w14:paraId="7105EEF1" w14:textId="77777777" w:rsidR="00B24F05" w:rsidRPr="00AA3F59" w:rsidRDefault="00B24F05" w:rsidP="003B59FB">
            <w:pPr>
              <w:spacing w:line="360" w:lineRule="auto"/>
              <w:jc w:val="both"/>
              <w:cnfStyle w:val="000000100000" w:firstRow="0" w:lastRow="0" w:firstColumn="0" w:lastColumn="0" w:oddVBand="0" w:evenVBand="0" w:oddHBand="1" w:evenHBand="0" w:firstRowFirstColumn="0" w:firstRowLastColumn="0" w:lastRowFirstColumn="0" w:lastRowLastColumn="0"/>
            </w:pPr>
            <w:r w:rsidRPr="00AA3F59">
              <w:t>Immediate reduction of preventable high-risk exposure</w:t>
            </w:r>
          </w:p>
        </w:tc>
      </w:tr>
      <w:tr w:rsidR="00B24F05" w:rsidRPr="00AA3F59" w14:paraId="25305716" w14:textId="77777777" w:rsidTr="003B59FB">
        <w:tc>
          <w:tcPr>
            <w:cnfStyle w:val="001000000000" w:firstRow="0" w:lastRow="0" w:firstColumn="1" w:lastColumn="0" w:oddVBand="0" w:evenVBand="0" w:oddHBand="0" w:evenHBand="0" w:firstRowFirstColumn="0" w:firstRowLastColumn="0" w:lastRowFirstColumn="0" w:lastRowLastColumn="0"/>
            <w:tcW w:w="2484" w:type="dxa"/>
          </w:tcPr>
          <w:p w14:paraId="76FDA13C" w14:textId="77777777" w:rsidR="00B24F05" w:rsidRPr="00AA3F59" w:rsidRDefault="00B24F05" w:rsidP="003B59FB">
            <w:pPr>
              <w:spacing w:line="360" w:lineRule="auto"/>
              <w:jc w:val="both"/>
            </w:pPr>
            <w:r w:rsidRPr="00AA3F59">
              <w:rPr>
                <w:b w:val="0"/>
              </w:rPr>
              <w:t>2</w:t>
            </w:r>
          </w:p>
        </w:tc>
        <w:tc>
          <w:tcPr>
            <w:tcW w:w="2484" w:type="dxa"/>
          </w:tcPr>
          <w:p w14:paraId="7B1F8137" w14:textId="77777777" w:rsidR="00B24F05" w:rsidRPr="00AA3F59" w:rsidRDefault="00B24F05" w:rsidP="003B59FB">
            <w:pPr>
              <w:spacing w:line="360" w:lineRule="auto"/>
              <w:jc w:val="both"/>
              <w:cnfStyle w:val="000000000000" w:firstRow="0" w:lastRow="0" w:firstColumn="0" w:lastColumn="0" w:oddVBand="0" w:evenVBand="0" w:oddHBand="0" w:evenHBand="0" w:firstRowFirstColumn="0" w:firstRowLastColumn="0" w:lastRowFirstColumn="0" w:lastRowLastColumn="0"/>
            </w:pPr>
            <w:r w:rsidRPr="00AA3F59">
              <w:t>3-9 months</w:t>
            </w:r>
          </w:p>
        </w:tc>
        <w:tc>
          <w:tcPr>
            <w:tcW w:w="2484" w:type="dxa"/>
          </w:tcPr>
          <w:p w14:paraId="02AD1617" w14:textId="77777777" w:rsidR="00B24F05" w:rsidRPr="00AA3F59" w:rsidRDefault="00B24F05" w:rsidP="003B59FB">
            <w:pPr>
              <w:spacing w:line="360" w:lineRule="auto"/>
              <w:jc w:val="both"/>
              <w:cnfStyle w:val="000000000000" w:firstRow="0" w:lastRow="0" w:firstColumn="0" w:lastColumn="0" w:oddVBand="0" w:evenVBand="0" w:oddHBand="0" w:evenHBand="0" w:firstRowFirstColumn="0" w:firstRowLastColumn="0" w:lastRowFirstColumn="0" w:lastRowLastColumn="0"/>
            </w:pPr>
            <w:r w:rsidRPr="00AA3F59">
              <w:t>Secure SDLC, dependency scanning, EDR, SIEM use cases, data classification</w:t>
            </w:r>
          </w:p>
        </w:tc>
        <w:tc>
          <w:tcPr>
            <w:tcW w:w="2484" w:type="dxa"/>
          </w:tcPr>
          <w:p w14:paraId="4535349D" w14:textId="77777777" w:rsidR="00B24F05" w:rsidRPr="00AA3F59" w:rsidRDefault="00B24F05" w:rsidP="003B59FB">
            <w:pPr>
              <w:spacing w:line="360" w:lineRule="auto"/>
              <w:jc w:val="both"/>
              <w:cnfStyle w:val="000000000000" w:firstRow="0" w:lastRow="0" w:firstColumn="0" w:lastColumn="0" w:oddVBand="0" w:evenVBand="0" w:oddHBand="0" w:evenHBand="0" w:firstRowFirstColumn="0" w:firstRowLastColumn="0" w:lastRowFirstColumn="0" w:lastRowLastColumn="0"/>
            </w:pPr>
            <w:r w:rsidRPr="00AA3F59">
              <w:t>Improved detection, application assurance and data governance</w:t>
            </w:r>
          </w:p>
        </w:tc>
      </w:tr>
      <w:tr w:rsidR="00B24F05" w:rsidRPr="00AA3F59" w14:paraId="19D400EE" w14:textId="77777777" w:rsidTr="003B59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84" w:type="dxa"/>
          </w:tcPr>
          <w:p w14:paraId="4A89AEA0" w14:textId="77777777" w:rsidR="00B24F05" w:rsidRPr="00AA3F59" w:rsidRDefault="00B24F05" w:rsidP="003B59FB">
            <w:pPr>
              <w:spacing w:line="360" w:lineRule="auto"/>
              <w:jc w:val="both"/>
            </w:pPr>
            <w:r w:rsidRPr="00AA3F59">
              <w:rPr>
                <w:b w:val="0"/>
              </w:rPr>
              <w:t>3</w:t>
            </w:r>
          </w:p>
        </w:tc>
        <w:tc>
          <w:tcPr>
            <w:tcW w:w="2484" w:type="dxa"/>
          </w:tcPr>
          <w:p w14:paraId="1EFCFC7B" w14:textId="77777777" w:rsidR="00B24F05" w:rsidRPr="00AA3F59" w:rsidRDefault="00B24F05" w:rsidP="003B59FB">
            <w:pPr>
              <w:spacing w:line="360" w:lineRule="auto"/>
              <w:jc w:val="both"/>
              <w:cnfStyle w:val="000000100000" w:firstRow="0" w:lastRow="0" w:firstColumn="0" w:lastColumn="0" w:oddVBand="0" w:evenVBand="0" w:oddHBand="1" w:evenHBand="0" w:firstRowFirstColumn="0" w:firstRowLastColumn="0" w:lastRowFirstColumn="0" w:lastRowLastColumn="0"/>
            </w:pPr>
            <w:r w:rsidRPr="00AA3F59">
              <w:t>9-18 months</w:t>
            </w:r>
          </w:p>
        </w:tc>
        <w:tc>
          <w:tcPr>
            <w:tcW w:w="2484" w:type="dxa"/>
          </w:tcPr>
          <w:p w14:paraId="6A6EB1AE" w14:textId="77777777" w:rsidR="00B24F05" w:rsidRPr="00AA3F59" w:rsidRDefault="00B24F05" w:rsidP="003B59FB">
            <w:pPr>
              <w:spacing w:line="360" w:lineRule="auto"/>
              <w:jc w:val="both"/>
              <w:cnfStyle w:val="000000100000" w:firstRow="0" w:lastRow="0" w:firstColumn="0" w:lastColumn="0" w:oddVBand="0" w:evenVBand="0" w:oddHBand="1" w:evenHBand="0" w:firstRowFirstColumn="0" w:firstRowLastColumn="0" w:lastRowFirstColumn="0" w:lastRowLastColumn="0"/>
            </w:pPr>
            <w:r w:rsidRPr="00AA3F59">
              <w:t>Zero Trust segmentation, PAM, SOAR automation, control dashboards</w:t>
            </w:r>
          </w:p>
        </w:tc>
        <w:tc>
          <w:tcPr>
            <w:tcW w:w="2484" w:type="dxa"/>
          </w:tcPr>
          <w:p w14:paraId="33A3467D" w14:textId="77777777" w:rsidR="00B24F05" w:rsidRPr="00AA3F59" w:rsidRDefault="00B24F05" w:rsidP="003B59FB">
            <w:pPr>
              <w:spacing w:line="360" w:lineRule="auto"/>
              <w:jc w:val="both"/>
              <w:cnfStyle w:val="000000100000" w:firstRow="0" w:lastRow="0" w:firstColumn="0" w:lastColumn="0" w:oddVBand="0" w:evenVBand="0" w:oddHBand="1" w:evenHBand="0" w:firstRowFirstColumn="0" w:firstRowLastColumn="0" w:lastRowFirstColumn="0" w:lastRowLastColumn="0"/>
            </w:pPr>
            <w:r w:rsidRPr="00AA3F59">
              <w:t>Resilient and auditable security operating model</w:t>
            </w:r>
          </w:p>
        </w:tc>
      </w:tr>
    </w:tbl>
    <w:p w14:paraId="753463EE" w14:textId="77777777" w:rsidR="00B24F05" w:rsidRPr="00AA3F59" w:rsidRDefault="00B24F05" w:rsidP="00B24F05">
      <w:pPr>
        <w:spacing w:line="360" w:lineRule="auto"/>
        <w:jc w:val="both"/>
        <w:rPr>
          <w:sz w:val="22"/>
          <w:szCs w:val="22"/>
        </w:rPr>
      </w:pPr>
    </w:p>
    <w:p w14:paraId="75EA8783" w14:textId="77777777" w:rsidR="00B24F05" w:rsidRPr="00AA3F59" w:rsidRDefault="00B24F05" w:rsidP="00DE34C4">
      <w:pPr>
        <w:pStyle w:val="Heading1"/>
        <w:numPr>
          <w:ilvl w:val="0"/>
          <w:numId w:val="0"/>
        </w:numPr>
        <w:spacing w:before="0" w:line="360" w:lineRule="auto"/>
        <w:jc w:val="both"/>
        <w:rPr>
          <w:b/>
          <w:bCs/>
          <w:sz w:val="22"/>
          <w:szCs w:val="22"/>
        </w:rPr>
      </w:pPr>
      <w:r w:rsidRPr="00AA3F59">
        <w:rPr>
          <w:rFonts w:eastAsia="Times New Roman"/>
          <w:b/>
          <w:bCs/>
          <w:sz w:val="22"/>
          <w:szCs w:val="22"/>
        </w:rPr>
        <w:t>8. Assurance Metrics and Review Mechanisms</w:t>
      </w:r>
    </w:p>
    <w:p w14:paraId="415D95B7" w14:textId="77777777" w:rsidR="00B24F05" w:rsidRPr="00AA3F59" w:rsidRDefault="00B24F05" w:rsidP="00B24F05">
      <w:pPr>
        <w:spacing w:line="360" w:lineRule="auto"/>
        <w:jc w:val="both"/>
        <w:rPr>
          <w:sz w:val="22"/>
          <w:szCs w:val="22"/>
        </w:rPr>
      </w:pPr>
      <w:r w:rsidRPr="00AA3F59">
        <w:rPr>
          <w:sz w:val="22"/>
          <w:szCs w:val="22"/>
        </w:rPr>
        <w:t xml:space="preserve">The programme needs to be evaluated with quantitative and qualitative measures. KPIs should cover such things as percentage of critical assets that have owners, percentage of internet-facing assets that </w:t>
      </w:r>
      <w:r w:rsidRPr="00AA3F59">
        <w:rPr>
          <w:sz w:val="22"/>
          <w:szCs w:val="22"/>
        </w:rPr>
        <w:lastRenderedPageBreak/>
        <w:t>are scanned daily, mean time to remediate the critical vulnerabilities, percentage of privileged users that are protected by MFA, number of high-risk exception that have not been resolved, mean time to detect suspicious activity, mean time to contain confirmed incidents, and percentage of incident-response playbooks that are tested within the past 12 months. The metrics should be communicated to the Board Risk and Cybersecurity Committee to make cybersecurity risk transparent along with financial and operational risk.</w:t>
      </w:r>
    </w:p>
    <w:p w14:paraId="3E456153" w14:textId="7221521A" w:rsidR="00B24F05" w:rsidRPr="00AA3F59" w:rsidRDefault="00B24F05" w:rsidP="00B24F05">
      <w:pPr>
        <w:spacing w:line="360" w:lineRule="auto"/>
        <w:jc w:val="both"/>
        <w:rPr>
          <w:sz w:val="22"/>
          <w:szCs w:val="22"/>
        </w:rPr>
      </w:pPr>
      <w:r w:rsidRPr="00AA3F59">
        <w:rPr>
          <w:sz w:val="22"/>
          <w:szCs w:val="22"/>
        </w:rPr>
        <w:t xml:space="preserve">The last assurance mechanism is evidence retention. The </w:t>
      </w:r>
      <w:r w:rsidR="0037366F" w:rsidRPr="00AA3F59">
        <w:rPr>
          <w:sz w:val="22"/>
          <w:szCs w:val="22"/>
        </w:rPr>
        <w:t>organization</w:t>
      </w:r>
      <w:r w:rsidRPr="00AA3F59">
        <w:rPr>
          <w:sz w:val="22"/>
          <w:szCs w:val="22"/>
        </w:rPr>
        <w:t xml:space="preserve"> must keep records of artefacts for each critical control, e.g. vulnerability scan reports, patch validation screenshots, change tickets, access review records, incident timelines, legal notification decisions, recovery test results and board dashboard minutes. Staff training and role-specific exercises should also be a part of the programme. In the security development world, secure coding and dependency management training are required; system owners must be responsible for patching and asset management; executives must be able to be exposed to simulations of incidents and make decisions; and customer-facing staff need to be provided with breach communication scripts. This helps to enhance transferable professional practice; cyber security is no longer a specialist role that's carried out in the security operations </w:t>
      </w:r>
      <w:r w:rsidR="0037366F" w:rsidRPr="00AA3F59">
        <w:rPr>
          <w:sz w:val="22"/>
          <w:szCs w:val="22"/>
        </w:rPr>
        <w:t>Centre</w:t>
      </w:r>
      <w:r w:rsidRPr="00AA3F59">
        <w:rPr>
          <w:sz w:val="22"/>
          <w:szCs w:val="22"/>
        </w:rPr>
        <w:t xml:space="preserve"> </w:t>
      </w:r>
      <w:r w:rsidRPr="00AA3F59">
        <w:rPr>
          <w:sz w:val="22"/>
          <w:szCs w:val="22"/>
        </w:rPr>
        <w:fldChar w:fldCharType="begin"/>
      </w:r>
      <w:r w:rsidRPr="00AA3F59">
        <w:rPr>
          <w:sz w:val="22"/>
          <w:szCs w:val="22"/>
        </w:rPr>
        <w:instrText xml:space="preserve"> ADDIN EN.CITE &lt;EndNote&gt;&lt;Cite&gt;&lt;Author&gt;George&lt;/Author&gt;&lt;Year&gt;2025&lt;/Year&gt;&lt;RecNum&gt;646&lt;/RecNum&gt;&lt;DisplayText&gt;[10]&lt;/DisplayText&gt;&lt;record&gt;&lt;rec-number&gt;646&lt;/rec-number&gt;&lt;foreign-keys&gt;&lt;key app="EN" db-id="099ptrwarsvtw4ezvanvzvxb22prvx0rfdvf" timestamp="1783510514"&gt;646&lt;/key&gt;&lt;/foreign-keys&gt;&lt;ref-type name="Journal Article"&gt;17&lt;/ref-type&gt;&lt;contributors&gt;&lt;authors&gt;&lt;author&gt;George, A Shaji&lt;/author&gt;&lt;author&gt;Baskar, T&lt;/author&gt;&lt;author&gt;Srikaanth, P Balaji&lt;/author&gt;&lt;/authors&gt;&lt;/contributors&gt;&lt;titles&gt;&lt;title&gt;Bridging the Security Skills Gap: A Comprehensive Framework for Developing Application Security Competencies in Modern Software Engineering&lt;/title&gt;&lt;secondary-title&gt;Partners Universal Innovative Research Publication&lt;/secondary-title&gt;&lt;/titles&gt;&lt;periodical&gt;&lt;full-title&gt;Partners Universal Innovative Research Publication&lt;/full-title&gt;&lt;/periodical&gt;&lt;pages&gt;96-123&lt;/pages&gt;&lt;volume&gt;3&lt;/volume&gt;&lt;number&gt;3&lt;/number&gt;&lt;dates&gt;&lt;year&gt;2025&lt;/year&gt;&lt;/dates&gt;&lt;urls&gt;&lt;/urls&gt;&lt;electronic-resource-num&gt;https://doi.org/10.5281/zenodo.15616416&lt;/electronic-resource-num&gt;&lt;/record&gt;&lt;/Cite&gt;&lt;/EndNote&gt;</w:instrText>
      </w:r>
      <w:r w:rsidRPr="00AA3F59">
        <w:rPr>
          <w:sz w:val="22"/>
          <w:szCs w:val="22"/>
        </w:rPr>
        <w:fldChar w:fldCharType="separate"/>
      </w:r>
      <w:r w:rsidRPr="00AA3F59">
        <w:rPr>
          <w:noProof/>
          <w:sz w:val="22"/>
          <w:szCs w:val="22"/>
        </w:rPr>
        <w:t>[10]</w:t>
      </w:r>
      <w:r w:rsidRPr="00AA3F59">
        <w:rPr>
          <w:sz w:val="22"/>
          <w:szCs w:val="22"/>
        </w:rPr>
        <w:fldChar w:fldCharType="end"/>
      </w:r>
      <w:r w:rsidRPr="00AA3F59">
        <w:rPr>
          <w:sz w:val="22"/>
          <w:szCs w:val="22"/>
        </w:rPr>
        <w:t>.</w:t>
      </w:r>
    </w:p>
    <w:p w14:paraId="06B390D0" w14:textId="7748D4F1" w:rsidR="00B24F05" w:rsidRDefault="00B24F05" w:rsidP="00B24F05">
      <w:pPr>
        <w:spacing w:line="360" w:lineRule="auto"/>
        <w:jc w:val="both"/>
        <w:rPr>
          <w:sz w:val="22"/>
          <w:szCs w:val="22"/>
        </w:rPr>
      </w:pPr>
      <w:r w:rsidRPr="00AA3F59">
        <w:rPr>
          <w:sz w:val="22"/>
          <w:szCs w:val="22"/>
        </w:rPr>
        <w:t xml:space="preserve">To keep the programme, proportionate, controls should be reviewed after incidents, major system changes and audit findings. This ensures that the design remains forward-looking and does not only respond to the previous breach pattern, while maintaining evidence that controls remain effective, affordable and aligned with changing </w:t>
      </w:r>
      <w:r w:rsidR="00FF41D6" w:rsidRPr="00AA3F59">
        <w:rPr>
          <w:sz w:val="22"/>
          <w:szCs w:val="22"/>
        </w:rPr>
        <w:t>organizational</w:t>
      </w:r>
      <w:r w:rsidRPr="00AA3F59">
        <w:rPr>
          <w:sz w:val="22"/>
          <w:szCs w:val="22"/>
        </w:rPr>
        <w:t xml:space="preserve"> risk.</w:t>
      </w:r>
    </w:p>
    <w:p w14:paraId="52990C0D" w14:textId="77777777" w:rsidR="00F17F28" w:rsidRPr="00AA3F59" w:rsidRDefault="00F17F28" w:rsidP="00B24F05">
      <w:pPr>
        <w:spacing w:line="360" w:lineRule="auto"/>
        <w:jc w:val="both"/>
        <w:rPr>
          <w:sz w:val="22"/>
          <w:szCs w:val="22"/>
        </w:rPr>
      </w:pPr>
    </w:p>
    <w:p w14:paraId="31C71F01" w14:textId="2E34C4D2" w:rsidR="00B24F05" w:rsidRPr="00AA3F59" w:rsidRDefault="00B24F05" w:rsidP="00DE34C4">
      <w:pPr>
        <w:pStyle w:val="Heading1"/>
        <w:numPr>
          <w:ilvl w:val="0"/>
          <w:numId w:val="0"/>
        </w:numPr>
        <w:spacing w:before="0" w:line="360" w:lineRule="auto"/>
        <w:jc w:val="both"/>
        <w:rPr>
          <w:b/>
          <w:bCs/>
          <w:sz w:val="22"/>
          <w:szCs w:val="22"/>
        </w:rPr>
      </w:pPr>
      <w:r w:rsidRPr="00AA3F59">
        <w:rPr>
          <w:rFonts w:eastAsia="Times New Roman"/>
          <w:b/>
          <w:bCs/>
          <w:sz w:val="22"/>
          <w:szCs w:val="22"/>
        </w:rPr>
        <w:t>9. Conclusion</w:t>
      </w:r>
    </w:p>
    <w:p w14:paraId="3EFD3FFB" w14:textId="52654335" w:rsidR="00B24F05" w:rsidRPr="00AA3F59" w:rsidRDefault="00B24F05" w:rsidP="00B24F05">
      <w:pPr>
        <w:spacing w:line="360" w:lineRule="auto"/>
        <w:jc w:val="both"/>
        <w:rPr>
          <w:sz w:val="22"/>
          <w:szCs w:val="22"/>
        </w:rPr>
      </w:pPr>
      <w:r w:rsidRPr="00AA3F59">
        <w:rPr>
          <w:sz w:val="22"/>
          <w:szCs w:val="22"/>
        </w:rPr>
        <w:t xml:space="preserve">The Equifax breach demonstrates that cybersecurity failure is rarely just a technical event. The exploitation of Apache Struts was the entry point, but the scale of impact reflected governance weaknesses, patch-management failure, asset-visibility gaps, limited segmentation, inadequate monitoring and poor response readiness. A structured cybersecurity programme must therefore combine board accountability, enforceable policies, NIST CSF 2.0 alignment, risk-based </w:t>
      </w:r>
      <w:r w:rsidR="00FF41D6" w:rsidRPr="00AA3F59">
        <w:rPr>
          <w:sz w:val="22"/>
          <w:szCs w:val="22"/>
        </w:rPr>
        <w:t>prioritization</w:t>
      </w:r>
      <w:r w:rsidRPr="00AA3F59">
        <w:rPr>
          <w:sz w:val="22"/>
          <w:szCs w:val="22"/>
        </w:rPr>
        <w:t xml:space="preserve"> and layered technical controls. The proposed programme would reduce breach likelihood by improving asset discovery, patch assurance, secure development and access governance. It would reduce dwell time through continuous monitoring, EDR, SIEM, database activity monitoring and automated response. It would reduce </w:t>
      </w:r>
      <w:r w:rsidR="00013299" w:rsidRPr="00AA3F59">
        <w:rPr>
          <w:sz w:val="22"/>
          <w:szCs w:val="22"/>
        </w:rPr>
        <w:t>organizational</w:t>
      </w:r>
      <w:r w:rsidRPr="00AA3F59">
        <w:rPr>
          <w:sz w:val="22"/>
          <w:szCs w:val="22"/>
        </w:rPr>
        <w:t xml:space="preserve"> impact through encryption, data protection, segmentation, incident response and disaster recovery. Most importantly, it would turn cybersecurity into an auditable business resilience function rather than a reactive technical activity.</w:t>
      </w:r>
    </w:p>
    <w:p w14:paraId="6743EB67" w14:textId="5720F3E0" w:rsidR="00B24F05" w:rsidRPr="00AA3F59" w:rsidRDefault="00B24F05" w:rsidP="00121C25">
      <w:pPr>
        <w:rPr>
          <w:rFonts w:eastAsia="Times New Roman"/>
          <w:b/>
          <w:bCs/>
          <w:sz w:val="22"/>
          <w:szCs w:val="22"/>
        </w:rPr>
      </w:pPr>
      <w:r w:rsidRPr="00AA3F59">
        <w:rPr>
          <w:sz w:val="22"/>
          <w:szCs w:val="22"/>
        </w:rPr>
        <w:br w:type="page"/>
      </w:r>
      <w:r w:rsidRPr="00AA3F59">
        <w:rPr>
          <w:rFonts w:eastAsia="Times New Roman"/>
          <w:b/>
          <w:bCs/>
          <w:sz w:val="22"/>
          <w:szCs w:val="22"/>
        </w:rPr>
        <w:lastRenderedPageBreak/>
        <w:t>References</w:t>
      </w:r>
    </w:p>
    <w:p w14:paraId="1B936780" w14:textId="77777777" w:rsidR="00A44555" w:rsidRPr="00AA3F59" w:rsidRDefault="00A44555" w:rsidP="00121C25">
      <w:pPr>
        <w:rPr>
          <w:rFonts w:cstheme="majorBidi"/>
          <w:b/>
          <w:bCs/>
          <w:color w:val="000000"/>
          <w:sz w:val="22"/>
          <w:szCs w:val="22"/>
        </w:rPr>
      </w:pPr>
    </w:p>
    <w:p w14:paraId="33AAB2E6" w14:textId="77777777" w:rsidR="00B24F05" w:rsidRPr="00AA3F59" w:rsidRDefault="00B24F05" w:rsidP="00B24F05">
      <w:pPr>
        <w:pStyle w:val="EndNoteBibliography"/>
        <w:spacing w:after="0" w:line="360" w:lineRule="auto"/>
        <w:ind w:left="720" w:hanging="720"/>
      </w:pPr>
      <w:r w:rsidRPr="00AA3F59">
        <w:fldChar w:fldCharType="begin"/>
      </w:r>
      <w:r w:rsidRPr="00AA3F59">
        <w:instrText xml:space="preserve"> ADDIN EN.REFLIST </w:instrText>
      </w:r>
      <w:r w:rsidRPr="00AA3F59">
        <w:fldChar w:fldCharType="separate"/>
      </w:r>
      <w:r w:rsidRPr="00AA3F59">
        <w:t>[1]</w:t>
      </w:r>
      <w:r w:rsidRPr="00AA3F59">
        <w:tab/>
        <w:t xml:space="preserve">Equifax. "Equifax releases details on cybersecurity incident, announces personnel changes." </w:t>
      </w:r>
      <w:hyperlink r:id="rId11" w:history="1">
        <w:r w:rsidRPr="00AA3F59">
          <w:rPr>
            <w:rStyle w:val="Hyperlink"/>
          </w:rPr>
          <w:t>https://investor.equifax.com/news-events/press-releases/detail/237/equifax-releases-details-on-cybersecurity-incident</w:t>
        </w:r>
      </w:hyperlink>
      <w:r w:rsidRPr="00AA3F59">
        <w:t xml:space="preserve"> (accessed.</w:t>
      </w:r>
    </w:p>
    <w:p w14:paraId="369DEB49" w14:textId="77777777" w:rsidR="00B24F05" w:rsidRPr="00AA3F59" w:rsidRDefault="00B24F05" w:rsidP="00B24F05">
      <w:pPr>
        <w:pStyle w:val="EndNoteBibliography"/>
        <w:spacing w:after="0" w:line="360" w:lineRule="auto"/>
        <w:ind w:left="720" w:hanging="720"/>
      </w:pPr>
      <w:r w:rsidRPr="00AA3F59">
        <w:t>[2]</w:t>
      </w:r>
      <w:r w:rsidRPr="00AA3F59">
        <w:tab/>
        <w:t xml:space="preserve">M. Alauthman, A. Al-Qerem, A. Aldweesh, and A. Almomani, "Secure SDLC Frameworks: Leveraging DevSecOps to Enhance Software Security," in </w:t>
      </w:r>
      <w:r w:rsidRPr="00AA3F59">
        <w:rPr>
          <w:i/>
        </w:rPr>
        <w:t>Modern Insights on Smart and Secure Software Development</w:t>
      </w:r>
      <w:r w:rsidRPr="00AA3F59">
        <w:t>: IGI Global Scientific Publishing, 2025, pp. 77-118.</w:t>
      </w:r>
    </w:p>
    <w:p w14:paraId="63581F2B" w14:textId="77777777" w:rsidR="00B24F05" w:rsidRPr="00AA3F59" w:rsidRDefault="00B24F05" w:rsidP="00B24F05">
      <w:pPr>
        <w:pStyle w:val="EndNoteBibliography"/>
        <w:spacing w:after="0" w:line="360" w:lineRule="auto"/>
        <w:ind w:left="720" w:hanging="720"/>
      </w:pPr>
      <w:r w:rsidRPr="00AA3F59">
        <w:t>[3]</w:t>
      </w:r>
      <w:r w:rsidRPr="00AA3F59">
        <w:tab/>
        <w:t xml:space="preserve">D. Weis, "Understanding Cyber Risk and Cyber Resilience," in </w:t>
      </w:r>
      <w:r w:rsidRPr="00AA3F59">
        <w:rPr>
          <w:i/>
        </w:rPr>
        <w:t>Boardroom Cybersecurity: A Director's Guide to Mastering Cybersecurity Fundamentals</w:t>
      </w:r>
      <w:r w:rsidRPr="00AA3F59">
        <w:t>, D. Weis Ed. Berkeley, CA: Apress, 2024, pp. 93-232.</w:t>
      </w:r>
    </w:p>
    <w:p w14:paraId="46B091AF" w14:textId="77777777" w:rsidR="00B24F05" w:rsidRPr="00AA3F59" w:rsidRDefault="00B24F05" w:rsidP="00B24F05">
      <w:pPr>
        <w:pStyle w:val="EndNoteBibliography"/>
        <w:spacing w:after="0" w:line="360" w:lineRule="auto"/>
        <w:ind w:left="720" w:hanging="720"/>
      </w:pPr>
      <w:r w:rsidRPr="00AA3F59">
        <w:t>[4]</w:t>
      </w:r>
      <w:r w:rsidRPr="00AA3F59">
        <w:tab/>
        <w:t xml:space="preserve">D. M. Kesa, "Ensuring resilience: Integrating IT disaster recovery planning and business continuity for sustainable information technology operations," </w:t>
      </w:r>
      <w:r w:rsidRPr="00AA3F59">
        <w:rPr>
          <w:i/>
        </w:rPr>
        <w:t xml:space="preserve">World Journal of Advanced Research and Reviews, </w:t>
      </w:r>
      <w:r w:rsidRPr="00AA3F59">
        <w:t xml:space="preserve">vol. 18, no. 3, pp. 970-992, 2023, doi: </w:t>
      </w:r>
      <w:hyperlink r:id="rId12" w:history="1">
        <w:r w:rsidRPr="00AA3F59">
          <w:rPr>
            <w:rStyle w:val="Hyperlink"/>
          </w:rPr>
          <w:t>https://doi.org/10.30574/wjarr.2023.18.3.1166</w:t>
        </w:r>
      </w:hyperlink>
      <w:r w:rsidRPr="00AA3F59">
        <w:t>.</w:t>
      </w:r>
    </w:p>
    <w:p w14:paraId="7ED1B0F9" w14:textId="77777777" w:rsidR="00B24F05" w:rsidRPr="00AA3F59" w:rsidRDefault="00B24F05" w:rsidP="00B24F05">
      <w:pPr>
        <w:pStyle w:val="EndNoteBibliography"/>
        <w:spacing w:after="0" w:line="360" w:lineRule="auto"/>
        <w:ind w:left="720" w:hanging="720"/>
      </w:pPr>
      <w:r w:rsidRPr="00AA3F59">
        <w:t>[5]</w:t>
      </w:r>
      <w:r w:rsidRPr="00AA3F59">
        <w:tab/>
        <w:t xml:space="preserve">Z. Cui and Z. Song, "Enterprise Security Incident Analysis and Countermeasures Based on the T-Mobile Data Breach," </w:t>
      </w:r>
      <w:r w:rsidRPr="00AA3F59">
        <w:rPr>
          <w:i/>
        </w:rPr>
        <w:t xml:space="preserve">arXiv preprint arXiv:2507.12937, </w:t>
      </w:r>
      <w:r w:rsidRPr="00AA3F59">
        <w:t xml:space="preserve">2025, doi: </w:t>
      </w:r>
      <w:hyperlink r:id="rId13" w:history="1">
        <w:r w:rsidRPr="00AA3F59">
          <w:rPr>
            <w:rStyle w:val="Hyperlink"/>
          </w:rPr>
          <w:t>https://doi.org/10.48550/arXiv.2507.12937</w:t>
        </w:r>
      </w:hyperlink>
      <w:r w:rsidRPr="00AA3F59">
        <w:t>.</w:t>
      </w:r>
    </w:p>
    <w:p w14:paraId="4D7F4ED2" w14:textId="77777777" w:rsidR="00B24F05" w:rsidRPr="00AA3F59" w:rsidRDefault="00B24F05" w:rsidP="00B24F05">
      <w:pPr>
        <w:pStyle w:val="EndNoteBibliography"/>
        <w:spacing w:after="0" w:line="360" w:lineRule="auto"/>
        <w:ind w:left="720" w:hanging="720"/>
      </w:pPr>
      <w:r w:rsidRPr="00AA3F59">
        <w:t>[6]</w:t>
      </w:r>
      <w:r w:rsidRPr="00AA3F59">
        <w:tab/>
        <w:t xml:space="preserve">A. S. George, T. Baskar, and M. Karthikeyan, "Cloud Security Architecture: A Comprehensive Guide to Zero Trust, Governance, and Operational Resilience," </w:t>
      </w:r>
      <w:r w:rsidRPr="00AA3F59">
        <w:rPr>
          <w:i/>
        </w:rPr>
        <w:t xml:space="preserve">Partners Universal International Innovation Journal, </w:t>
      </w:r>
      <w:r w:rsidRPr="00AA3F59">
        <w:t xml:space="preserve">vol. 4, no. 2, pp. 44-69, 2026, doi: </w:t>
      </w:r>
      <w:hyperlink r:id="rId14" w:history="1">
        <w:r w:rsidRPr="00AA3F59">
          <w:rPr>
            <w:rStyle w:val="Hyperlink"/>
          </w:rPr>
          <w:t>https://doi.org/10.5281/zenodo.19551592%20</w:t>
        </w:r>
      </w:hyperlink>
      <w:r w:rsidRPr="00AA3F59">
        <w:t>.</w:t>
      </w:r>
    </w:p>
    <w:p w14:paraId="27FFACA0" w14:textId="77777777" w:rsidR="00B24F05" w:rsidRPr="00AA3F59" w:rsidRDefault="00B24F05" w:rsidP="00B24F05">
      <w:pPr>
        <w:pStyle w:val="EndNoteBibliography"/>
        <w:spacing w:after="0" w:line="360" w:lineRule="auto"/>
        <w:ind w:left="720" w:hanging="720"/>
      </w:pPr>
      <w:r w:rsidRPr="00AA3F59">
        <w:t>[7]</w:t>
      </w:r>
      <w:r w:rsidRPr="00AA3F59">
        <w:tab/>
        <w:t xml:space="preserve">C. Igwe-Nmaju and C. Anadozie, "Commanding digital trust in high-stakes sectors: communication strategies for sustaining stakeholder confidence amid technological risk," </w:t>
      </w:r>
      <w:r w:rsidRPr="00AA3F59">
        <w:rPr>
          <w:i/>
        </w:rPr>
        <w:t xml:space="preserve">World Journal of Advanced Research and Reviews, </w:t>
      </w:r>
      <w:r w:rsidRPr="00AA3F59">
        <w:t xml:space="preserve">vol. 15, no. 3, pp. 609-630, 2022, doi: </w:t>
      </w:r>
      <w:hyperlink r:id="rId15" w:history="1">
        <w:r w:rsidRPr="00AA3F59">
          <w:rPr>
            <w:rStyle w:val="Hyperlink"/>
          </w:rPr>
          <w:t>https://doi.org/10.30574/wjarr.2022.15.3.0920</w:t>
        </w:r>
      </w:hyperlink>
      <w:r w:rsidRPr="00AA3F59">
        <w:t>.</w:t>
      </w:r>
    </w:p>
    <w:p w14:paraId="168E43E7" w14:textId="77777777" w:rsidR="00B24F05" w:rsidRPr="00AA3F59" w:rsidRDefault="00B24F05" w:rsidP="00B24F05">
      <w:pPr>
        <w:pStyle w:val="EndNoteBibliography"/>
        <w:spacing w:after="0" w:line="360" w:lineRule="auto"/>
        <w:ind w:left="720" w:hanging="720"/>
      </w:pPr>
      <w:r w:rsidRPr="00AA3F59">
        <w:t>[8]</w:t>
      </w:r>
      <w:r w:rsidRPr="00AA3F59">
        <w:tab/>
        <w:t xml:space="preserve">H. M. U. Shehzad and A. Hussain, "A Cyber Secure Framework for Modern Database Systems," </w:t>
      </w:r>
      <w:r w:rsidRPr="00AA3F59">
        <w:rPr>
          <w:i/>
        </w:rPr>
        <w:t xml:space="preserve">Cloud Computing and Data Science, </w:t>
      </w:r>
      <w:r w:rsidRPr="00AA3F59">
        <w:t xml:space="preserve">pp. 314-331, 2026, doi: </w:t>
      </w:r>
      <w:hyperlink r:id="rId16" w:history="1">
        <w:r w:rsidRPr="00AA3F59">
          <w:rPr>
            <w:rStyle w:val="Hyperlink"/>
          </w:rPr>
          <w:t>https://doi.org/10.37256/ccds.72202610054</w:t>
        </w:r>
      </w:hyperlink>
      <w:r w:rsidRPr="00AA3F59">
        <w:t>.</w:t>
      </w:r>
    </w:p>
    <w:p w14:paraId="6ACFBD39" w14:textId="77777777" w:rsidR="00B24F05" w:rsidRPr="00AA3F59" w:rsidRDefault="00B24F05" w:rsidP="00B24F05">
      <w:pPr>
        <w:pStyle w:val="EndNoteBibliography"/>
        <w:spacing w:after="0" w:line="360" w:lineRule="auto"/>
        <w:ind w:left="720" w:hanging="720"/>
      </w:pPr>
      <w:r w:rsidRPr="00AA3F59">
        <w:t>[9]</w:t>
      </w:r>
      <w:r w:rsidRPr="00AA3F59">
        <w:tab/>
        <w:t xml:space="preserve">O. M. Oluoha, A. Odeshina, O. Reis, F. Okpeke, V. Attipoe, and O. H. Orieno, "Designing advanced digital solutions for privileged access management and continuous compliance monitoring," </w:t>
      </w:r>
      <w:r w:rsidRPr="00AA3F59">
        <w:rPr>
          <w:i/>
        </w:rPr>
        <w:t xml:space="preserve">World Scientific News, </w:t>
      </w:r>
      <w:r w:rsidRPr="00AA3F59">
        <w:t>vol. 203, pp. 256-301, 2025.</w:t>
      </w:r>
    </w:p>
    <w:p w14:paraId="3E9B1869" w14:textId="77777777" w:rsidR="00B24F05" w:rsidRPr="00AA3F59" w:rsidRDefault="00B24F05" w:rsidP="00B24F05">
      <w:pPr>
        <w:pStyle w:val="EndNoteBibliography"/>
        <w:spacing w:after="0" w:line="360" w:lineRule="auto"/>
        <w:ind w:left="720" w:hanging="720"/>
      </w:pPr>
      <w:r w:rsidRPr="00AA3F59">
        <w:t>[10]</w:t>
      </w:r>
      <w:r w:rsidRPr="00AA3F59">
        <w:tab/>
        <w:t xml:space="preserve">A. S. George, T. Baskar, and P. B. Srikaanth, "Bridging the Security Skills Gap: A Comprehensive Framework for Developing Application Security Competencies in Modern Software Engineering," </w:t>
      </w:r>
      <w:r w:rsidRPr="00AA3F59">
        <w:rPr>
          <w:i/>
        </w:rPr>
        <w:t xml:space="preserve">Partners Universal Innovative Research Publication, </w:t>
      </w:r>
      <w:r w:rsidRPr="00AA3F59">
        <w:t xml:space="preserve">vol. 3, no. 3, pp. 96-123, 2025, doi: </w:t>
      </w:r>
      <w:hyperlink r:id="rId17" w:history="1">
        <w:r w:rsidRPr="00AA3F59">
          <w:rPr>
            <w:rStyle w:val="Hyperlink"/>
          </w:rPr>
          <w:t>https://doi.org/10.5281/zenodo.15616416</w:t>
        </w:r>
      </w:hyperlink>
      <w:r w:rsidRPr="00AA3F59">
        <w:t>.</w:t>
      </w:r>
    </w:p>
    <w:p w14:paraId="5F0452C7" w14:textId="77777777" w:rsidR="00B24F05" w:rsidRPr="00AA3F59" w:rsidRDefault="00B24F05" w:rsidP="00B24F05">
      <w:pPr>
        <w:spacing w:line="360" w:lineRule="auto"/>
        <w:jc w:val="both"/>
        <w:rPr>
          <w:sz w:val="22"/>
          <w:szCs w:val="22"/>
        </w:rPr>
      </w:pPr>
      <w:r w:rsidRPr="00AA3F59">
        <w:rPr>
          <w:sz w:val="22"/>
          <w:szCs w:val="22"/>
        </w:rPr>
        <w:fldChar w:fldCharType="end"/>
      </w:r>
    </w:p>
    <w:p w14:paraId="233E910E" w14:textId="77777777" w:rsidR="009A5541" w:rsidRPr="00AA3F59" w:rsidRDefault="009A5541" w:rsidP="005B520E">
      <w:pPr>
        <w:rPr>
          <w:sz w:val="22"/>
          <w:szCs w:val="22"/>
        </w:rPr>
      </w:pPr>
    </w:p>
    <w:sectPr w:rsidR="009A5541" w:rsidRPr="00AA3F59" w:rsidSect="00812E16">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4643AA" w14:textId="77777777" w:rsidR="00754E45" w:rsidRDefault="00754E45" w:rsidP="001A3B3D">
      <w:r>
        <w:separator/>
      </w:r>
    </w:p>
  </w:endnote>
  <w:endnote w:type="continuationSeparator" w:id="0">
    <w:p w14:paraId="1EF801C6" w14:textId="77777777" w:rsidR="00754E45" w:rsidRDefault="00754E45" w:rsidP="001A3B3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MS Mincho">
    <w:altName w:val="ＭＳ 明朝"/>
    <w:panose1 w:val="020206090402050803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22401048"/>
      <w:docPartObj>
        <w:docPartGallery w:val="Page Numbers (Bottom of Page)"/>
        <w:docPartUnique/>
      </w:docPartObj>
    </w:sdtPr>
    <w:sdtEndPr>
      <w:rPr>
        <w:noProof/>
      </w:rPr>
    </w:sdtEndPr>
    <w:sdtContent>
      <w:p w14:paraId="551A8D2C" w14:textId="5526A5DA" w:rsidR="00CC2B62" w:rsidRDefault="00CC2B6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8E9746B" w14:textId="77777777" w:rsidR="00CC2B62" w:rsidRDefault="00CC2B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35F30D" w14:textId="77777777" w:rsidR="00754E45" w:rsidRDefault="00754E45" w:rsidP="001A3B3D">
      <w:r>
        <w:separator/>
      </w:r>
    </w:p>
  </w:footnote>
  <w:footnote w:type="continuationSeparator" w:id="0">
    <w:p w14:paraId="71C69EE3" w14:textId="77777777" w:rsidR="00754E45" w:rsidRDefault="00754E45" w:rsidP="001A3B3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A36CE9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7C"/>
    <w:multiLevelType w:val="singleLevel"/>
    <w:tmpl w:val="DD629BEE"/>
    <w:lvl w:ilvl="0">
      <w:start w:val="1"/>
      <w:numFmt w:val="decimal"/>
      <w:lvlText w:val="%1."/>
      <w:lvlJc w:val="left"/>
      <w:pPr>
        <w:tabs>
          <w:tab w:val="num" w:pos="1492"/>
        </w:tabs>
        <w:ind w:left="1492" w:hanging="360"/>
      </w:pPr>
    </w:lvl>
  </w:abstractNum>
  <w:abstractNum w:abstractNumId="2" w15:restartNumberingAfterBreak="0">
    <w:nsid w:val="FFFFFF7D"/>
    <w:multiLevelType w:val="singleLevel"/>
    <w:tmpl w:val="2648E1C4"/>
    <w:lvl w:ilvl="0">
      <w:start w:val="1"/>
      <w:numFmt w:val="decimal"/>
      <w:lvlText w:val="%1."/>
      <w:lvlJc w:val="left"/>
      <w:pPr>
        <w:tabs>
          <w:tab w:val="num" w:pos="1209"/>
        </w:tabs>
        <w:ind w:left="1209" w:hanging="360"/>
      </w:pPr>
    </w:lvl>
  </w:abstractNum>
  <w:abstractNum w:abstractNumId="3" w15:restartNumberingAfterBreak="0">
    <w:nsid w:val="FFFFFF7E"/>
    <w:multiLevelType w:val="singleLevel"/>
    <w:tmpl w:val="9D38DB54"/>
    <w:lvl w:ilvl="0">
      <w:start w:val="1"/>
      <w:numFmt w:val="decimal"/>
      <w:lvlText w:val="%1."/>
      <w:lvlJc w:val="left"/>
      <w:pPr>
        <w:tabs>
          <w:tab w:val="num" w:pos="926"/>
        </w:tabs>
        <w:ind w:left="926" w:hanging="360"/>
      </w:pPr>
    </w:lvl>
  </w:abstractNum>
  <w:abstractNum w:abstractNumId="4" w15:restartNumberingAfterBreak="0">
    <w:nsid w:val="FFFFFF7F"/>
    <w:multiLevelType w:val="singleLevel"/>
    <w:tmpl w:val="632C24E2"/>
    <w:lvl w:ilvl="0">
      <w:start w:val="1"/>
      <w:numFmt w:val="decimal"/>
      <w:lvlText w:val="%1."/>
      <w:lvlJc w:val="left"/>
      <w:pPr>
        <w:tabs>
          <w:tab w:val="num" w:pos="643"/>
        </w:tabs>
        <w:ind w:left="643" w:hanging="360"/>
      </w:pPr>
    </w:lvl>
  </w:abstractNum>
  <w:abstractNum w:abstractNumId="5" w15:restartNumberingAfterBreak="0">
    <w:nsid w:val="FFFFFF80"/>
    <w:multiLevelType w:val="singleLevel"/>
    <w:tmpl w:val="82268A14"/>
    <w:lvl w:ilvl="0">
      <w:start w:val="1"/>
      <w:numFmt w:val="bullet"/>
      <w:lvlText w:val=""/>
      <w:lvlJc w:val="left"/>
      <w:pPr>
        <w:tabs>
          <w:tab w:val="num" w:pos="1492"/>
        </w:tabs>
        <w:ind w:left="1492" w:hanging="360"/>
      </w:pPr>
      <w:rPr>
        <w:rFonts w:ascii="Symbol" w:hAnsi="Symbol" w:hint="default"/>
      </w:rPr>
    </w:lvl>
  </w:abstractNum>
  <w:abstractNum w:abstractNumId="6" w15:restartNumberingAfterBreak="0">
    <w:nsid w:val="FFFFFF81"/>
    <w:multiLevelType w:val="singleLevel"/>
    <w:tmpl w:val="8C0E77FE"/>
    <w:lvl w:ilvl="0">
      <w:start w:val="1"/>
      <w:numFmt w:val="bullet"/>
      <w:lvlText w:val=""/>
      <w:lvlJc w:val="left"/>
      <w:pPr>
        <w:tabs>
          <w:tab w:val="num" w:pos="1209"/>
        </w:tabs>
        <w:ind w:left="1209" w:hanging="360"/>
      </w:pPr>
      <w:rPr>
        <w:rFonts w:ascii="Symbol" w:hAnsi="Symbol" w:hint="default"/>
      </w:rPr>
    </w:lvl>
  </w:abstractNum>
  <w:abstractNum w:abstractNumId="7" w15:restartNumberingAfterBreak="0">
    <w:nsid w:val="FFFFFF82"/>
    <w:multiLevelType w:val="singleLevel"/>
    <w:tmpl w:val="174639B8"/>
    <w:lvl w:ilvl="0">
      <w:start w:val="1"/>
      <w:numFmt w:val="bullet"/>
      <w:lvlText w:val=""/>
      <w:lvlJc w:val="left"/>
      <w:pPr>
        <w:tabs>
          <w:tab w:val="num" w:pos="926"/>
        </w:tabs>
        <w:ind w:left="926" w:hanging="360"/>
      </w:pPr>
      <w:rPr>
        <w:rFonts w:ascii="Symbol" w:hAnsi="Symbol" w:hint="default"/>
      </w:rPr>
    </w:lvl>
  </w:abstractNum>
  <w:abstractNum w:abstractNumId="8" w15:restartNumberingAfterBreak="0">
    <w:nsid w:val="FFFFFF83"/>
    <w:multiLevelType w:val="singleLevel"/>
    <w:tmpl w:val="B1ACC408"/>
    <w:lvl w:ilvl="0">
      <w:start w:val="1"/>
      <w:numFmt w:val="bullet"/>
      <w:lvlText w:val=""/>
      <w:lvlJc w:val="left"/>
      <w:pPr>
        <w:tabs>
          <w:tab w:val="num" w:pos="643"/>
        </w:tabs>
        <w:ind w:left="643" w:hanging="360"/>
      </w:pPr>
      <w:rPr>
        <w:rFonts w:ascii="Symbol" w:hAnsi="Symbol" w:hint="default"/>
      </w:rPr>
    </w:lvl>
  </w:abstractNum>
  <w:abstractNum w:abstractNumId="9" w15:restartNumberingAfterBreak="0">
    <w:nsid w:val="FFFFFF88"/>
    <w:multiLevelType w:val="singleLevel"/>
    <w:tmpl w:val="229E8DFE"/>
    <w:lvl w:ilvl="0">
      <w:start w:val="1"/>
      <w:numFmt w:val="decimal"/>
      <w:lvlText w:val="%1."/>
      <w:lvlJc w:val="left"/>
      <w:pPr>
        <w:tabs>
          <w:tab w:val="num" w:pos="360"/>
        </w:tabs>
        <w:ind w:left="360" w:hanging="360"/>
      </w:pPr>
    </w:lvl>
  </w:abstractNum>
  <w:abstractNum w:abstractNumId="10" w15:restartNumberingAfterBreak="0">
    <w:nsid w:val="FFFFFF89"/>
    <w:multiLevelType w:val="singleLevel"/>
    <w:tmpl w:val="EA847AFE"/>
    <w:lvl w:ilvl="0">
      <w:start w:val="1"/>
      <w:numFmt w:val="bullet"/>
      <w:lvlText w:val=""/>
      <w:lvlJc w:val="left"/>
      <w:pPr>
        <w:tabs>
          <w:tab w:val="num" w:pos="360"/>
        </w:tabs>
        <w:ind w:left="360" w:hanging="360"/>
      </w:pPr>
      <w:rPr>
        <w:rFonts w:ascii="Symbol" w:hAnsi="Symbol" w:hint="default"/>
      </w:rPr>
    </w:lvl>
  </w:abstractNum>
  <w:abstractNum w:abstractNumId="11" w15:restartNumberingAfterBreak="0">
    <w:nsid w:val="0C9B5541"/>
    <w:multiLevelType w:val="hybridMultilevel"/>
    <w:tmpl w:val="AB70950C"/>
    <w:lvl w:ilvl="0" w:tplc="A4F251AA">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2" w15:restartNumberingAfterBreak="0">
    <w:nsid w:val="1E177E97"/>
    <w:multiLevelType w:val="hybridMultilevel"/>
    <w:tmpl w:val="A6463BCE"/>
    <w:lvl w:ilvl="0" w:tplc="04140013">
      <w:start w:val="1"/>
      <w:numFmt w:val="upperRoman"/>
      <w:lvlText w:val="%1."/>
      <w:lvlJc w:val="right"/>
      <w:pPr>
        <w:ind w:left="936" w:hanging="360"/>
      </w:pPr>
    </w:lvl>
    <w:lvl w:ilvl="1" w:tplc="04140019" w:tentative="1">
      <w:start w:val="1"/>
      <w:numFmt w:val="lowerLetter"/>
      <w:lvlText w:val="%2."/>
      <w:lvlJc w:val="left"/>
      <w:pPr>
        <w:ind w:left="1656" w:hanging="360"/>
      </w:pPr>
    </w:lvl>
    <w:lvl w:ilvl="2" w:tplc="0414001B" w:tentative="1">
      <w:start w:val="1"/>
      <w:numFmt w:val="lowerRoman"/>
      <w:lvlText w:val="%3."/>
      <w:lvlJc w:val="right"/>
      <w:pPr>
        <w:ind w:left="2376" w:hanging="180"/>
      </w:pPr>
    </w:lvl>
    <w:lvl w:ilvl="3" w:tplc="0414000F" w:tentative="1">
      <w:start w:val="1"/>
      <w:numFmt w:val="decimal"/>
      <w:lvlText w:val="%4."/>
      <w:lvlJc w:val="left"/>
      <w:pPr>
        <w:ind w:left="3096" w:hanging="360"/>
      </w:pPr>
    </w:lvl>
    <w:lvl w:ilvl="4" w:tplc="04140019" w:tentative="1">
      <w:start w:val="1"/>
      <w:numFmt w:val="lowerLetter"/>
      <w:lvlText w:val="%5."/>
      <w:lvlJc w:val="left"/>
      <w:pPr>
        <w:ind w:left="3816" w:hanging="360"/>
      </w:pPr>
    </w:lvl>
    <w:lvl w:ilvl="5" w:tplc="0414001B" w:tentative="1">
      <w:start w:val="1"/>
      <w:numFmt w:val="lowerRoman"/>
      <w:lvlText w:val="%6."/>
      <w:lvlJc w:val="right"/>
      <w:pPr>
        <w:ind w:left="4536" w:hanging="180"/>
      </w:pPr>
    </w:lvl>
    <w:lvl w:ilvl="6" w:tplc="0414000F" w:tentative="1">
      <w:start w:val="1"/>
      <w:numFmt w:val="decimal"/>
      <w:lvlText w:val="%7."/>
      <w:lvlJc w:val="left"/>
      <w:pPr>
        <w:ind w:left="5256" w:hanging="360"/>
      </w:pPr>
    </w:lvl>
    <w:lvl w:ilvl="7" w:tplc="04140019" w:tentative="1">
      <w:start w:val="1"/>
      <w:numFmt w:val="lowerLetter"/>
      <w:lvlText w:val="%8."/>
      <w:lvlJc w:val="left"/>
      <w:pPr>
        <w:ind w:left="5976" w:hanging="360"/>
      </w:pPr>
    </w:lvl>
    <w:lvl w:ilvl="8" w:tplc="0414001B" w:tentative="1">
      <w:start w:val="1"/>
      <w:numFmt w:val="lowerRoman"/>
      <w:lvlText w:val="%9."/>
      <w:lvlJc w:val="right"/>
      <w:pPr>
        <w:ind w:left="6696" w:hanging="180"/>
      </w:pPr>
    </w:lvl>
  </w:abstractNum>
  <w:abstractNum w:abstractNumId="13" w15:restartNumberingAfterBreak="0">
    <w:nsid w:val="20AF0333"/>
    <w:multiLevelType w:val="hybridMultilevel"/>
    <w:tmpl w:val="CB0E7F4E"/>
    <w:lvl w:ilvl="0" w:tplc="E09099E0">
      <w:start w:val="1"/>
      <w:numFmt w:val="lowerLetter"/>
      <w:lvlText w:val="%1."/>
      <w:lvlJc w:val="left"/>
      <w:pPr>
        <w:tabs>
          <w:tab w:val="num" w:pos="720"/>
        </w:tabs>
        <w:ind w:left="720" w:hanging="360"/>
      </w:pPr>
      <w:rPr>
        <w:rFonts w:cs="Times New Roman" w:hint="default"/>
        <w:i w:val="0"/>
        <w:iCs w:val="0"/>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14" w15:restartNumberingAfterBreak="0">
    <w:nsid w:val="26FE1FCF"/>
    <w:multiLevelType w:val="hybridMultilevel"/>
    <w:tmpl w:val="33826962"/>
    <w:lvl w:ilvl="0" w:tplc="A2947960">
      <w:start w:val="1"/>
      <w:numFmt w:val="decimal"/>
      <w:pStyle w:val="footnote"/>
      <w:lvlText w:val="%1 "/>
      <w:lvlJc w:val="left"/>
      <w:pPr>
        <w:tabs>
          <w:tab w:val="num" w:pos="648"/>
        </w:tabs>
        <w:ind w:firstLine="288"/>
      </w:pPr>
      <w:rPr>
        <w:rFonts w:ascii="Times New Roman" w:hAnsi="Times New Roman" w:cs="Times New Roman" w:hint="default"/>
        <w:b w:val="0"/>
        <w:bCs w:val="0"/>
        <w:i w:val="0"/>
        <w:iCs w:val="0"/>
        <w:caps w:val="0"/>
        <w:strike w:val="0"/>
        <w:dstrike w:val="0"/>
        <w:vanish w:val="0"/>
        <w:color w:val="000000"/>
        <w:sz w:val="16"/>
        <w:szCs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15" w15:restartNumberingAfterBreak="0">
    <w:nsid w:val="37660336"/>
    <w:multiLevelType w:val="hybridMultilevel"/>
    <w:tmpl w:val="754EAC84"/>
    <w:lvl w:ilvl="0" w:tplc="C46877EA">
      <w:start w:val="1"/>
      <w:numFmt w:val="bullet"/>
      <w:pStyle w:val="bulletlist"/>
      <w:lvlText w:val=""/>
      <w:lvlJc w:val="left"/>
      <w:pPr>
        <w:tabs>
          <w:tab w:val="num" w:pos="648"/>
        </w:tabs>
        <w:ind w:left="648"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39E54FC6"/>
    <w:multiLevelType w:val="singleLevel"/>
    <w:tmpl w:val="5B7288D4"/>
    <w:lvl w:ilvl="0">
      <w:start w:val="14"/>
      <w:numFmt w:val="decimal"/>
      <w:lvlText w:val="%1"/>
      <w:lvlJc w:val="left"/>
      <w:pPr>
        <w:tabs>
          <w:tab w:val="num" w:pos="720"/>
        </w:tabs>
        <w:ind w:left="720" w:hanging="360"/>
      </w:pPr>
      <w:rPr>
        <w:rFonts w:cs="Times New Roman" w:hint="default"/>
      </w:rPr>
    </w:lvl>
  </w:abstractNum>
  <w:abstractNum w:abstractNumId="17" w15:restartNumberingAfterBreak="0">
    <w:nsid w:val="4189603E"/>
    <w:multiLevelType w:val="multilevel"/>
    <w:tmpl w:val="0AB06E12"/>
    <w:lvl w:ilvl="0">
      <w:start w:val="1"/>
      <w:numFmt w:val="upperRoman"/>
      <w:pStyle w:val="Heading1"/>
      <w:lvlText w:val="%1."/>
      <w:lvlJc w:val="center"/>
      <w:pPr>
        <w:tabs>
          <w:tab w:val="num" w:pos="576"/>
        </w:tabs>
        <w:ind w:firstLine="216"/>
      </w:pPr>
      <w:rPr>
        <w:rFonts w:ascii="Times New Roman" w:hAnsi="Times New Roman" w:cs="Times New Roman" w:hint="default"/>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upperLetter"/>
      <w:pStyle w:val="Heading2"/>
      <w:lvlText w:val="%2."/>
      <w:lvlJc w:val="left"/>
      <w:pPr>
        <w:tabs>
          <w:tab w:val="num" w:pos="360"/>
        </w:tabs>
        <w:ind w:left="288" w:hanging="288"/>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Heading3"/>
      <w:lvlText w:val="%3)"/>
      <w:lvlJc w:val="left"/>
      <w:pPr>
        <w:tabs>
          <w:tab w:val="num" w:pos="1800"/>
        </w:tabs>
        <w:ind w:firstLine="180"/>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lowerLetter"/>
      <w:pStyle w:val="Heading4"/>
      <w:lvlText w:val="%4)"/>
      <w:lvlJc w:val="left"/>
      <w:pPr>
        <w:tabs>
          <w:tab w:val="num" w:pos="630"/>
        </w:tabs>
        <w:ind w:firstLine="360"/>
      </w:pPr>
      <w:rPr>
        <w:rFonts w:ascii="Times New Roman" w:hAnsi="Times New Roman" w:cs="Times New Roman" w:hint="default"/>
        <w:b w:val="0"/>
        <w:bCs w:val="0"/>
        <w:i/>
        <w:iCs/>
        <w:sz w:val="20"/>
        <w:szCs w:val="20"/>
      </w:rPr>
    </w:lvl>
    <w:lvl w:ilvl="4">
      <w:start w:val="1"/>
      <w:numFmt w:val="none"/>
      <w:lvlRestart w:val="0"/>
      <w:lvlText w:val=""/>
      <w:lvlJc w:val="left"/>
      <w:pPr>
        <w:tabs>
          <w:tab w:val="num" w:pos="3240"/>
        </w:tabs>
        <w:ind w:left="2880"/>
      </w:pPr>
      <w:rPr>
        <w:rFonts w:cs="Times New Roman" w:hint="default"/>
      </w:rPr>
    </w:lvl>
    <w:lvl w:ilvl="5">
      <w:start w:val="1"/>
      <w:numFmt w:val="lowerLetter"/>
      <w:lvlText w:val="(%6)"/>
      <w:lvlJc w:val="left"/>
      <w:pPr>
        <w:tabs>
          <w:tab w:val="num" w:pos="3960"/>
        </w:tabs>
        <w:ind w:left="3600"/>
      </w:pPr>
      <w:rPr>
        <w:rFonts w:cs="Times New Roman" w:hint="default"/>
      </w:rPr>
    </w:lvl>
    <w:lvl w:ilvl="6">
      <w:start w:val="1"/>
      <w:numFmt w:val="lowerRoman"/>
      <w:lvlText w:val="(%7)"/>
      <w:lvlJc w:val="left"/>
      <w:pPr>
        <w:tabs>
          <w:tab w:val="num" w:pos="4680"/>
        </w:tabs>
        <w:ind w:left="4320"/>
      </w:pPr>
      <w:rPr>
        <w:rFonts w:cs="Times New Roman" w:hint="default"/>
      </w:rPr>
    </w:lvl>
    <w:lvl w:ilvl="7">
      <w:start w:val="1"/>
      <w:numFmt w:val="lowerLetter"/>
      <w:lvlText w:val="(%8)"/>
      <w:lvlJc w:val="left"/>
      <w:pPr>
        <w:tabs>
          <w:tab w:val="num" w:pos="5400"/>
        </w:tabs>
        <w:ind w:left="5040"/>
      </w:pPr>
      <w:rPr>
        <w:rFonts w:cs="Times New Roman" w:hint="default"/>
      </w:rPr>
    </w:lvl>
    <w:lvl w:ilvl="8">
      <w:start w:val="1"/>
      <w:numFmt w:val="lowerRoman"/>
      <w:lvlText w:val="(%9)"/>
      <w:lvlJc w:val="left"/>
      <w:pPr>
        <w:tabs>
          <w:tab w:val="num" w:pos="6120"/>
        </w:tabs>
        <w:ind w:left="5760"/>
      </w:pPr>
      <w:rPr>
        <w:rFonts w:cs="Times New Roman" w:hint="default"/>
      </w:rPr>
    </w:lvl>
  </w:abstractNum>
  <w:abstractNum w:abstractNumId="18" w15:restartNumberingAfterBreak="0">
    <w:nsid w:val="493C3F76"/>
    <w:multiLevelType w:val="hybridMultilevel"/>
    <w:tmpl w:val="9A9E418C"/>
    <w:lvl w:ilvl="0" w:tplc="2C18EFA4">
      <w:start w:val="1"/>
      <w:numFmt w:val="lowerLetter"/>
      <w:pStyle w:val="tablefootnote"/>
      <w:lvlText w:val="%1."/>
      <w:lvlJc w:val="right"/>
      <w:pPr>
        <w:ind w:left="418" w:hanging="360"/>
      </w:pPr>
      <w:rPr>
        <w:rFonts w:ascii="Times New Roman" w:hAnsi="Times New Roman" w:hint="default"/>
        <w:b w:val="0"/>
        <w:i w:val="0"/>
        <w:caps w:val="0"/>
        <w:strike w:val="0"/>
        <w:dstrike w:val="0"/>
        <w:vanish w:val="0"/>
        <w:color w:val="auto"/>
        <w:spacing w:val="0"/>
        <w:w w:val="100"/>
        <w:kern w:val="0"/>
        <w:position w:val="0"/>
        <w:sz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2CA544A"/>
    <w:multiLevelType w:val="singleLevel"/>
    <w:tmpl w:val="AED6D67E"/>
    <w:lvl w:ilvl="0">
      <w:start w:val="1"/>
      <w:numFmt w:val="decimal"/>
      <w:pStyle w:val="references"/>
      <w:lvlText w:val="[%1]"/>
      <w:lvlJc w:val="left"/>
      <w:pPr>
        <w:tabs>
          <w:tab w:val="num" w:pos="360"/>
        </w:tabs>
        <w:ind w:left="360" w:hanging="360"/>
      </w:pPr>
      <w:rPr>
        <w:rFonts w:ascii="Times New Roman" w:hAnsi="Times New Roman" w:cs="Times New Roman" w:hint="default"/>
        <w:b w:val="0"/>
        <w:bCs w:val="0"/>
        <w:i w:val="0"/>
        <w:iCs w:val="0"/>
        <w:sz w:val="16"/>
        <w:szCs w:val="16"/>
      </w:rPr>
    </w:lvl>
  </w:abstractNum>
  <w:abstractNum w:abstractNumId="20" w15:restartNumberingAfterBreak="0">
    <w:nsid w:val="6C402C58"/>
    <w:multiLevelType w:val="hybridMultilevel"/>
    <w:tmpl w:val="9A1CA078"/>
    <w:lvl w:ilvl="0" w:tplc="C8D6570A">
      <w:start w:val="1"/>
      <w:numFmt w:val="decimal"/>
      <w:pStyle w:val="figurecaption"/>
      <w:lvlText w:val="Fig. %1."/>
      <w:lvlJc w:val="left"/>
      <w:pPr>
        <w:ind w:left="360" w:hanging="360"/>
      </w:pPr>
      <w:rPr>
        <w:rFonts w:ascii="Times New Roman" w:hAnsi="Times New Roman" w:cs="Times New Roman" w:hint="default"/>
        <w:b w:val="0"/>
        <w:bCs w:val="0"/>
        <w:i w:val="0"/>
        <w:iCs w:val="0"/>
        <w:color w:val="auto"/>
        <w:sz w:val="16"/>
        <w:szCs w:val="16"/>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21" w15:restartNumberingAfterBreak="0">
    <w:nsid w:val="6CD32DA8"/>
    <w:multiLevelType w:val="singleLevel"/>
    <w:tmpl w:val="166470C2"/>
    <w:lvl w:ilvl="0">
      <w:start w:val="1"/>
      <w:numFmt w:val="upperRoman"/>
      <w:pStyle w:val="tablehead"/>
      <w:lvlText w:val="TABLE %1. "/>
      <w:lvlJc w:val="left"/>
      <w:pPr>
        <w:tabs>
          <w:tab w:val="num" w:pos="1080"/>
        </w:tabs>
      </w:pPr>
      <w:rPr>
        <w:rFonts w:ascii="Times New Roman" w:hAnsi="Times New Roman" w:cs="Times New Roman" w:hint="default"/>
        <w:b w:val="0"/>
        <w:bCs w:val="0"/>
        <w:i w:val="0"/>
        <w:iCs w:val="0"/>
        <w:sz w:val="16"/>
        <w:szCs w:val="16"/>
      </w:rPr>
    </w:lvl>
  </w:abstractNum>
  <w:num w:numId="1" w16cid:durableId="1369909383">
    <w:abstractNumId w:val="15"/>
  </w:num>
  <w:num w:numId="2" w16cid:durableId="568543031">
    <w:abstractNumId w:val="20"/>
  </w:num>
  <w:num w:numId="3" w16cid:durableId="1207790780">
    <w:abstractNumId w:val="14"/>
  </w:num>
  <w:num w:numId="4" w16cid:durableId="629168631">
    <w:abstractNumId w:val="17"/>
  </w:num>
  <w:num w:numId="5" w16cid:durableId="1032806882">
    <w:abstractNumId w:val="17"/>
  </w:num>
  <w:num w:numId="6" w16cid:durableId="1614826021">
    <w:abstractNumId w:val="17"/>
  </w:num>
  <w:num w:numId="7" w16cid:durableId="1871990542">
    <w:abstractNumId w:val="17"/>
  </w:num>
  <w:num w:numId="8" w16cid:durableId="2088458160">
    <w:abstractNumId w:val="19"/>
  </w:num>
  <w:num w:numId="9" w16cid:durableId="231694775">
    <w:abstractNumId w:val="21"/>
  </w:num>
  <w:num w:numId="10" w16cid:durableId="2126189682">
    <w:abstractNumId w:val="16"/>
  </w:num>
  <w:num w:numId="11" w16cid:durableId="771515552">
    <w:abstractNumId w:val="13"/>
  </w:num>
  <w:num w:numId="12" w16cid:durableId="1603688421">
    <w:abstractNumId w:val="12"/>
  </w:num>
  <w:num w:numId="13" w16cid:durableId="308025467">
    <w:abstractNumId w:val="0"/>
  </w:num>
  <w:num w:numId="14" w16cid:durableId="915015855">
    <w:abstractNumId w:val="10"/>
  </w:num>
  <w:num w:numId="15" w16cid:durableId="124853704">
    <w:abstractNumId w:val="8"/>
  </w:num>
  <w:num w:numId="16" w16cid:durableId="378433823">
    <w:abstractNumId w:val="7"/>
  </w:num>
  <w:num w:numId="17" w16cid:durableId="178550123">
    <w:abstractNumId w:val="6"/>
  </w:num>
  <w:num w:numId="18" w16cid:durableId="1882938436">
    <w:abstractNumId w:val="5"/>
  </w:num>
  <w:num w:numId="19" w16cid:durableId="1292051459">
    <w:abstractNumId w:val="9"/>
  </w:num>
  <w:num w:numId="20" w16cid:durableId="439644133">
    <w:abstractNumId w:val="4"/>
  </w:num>
  <w:num w:numId="21" w16cid:durableId="277882354">
    <w:abstractNumId w:val="3"/>
  </w:num>
  <w:num w:numId="22" w16cid:durableId="85808594">
    <w:abstractNumId w:val="2"/>
  </w:num>
  <w:num w:numId="23" w16cid:durableId="306714086">
    <w:abstractNumId w:val="1"/>
  </w:num>
  <w:num w:numId="24" w16cid:durableId="276639338">
    <w:abstractNumId w:val="18"/>
  </w:num>
  <w:num w:numId="25" w16cid:durableId="24230537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defaultTabStop w:val="720"/>
  <w:doNotHyphenateCaps/>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03D9"/>
    <w:rsid w:val="00013299"/>
    <w:rsid w:val="0002429D"/>
    <w:rsid w:val="00046D4A"/>
    <w:rsid w:val="0004781E"/>
    <w:rsid w:val="00052EC1"/>
    <w:rsid w:val="0008758A"/>
    <w:rsid w:val="000B75CF"/>
    <w:rsid w:val="000C1E68"/>
    <w:rsid w:val="000F7FD8"/>
    <w:rsid w:val="00121C25"/>
    <w:rsid w:val="00183BF3"/>
    <w:rsid w:val="001869E5"/>
    <w:rsid w:val="00195119"/>
    <w:rsid w:val="001A2EFD"/>
    <w:rsid w:val="001A3B3D"/>
    <w:rsid w:val="001B67DC"/>
    <w:rsid w:val="001C052B"/>
    <w:rsid w:val="001E7FED"/>
    <w:rsid w:val="002254A9"/>
    <w:rsid w:val="002333C1"/>
    <w:rsid w:val="00233D97"/>
    <w:rsid w:val="002347A2"/>
    <w:rsid w:val="002354E4"/>
    <w:rsid w:val="00240DEC"/>
    <w:rsid w:val="00250364"/>
    <w:rsid w:val="00253171"/>
    <w:rsid w:val="002644AF"/>
    <w:rsid w:val="00264D72"/>
    <w:rsid w:val="002850E3"/>
    <w:rsid w:val="00285365"/>
    <w:rsid w:val="002D18D9"/>
    <w:rsid w:val="002D6C84"/>
    <w:rsid w:val="002E3A06"/>
    <w:rsid w:val="00302C44"/>
    <w:rsid w:val="00321853"/>
    <w:rsid w:val="00326233"/>
    <w:rsid w:val="00354FCF"/>
    <w:rsid w:val="0037366F"/>
    <w:rsid w:val="00391E7D"/>
    <w:rsid w:val="00393BE8"/>
    <w:rsid w:val="003A19E2"/>
    <w:rsid w:val="003B2B40"/>
    <w:rsid w:val="003B4E04"/>
    <w:rsid w:val="003C07F8"/>
    <w:rsid w:val="003C45B1"/>
    <w:rsid w:val="003D6A69"/>
    <w:rsid w:val="003E65D7"/>
    <w:rsid w:val="003F5A08"/>
    <w:rsid w:val="00420716"/>
    <w:rsid w:val="004325FB"/>
    <w:rsid w:val="004432BA"/>
    <w:rsid w:val="0044407E"/>
    <w:rsid w:val="00447BB9"/>
    <w:rsid w:val="0046031D"/>
    <w:rsid w:val="00473AC9"/>
    <w:rsid w:val="00476429"/>
    <w:rsid w:val="00496056"/>
    <w:rsid w:val="004B1133"/>
    <w:rsid w:val="004B3A01"/>
    <w:rsid w:val="004D72B5"/>
    <w:rsid w:val="004F5862"/>
    <w:rsid w:val="00551B7F"/>
    <w:rsid w:val="0056610F"/>
    <w:rsid w:val="00575BCA"/>
    <w:rsid w:val="00575E69"/>
    <w:rsid w:val="005B0344"/>
    <w:rsid w:val="005B520E"/>
    <w:rsid w:val="005B74F8"/>
    <w:rsid w:val="005C2E6D"/>
    <w:rsid w:val="005E2800"/>
    <w:rsid w:val="00605825"/>
    <w:rsid w:val="00645D22"/>
    <w:rsid w:val="00651A08"/>
    <w:rsid w:val="00654204"/>
    <w:rsid w:val="00670434"/>
    <w:rsid w:val="006949C2"/>
    <w:rsid w:val="006A2E31"/>
    <w:rsid w:val="006A5D82"/>
    <w:rsid w:val="006B6B66"/>
    <w:rsid w:val="006E6625"/>
    <w:rsid w:val="006E66CE"/>
    <w:rsid w:val="006F4B16"/>
    <w:rsid w:val="006F6D3D"/>
    <w:rsid w:val="006F7634"/>
    <w:rsid w:val="00715BEA"/>
    <w:rsid w:val="00740EEA"/>
    <w:rsid w:val="00754E45"/>
    <w:rsid w:val="00774C61"/>
    <w:rsid w:val="00794804"/>
    <w:rsid w:val="007A797E"/>
    <w:rsid w:val="007B33F1"/>
    <w:rsid w:val="007B6DDA"/>
    <w:rsid w:val="007C0308"/>
    <w:rsid w:val="007C117B"/>
    <w:rsid w:val="007C2FF2"/>
    <w:rsid w:val="007D50E2"/>
    <w:rsid w:val="007D6232"/>
    <w:rsid w:val="007F1F99"/>
    <w:rsid w:val="007F34B8"/>
    <w:rsid w:val="007F768F"/>
    <w:rsid w:val="0080791D"/>
    <w:rsid w:val="008147B5"/>
    <w:rsid w:val="00836367"/>
    <w:rsid w:val="008648CF"/>
    <w:rsid w:val="00873603"/>
    <w:rsid w:val="0088072E"/>
    <w:rsid w:val="008A2C7D"/>
    <w:rsid w:val="008B6524"/>
    <w:rsid w:val="008C4B23"/>
    <w:rsid w:val="008F6E2C"/>
    <w:rsid w:val="00904A5F"/>
    <w:rsid w:val="009303D9"/>
    <w:rsid w:val="00933C64"/>
    <w:rsid w:val="00934F67"/>
    <w:rsid w:val="00954F31"/>
    <w:rsid w:val="009715B6"/>
    <w:rsid w:val="00972203"/>
    <w:rsid w:val="009A5541"/>
    <w:rsid w:val="009D466B"/>
    <w:rsid w:val="009F1D79"/>
    <w:rsid w:val="00A059B3"/>
    <w:rsid w:val="00A063C2"/>
    <w:rsid w:val="00A131BC"/>
    <w:rsid w:val="00A2790F"/>
    <w:rsid w:val="00A44555"/>
    <w:rsid w:val="00A6239A"/>
    <w:rsid w:val="00A64328"/>
    <w:rsid w:val="00A65EB1"/>
    <w:rsid w:val="00A7693B"/>
    <w:rsid w:val="00AA3F59"/>
    <w:rsid w:val="00AC2A7E"/>
    <w:rsid w:val="00AC6289"/>
    <w:rsid w:val="00AE3409"/>
    <w:rsid w:val="00AF776F"/>
    <w:rsid w:val="00AF7AE4"/>
    <w:rsid w:val="00B11A60"/>
    <w:rsid w:val="00B22613"/>
    <w:rsid w:val="00B24F05"/>
    <w:rsid w:val="00B44A76"/>
    <w:rsid w:val="00B63E69"/>
    <w:rsid w:val="00B759D6"/>
    <w:rsid w:val="00B768D1"/>
    <w:rsid w:val="00B8149E"/>
    <w:rsid w:val="00BA1025"/>
    <w:rsid w:val="00BC3420"/>
    <w:rsid w:val="00BD670B"/>
    <w:rsid w:val="00BE7D3C"/>
    <w:rsid w:val="00BF4125"/>
    <w:rsid w:val="00BF5FF6"/>
    <w:rsid w:val="00C0207F"/>
    <w:rsid w:val="00C12818"/>
    <w:rsid w:val="00C16117"/>
    <w:rsid w:val="00C1673B"/>
    <w:rsid w:val="00C3075A"/>
    <w:rsid w:val="00C5510F"/>
    <w:rsid w:val="00C62B60"/>
    <w:rsid w:val="00C665DE"/>
    <w:rsid w:val="00C919A4"/>
    <w:rsid w:val="00CA2F91"/>
    <w:rsid w:val="00CA4392"/>
    <w:rsid w:val="00CC2B62"/>
    <w:rsid w:val="00CC393F"/>
    <w:rsid w:val="00D2176E"/>
    <w:rsid w:val="00D21C94"/>
    <w:rsid w:val="00D632BE"/>
    <w:rsid w:val="00D72D06"/>
    <w:rsid w:val="00D7522C"/>
    <w:rsid w:val="00D7536F"/>
    <w:rsid w:val="00D753C8"/>
    <w:rsid w:val="00D76668"/>
    <w:rsid w:val="00DA0737"/>
    <w:rsid w:val="00DE34C4"/>
    <w:rsid w:val="00E07383"/>
    <w:rsid w:val="00E165BC"/>
    <w:rsid w:val="00E53CD3"/>
    <w:rsid w:val="00E61E12"/>
    <w:rsid w:val="00E7596C"/>
    <w:rsid w:val="00E878F2"/>
    <w:rsid w:val="00ED0149"/>
    <w:rsid w:val="00EF7DE3"/>
    <w:rsid w:val="00F00CB4"/>
    <w:rsid w:val="00F03103"/>
    <w:rsid w:val="00F17F28"/>
    <w:rsid w:val="00F271DE"/>
    <w:rsid w:val="00F627DA"/>
    <w:rsid w:val="00F7288F"/>
    <w:rsid w:val="00F847A6"/>
    <w:rsid w:val="00F9441B"/>
    <w:rsid w:val="00FA4C32"/>
    <w:rsid w:val="00FB5003"/>
    <w:rsid w:val="00FE7114"/>
    <w:rsid w:val="00FF41D6"/>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5FC7D30"/>
  <w15:chartTrackingRefBased/>
  <w15:docId w15:val="{024ECAD1-2323-4B9B-8C03-899AA7F9FF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style>
  <w:style w:type="paragraph" w:styleId="Heading1">
    <w:name w:val="heading 1"/>
    <w:basedOn w:val="Normal"/>
    <w:next w:val="Normal"/>
    <w:qFormat/>
    <w:rsid w:val="006B6B66"/>
    <w:pPr>
      <w:keepNext/>
      <w:keepLines/>
      <w:numPr>
        <w:numId w:val="4"/>
      </w:numPr>
      <w:tabs>
        <w:tab w:val="left" w:pos="216"/>
      </w:tabs>
      <w:spacing w:before="160" w:after="80"/>
      <w:ind w:firstLine="0"/>
      <w:outlineLvl w:val="0"/>
    </w:pPr>
    <w:rPr>
      <w:smallCaps/>
      <w:noProof/>
    </w:rPr>
  </w:style>
  <w:style w:type="paragraph" w:styleId="Heading2">
    <w:name w:val="heading 2"/>
    <w:basedOn w:val="Normal"/>
    <w:next w:val="Normal"/>
    <w:qFormat/>
    <w:rsid w:val="00ED0149"/>
    <w:pPr>
      <w:keepNext/>
      <w:keepLines/>
      <w:numPr>
        <w:ilvl w:val="1"/>
        <w:numId w:val="4"/>
      </w:numPr>
      <w:tabs>
        <w:tab w:val="clear" w:pos="360"/>
        <w:tab w:val="num" w:pos="288"/>
      </w:tabs>
      <w:spacing w:before="120" w:after="60"/>
      <w:outlineLvl w:val="1"/>
    </w:pPr>
    <w:rPr>
      <w:i/>
      <w:iCs/>
      <w:noProof/>
    </w:rPr>
  </w:style>
  <w:style w:type="paragraph" w:styleId="Heading3">
    <w:name w:val="heading 3"/>
    <w:basedOn w:val="Normal"/>
    <w:next w:val="Normal"/>
    <w:qFormat/>
    <w:rsid w:val="00794804"/>
    <w:pPr>
      <w:numPr>
        <w:ilvl w:val="2"/>
        <w:numId w:val="4"/>
      </w:numPr>
      <w:tabs>
        <w:tab w:val="clear" w:pos="1800"/>
        <w:tab w:val="num" w:pos="540"/>
      </w:tabs>
      <w:spacing w:line="240" w:lineRule="exact"/>
      <w:ind w:firstLine="288"/>
      <w:jc w:val="both"/>
      <w:outlineLvl w:val="2"/>
    </w:pPr>
    <w:rPr>
      <w:i/>
      <w:iCs/>
      <w:noProof/>
    </w:rPr>
  </w:style>
  <w:style w:type="paragraph" w:styleId="Heading4">
    <w:name w:val="heading 4"/>
    <w:basedOn w:val="Normal"/>
    <w:next w:val="Normal"/>
    <w:qFormat/>
    <w:rsid w:val="00794804"/>
    <w:pPr>
      <w:numPr>
        <w:ilvl w:val="3"/>
        <w:numId w:val="4"/>
      </w:numPr>
      <w:tabs>
        <w:tab w:val="clear" w:pos="630"/>
        <w:tab w:val="left" w:pos="720"/>
      </w:tabs>
      <w:spacing w:before="40" w:after="40"/>
      <w:ind w:firstLine="504"/>
      <w:jc w:val="both"/>
      <w:outlineLvl w:val="3"/>
    </w:pPr>
    <w:rPr>
      <w:i/>
      <w:iCs/>
      <w:noProof/>
    </w:rPr>
  </w:style>
  <w:style w:type="paragraph" w:styleId="Heading5">
    <w:name w:val="heading 5"/>
    <w:basedOn w:val="Normal"/>
    <w:next w:val="Normal"/>
    <w:qFormat/>
    <w:pPr>
      <w:tabs>
        <w:tab w:val="left" w:pos="360"/>
      </w:tabs>
      <w:spacing w:before="160" w:after="80"/>
      <w:outlineLvl w:val="4"/>
    </w:pPr>
    <w:rPr>
      <w:smallCaps/>
      <w:noProo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bstract">
    <w:name w:val="Abstract"/>
    <w:rsid w:val="00972203"/>
    <w:pPr>
      <w:spacing w:after="200"/>
      <w:ind w:firstLine="272"/>
      <w:jc w:val="both"/>
    </w:pPr>
    <w:rPr>
      <w:b/>
      <w:bCs/>
      <w:sz w:val="18"/>
      <w:szCs w:val="18"/>
    </w:rPr>
  </w:style>
  <w:style w:type="paragraph" w:customStyle="1" w:styleId="Affiliation">
    <w:name w:val="Affiliation"/>
    <w:pPr>
      <w:jc w:val="center"/>
    </w:pPr>
  </w:style>
  <w:style w:type="paragraph" w:customStyle="1" w:styleId="Author">
    <w:name w:val="Author"/>
    <w:pPr>
      <w:spacing w:before="360" w:after="40"/>
      <w:jc w:val="center"/>
    </w:pPr>
    <w:rPr>
      <w:noProof/>
      <w:sz w:val="22"/>
      <w:szCs w:val="22"/>
    </w:rPr>
  </w:style>
  <w:style w:type="paragraph" w:styleId="BodyText">
    <w:name w:val="Body Text"/>
    <w:basedOn w:val="Normal"/>
    <w:link w:val="BodyTextChar"/>
    <w:rsid w:val="00E7596C"/>
    <w:pPr>
      <w:tabs>
        <w:tab w:val="left" w:pos="288"/>
      </w:tabs>
      <w:spacing w:after="120" w:line="228" w:lineRule="auto"/>
      <w:ind w:firstLine="288"/>
      <w:jc w:val="both"/>
    </w:pPr>
    <w:rPr>
      <w:spacing w:val="-1"/>
      <w:lang w:val="x-none" w:eastAsia="x-none"/>
    </w:rPr>
  </w:style>
  <w:style w:type="character" w:customStyle="1" w:styleId="BodyTextChar">
    <w:name w:val="Body Text Char"/>
    <w:link w:val="BodyText"/>
    <w:rsid w:val="00E7596C"/>
    <w:rPr>
      <w:spacing w:val="-1"/>
      <w:lang w:val="x-none" w:eastAsia="x-none"/>
    </w:rPr>
  </w:style>
  <w:style w:type="paragraph" w:customStyle="1" w:styleId="bulletlist">
    <w:name w:val="bullet list"/>
    <w:basedOn w:val="BodyText"/>
    <w:rsid w:val="001B67DC"/>
    <w:pPr>
      <w:numPr>
        <w:numId w:val="1"/>
      </w:numPr>
      <w:tabs>
        <w:tab w:val="clear" w:pos="648"/>
      </w:tabs>
      <w:ind w:left="576" w:hanging="288"/>
    </w:pPr>
  </w:style>
  <w:style w:type="paragraph" w:customStyle="1" w:styleId="equation">
    <w:name w:val="equation"/>
    <w:basedOn w:val="Normal"/>
    <w:rsid w:val="008A2C7D"/>
    <w:pPr>
      <w:tabs>
        <w:tab w:val="center" w:pos="2520"/>
        <w:tab w:val="right" w:pos="5040"/>
      </w:tabs>
      <w:spacing w:before="240" w:after="240" w:line="216" w:lineRule="auto"/>
    </w:pPr>
    <w:rPr>
      <w:rFonts w:ascii="Symbol" w:hAnsi="Symbol" w:cs="Symbol"/>
    </w:rPr>
  </w:style>
  <w:style w:type="paragraph" w:customStyle="1" w:styleId="figurecaption">
    <w:name w:val="figure caption"/>
    <w:rsid w:val="005B0344"/>
    <w:pPr>
      <w:numPr>
        <w:numId w:val="2"/>
      </w:numPr>
      <w:tabs>
        <w:tab w:val="left" w:pos="533"/>
      </w:tabs>
      <w:spacing w:before="80" w:after="200"/>
      <w:ind w:left="0" w:firstLine="0"/>
      <w:jc w:val="both"/>
    </w:pPr>
    <w:rPr>
      <w:noProof/>
      <w:sz w:val="16"/>
      <w:szCs w:val="16"/>
    </w:rPr>
  </w:style>
  <w:style w:type="paragraph" w:customStyle="1" w:styleId="footnote">
    <w:name w:val="footnote"/>
    <w:pPr>
      <w:framePr w:hSpace="187" w:vSpace="187" w:wrap="notBeside" w:vAnchor="text" w:hAnchor="page" w:x="6121" w:y="577"/>
      <w:numPr>
        <w:numId w:val="3"/>
      </w:numPr>
      <w:spacing w:after="40"/>
    </w:pPr>
    <w:rPr>
      <w:sz w:val="16"/>
      <w:szCs w:val="16"/>
    </w:rPr>
  </w:style>
  <w:style w:type="paragraph" w:customStyle="1" w:styleId="papersubtitle">
    <w:name w:val="paper subtitle"/>
    <w:pPr>
      <w:spacing w:after="120"/>
      <w:jc w:val="center"/>
    </w:pPr>
    <w:rPr>
      <w:rFonts w:eastAsia="MS Mincho"/>
      <w:noProof/>
      <w:sz w:val="28"/>
      <w:szCs w:val="28"/>
    </w:rPr>
  </w:style>
  <w:style w:type="paragraph" w:customStyle="1" w:styleId="papertitle">
    <w:name w:val="paper title"/>
    <w:pPr>
      <w:spacing w:after="120"/>
      <w:jc w:val="center"/>
    </w:pPr>
    <w:rPr>
      <w:rFonts w:eastAsia="MS Mincho"/>
      <w:noProof/>
      <w:sz w:val="48"/>
      <w:szCs w:val="48"/>
    </w:rPr>
  </w:style>
  <w:style w:type="paragraph" w:customStyle="1" w:styleId="references">
    <w:name w:val="references"/>
    <w:pPr>
      <w:numPr>
        <w:numId w:val="8"/>
      </w:numPr>
      <w:spacing w:after="50" w:line="180" w:lineRule="exact"/>
      <w:jc w:val="both"/>
    </w:pPr>
    <w:rPr>
      <w:rFonts w:eastAsia="MS Mincho"/>
      <w:noProof/>
      <w:sz w:val="16"/>
      <w:szCs w:val="16"/>
    </w:rPr>
  </w:style>
  <w:style w:type="paragraph" w:customStyle="1" w:styleId="sponsors">
    <w:name w:val="sponsors"/>
    <w:pPr>
      <w:framePr w:wrap="auto" w:hAnchor="text" w:x="615" w:y="2239"/>
      <w:pBdr>
        <w:top w:val="single" w:sz="4" w:space="2" w:color="auto"/>
      </w:pBdr>
      <w:ind w:firstLine="288"/>
    </w:pPr>
    <w:rPr>
      <w:sz w:val="16"/>
      <w:szCs w:val="16"/>
    </w:rPr>
  </w:style>
  <w:style w:type="paragraph" w:customStyle="1" w:styleId="tablecolhead">
    <w:name w:val="table col head"/>
    <w:basedOn w:val="Normal"/>
    <w:rPr>
      <w:b/>
      <w:bCs/>
      <w:sz w:val="16"/>
      <w:szCs w:val="16"/>
    </w:rPr>
  </w:style>
  <w:style w:type="paragraph" w:customStyle="1" w:styleId="tablecolsubhead">
    <w:name w:val="table col subhead"/>
    <w:basedOn w:val="tablecolhead"/>
    <w:rPr>
      <w:i/>
      <w:iCs/>
      <w:sz w:val="15"/>
      <w:szCs w:val="15"/>
    </w:rPr>
  </w:style>
  <w:style w:type="paragraph" w:customStyle="1" w:styleId="tablecopy">
    <w:name w:val="table copy"/>
    <w:pPr>
      <w:jc w:val="both"/>
    </w:pPr>
    <w:rPr>
      <w:noProof/>
      <w:sz w:val="16"/>
      <w:szCs w:val="16"/>
    </w:rPr>
  </w:style>
  <w:style w:type="paragraph" w:customStyle="1" w:styleId="tablefootnote">
    <w:name w:val="table footnote"/>
    <w:rsid w:val="005E2800"/>
    <w:pPr>
      <w:numPr>
        <w:numId w:val="24"/>
      </w:numPr>
      <w:spacing w:before="60" w:after="30"/>
      <w:ind w:left="58" w:hanging="29"/>
      <w:jc w:val="right"/>
    </w:pPr>
    <w:rPr>
      <w:sz w:val="12"/>
      <w:szCs w:val="12"/>
    </w:rPr>
  </w:style>
  <w:style w:type="paragraph" w:customStyle="1" w:styleId="tablehead">
    <w:name w:val="table head"/>
    <w:pPr>
      <w:numPr>
        <w:numId w:val="9"/>
      </w:numPr>
      <w:spacing w:before="240" w:after="120" w:line="216" w:lineRule="auto"/>
      <w:jc w:val="center"/>
    </w:pPr>
    <w:rPr>
      <w:smallCaps/>
      <w:noProof/>
      <w:sz w:val="16"/>
      <w:szCs w:val="16"/>
    </w:rPr>
  </w:style>
  <w:style w:type="paragraph" w:customStyle="1" w:styleId="Keywords">
    <w:name w:val="Keywords"/>
    <w:basedOn w:val="Abstract"/>
    <w:qFormat/>
    <w:rsid w:val="00F9441B"/>
    <w:pPr>
      <w:spacing w:after="120"/>
      <w:ind w:firstLine="274"/>
    </w:pPr>
    <w:rPr>
      <w:i/>
    </w:rPr>
  </w:style>
  <w:style w:type="paragraph" w:styleId="Header">
    <w:name w:val="header"/>
    <w:basedOn w:val="Normal"/>
    <w:link w:val="HeaderChar"/>
    <w:rsid w:val="001A3B3D"/>
    <w:pPr>
      <w:tabs>
        <w:tab w:val="center" w:pos="4680"/>
        <w:tab w:val="right" w:pos="9360"/>
      </w:tabs>
    </w:pPr>
  </w:style>
  <w:style w:type="character" w:customStyle="1" w:styleId="HeaderChar">
    <w:name w:val="Header Char"/>
    <w:basedOn w:val="DefaultParagraphFont"/>
    <w:link w:val="Header"/>
    <w:rsid w:val="001A3B3D"/>
  </w:style>
  <w:style w:type="paragraph" w:styleId="Footer">
    <w:name w:val="footer"/>
    <w:basedOn w:val="Normal"/>
    <w:link w:val="FooterChar"/>
    <w:uiPriority w:val="99"/>
    <w:rsid w:val="001A3B3D"/>
    <w:pPr>
      <w:tabs>
        <w:tab w:val="center" w:pos="4680"/>
        <w:tab w:val="right" w:pos="9360"/>
      </w:tabs>
    </w:pPr>
  </w:style>
  <w:style w:type="character" w:customStyle="1" w:styleId="FooterChar">
    <w:name w:val="Footer Char"/>
    <w:basedOn w:val="DefaultParagraphFont"/>
    <w:link w:val="Footer"/>
    <w:uiPriority w:val="99"/>
    <w:rsid w:val="001A3B3D"/>
  </w:style>
  <w:style w:type="paragraph" w:styleId="ListParagraph">
    <w:name w:val="List Paragraph"/>
    <w:basedOn w:val="Normal"/>
    <w:uiPriority w:val="34"/>
    <w:qFormat/>
    <w:rsid w:val="006A2E31"/>
    <w:pPr>
      <w:ind w:left="720"/>
      <w:contextualSpacing/>
    </w:pPr>
  </w:style>
  <w:style w:type="paragraph" w:styleId="TOCHeading">
    <w:name w:val="TOC Heading"/>
    <w:basedOn w:val="Heading1"/>
    <w:next w:val="Normal"/>
    <w:uiPriority w:val="39"/>
    <w:unhideWhenUsed/>
    <w:qFormat/>
    <w:rsid w:val="00B24F05"/>
    <w:pPr>
      <w:numPr>
        <w:numId w:val="0"/>
      </w:numPr>
      <w:tabs>
        <w:tab w:val="clear" w:pos="216"/>
      </w:tabs>
      <w:spacing w:before="480" w:after="0" w:line="276" w:lineRule="auto"/>
      <w:outlineLvl w:val="9"/>
    </w:pPr>
    <w:rPr>
      <w:rFonts w:asciiTheme="majorHAnsi" w:eastAsiaTheme="majorEastAsia" w:hAnsiTheme="majorHAnsi" w:cstheme="majorBidi"/>
      <w:b/>
      <w:bCs/>
      <w:smallCaps w:val="0"/>
      <w:noProof w:val="0"/>
      <w:color w:val="000000"/>
      <w:sz w:val="28"/>
      <w:szCs w:val="28"/>
      <w:lang w:val="en-GB"/>
    </w:rPr>
  </w:style>
  <w:style w:type="character" w:styleId="Hyperlink">
    <w:name w:val="Hyperlink"/>
    <w:basedOn w:val="DefaultParagraphFont"/>
    <w:uiPriority w:val="99"/>
    <w:unhideWhenUsed/>
    <w:rsid w:val="00B24F05"/>
    <w:rPr>
      <w:color w:val="0563C1" w:themeColor="hyperlink"/>
      <w:u w:val="single"/>
    </w:rPr>
  </w:style>
  <w:style w:type="paragraph" w:styleId="TOC1">
    <w:name w:val="toc 1"/>
    <w:basedOn w:val="Normal"/>
    <w:next w:val="Normal"/>
    <w:autoRedefine/>
    <w:uiPriority w:val="39"/>
    <w:unhideWhenUsed/>
    <w:rsid w:val="00B24F05"/>
    <w:pPr>
      <w:spacing w:after="100" w:line="276" w:lineRule="auto"/>
    </w:pPr>
    <w:rPr>
      <w:rFonts w:eastAsia="Times New Roman" w:cstheme="minorBidi"/>
      <w:sz w:val="22"/>
      <w:szCs w:val="22"/>
      <w:lang w:val="en-GB"/>
    </w:rPr>
  </w:style>
  <w:style w:type="table" w:styleId="GridTable4-Accent4">
    <w:name w:val="Grid Table 4 Accent 4"/>
    <w:basedOn w:val="TableNormal"/>
    <w:uiPriority w:val="49"/>
    <w:rsid w:val="00B24F05"/>
    <w:rPr>
      <w:rFonts w:asciiTheme="minorHAnsi" w:eastAsiaTheme="minorEastAsia" w:hAnsiTheme="minorHAnsi" w:cstheme="minorBidi"/>
      <w:sz w:val="22"/>
      <w:szCs w:val="22"/>
    </w:r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4-Accent2">
    <w:name w:val="Grid Table 4 Accent 2"/>
    <w:basedOn w:val="TableNormal"/>
    <w:uiPriority w:val="49"/>
    <w:rsid w:val="00B24F05"/>
    <w:rPr>
      <w:rFonts w:asciiTheme="minorHAnsi" w:eastAsiaTheme="minorEastAsia" w:hAnsiTheme="minorHAnsi" w:cstheme="minorBidi"/>
      <w:sz w:val="22"/>
      <w:szCs w:val="22"/>
    </w:r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4-Accent6">
    <w:name w:val="Grid Table 4 Accent 6"/>
    <w:basedOn w:val="TableNormal"/>
    <w:uiPriority w:val="49"/>
    <w:rsid w:val="00B24F05"/>
    <w:rPr>
      <w:rFonts w:asciiTheme="minorHAnsi" w:eastAsiaTheme="minorEastAsia" w:hAnsiTheme="minorHAnsi" w:cstheme="minorBidi"/>
      <w:sz w:val="22"/>
      <w:szCs w:val="22"/>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customStyle="1" w:styleId="EndNoteBibliography">
    <w:name w:val="EndNote Bibliography"/>
    <w:basedOn w:val="Normal"/>
    <w:link w:val="EndNoteBibliographyChar"/>
    <w:rsid w:val="00B24F05"/>
    <w:pPr>
      <w:spacing w:after="200"/>
      <w:jc w:val="both"/>
    </w:pPr>
    <w:rPr>
      <w:rFonts w:eastAsia="Times New Roman"/>
      <w:noProof/>
      <w:sz w:val="22"/>
      <w:szCs w:val="22"/>
    </w:rPr>
  </w:style>
  <w:style w:type="character" w:customStyle="1" w:styleId="EndNoteBibliographyChar">
    <w:name w:val="EndNote Bibliography Char"/>
    <w:basedOn w:val="DefaultParagraphFont"/>
    <w:link w:val="EndNoteBibliography"/>
    <w:rsid w:val="00B24F05"/>
    <w:rPr>
      <w:rFonts w:eastAsia="Times New Roman"/>
      <w:noProof/>
      <w:sz w:val="22"/>
      <w:szCs w:val="22"/>
    </w:rPr>
  </w:style>
  <w:style w:type="paragraph" w:styleId="NoSpacing">
    <w:name w:val="No Spacing"/>
    <w:link w:val="NoSpacingChar"/>
    <w:uiPriority w:val="1"/>
    <w:qFormat/>
    <w:rsid w:val="00326233"/>
    <w:rPr>
      <w:rFonts w:asciiTheme="minorHAnsi" w:eastAsiaTheme="minorEastAsia" w:hAnsiTheme="minorHAnsi" w:cstheme="minorBidi"/>
      <w:sz w:val="22"/>
      <w:szCs w:val="22"/>
    </w:rPr>
  </w:style>
  <w:style w:type="character" w:customStyle="1" w:styleId="NoSpacingChar">
    <w:name w:val="No Spacing Char"/>
    <w:basedOn w:val="DefaultParagraphFont"/>
    <w:link w:val="NoSpacing"/>
    <w:uiPriority w:val="1"/>
    <w:rsid w:val="00326233"/>
    <w:rPr>
      <w:rFonts w:asciiTheme="minorHAnsi" w:eastAsiaTheme="minorEastAsia" w:hAnsiTheme="minorHAnsi" w:cstheme="minorBid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doi.org/10.48550/arXiv.2507.12937"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30574/wjarr.2023.18.3.1166" TargetMode="External"/><Relationship Id="rId17" Type="http://schemas.openxmlformats.org/officeDocument/2006/relationships/hyperlink" Target="https://doi.org/10.5281/zenodo.15616416" TargetMode="External"/><Relationship Id="rId2" Type="http://schemas.openxmlformats.org/officeDocument/2006/relationships/numbering" Target="numbering.xml"/><Relationship Id="rId16" Type="http://schemas.openxmlformats.org/officeDocument/2006/relationships/hyperlink" Target="https://doi.org/10.37256/ccds.7220261005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investor.equifax.com/news-events/press-releases/detail/237/equifax-releases-details-on-cybersecurity-incident" TargetMode="External"/><Relationship Id="rId5" Type="http://schemas.openxmlformats.org/officeDocument/2006/relationships/webSettings" Target="webSettings.xml"/><Relationship Id="rId15" Type="http://schemas.openxmlformats.org/officeDocument/2006/relationships/hyperlink" Target="https://doi.org/10.30574/wjarr.2022.15.3.0920" TargetMode="Externa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s://doi.org/10.5281/zenodo.19551592%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E966C7F-158E-4883-86A6-4454069232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7387</Words>
  <Characters>42111</Characters>
  <Application>Microsoft Office Word</Application>
  <DocSecurity>0</DocSecurity>
  <Lines>350</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Taishee Khan</dc:creator>
  <cp:keywords/>
  <cp:lastModifiedBy>Taishee Khan</cp:lastModifiedBy>
  <cp:revision>3</cp:revision>
  <dcterms:created xsi:type="dcterms:W3CDTF">2026-07-10T22:01:00Z</dcterms:created>
  <dcterms:modified xsi:type="dcterms:W3CDTF">2026-07-20T13:40:00Z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0c86899d-fcb1-4a2a-b100-b1371a342fc4</vt:lpwstr>
  </property>
</Properties>
</file>