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B4213" w14:textId="77777777" w:rsidR="00084F6F" w:rsidRPr="005304F1" w:rsidRDefault="00000000">
      <w:pPr>
        <w:spacing w:line="360" w:lineRule="auto"/>
        <w:rPr>
          <w:rFonts w:ascii="Arial" w:hAnsi="Arial" w:cs="Arial"/>
          <w:sz w:val="23"/>
          <w:szCs w:val="23"/>
        </w:rPr>
      </w:pPr>
      <w:r w:rsidRPr="005304F1">
        <w:rPr>
          <w:rFonts w:ascii="Arial" w:hAnsi="Arial" w:cs="Arial"/>
          <w:noProof/>
          <w:sz w:val="23"/>
          <w:szCs w:val="23"/>
        </w:rPr>
        <w:drawing>
          <wp:anchor distT="0" distB="0" distL="114300" distR="114300" simplePos="0" relativeHeight="251658240" behindDoc="0" locked="0" layoutInCell="1" hidden="0" allowOverlap="1" wp14:anchorId="5C4EE8E5" wp14:editId="5A499280">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5B02B150" w14:textId="77777777" w:rsidR="00084F6F" w:rsidRPr="005304F1" w:rsidRDefault="00084F6F">
      <w:pPr>
        <w:spacing w:line="360" w:lineRule="auto"/>
        <w:rPr>
          <w:rFonts w:ascii="Arial" w:hAnsi="Arial" w:cs="Arial"/>
          <w:sz w:val="23"/>
          <w:szCs w:val="23"/>
        </w:rPr>
      </w:pPr>
    </w:p>
    <w:p w14:paraId="11591ECF" w14:textId="77777777" w:rsidR="00084F6F" w:rsidRPr="005304F1" w:rsidRDefault="00084F6F">
      <w:pPr>
        <w:spacing w:line="360" w:lineRule="auto"/>
        <w:rPr>
          <w:rFonts w:ascii="Arial" w:hAnsi="Arial" w:cs="Arial"/>
          <w:sz w:val="23"/>
          <w:szCs w:val="23"/>
        </w:rPr>
      </w:pPr>
    </w:p>
    <w:p w14:paraId="22FFAF63" w14:textId="77777777" w:rsidR="00084F6F" w:rsidRPr="005304F1" w:rsidRDefault="00084F6F">
      <w:pPr>
        <w:spacing w:line="360" w:lineRule="auto"/>
        <w:rPr>
          <w:rFonts w:ascii="Arial" w:hAnsi="Arial" w:cs="Arial"/>
          <w:sz w:val="23"/>
          <w:szCs w:val="23"/>
        </w:rPr>
      </w:pPr>
    </w:p>
    <w:p w14:paraId="45F827AE" w14:textId="77777777" w:rsidR="00084F6F" w:rsidRPr="005304F1" w:rsidRDefault="00084F6F">
      <w:pPr>
        <w:tabs>
          <w:tab w:val="left" w:pos="6540"/>
        </w:tabs>
        <w:spacing w:line="360" w:lineRule="auto"/>
        <w:rPr>
          <w:rFonts w:ascii="Arial" w:hAnsi="Arial" w:cs="Arial"/>
          <w:sz w:val="23"/>
          <w:szCs w:val="23"/>
        </w:rPr>
      </w:pPr>
    </w:p>
    <w:p w14:paraId="1978D535" w14:textId="02F3A61A" w:rsidR="00606BBC" w:rsidRPr="00BD0397" w:rsidRDefault="00000000">
      <w:pPr>
        <w:tabs>
          <w:tab w:val="left" w:pos="6540"/>
        </w:tabs>
        <w:spacing w:line="360" w:lineRule="auto"/>
        <w:rPr>
          <w:rFonts w:ascii="Arial" w:eastAsia="Arial" w:hAnsi="Arial" w:cs="Arial"/>
          <w:sz w:val="23"/>
          <w:szCs w:val="23"/>
        </w:rPr>
      </w:pPr>
      <w:r w:rsidRPr="005304F1">
        <w:rPr>
          <w:rFonts w:ascii="Arial" w:eastAsia="Arial" w:hAnsi="Arial" w:cs="Arial"/>
          <w:b/>
          <w:bCs/>
          <w:sz w:val="23"/>
          <w:szCs w:val="23"/>
        </w:rPr>
        <w:t>Module name</w:t>
      </w:r>
      <w:r w:rsidRPr="005304F1">
        <w:rPr>
          <w:rFonts w:ascii="Arial" w:eastAsia="Arial" w:hAnsi="Arial" w:cs="Arial"/>
          <w:sz w:val="23"/>
          <w:szCs w:val="23"/>
        </w:rPr>
        <w:t xml:space="preserve">: </w:t>
      </w:r>
      <w:r w:rsidR="003D3B4E" w:rsidRPr="005304F1">
        <w:rPr>
          <w:rFonts w:ascii="Arial" w:eastAsia="Arial" w:hAnsi="Arial" w:cs="Arial"/>
          <w:sz w:val="23"/>
          <w:szCs w:val="23"/>
        </w:rPr>
        <w:t xml:space="preserve">Introduction </w:t>
      </w:r>
      <w:proofErr w:type="gramStart"/>
      <w:r w:rsidR="003D3B4E" w:rsidRPr="005304F1">
        <w:rPr>
          <w:rFonts w:ascii="Arial" w:eastAsia="Arial" w:hAnsi="Arial" w:cs="Arial"/>
          <w:sz w:val="23"/>
          <w:szCs w:val="23"/>
        </w:rPr>
        <w:t>To</w:t>
      </w:r>
      <w:proofErr w:type="gramEnd"/>
      <w:r w:rsidR="003D3B4E" w:rsidRPr="005304F1">
        <w:rPr>
          <w:rFonts w:ascii="Arial" w:eastAsia="Arial" w:hAnsi="Arial" w:cs="Arial"/>
          <w:sz w:val="23"/>
          <w:szCs w:val="23"/>
        </w:rPr>
        <w:t xml:space="preserve"> Independent Research Skills</w:t>
      </w:r>
    </w:p>
    <w:p w14:paraId="7D335A31" w14:textId="1378B9B3"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b/>
          <w:bCs/>
          <w:sz w:val="23"/>
          <w:szCs w:val="23"/>
        </w:rPr>
        <w:t>Module code</w:t>
      </w:r>
      <w:r w:rsidRPr="005304F1">
        <w:rPr>
          <w:rFonts w:ascii="Arial" w:eastAsia="Arial" w:hAnsi="Arial" w:cs="Arial"/>
          <w:sz w:val="23"/>
          <w:szCs w:val="23"/>
        </w:rPr>
        <w:t>:</w:t>
      </w:r>
      <w:r w:rsidR="00AD1FDD" w:rsidRPr="005304F1">
        <w:rPr>
          <w:rFonts w:ascii="Arial" w:eastAsia="Arial" w:hAnsi="Arial" w:cs="Arial"/>
          <w:sz w:val="23"/>
          <w:szCs w:val="23"/>
        </w:rPr>
        <w:t xml:space="preserve"> BMHP5019</w:t>
      </w:r>
    </w:p>
    <w:p w14:paraId="36181039" w14:textId="77777777" w:rsidR="00084F6F" w:rsidRPr="005304F1" w:rsidRDefault="00084F6F">
      <w:pPr>
        <w:tabs>
          <w:tab w:val="left" w:pos="6540"/>
        </w:tabs>
        <w:spacing w:line="360" w:lineRule="auto"/>
        <w:rPr>
          <w:rFonts w:ascii="Arial" w:eastAsia="Arial" w:hAnsi="Arial" w:cs="Arial"/>
          <w:b/>
          <w:bCs/>
          <w:sz w:val="23"/>
          <w:szCs w:val="23"/>
        </w:rPr>
      </w:pPr>
    </w:p>
    <w:p w14:paraId="54332F73" w14:textId="7E9941A0"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b/>
          <w:bCs/>
          <w:sz w:val="23"/>
          <w:szCs w:val="23"/>
        </w:rPr>
        <w:t>Student name</w:t>
      </w:r>
      <w:r w:rsidRPr="005304F1">
        <w:rPr>
          <w:rFonts w:ascii="Arial" w:eastAsia="Arial" w:hAnsi="Arial" w:cs="Arial"/>
          <w:sz w:val="23"/>
          <w:szCs w:val="23"/>
        </w:rPr>
        <w:t>:</w:t>
      </w:r>
      <w:r w:rsidR="000749DA" w:rsidRPr="005304F1">
        <w:rPr>
          <w:rFonts w:ascii="Arial" w:eastAsia="Arial" w:hAnsi="Arial" w:cs="Arial"/>
          <w:sz w:val="23"/>
          <w:szCs w:val="23"/>
        </w:rPr>
        <w:t xml:space="preserve"> Onyemaechi Christian Meregini</w:t>
      </w:r>
    </w:p>
    <w:p w14:paraId="65940A3B" w14:textId="37EE0FA4"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b/>
          <w:bCs/>
          <w:sz w:val="23"/>
          <w:szCs w:val="23"/>
        </w:rPr>
        <w:t>Student ID</w:t>
      </w:r>
      <w:r w:rsidRPr="005304F1">
        <w:rPr>
          <w:rFonts w:ascii="Arial" w:eastAsia="Arial" w:hAnsi="Arial" w:cs="Arial"/>
          <w:sz w:val="23"/>
          <w:szCs w:val="23"/>
        </w:rPr>
        <w:t>:</w:t>
      </w:r>
      <w:r w:rsidR="000749DA" w:rsidRPr="005304F1">
        <w:rPr>
          <w:rFonts w:ascii="Arial" w:eastAsia="Arial" w:hAnsi="Arial" w:cs="Arial"/>
          <w:sz w:val="23"/>
          <w:szCs w:val="23"/>
        </w:rPr>
        <w:t xml:space="preserve"> 2413001</w:t>
      </w:r>
    </w:p>
    <w:p w14:paraId="7B59548B" w14:textId="0709BD71"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b/>
          <w:bCs/>
          <w:sz w:val="23"/>
          <w:szCs w:val="23"/>
        </w:rPr>
        <w:t>Lecturer’s name</w:t>
      </w:r>
      <w:r w:rsidRPr="005304F1">
        <w:rPr>
          <w:rFonts w:ascii="Arial" w:eastAsia="Arial" w:hAnsi="Arial" w:cs="Arial"/>
          <w:sz w:val="23"/>
          <w:szCs w:val="23"/>
        </w:rPr>
        <w:t>:</w:t>
      </w:r>
      <w:r w:rsidR="003D3B4E" w:rsidRPr="005304F1">
        <w:rPr>
          <w:rFonts w:ascii="Arial" w:eastAsia="Arial" w:hAnsi="Arial" w:cs="Arial"/>
          <w:sz w:val="23"/>
          <w:szCs w:val="23"/>
        </w:rPr>
        <w:t xml:space="preserve"> Dr Eleni </w:t>
      </w:r>
      <w:proofErr w:type="spellStart"/>
      <w:r w:rsidR="003D3B4E" w:rsidRPr="005304F1">
        <w:rPr>
          <w:rFonts w:ascii="Arial" w:eastAsia="Arial" w:hAnsi="Arial" w:cs="Arial"/>
          <w:sz w:val="23"/>
          <w:szCs w:val="23"/>
        </w:rPr>
        <w:t>Koutsogeorgou-Andreou</w:t>
      </w:r>
      <w:proofErr w:type="spellEnd"/>
    </w:p>
    <w:p w14:paraId="074908BF" w14:textId="38E7F744" w:rsidR="000749DA" w:rsidRDefault="000749DA">
      <w:pPr>
        <w:tabs>
          <w:tab w:val="left" w:pos="6540"/>
        </w:tabs>
        <w:spacing w:line="360" w:lineRule="auto"/>
        <w:rPr>
          <w:rFonts w:ascii="Arial" w:eastAsia="Arial" w:hAnsi="Arial" w:cs="Arial"/>
          <w:sz w:val="23"/>
          <w:szCs w:val="23"/>
        </w:rPr>
      </w:pPr>
    </w:p>
    <w:p w14:paraId="3605B18A" w14:textId="5A2E4BBC" w:rsidR="00606BBC" w:rsidRDefault="00606BBC">
      <w:pPr>
        <w:tabs>
          <w:tab w:val="left" w:pos="6540"/>
        </w:tabs>
        <w:spacing w:line="360" w:lineRule="auto"/>
        <w:rPr>
          <w:rFonts w:ascii="Arial" w:eastAsia="Arial" w:hAnsi="Arial" w:cs="Arial"/>
          <w:sz w:val="23"/>
          <w:szCs w:val="23"/>
        </w:rPr>
      </w:pPr>
    </w:p>
    <w:p w14:paraId="3D1C54F2" w14:textId="77777777" w:rsidR="00BD0397" w:rsidRPr="005304F1" w:rsidRDefault="00BD0397">
      <w:pPr>
        <w:tabs>
          <w:tab w:val="left" w:pos="6540"/>
        </w:tabs>
        <w:spacing w:line="360" w:lineRule="auto"/>
        <w:rPr>
          <w:rFonts w:ascii="Arial" w:eastAsia="Arial" w:hAnsi="Arial" w:cs="Arial"/>
          <w:sz w:val="23"/>
          <w:szCs w:val="23"/>
        </w:rPr>
      </w:pPr>
    </w:p>
    <w:p w14:paraId="38A72A6C" w14:textId="77777777" w:rsidR="000749DA" w:rsidRPr="005304F1" w:rsidRDefault="000749DA">
      <w:pPr>
        <w:tabs>
          <w:tab w:val="left" w:pos="6540"/>
        </w:tabs>
        <w:spacing w:line="360" w:lineRule="auto"/>
        <w:rPr>
          <w:rFonts w:ascii="Arial" w:eastAsia="Arial" w:hAnsi="Arial" w:cs="Arial"/>
          <w:sz w:val="23"/>
          <w:szCs w:val="23"/>
        </w:rPr>
      </w:pPr>
    </w:p>
    <w:p w14:paraId="5D1832F7" w14:textId="77777777" w:rsidR="00E00163" w:rsidRPr="005304F1" w:rsidRDefault="000749DA" w:rsidP="00AD1FDD">
      <w:pPr>
        <w:tabs>
          <w:tab w:val="left" w:pos="6540"/>
        </w:tabs>
        <w:spacing w:line="360" w:lineRule="auto"/>
        <w:jc w:val="center"/>
        <w:rPr>
          <w:rFonts w:ascii="Arial" w:eastAsia="Arial" w:hAnsi="Arial" w:cs="Arial"/>
          <w:b/>
          <w:bCs/>
          <w:sz w:val="23"/>
          <w:szCs w:val="23"/>
        </w:rPr>
      </w:pPr>
      <w:r w:rsidRPr="005304F1">
        <w:rPr>
          <w:rFonts w:ascii="Arial" w:eastAsia="Arial" w:hAnsi="Arial" w:cs="Arial"/>
          <w:b/>
          <w:bCs/>
          <w:sz w:val="23"/>
          <w:szCs w:val="23"/>
        </w:rPr>
        <w:t xml:space="preserve">Topic: </w:t>
      </w:r>
    </w:p>
    <w:p w14:paraId="48515962" w14:textId="3B048ED3" w:rsidR="000749DA" w:rsidRPr="005304F1" w:rsidRDefault="00E00163" w:rsidP="00606BBC">
      <w:pPr>
        <w:tabs>
          <w:tab w:val="left" w:pos="6540"/>
        </w:tabs>
        <w:spacing w:line="360" w:lineRule="auto"/>
        <w:jc w:val="center"/>
        <w:rPr>
          <w:rFonts w:ascii="Arial" w:eastAsia="Arial" w:hAnsi="Arial" w:cs="Arial"/>
          <w:b/>
          <w:bCs/>
          <w:sz w:val="23"/>
          <w:szCs w:val="23"/>
        </w:rPr>
      </w:pPr>
      <w:r w:rsidRPr="005304F1">
        <w:rPr>
          <w:rFonts w:ascii="Arial" w:eastAsia="Arial" w:hAnsi="Arial" w:cs="Arial"/>
          <w:b/>
          <w:bCs/>
          <w:sz w:val="23"/>
          <w:szCs w:val="23"/>
        </w:rPr>
        <w:t>The Impact of Long Waiting Times for NHS Mental Health Appointment</w:t>
      </w:r>
      <w:r w:rsidR="00187AB5" w:rsidRPr="005304F1">
        <w:rPr>
          <w:rFonts w:ascii="Arial" w:eastAsia="Arial" w:hAnsi="Arial" w:cs="Arial"/>
          <w:b/>
          <w:bCs/>
          <w:sz w:val="23"/>
          <w:szCs w:val="23"/>
        </w:rPr>
        <w:t>s</w:t>
      </w:r>
      <w:r w:rsidRPr="005304F1">
        <w:rPr>
          <w:rFonts w:ascii="Arial" w:eastAsia="Arial" w:hAnsi="Arial" w:cs="Arial"/>
          <w:b/>
          <w:bCs/>
          <w:sz w:val="23"/>
          <w:szCs w:val="23"/>
        </w:rPr>
        <w:t xml:space="preserve"> on Teenagers in the UK: </w:t>
      </w:r>
      <w:r w:rsidR="00606BBC">
        <w:rPr>
          <w:rFonts w:ascii="Arial" w:eastAsia="Arial" w:hAnsi="Arial" w:cs="Arial"/>
          <w:b/>
          <w:bCs/>
          <w:sz w:val="23"/>
          <w:szCs w:val="23"/>
        </w:rPr>
        <w:t xml:space="preserve"> </w:t>
      </w:r>
      <w:r w:rsidRPr="005304F1">
        <w:rPr>
          <w:rFonts w:ascii="Arial" w:eastAsia="Arial" w:hAnsi="Arial" w:cs="Arial"/>
          <w:b/>
          <w:bCs/>
          <w:sz w:val="23"/>
          <w:szCs w:val="23"/>
        </w:rPr>
        <w:t xml:space="preserve">A Scoping Review </w:t>
      </w:r>
    </w:p>
    <w:p w14:paraId="6D4B37C8" w14:textId="79A7EFE2" w:rsidR="000749DA" w:rsidRPr="005304F1" w:rsidRDefault="000749DA">
      <w:pPr>
        <w:tabs>
          <w:tab w:val="left" w:pos="6540"/>
        </w:tabs>
        <w:spacing w:line="360" w:lineRule="auto"/>
        <w:rPr>
          <w:rFonts w:ascii="Arial" w:eastAsia="Arial" w:hAnsi="Arial" w:cs="Arial"/>
          <w:sz w:val="23"/>
          <w:szCs w:val="23"/>
        </w:rPr>
      </w:pPr>
    </w:p>
    <w:p w14:paraId="03D86C94" w14:textId="42DAE31D" w:rsidR="000749DA" w:rsidRPr="005304F1" w:rsidRDefault="000749DA">
      <w:pPr>
        <w:tabs>
          <w:tab w:val="left" w:pos="6540"/>
        </w:tabs>
        <w:spacing w:line="360" w:lineRule="auto"/>
        <w:rPr>
          <w:rFonts w:ascii="Arial" w:eastAsia="Arial" w:hAnsi="Arial" w:cs="Arial"/>
          <w:sz w:val="23"/>
          <w:szCs w:val="23"/>
        </w:rPr>
      </w:pPr>
    </w:p>
    <w:p w14:paraId="6247B5E3" w14:textId="6BE05417" w:rsidR="00FE156B" w:rsidRDefault="00FE156B">
      <w:pPr>
        <w:tabs>
          <w:tab w:val="left" w:pos="6540"/>
        </w:tabs>
        <w:spacing w:line="360" w:lineRule="auto"/>
        <w:rPr>
          <w:rFonts w:ascii="Arial" w:eastAsia="Arial" w:hAnsi="Arial" w:cs="Arial"/>
          <w:sz w:val="23"/>
          <w:szCs w:val="23"/>
        </w:rPr>
      </w:pPr>
    </w:p>
    <w:p w14:paraId="1806DBE3" w14:textId="77777777" w:rsidR="00BD0397" w:rsidRPr="005304F1" w:rsidRDefault="00BD0397">
      <w:pPr>
        <w:tabs>
          <w:tab w:val="left" w:pos="6540"/>
        </w:tabs>
        <w:spacing w:line="360" w:lineRule="auto"/>
        <w:rPr>
          <w:rFonts w:ascii="Arial" w:eastAsia="Arial" w:hAnsi="Arial" w:cs="Arial"/>
          <w:sz w:val="23"/>
          <w:szCs w:val="23"/>
        </w:rPr>
      </w:pPr>
    </w:p>
    <w:p w14:paraId="59E5F629" w14:textId="656D7CC5" w:rsidR="00084F6F" w:rsidRPr="005304F1" w:rsidRDefault="000749DA" w:rsidP="00E00163">
      <w:pPr>
        <w:tabs>
          <w:tab w:val="left" w:pos="6540"/>
        </w:tabs>
        <w:spacing w:line="360" w:lineRule="auto"/>
        <w:jc w:val="center"/>
        <w:rPr>
          <w:rFonts w:ascii="Arial" w:eastAsia="Arial" w:hAnsi="Arial" w:cs="Arial"/>
          <w:b/>
          <w:bCs/>
          <w:sz w:val="23"/>
          <w:szCs w:val="23"/>
        </w:rPr>
      </w:pPr>
      <w:r w:rsidRPr="005304F1">
        <w:rPr>
          <w:rFonts w:ascii="Arial" w:eastAsia="Arial" w:hAnsi="Arial" w:cs="Arial"/>
          <w:b/>
          <w:bCs/>
          <w:sz w:val="23"/>
          <w:szCs w:val="23"/>
        </w:rPr>
        <w:t>Submi</w:t>
      </w:r>
      <w:r w:rsidR="00AD1FDD" w:rsidRPr="005304F1">
        <w:rPr>
          <w:rFonts w:ascii="Arial" w:eastAsia="Arial" w:hAnsi="Arial" w:cs="Arial"/>
          <w:b/>
          <w:bCs/>
          <w:sz w:val="23"/>
          <w:szCs w:val="23"/>
        </w:rPr>
        <w:t>ssion Date: 14</w:t>
      </w:r>
      <w:r w:rsidR="00AD1FDD" w:rsidRPr="005304F1">
        <w:rPr>
          <w:rFonts w:ascii="Arial" w:eastAsia="Arial" w:hAnsi="Arial" w:cs="Arial"/>
          <w:b/>
          <w:bCs/>
          <w:sz w:val="23"/>
          <w:szCs w:val="23"/>
          <w:vertAlign w:val="superscript"/>
        </w:rPr>
        <w:t>th</w:t>
      </w:r>
      <w:r w:rsidR="00AD1FDD" w:rsidRPr="005304F1">
        <w:rPr>
          <w:rFonts w:ascii="Arial" w:eastAsia="Arial" w:hAnsi="Arial" w:cs="Arial"/>
          <w:b/>
          <w:bCs/>
          <w:sz w:val="23"/>
          <w:szCs w:val="23"/>
        </w:rPr>
        <w:t xml:space="preserve"> August 2026</w:t>
      </w:r>
    </w:p>
    <w:p w14:paraId="34587A8B" w14:textId="4C8439C2" w:rsidR="00187AB5" w:rsidRDefault="00187AB5" w:rsidP="00E00163">
      <w:pPr>
        <w:tabs>
          <w:tab w:val="left" w:pos="6540"/>
        </w:tabs>
        <w:spacing w:line="360" w:lineRule="auto"/>
        <w:jc w:val="center"/>
        <w:rPr>
          <w:rFonts w:ascii="Arial" w:eastAsia="Arial" w:hAnsi="Arial" w:cs="Arial"/>
          <w:b/>
          <w:bCs/>
          <w:sz w:val="23"/>
          <w:szCs w:val="23"/>
        </w:rPr>
      </w:pPr>
    </w:p>
    <w:p w14:paraId="161D3CA6" w14:textId="77777777" w:rsidR="005304F1" w:rsidRPr="005304F1" w:rsidRDefault="005304F1" w:rsidP="00E00163">
      <w:pPr>
        <w:tabs>
          <w:tab w:val="left" w:pos="6540"/>
        </w:tabs>
        <w:spacing w:line="360" w:lineRule="auto"/>
        <w:jc w:val="center"/>
        <w:rPr>
          <w:rFonts w:ascii="Arial" w:eastAsia="Arial" w:hAnsi="Arial" w:cs="Arial"/>
          <w:b/>
          <w:bCs/>
          <w:sz w:val="23"/>
          <w:szCs w:val="23"/>
        </w:rPr>
      </w:pPr>
    </w:p>
    <w:p w14:paraId="662177DB" w14:textId="77777777" w:rsidR="00084F6F" w:rsidRPr="005304F1" w:rsidRDefault="00000000" w:rsidP="007277B3">
      <w:pPr>
        <w:pStyle w:val="Heading1"/>
        <w:jc w:val="center"/>
        <w:rPr>
          <w:color w:val="auto"/>
          <w:sz w:val="23"/>
          <w:szCs w:val="23"/>
        </w:rPr>
      </w:pPr>
      <w:r w:rsidRPr="005304F1">
        <w:rPr>
          <w:color w:val="auto"/>
          <w:sz w:val="23"/>
          <w:szCs w:val="23"/>
        </w:rPr>
        <w:lastRenderedPageBreak/>
        <w:t>Table of contents</w:t>
      </w:r>
    </w:p>
    <w:p w14:paraId="2CFFFB27" w14:textId="62A84F90" w:rsidR="00084F6F" w:rsidRPr="005304F1" w:rsidRDefault="00084F6F">
      <w:pPr>
        <w:spacing w:before="240" w:after="240" w:line="360" w:lineRule="auto"/>
        <w:rPr>
          <w:rFonts w:ascii="Arial" w:eastAsia="Arial" w:hAnsi="Arial" w:cs="Arial"/>
          <w:b/>
          <w:bCs/>
          <w:sz w:val="23"/>
          <w:szCs w:val="23"/>
        </w:rPr>
      </w:pPr>
    </w:p>
    <w:p w14:paraId="7352E4E7" w14:textId="308BC8DF" w:rsidR="00084F6F" w:rsidRPr="005304F1" w:rsidRDefault="00000000">
      <w:pPr>
        <w:spacing w:before="240" w:after="240" w:line="360" w:lineRule="auto"/>
        <w:rPr>
          <w:rFonts w:ascii="Arial" w:eastAsia="Arial" w:hAnsi="Arial" w:cs="Arial"/>
          <w:b/>
          <w:bCs/>
          <w:sz w:val="23"/>
          <w:szCs w:val="23"/>
        </w:rPr>
      </w:pPr>
      <w:r w:rsidRPr="005304F1">
        <w:rPr>
          <w:rFonts w:ascii="Arial" w:eastAsia="Arial" w:hAnsi="Arial" w:cs="Arial"/>
          <w:b/>
          <w:bCs/>
          <w:sz w:val="23"/>
          <w:szCs w:val="23"/>
        </w:rPr>
        <w:t>Abstract ........................................................................</w:t>
      </w:r>
      <w:r w:rsidR="00187AB5" w:rsidRPr="005304F1">
        <w:rPr>
          <w:rFonts w:ascii="Arial" w:eastAsia="Arial" w:hAnsi="Arial" w:cs="Arial"/>
          <w:b/>
          <w:bCs/>
          <w:sz w:val="23"/>
          <w:szCs w:val="23"/>
        </w:rPr>
        <w:t>.</w:t>
      </w:r>
      <w:r w:rsidRPr="005304F1">
        <w:rPr>
          <w:rFonts w:ascii="Arial" w:eastAsia="Arial" w:hAnsi="Arial" w:cs="Arial"/>
          <w:b/>
          <w:bCs/>
          <w:sz w:val="23"/>
          <w:szCs w:val="23"/>
        </w:rPr>
        <w:t>......</w:t>
      </w:r>
      <w:r w:rsidR="00606BBC">
        <w:rPr>
          <w:rFonts w:ascii="Arial" w:eastAsia="Arial" w:hAnsi="Arial" w:cs="Arial"/>
          <w:b/>
          <w:bCs/>
          <w:sz w:val="23"/>
          <w:szCs w:val="23"/>
        </w:rPr>
        <w:t>......................</w:t>
      </w:r>
      <w:r w:rsidR="00990563">
        <w:rPr>
          <w:rFonts w:ascii="Arial" w:eastAsia="Arial" w:hAnsi="Arial" w:cs="Arial"/>
          <w:b/>
          <w:bCs/>
          <w:sz w:val="23"/>
          <w:szCs w:val="23"/>
        </w:rPr>
        <w:t>.</w:t>
      </w:r>
      <w:r w:rsidR="00B503B2">
        <w:rPr>
          <w:rFonts w:ascii="Arial" w:eastAsia="Arial" w:hAnsi="Arial" w:cs="Arial"/>
          <w:b/>
          <w:bCs/>
          <w:sz w:val="23"/>
          <w:szCs w:val="23"/>
        </w:rPr>
        <w:t>.</w:t>
      </w:r>
      <w:r w:rsidR="00741EF6">
        <w:rPr>
          <w:rFonts w:ascii="Arial" w:eastAsia="Arial" w:hAnsi="Arial" w:cs="Arial"/>
          <w:b/>
          <w:bCs/>
          <w:sz w:val="23"/>
          <w:szCs w:val="23"/>
        </w:rPr>
        <w:t>4</w:t>
      </w:r>
    </w:p>
    <w:p w14:paraId="62D133E8" w14:textId="124697E4" w:rsidR="00084F6F" w:rsidRPr="005304F1" w:rsidRDefault="00000000">
      <w:pPr>
        <w:pStyle w:val="Heading3"/>
        <w:spacing w:before="280" w:after="80" w:line="360" w:lineRule="auto"/>
        <w:rPr>
          <w:sz w:val="23"/>
          <w:szCs w:val="23"/>
        </w:rPr>
      </w:pPr>
      <w:bookmarkStart w:id="0" w:name="_heading=h.ishnhnbjdole" w:colFirst="0" w:colLast="0"/>
      <w:bookmarkEnd w:id="0"/>
      <w:r w:rsidRPr="005304F1">
        <w:rPr>
          <w:sz w:val="23"/>
          <w:szCs w:val="23"/>
        </w:rPr>
        <w:t>1. Introduction .....................................................................</w:t>
      </w:r>
      <w:r w:rsidR="00606BBC">
        <w:rPr>
          <w:sz w:val="23"/>
          <w:szCs w:val="23"/>
        </w:rPr>
        <w:t>......................</w:t>
      </w:r>
      <w:r w:rsidRPr="005304F1">
        <w:rPr>
          <w:sz w:val="23"/>
          <w:szCs w:val="23"/>
        </w:rPr>
        <w:t xml:space="preserve"> </w:t>
      </w:r>
      <w:bookmarkStart w:id="1" w:name="_heading=h.314x2deh45bz" w:colFirst="0" w:colLast="0"/>
      <w:bookmarkEnd w:id="1"/>
      <w:r w:rsidR="00741EF6">
        <w:rPr>
          <w:sz w:val="23"/>
          <w:szCs w:val="23"/>
        </w:rPr>
        <w:t>5</w:t>
      </w:r>
      <w:r w:rsidRPr="005304F1">
        <w:rPr>
          <w:sz w:val="23"/>
          <w:szCs w:val="23"/>
        </w:rPr>
        <w:br/>
      </w:r>
      <w:r w:rsidR="00896CB6" w:rsidRPr="005304F1">
        <w:rPr>
          <w:b w:val="0"/>
          <w:bCs w:val="0"/>
          <w:sz w:val="23"/>
          <w:szCs w:val="23"/>
        </w:rPr>
        <w:t>1.1 Research</w:t>
      </w:r>
      <w:r w:rsidRPr="005304F1">
        <w:rPr>
          <w:b w:val="0"/>
          <w:bCs w:val="0"/>
          <w:sz w:val="23"/>
          <w:szCs w:val="23"/>
        </w:rPr>
        <w:t xml:space="preserve"> Aim</w:t>
      </w:r>
      <w:r w:rsidR="00AD1FDD" w:rsidRPr="005304F1">
        <w:rPr>
          <w:b w:val="0"/>
          <w:bCs w:val="0"/>
          <w:sz w:val="23"/>
          <w:szCs w:val="23"/>
        </w:rPr>
        <w:t>……</w:t>
      </w:r>
      <w:r w:rsidR="00FE156B" w:rsidRPr="005304F1">
        <w:rPr>
          <w:b w:val="0"/>
          <w:bCs w:val="0"/>
          <w:sz w:val="23"/>
          <w:szCs w:val="23"/>
        </w:rPr>
        <w:t>…………………………………………...</w:t>
      </w:r>
      <w:r w:rsidR="00606BBC">
        <w:rPr>
          <w:b w:val="0"/>
          <w:bCs w:val="0"/>
          <w:sz w:val="23"/>
          <w:szCs w:val="23"/>
        </w:rPr>
        <w:t>.....................</w:t>
      </w:r>
      <w:r w:rsidR="00741EF6">
        <w:rPr>
          <w:b w:val="0"/>
          <w:bCs w:val="0"/>
          <w:sz w:val="23"/>
          <w:szCs w:val="23"/>
        </w:rPr>
        <w:t>.6</w:t>
      </w:r>
      <w:r w:rsidRPr="005304F1">
        <w:rPr>
          <w:b w:val="0"/>
          <w:bCs w:val="0"/>
          <w:sz w:val="23"/>
          <w:szCs w:val="23"/>
        </w:rPr>
        <w:br/>
        <w:t>1.2 Research Question</w:t>
      </w:r>
      <w:r w:rsidR="00FE156B" w:rsidRPr="005304F1">
        <w:rPr>
          <w:b w:val="0"/>
          <w:bCs w:val="0"/>
          <w:sz w:val="23"/>
          <w:szCs w:val="23"/>
        </w:rPr>
        <w:t>……………………………………….…</w:t>
      </w:r>
      <w:r w:rsidR="00606BBC">
        <w:rPr>
          <w:b w:val="0"/>
          <w:bCs w:val="0"/>
          <w:sz w:val="23"/>
          <w:szCs w:val="23"/>
        </w:rPr>
        <w:t>……………</w:t>
      </w:r>
      <w:proofErr w:type="gramStart"/>
      <w:r w:rsidR="00606BBC">
        <w:rPr>
          <w:b w:val="0"/>
          <w:bCs w:val="0"/>
          <w:sz w:val="23"/>
          <w:szCs w:val="23"/>
        </w:rPr>
        <w:t>…..</w:t>
      </w:r>
      <w:proofErr w:type="gramEnd"/>
      <w:r w:rsidR="00741EF6">
        <w:rPr>
          <w:b w:val="0"/>
          <w:bCs w:val="0"/>
          <w:sz w:val="23"/>
          <w:szCs w:val="23"/>
        </w:rPr>
        <w:t>6</w:t>
      </w:r>
      <w:r w:rsidRPr="005304F1">
        <w:rPr>
          <w:b w:val="0"/>
          <w:bCs w:val="0"/>
          <w:sz w:val="23"/>
          <w:szCs w:val="23"/>
        </w:rPr>
        <w:br/>
        <w:t>1.3 Research Objectives</w:t>
      </w:r>
      <w:r w:rsidR="00FE156B" w:rsidRPr="005304F1">
        <w:rPr>
          <w:b w:val="0"/>
          <w:bCs w:val="0"/>
          <w:sz w:val="23"/>
          <w:szCs w:val="23"/>
        </w:rPr>
        <w:t>…………………………………………</w:t>
      </w:r>
      <w:r w:rsidR="00606BBC">
        <w:rPr>
          <w:b w:val="0"/>
          <w:bCs w:val="0"/>
          <w:sz w:val="23"/>
          <w:szCs w:val="23"/>
        </w:rPr>
        <w:t>……………</w:t>
      </w:r>
      <w:r w:rsidR="00B503B2">
        <w:rPr>
          <w:b w:val="0"/>
          <w:bCs w:val="0"/>
          <w:sz w:val="23"/>
          <w:szCs w:val="23"/>
        </w:rPr>
        <w:t>…</w:t>
      </w:r>
      <w:r w:rsidR="00741EF6">
        <w:rPr>
          <w:b w:val="0"/>
          <w:bCs w:val="0"/>
          <w:sz w:val="23"/>
          <w:szCs w:val="23"/>
        </w:rPr>
        <w:t>6</w:t>
      </w:r>
    </w:p>
    <w:p w14:paraId="0EC13AED" w14:textId="2990BC12" w:rsidR="00084F6F" w:rsidRPr="005304F1" w:rsidRDefault="00000000">
      <w:pPr>
        <w:pStyle w:val="Heading3"/>
        <w:spacing w:before="280" w:after="80" w:line="360" w:lineRule="auto"/>
        <w:rPr>
          <w:sz w:val="23"/>
          <w:szCs w:val="23"/>
        </w:rPr>
      </w:pPr>
      <w:bookmarkStart w:id="2" w:name="_heading=h.g2tpksovkbln" w:colFirst="0" w:colLast="0"/>
      <w:bookmarkEnd w:id="2"/>
      <w:r w:rsidRPr="005304F1">
        <w:rPr>
          <w:sz w:val="23"/>
          <w:szCs w:val="23"/>
        </w:rPr>
        <w:t>2. Background ......................................................................</w:t>
      </w:r>
      <w:r w:rsidR="00990563">
        <w:rPr>
          <w:sz w:val="23"/>
          <w:szCs w:val="23"/>
        </w:rPr>
        <w:t>.....................</w:t>
      </w:r>
      <w:r w:rsidR="00B503B2">
        <w:rPr>
          <w:sz w:val="23"/>
          <w:szCs w:val="23"/>
        </w:rPr>
        <w:t>.6</w:t>
      </w:r>
    </w:p>
    <w:p w14:paraId="25FE624D" w14:textId="045047E7"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2.1 Teenager</w:t>
      </w:r>
      <w:r w:rsidR="005C6BEE">
        <w:rPr>
          <w:rFonts w:ascii="Arial" w:eastAsia="Arial" w:hAnsi="Arial" w:cs="Arial"/>
          <w:sz w:val="23"/>
          <w:szCs w:val="23"/>
        </w:rPr>
        <w:t>s</w:t>
      </w:r>
      <w:r w:rsidRPr="005304F1">
        <w:rPr>
          <w:rFonts w:ascii="Arial" w:eastAsia="Arial" w:hAnsi="Arial" w:cs="Arial"/>
          <w:sz w:val="23"/>
          <w:szCs w:val="23"/>
        </w:rPr>
        <w:t xml:space="preserve"> and Mental Health</w:t>
      </w:r>
      <w:r w:rsidR="00FE156B" w:rsidRPr="005304F1">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6</w:t>
      </w:r>
    </w:p>
    <w:p w14:paraId="2B0DF366" w14:textId="4ED460A6"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2.2 Waiting time and Access</w:t>
      </w:r>
      <w:r w:rsidR="00FE156B" w:rsidRPr="005304F1">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7</w:t>
      </w:r>
      <w:r w:rsidRPr="005304F1">
        <w:rPr>
          <w:rFonts w:ascii="Arial" w:eastAsia="Arial" w:hAnsi="Arial" w:cs="Arial"/>
          <w:sz w:val="23"/>
          <w:szCs w:val="23"/>
        </w:rPr>
        <w:br/>
        <w:t>2.</w:t>
      </w:r>
      <w:r w:rsidR="008372D6" w:rsidRPr="005304F1">
        <w:rPr>
          <w:rFonts w:ascii="Arial" w:eastAsia="Arial" w:hAnsi="Arial" w:cs="Arial"/>
          <w:sz w:val="23"/>
          <w:szCs w:val="23"/>
        </w:rPr>
        <w:t>3</w:t>
      </w:r>
      <w:r w:rsidRPr="005304F1">
        <w:rPr>
          <w:rFonts w:ascii="Arial" w:eastAsia="Arial" w:hAnsi="Arial" w:cs="Arial"/>
          <w:sz w:val="23"/>
          <w:szCs w:val="23"/>
        </w:rPr>
        <w:t xml:space="preserve"> Policies and Legislation Context</w:t>
      </w:r>
      <w:r w:rsidR="00FE156B" w:rsidRPr="005304F1">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8</w:t>
      </w:r>
    </w:p>
    <w:p w14:paraId="513F5836" w14:textId="4187CF43" w:rsidR="00084F6F" w:rsidRPr="005304F1" w:rsidRDefault="00000000">
      <w:pPr>
        <w:pStyle w:val="Heading3"/>
        <w:spacing w:before="280" w:after="80" w:line="360" w:lineRule="auto"/>
        <w:rPr>
          <w:sz w:val="23"/>
          <w:szCs w:val="23"/>
        </w:rPr>
      </w:pPr>
      <w:bookmarkStart w:id="3" w:name="_heading=h.swy2sq1bkekk" w:colFirst="0" w:colLast="0"/>
      <w:bookmarkEnd w:id="3"/>
      <w:r w:rsidRPr="005304F1">
        <w:rPr>
          <w:sz w:val="23"/>
          <w:szCs w:val="23"/>
        </w:rPr>
        <w:t>3. Methods ...........................................................................</w:t>
      </w:r>
      <w:r w:rsidR="00990563">
        <w:rPr>
          <w:sz w:val="23"/>
          <w:szCs w:val="23"/>
        </w:rPr>
        <w:t>.....................</w:t>
      </w:r>
      <w:r w:rsidR="00B503B2">
        <w:rPr>
          <w:sz w:val="23"/>
          <w:szCs w:val="23"/>
        </w:rPr>
        <w:t>.8</w:t>
      </w:r>
    </w:p>
    <w:p w14:paraId="0627E663" w14:textId="2193BECC"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3.1 Scoping Review Design</w:t>
      </w:r>
      <w:r w:rsidR="008372D6" w:rsidRPr="005304F1">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.8</w:t>
      </w:r>
      <w:r w:rsidRPr="005304F1">
        <w:rPr>
          <w:rFonts w:ascii="Arial" w:eastAsia="Arial" w:hAnsi="Arial" w:cs="Arial"/>
          <w:sz w:val="23"/>
          <w:szCs w:val="23"/>
        </w:rPr>
        <w:br/>
        <w:t>3.2 Search Strategy</w:t>
      </w:r>
      <w:r w:rsidR="008372D6" w:rsidRPr="005304F1">
        <w:rPr>
          <w:rFonts w:ascii="Arial" w:eastAsia="Arial" w:hAnsi="Arial" w:cs="Arial"/>
          <w:sz w:val="23"/>
          <w:szCs w:val="23"/>
        </w:rPr>
        <w:t>……………………………………………</w:t>
      </w:r>
      <w:r w:rsidR="00990563">
        <w:rPr>
          <w:rFonts w:ascii="Arial" w:eastAsia="Arial" w:hAnsi="Arial" w:cs="Arial"/>
          <w:sz w:val="23"/>
          <w:szCs w:val="23"/>
        </w:rPr>
        <w:t>……………</w:t>
      </w:r>
      <w:proofErr w:type="gramStart"/>
      <w:r w:rsidR="00990563">
        <w:rPr>
          <w:rFonts w:ascii="Arial" w:eastAsia="Arial" w:hAnsi="Arial" w:cs="Arial"/>
          <w:sz w:val="23"/>
          <w:szCs w:val="23"/>
        </w:rPr>
        <w:t>….</w:t>
      </w:r>
      <w:r w:rsidR="00B503B2">
        <w:rPr>
          <w:rFonts w:ascii="Arial" w:eastAsia="Arial" w:hAnsi="Arial" w:cs="Arial"/>
          <w:sz w:val="23"/>
          <w:szCs w:val="23"/>
        </w:rPr>
        <w:t>.</w:t>
      </w:r>
      <w:proofErr w:type="gramEnd"/>
      <w:r w:rsidR="00B503B2">
        <w:rPr>
          <w:rFonts w:ascii="Arial" w:eastAsia="Arial" w:hAnsi="Arial" w:cs="Arial"/>
          <w:sz w:val="23"/>
          <w:szCs w:val="23"/>
        </w:rPr>
        <w:t>8</w:t>
      </w:r>
      <w:r w:rsidRPr="005304F1">
        <w:rPr>
          <w:rFonts w:ascii="Arial" w:eastAsia="Arial" w:hAnsi="Arial" w:cs="Arial"/>
          <w:sz w:val="23"/>
          <w:szCs w:val="23"/>
        </w:rPr>
        <w:br/>
        <w:t>3.3 Inclusion Criteria</w:t>
      </w:r>
      <w:r w:rsidR="008372D6" w:rsidRPr="005304F1">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.9</w:t>
      </w:r>
    </w:p>
    <w:p w14:paraId="43BE247A" w14:textId="4B52D3F9"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3.4 Exclusion Criteria</w:t>
      </w:r>
      <w:r w:rsidR="008372D6" w:rsidRPr="005304F1">
        <w:rPr>
          <w:rFonts w:ascii="Arial" w:eastAsia="Arial" w:hAnsi="Arial" w:cs="Arial"/>
          <w:sz w:val="23"/>
          <w:szCs w:val="23"/>
        </w:rPr>
        <w:t>…………………………………………..</w:t>
      </w:r>
      <w:r w:rsidR="00606BBC">
        <w:rPr>
          <w:rFonts w:ascii="Arial" w:eastAsia="Arial" w:hAnsi="Arial" w:cs="Arial"/>
          <w:sz w:val="23"/>
          <w:szCs w:val="23"/>
        </w:rPr>
        <w:t>.</w:t>
      </w:r>
      <w:r w:rsidR="00990563">
        <w:rPr>
          <w:rFonts w:ascii="Arial" w:eastAsia="Arial" w:hAnsi="Arial" w:cs="Arial"/>
          <w:sz w:val="23"/>
          <w:szCs w:val="23"/>
        </w:rPr>
        <w:t>.....................</w:t>
      </w:r>
      <w:r w:rsidR="00B503B2">
        <w:rPr>
          <w:rFonts w:ascii="Arial" w:eastAsia="Arial" w:hAnsi="Arial" w:cs="Arial"/>
          <w:sz w:val="23"/>
          <w:szCs w:val="23"/>
        </w:rPr>
        <w:t>.9</w:t>
      </w:r>
      <w:r w:rsidRPr="005304F1">
        <w:rPr>
          <w:rFonts w:ascii="Arial" w:eastAsia="Arial" w:hAnsi="Arial" w:cs="Arial"/>
          <w:sz w:val="23"/>
          <w:szCs w:val="23"/>
        </w:rPr>
        <w:br/>
        <w:t xml:space="preserve">3.5 Study </w:t>
      </w:r>
      <w:r w:rsidR="00896CB6" w:rsidRPr="005304F1">
        <w:rPr>
          <w:rFonts w:ascii="Arial" w:eastAsia="Arial" w:hAnsi="Arial" w:cs="Arial"/>
          <w:sz w:val="23"/>
          <w:szCs w:val="23"/>
        </w:rPr>
        <w:t>Selection</w:t>
      </w:r>
      <w:r w:rsidR="008372D6" w:rsidRPr="005304F1">
        <w:rPr>
          <w:rFonts w:ascii="Arial" w:eastAsia="Arial" w:hAnsi="Arial" w:cs="Arial"/>
          <w:sz w:val="23"/>
          <w:szCs w:val="23"/>
        </w:rPr>
        <w:t>……………………………………………</w:t>
      </w:r>
      <w:r w:rsidR="00990563">
        <w:rPr>
          <w:rFonts w:ascii="Arial" w:eastAsia="Arial" w:hAnsi="Arial" w:cs="Arial"/>
          <w:sz w:val="23"/>
          <w:szCs w:val="23"/>
        </w:rPr>
        <w:t>……………….</w:t>
      </w:r>
      <w:r w:rsidR="008372D6" w:rsidRPr="005304F1">
        <w:rPr>
          <w:rFonts w:ascii="Arial" w:eastAsia="Arial" w:hAnsi="Arial" w:cs="Arial"/>
          <w:sz w:val="23"/>
          <w:szCs w:val="23"/>
        </w:rPr>
        <w:t>1</w:t>
      </w:r>
      <w:r w:rsidR="00B503B2">
        <w:rPr>
          <w:rFonts w:ascii="Arial" w:eastAsia="Arial" w:hAnsi="Arial" w:cs="Arial"/>
          <w:sz w:val="23"/>
          <w:szCs w:val="23"/>
        </w:rPr>
        <w:t>0</w:t>
      </w:r>
      <w:r w:rsidRPr="005304F1">
        <w:rPr>
          <w:rFonts w:ascii="Arial" w:eastAsia="Arial" w:hAnsi="Arial" w:cs="Arial"/>
          <w:sz w:val="23"/>
          <w:szCs w:val="23"/>
        </w:rPr>
        <w:br/>
        <w:t>3.</w:t>
      </w:r>
      <w:r w:rsidR="008848D3" w:rsidRPr="005304F1">
        <w:rPr>
          <w:rFonts w:ascii="Arial" w:eastAsia="Arial" w:hAnsi="Arial" w:cs="Arial"/>
          <w:sz w:val="23"/>
          <w:szCs w:val="23"/>
        </w:rPr>
        <w:t>6 Data Analysis………………………………………………</w:t>
      </w:r>
      <w:r w:rsidR="00990563">
        <w:rPr>
          <w:rFonts w:ascii="Arial" w:eastAsia="Arial" w:hAnsi="Arial" w:cs="Arial"/>
          <w:sz w:val="23"/>
          <w:szCs w:val="23"/>
        </w:rPr>
        <w:t>……………….</w:t>
      </w:r>
      <w:r w:rsidR="008848D3" w:rsidRPr="005304F1">
        <w:rPr>
          <w:rFonts w:ascii="Arial" w:eastAsia="Arial" w:hAnsi="Arial" w:cs="Arial"/>
          <w:sz w:val="23"/>
          <w:szCs w:val="23"/>
        </w:rPr>
        <w:t>1</w:t>
      </w:r>
      <w:r w:rsidR="00B503B2">
        <w:rPr>
          <w:rFonts w:ascii="Arial" w:eastAsia="Arial" w:hAnsi="Arial" w:cs="Arial"/>
          <w:sz w:val="23"/>
          <w:szCs w:val="23"/>
        </w:rPr>
        <w:t>0</w:t>
      </w:r>
    </w:p>
    <w:p w14:paraId="3F1125D0" w14:textId="74A926BA" w:rsidR="0020304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3.</w:t>
      </w:r>
      <w:r w:rsidR="008848D3" w:rsidRPr="005304F1">
        <w:rPr>
          <w:rFonts w:ascii="Arial" w:eastAsia="Arial" w:hAnsi="Arial" w:cs="Arial"/>
          <w:sz w:val="23"/>
          <w:szCs w:val="23"/>
        </w:rPr>
        <w:t>7 Ethical Consideration………………………………………</w:t>
      </w:r>
      <w:r w:rsidR="00990563">
        <w:rPr>
          <w:rFonts w:ascii="Arial" w:eastAsia="Arial" w:hAnsi="Arial" w:cs="Arial"/>
          <w:sz w:val="23"/>
          <w:szCs w:val="23"/>
        </w:rPr>
        <w:t>………………</w:t>
      </w:r>
      <w:r w:rsidR="008848D3" w:rsidRPr="005304F1">
        <w:rPr>
          <w:rFonts w:ascii="Arial" w:eastAsia="Arial" w:hAnsi="Arial" w:cs="Arial"/>
          <w:sz w:val="23"/>
          <w:szCs w:val="23"/>
        </w:rPr>
        <w:t>1</w:t>
      </w:r>
      <w:r w:rsidR="00B503B2">
        <w:rPr>
          <w:rFonts w:ascii="Arial" w:eastAsia="Arial" w:hAnsi="Arial" w:cs="Arial"/>
          <w:sz w:val="23"/>
          <w:szCs w:val="23"/>
        </w:rPr>
        <w:t>0</w:t>
      </w:r>
    </w:p>
    <w:p w14:paraId="07357C2B" w14:textId="485F86ED" w:rsidR="00084F6F" w:rsidRPr="005304F1" w:rsidRDefault="00000000">
      <w:pPr>
        <w:pStyle w:val="Heading3"/>
        <w:spacing w:before="280" w:after="80" w:line="360" w:lineRule="auto"/>
        <w:rPr>
          <w:sz w:val="23"/>
          <w:szCs w:val="23"/>
        </w:rPr>
      </w:pPr>
      <w:bookmarkStart w:id="4" w:name="_heading=h.ssgne6nm2s4a" w:colFirst="0" w:colLast="0"/>
      <w:bookmarkEnd w:id="4"/>
      <w:r w:rsidRPr="005304F1">
        <w:rPr>
          <w:sz w:val="23"/>
          <w:szCs w:val="23"/>
        </w:rPr>
        <w:t>4. Results ............................................................................</w:t>
      </w:r>
      <w:r w:rsidR="00990563">
        <w:rPr>
          <w:sz w:val="23"/>
          <w:szCs w:val="23"/>
        </w:rPr>
        <w:t>.....................</w:t>
      </w:r>
      <w:r w:rsidR="00B503B2">
        <w:rPr>
          <w:sz w:val="23"/>
          <w:szCs w:val="23"/>
        </w:rPr>
        <w:t>.</w:t>
      </w:r>
      <w:r w:rsidRPr="005304F1">
        <w:rPr>
          <w:sz w:val="23"/>
          <w:szCs w:val="23"/>
        </w:rPr>
        <w:t>1</w:t>
      </w:r>
      <w:r w:rsidR="00B503B2">
        <w:rPr>
          <w:sz w:val="23"/>
          <w:szCs w:val="23"/>
        </w:rPr>
        <w:t>1</w:t>
      </w:r>
    </w:p>
    <w:p w14:paraId="29E92B08" w14:textId="21C4550D" w:rsidR="00084F6F" w:rsidRPr="005304F1" w:rsidRDefault="00000000">
      <w:pPr>
        <w:pStyle w:val="Heading3"/>
        <w:spacing w:before="280" w:after="80" w:line="360" w:lineRule="auto"/>
        <w:rPr>
          <w:b w:val="0"/>
          <w:bCs w:val="0"/>
          <w:sz w:val="23"/>
          <w:szCs w:val="23"/>
        </w:rPr>
      </w:pPr>
      <w:bookmarkStart w:id="5" w:name="_heading=h.ic9j2u7lhnao" w:colFirst="0" w:colLast="0"/>
      <w:bookmarkEnd w:id="5"/>
      <w:r w:rsidRPr="005304F1">
        <w:rPr>
          <w:sz w:val="23"/>
          <w:szCs w:val="23"/>
        </w:rPr>
        <w:br/>
        <w:t>4.1 Characteristics of Evidence of Selected Studies</w:t>
      </w:r>
      <w:r w:rsidR="008848D3" w:rsidRPr="005304F1">
        <w:rPr>
          <w:sz w:val="23"/>
          <w:szCs w:val="23"/>
        </w:rPr>
        <w:t>……</w:t>
      </w:r>
      <w:r w:rsidR="00990563">
        <w:rPr>
          <w:sz w:val="23"/>
          <w:szCs w:val="23"/>
        </w:rPr>
        <w:t>………………</w:t>
      </w:r>
      <w:r w:rsidR="008848D3" w:rsidRPr="005304F1">
        <w:rPr>
          <w:sz w:val="23"/>
          <w:szCs w:val="23"/>
        </w:rPr>
        <w:t>1</w:t>
      </w:r>
      <w:r w:rsidR="00B503B2">
        <w:rPr>
          <w:sz w:val="23"/>
          <w:szCs w:val="23"/>
        </w:rPr>
        <w:t>1</w:t>
      </w:r>
      <w:r w:rsidRPr="005304F1">
        <w:rPr>
          <w:sz w:val="23"/>
          <w:szCs w:val="23"/>
        </w:rPr>
        <w:br/>
      </w:r>
      <w:r w:rsidRPr="005304F1">
        <w:rPr>
          <w:b w:val="0"/>
          <w:bCs w:val="0"/>
          <w:sz w:val="23"/>
          <w:szCs w:val="23"/>
        </w:rPr>
        <w:t>4.2 Theme 1: Deterioration in Mental Health and Wellbeing</w:t>
      </w:r>
      <w:r w:rsidR="00990563">
        <w:rPr>
          <w:b w:val="0"/>
          <w:bCs w:val="0"/>
          <w:sz w:val="23"/>
          <w:szCs w:val="23"/>
        </w:rPr>
        <w:t>………………</w:t>
      </w:r>
      <w:r w:rsidR="00B503B2">
        <w:rPr>
          <w:b w:val="0"/>
          <w:bCs w:val="0"/>
          <w:sz w:val="23"/>
          <w:szCs w:val="23"/>
        </w:rPr>
        <w:t>.</w:t>
      </w:r>
      <w:r w:rsidR="008848D3" w:rsidRPr="005304F1">
        <w:rPr>
          <w:b w:val="0"/>
          <w:bCs w:val="0"/>
          <w:sz w:val="23"/>
          <w:szCs w:val="23"/>
        </w:rPr>
        <w:t>1</w:t>
      </w:r>
      <w:r w:rsidR="00B503B2">
        <w:rPr>
          <w:b w:val="0"/>
          <w:bCs w:val="0"/>
          <w:sz w:val="23"/>
          <w:szCs w:val="23"/>
        </w:rPr>
        <w:t>2</w:t>
      </w:r>
      <w:r w:rsidRPr="005304F1">
        <w:rPr>
          <w:b w:val="0"/>
          <w:bCs w:val="0"/>
          <w:sz w:val="23"/>
          <w:szCs w:val="23"/>
        </w:rPr>
        <w:br/>
        <w:t xml:space="preserve">4.3 Theme 2:  Impact on </w:t>
      </w:r>
      <w:r w:rsidR="0020304F" w:rsidRPr="005304F1">
        <w:rPr>
          <w:b w:val="0"/>
          <w:bCs w:val="0"/>
          <w:sz w:val="23"/>
          <w:szCs w:val="23"/>
        </w:rPr>
        <w:t>Family Life</w:t>
      </w:r>
      <w:r w:rsidRPr="005304F1">
        <w:rPr>
          <w:b w:val="0"/>
          <w:bCs w:val="0"/>
          <w:sz w:val="23"/>
          <w:szCs w:val="23"/>
        </w:rPr>
        <w:t xml:space="preserve"> and Relationships</w:t>
      </w:r>
      <w:r w:rsidR="008848D3" w:rsidRPr="005304F1">
        <w:rPr>
          <w:b w:val="0"/>
          <w:bCs w:val="0"/>
          <w:sz w:val="23"/>
          <w:szCs w:val="23"/>
        </w:rPr>
        <w:t>……</w:t>
      </w:r>
      <w:r w:rsidR="00990563">
        <w:rPr>
          <w:b w:val="0"/>
          <w:bCs w:val="0"/>
          <w:sz w:val="23"/>
          <w:szCs w:val="23"/>
        </w:rPr>
        <w:t>………………</w:t>
      </w:r>
      <w:r w:rsidR="008848D3" w:rsidRPr="005304F1">
        <w:rPr>
          <w:b w:val="0"/>
          <w:bCs w:val="0"/>
          <w:sz w:val="23"/>
          <w:szCs w:val="23"/>
        </w:rPr>
        <w:t>1</w:t>
      </w:r>
      <w:r w:rsidR="00B503B2">
        <w:rPr>
          <w:b w:val="0"/>
          <w:bCs w:val="0"/>
          <w:sz w:val="23"/>
          <w:szCs w:val="23"/>
        </w:rPr>
        <w:t>3</w:t>
      </w:r>
    </w:p>
    <w:p w14:paraId="7124883A" w14:textId="11A79881" w:rsidR="00084F6F" w:rsidRPr="005304F1" w:rsidRDefault="00896CB6">
      <w:pPr>
        <w:spacing w:before="240" w:after="240" w:line="360" w:lineRule="auto"/>
        <w:rPr>
          <w:rFonts w:ascii="Arial" w:eastAsia="Arial" w:hAnsi="Arial" w:cs="Arial"/>
          <w:sz w:val="23"/>
          <w:szCs w:val="23"/>
        </w:rPr>
      </w:pPr>
      <w:r w:rsidRPr="005304F1">
        <w:rPr>
          <w:rFonts w:ascii="Arial" w:eastAsia="Arial" w:hAnsi="Arial" w:cs="Arial"/>
          <w:sz w:val="23"/>
          <w:szCs w:val="23"/>
        </w:rPr>
        <w:t>4.4 Theme 3: Education and Social Participation</w:t>
      </w:r>
      <w:r w:rsidR="008848D3" w:rsidRPr="005304F1">
        <w:rPr>
          <w:rFonts w:ascii="Arial" w:eastAsia="Arial" w:hAnsi="Arial" w:cs="Arial"/>
          <w:sz w:val="23"/>
          <w:szCs w:val="23"/>
        </w:rPr>
        <w:t>……………</w:t>
      </w:r>
      <w:r w:rsidR="00990563">
        <w:rPr>
          <w:rFonts w:ascii="Arial" w:eastAsia="Arial" w:hAnsi="Arial" w:cs="Arial"/>
          <w:sz w:val="23"/>
          <w:szCs w:val="23"/>
        </w:rPr>
        <w:t>………………</w:t>
      </w:r>
      <w:r w:rsidR="008848D3" w:rsidRPr="005304F1">
        <w:rPr>
          <w:rFonts w:ascii="Arial" w:eastAsia="Arial" w:hAnsi="Arial" w:cs="Arial"/>
          <w:sz w:val="23"/>
          <w:szCs w:val="23"/>
        </w:rPr>
        <w:t>1</w:t>
      </w:r>
      <w:r w:rsidR="00B503B2">
        <w:rPr>
          <w:rFonts w:ascii="Arial" w:eastAsia="Arial" w:hAnsi="Arial" w:cs="Arial"/>
          <w:sz w:val="23"/>
          <w:szCs w:val="23"/>
        </w:rPr>
        <w:t>3</w:t>
      </w:r>
      <w:r w:rsidRPr="005304F1">
        <w:rPr>
          <w:rFonts w:ascii="Arial" w:eastAsia="Arial" w:hAnsi="Arial" w:cs="Arial"/>
          <w:sz w:val="23"/>
          <w:szCs w:val="23"/>
        </w:rPr>
        <w:br/>
      </w:r>
      <w:r w:rsidRPr="005304F1">
        <w:rPr>
          <w:rFonts w:ascii="Arial" w:eastAsia="Arial" w:hAnsi="Arial" w:cs="Arial"/>
          <w:sz w:val="23"/>
          <w:szCs w:val="23"/>
        </w:rPr>
        <w:br/>
      </w:r>
      <w:r w:rsidRPr="005304F1">
        <w:rPr>
          <w:rFonts w:ascii="Arial" w:eastAsia="Arial" w:hAnsi="Arial" w:cs="Arial"/>
          <w:sz w:val="23"/>
          <w:szCs w:val="23"/>
        </w:rPr>
        <w:lastRenderedPageBreak/>
        <w:t>4.5 Theme 4: Inequalities in Access</w:t>
      </w:r>
      <w:r w:rsidR="00AC1474" w:rsidRPr="005304F1">
        <w:rPr>
          <w:rFonts w:ascii="Arial" w:eastAsia="Arial" w:hAnsi="Arial" w:cs="Arial"/>
          <w:sz w:val="23"/>
          <w:szCs w:val="23"/>
        </w:rPr>
        <w:t>……………………………</w:t>
      </w:r>
      <w:r w:rsidR="00990563">
        <w:rPr>
          <w:rFonts w:ascii="Arial" w:eastAsia="Arial" w:hAnsi="Arial" w:cs="Arial"/>
          <w:sz w:val="23"/>
          <w:szCs w:val="23"/>
        </w:rPr>
        <w:t>……………</w:t>
      </w:r>
      <w:r w:rsidR="00C965FF">
        <w:rPr>
          <w:rFonts w:ascii="Arial" w:eastAsia="Arial" w:hAnsi="Arial" w:cs="Arial"/>
          <w:sz w:val="23"/>
          <w:szCs w:val="23"/>
        </w:rPr>
        <w:t>...</w:t>
      </w:r>
      <w:r w:rsidR="00AC1474" w:rsidRPr="005304F1">
        <w:rPr>
          <w:rFonts w:ascii="Arial" w:eastAsia="Arial" w:hAnsi="Arial" w:cs="Arial"/>
          <w:sz w:val="23"/>
          <w:szCs w:val="23"/>
        </w:rPr>
        <w:t>1</w:t>
      </w:r>
      <w:r w:rsidR="00B503B2">
        <w:rPr>
          <w:rFonts w:ascii="Arial" w:eastAsia="Arial" w:hAnsi="Arial" w:cs="Arial"/>
          <w:sz w:val="23"/>
          <w:szCs w:val="23"/>
        </w:rPr>
        <w:t>4</w:t>
      </w:r>
      <w:r w:rsidRPr="005304F1">
        <w:rPr>
          <w:rFonts w:ascii="Arial" w:eastAsia="Arial" w:hAnsi="Arial" w:cs="Arial"/>
          <w:sz w:val="23"/>
          <w:szCs w:val="23"/>
        </w:rPr>
        <w:br/>
        <w:t>4.6 Theme 5: Interventions While Waiting</w:t>
      </w:r>
      <w:r w:rsidR="00AC1474" w:rsidRPr="005304F1">
        <w:rPr>
          <w:rFonts w:ascii="Arial" w:eastAsia="Arial" w:hAnsi="Arial" w:cs="Arial"/>
          <w:sz w:val="23"/>
          <w:szCs w:val="23"/>
        </w:rPr>
        <w:t>……………………</w:t>
      </w:r>
      <w:r w:rsidR="00990563">
        <w:rPr>
          <w:rFonts w:ascii="Arial" w:eastAsia="Arial" w:hAnsi="Arial" w:cs="Arial"/>
          <w:sz w:val="23"/>
          <w:szCs w:val="23"/>
        </w:rPr>
        <w:t>……………….</w:t>
      </w:r>
      <w:r w:rsidR="00AC1474" w:rsidRPr="005304F1">
        <w:rPr>
          <w:rFonts w:ascii="Arial" w:eastAsia="Arial" w:hAnsi="Arial" w:cs="Arial"/>
          <w:sz w:val="23"/>
          <w:szCs w:val="23"/>
        </w:rPr>
        <w:t>1</w:t>
      </w:r>
      <w:r w:rsidR="00B503B2">
        <w:rPr>
          <w:rFonts w:ascii="Arial" w:eastAsia="Arial" w:hAnsi="Arial" w:cs="Arial"/>
          <w:sz w:val="23"/>
          <w:szCs w:val="23"/>
        </w:rPr>
        <w:t>4</w:t>
      </w:r>
    </w:p>
    <w:p w14:paraId="218B0D5C" w14:textId="0ED363D7" w:rsidR="00084F6F" w:rsidRPr="005304F1" w:rsidRDefault="00000000">
      <w:pPr>
        <w:pStyle w:val="Heading3"/>
        <w:spacing w:before="280" w:after="80" w:line="360" w:lineRule="auto"/>
        <w:rPr>
          <w:sz w:val="23"/>
          <w:szCs w:val="23"/>
        </w:rPr>
      </w:pPr>
      <w:bookmarkStart w:id="6" w:name="_heading=h.k2vxhtsrdbko" w:colFirst="0" w:colLast="0"/>
      <w:bookmarkEnd w:id="6"/>
      <w:r w:rsidRPr="005304F1">
        <w:rPr>
          <w:sz w:val="23"/>
          <w:szCs w:val="23"/>
        </w:rPr>
        <w:t>5. Discussion ........................................................................</w:t>
      </w:r>
      <w:r w:rsidR="00990563">
        <w:rPr>
          <w:sz w:val="23"/>
          <w:szCs w:val="23"/>
        </w:rPr>
        <w:t>.....................</w:t>
      </w:r>
      <w:r w:rsidRPr="005304F1">
        <w:rPr>
          <w:sz w:val="23"/>
          <w:szCs w:val="23"/>
        </w:rPr>
        <w:t>1</w:t>
      </w:r>
      <w:r w:rsidR="00FC1094">
        <w:rPr>
          <w:sz w:val="23"/>
          <w:szCs w:val="23"/>
        </w:rPr>
        <w:t>5</w:t>
      </w:r>
    </w:p>
    <w:p w14:paraId="6E8C58A9" w14:textId="250C1754"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 xml:space="preserve">5.1 </w:t>
      </w:r>
      <w:r w:rsidR="00896CB6" w:rsidRPr="005304F1">
        <w:rPr>
          <w:rFonts w:ascii="Arial" w:eastAsia="Arial" w:hAnsi="Arial" w:cs="Arial"/>
          <w:sz w:val="23"/>
          <w:szCs w:val="23"/>
        </w:rPr>
        <w:t>Main Findings</w:t>
      </w:r>
      <w:r w:rsidR="00AC1474" w:rsidRPr="005304F1">
        <w:rPr>
          <w:rFonts w:ascii="Arial" w:eastAsia="Arial" w:hAnsi="Arial" w:cs="Arial"/>
          <w:sz w:val="23"/>
          <w:szCs w:val="23"/>
        </w:rPr>
        <w:t>…………………………………………………</w:t>
      </w:r>
      <w:r w:rsidR="00990563">
        <w:rPr>
          <w:rFonts w:ascii="Arial" w:eastAsia="Arial" w:hAnsi="Arial" w:cs="Arial"/>
          <w:sz w:val="23"/>
          <w:szCs w:val="23"/>
        </w:rPr>
        <w:t>……………</w:t>
      </w:r>
      <w:r w:rsidR="00FC1094">
        <w:rPr>
          <w:rFonts w:ascii="Arial" w:eastAsia="Arial" w:hAnsi="Arial" w:cs="Arial"/>
          <w:sz w:val="23"/>
          <w:szCs w:val="23"/>
        </w:rPr>
        <w:t>..</w:t>
      </w:r>
      <w:r w:rsidR="00C965FF">
        <w:rPr>
          <w:rFonts w:ascii="Arial" w:eastAsia="Arial" w:hAnsi="Arial" w:cs="Arial"/>
          <w:sz w:val="23"/>
          <w:szCs w:val="23"/>
        </w:rPr>
        <w:t>.</w:t>
      </w:r>
      <w:r w:rsidR="00AC1474" w:rsidRPr="005304F1">
        <w:rPr>
          <w:rFonts w:ascii="Arial" w:eastAsia="Arial" w:hAnsi="Arial" w:cs="Arial"/>
          <w:sz w:val="23"/>
          <w:szCs w:val="23"/>
        </w:rPr>
        <w:t>1</w:t>
      </w:r>
      <w:r w:rsidR="00FC1094">
        <w:rPr>
          <w:rFonts w:ascii="Arial" w:eastAsia="Arial" w:hAnsi="Arial" w:cs="Arial"/>
          <w:sz w:val="23"/>
          <w:szCs w:val="23"/>
        </w:rPr>
        <w:t>5</w:t>
      </w:r>
      <w:r w:rsidRPr="005304F1">
        <w:rPr>
          <w:rFonts w:ascii="Arial" w:eastAsia="Arial" w:hAnsi="Arial" w:cs="Arial"/>
          <w:sz w:val="23"/>
          <w:szCs w:val="23"/>
        </w:rPr>
        <w:br/>
        <w:t>5.2 Waiting and Deterioration</w:t>
      </w:r>
      <w:r w:rsidR="00AC1474" w:rsidRPr="005304F1">
        <w:rPr>
          <w:rFonts w:ascii="Arial" w:eastAsia="Arial" w:hAnsi="Arial" w:cs="Arial"/>
          <w:sz w:val="23"/>
          <w:szCs w:val="23"/>
        </w:rPr>
        <w:t>……………………………………</w:t>
      </w:r>
      <w:r w:rsidR="00990563">
        <w:rPr>
          <w:rFonts w:ascii="Arial" w:eastAsia="Arial" w:hAnsi="Arial" w:cs="Arial"/>
          <w:sz w:val="23"/>
          <w:szCs w:val="23"/>
        </w:rPr>
        <w:t>……………</w:t>
      </w:r>
      <w:r w:rsidR="00FC1094">
        <w:rPr>
          <w:rFonts w:ascii="Arial" w:eastAsia="Arial" w:hAnsi="Arial" w:cs="Arial"/>
          <w:sz w:val="23"/>
          <w:szCs w:val="23"/>
        </w:rPr>
        <w:t>..</w:t>
      </w:r>
      <w:r w:rsidR="00C965FF">
        <w:rPr>
          <w:rFonts w:ascii="Arial" w:eastAsia="Arial" w:hAnsi="Arial" w:cs="Arial"/>
          <w:sz w:val="23"/>
          <w:szCs w:val="23"/>
        </w:rPr>
        <w:t>.</w:t>
      </w:r>
      <w:r w:rsidR="00AC1474" w:rsidRPr="005304F1">
        <w:rPr>
          <w:rFonts w:ascii="Arial" w:eastAsia="Arial" w:hAnsi="Arial" w:cs="Arial"/>
          <w:sz w:val="23"/>
          <w:szCs w:val="23"/>
        </w:rPr>
        <w:t>1</w:t>
      </w:r>
      <w:r w:rsidR="00FC1094">
        <w:rPr>
          <w:rFonts w:ascii="Arial" w:eastAsia="Arial" w:hAnsi="Arial" w:cs="Arial"/>
          <w:sz w:val="23"/>
          <w:szCs w:val="23"/>
        </w:rPr>
        <w:t>6</w:t>
      </w:r>
      <w:r w:rsidRPr="005304F1">
        <w:rPr>
          <w:rFonts w:ascii="Arial" w:eastAsia="Arial" w:hAnsi="Arial" w:cs="Arial"/>
          <w:sz w:val="23"/>
          <w:szCs w:val="23"/>
        </w:rPr>
        <w:br/>
        <w:t>5.3 Waiting as a period of Vulnerability</w:t>
      </w:r>
      <w:r w:rsidR="00342F9B" w:rsidRPr="005304F1">
        <w:rPr>
          <w:rFonts w:ascii="Arial" w:eastAsia="Arial" w:hAnsi="Arial" w:cs="Arial"/>
          <w:sz w:val="23"/>
          <w:szCs w:val="23"/>
        </w:rPr>
        <w:t>………………………</w:t>
      </w:r>
      <w:r w:rsidR="00990563">
        <w:rPr>
          <w:rFonts w:ascii="Arial" w:eastAsia="Arial" w:hAnsi="Arial" w:cs="Arial"/>
          <w:sz w:val="23"/>
          <w:szCs w:val="23"/>
        </w:rPr>
        <w:t>………………</w:t>
      </w:r>
      <w:r w:rsidR="00FC1094">
        <w:rPr>
          <w:rFonts w:ascii="Arial" w:eastAsia="Arial" w:hAnsi="Arial" w:cs="Arial"/>
          <w:sz w:val="23"/>
          <w:szCs w:val="23"/>
        </w:rPr>
        <w:t>..</w:t>
      </w:r>
      <w:r w:rsidR="00C965FF">
        <w:rPr>
          <w:rFonts w:ascii="Arial" w:eastAsia="Arial" w:hAnsi="Arial" w:cs="Arial"/>
          <w:sz w:val="23"/>
          <w:szCs w:val="23"/>
        </w:rPr>
        <w:t>.</w:t>
      </w:r>
      <w:r w:rsidR="00342F9B" w:rsidRPr="005304F1">
        <w:rPr>
          <w:rFonts w:ascii="Arial" w:eastAsia="Arial" w:hAnsi="Arial" w:cs="Arial"/>
          <w:sz w:val="23"/>
          <w:szCs w:val="23"/>
        </w:rPr>
        <w:t>1</w:t>
      </w:r>
      <w:r w:rsidR="00FC1094">
        <w:rPr>
          <w:rFonts w:ascii="Arial" w:eastAsia="Arial" w:hAnsi="Arial" w:cs="Arial"/>
          <w:sz w:val="23"/>
          <w:szCs w:val="23"/>
        </w:rPr>
        <w:t>6</w:t>
      </w:r>
      <w:r w:rsidRPr="005304F1">
        <w:rPr>
          <w:rFonts w:ascii="Arial" w:eastAsia="Arial" w:hAnsi="Arial" w:cs="Arial"/>
          <w:sz w:val="23"/>
          <w:szCs w:val="23"/>
        </w:rPr>
        <w:br/>
        <w:t>5.4 Family Impact</w:t>
      </w:r>
      <w:r w:rsidR="00342F9B" w:rsidRPr="005304F1">
        <w:rPr>
          <w:rFonts w:ascii="Arial" w:eastAsia="Arial" w:hAnsi="Arial" w:cs="Arial"/>
          <w:sz w:val="23"/>
          <w:szCs w:val="23"/>
        </w:rPr>
        <w:t>…………………………………………………</w:t>
      </w:r>
      <w:r w:rsidR="000F3BB1">
        <w:rPr>
          <w:rFonts w:ascii="Arial" w:eastAsia="Arial" w:hAnsi="Arial" w:cs="Arial"/>
          <w:sz w:val="23"/>
          <w:szCs w:val="23"/>
        </w:rPr>
        <w:t>………………</w:t>
      </w:r>
      <w:r w:rsidR="00342F9B" w:rsidRPr="005304F1">
        <w:rPr>
          <w:rFonts w:ascii="Arial" w:eastAsia="Arial" w:hAnsi="Arial" w:cs="Arial"/>
          <w:sz w:val="23"/>
          <w:szCs w:val="23"/>
        </w:rPr>
        <w:t>1</w:t>
      </w:r>
      <w:r w:rsidR="00FC1094">
        <w:rPr>
          <w:rFonts w:ascii="Arial" w:eastAsia="Arial" w:hAnsi="Arial" w:cs="Arial"/>
          <w:sz w:val="23"/>
          <w:szCs w:val="23"/>
        </w:rPr>
        <w:t>7</w:t>
      </w:r>
    </w:p>
    <w:p w14:paraId="19324E39" w14:textId="36AC496C"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5.5 Education and Social Participation</w:t>
      </w:r>
      <w:r w:rsidR="00342F9B" w:rsidRPr="005304F1">
        <w:rPr>
          <w:rFonts w:ascii="Arial" w:eastAsia="Arial" w:hAnsi="Arial" w:cs="Arial"/>
          <w:sz w:val="23"/>
          <w:szCs w:val="23"/>
        </w:rPr>
        <w:t>…………………………</w:t>
      </w:r>
      <w:r w:rsidR="000F3BB1">
        <w:rPr>
          <w:rFonts w:ascii="Arial" w:eastAsia="Arial" w:hAnsi="Arial" w:cs="Arial"/>
          <w:sz w:val="23"/>
          <w:szCs w:val="23"/>
        </w:rPr>
        <w:t>………………</w:t>
      </w:r>
      <w:r w:rsidR="00FC1094">
        <w:rPr>
          <w:rFonts w:ascii="Arial" w:eastAsia="Arial" w:hAnsi="Arial" w:cs="Arial"/>
          <w:sz w:val="23"/>
          <w:szCs w:val="23"/>
        </w:rPr>
        <w:t>17</w:t>
      </w:r>
    </w:p>
    <w:p w14:paraId="39EF99E1" w14:textId="3373BFFE"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5.6 Inequalities</w:t>
      </w:r>
      <w:r w:rsidR="00342F9B" w:rsidRPr="005304F1">
        <w:rPr>
          <w:rFonts w:ascii="Arial" w:eastAsia="Arial" w:hAnsi="Arial" w:cs="Arial"/>
          <w:sz w:val="23"/>
          <w:szCs w:val="23"/>
        </w:rPr>
        <w:t>……………………………………………………</w:t>
      </w:r>
      <w:r w:rsidR="000F3BB1">
        <w:rPr>
          <w:rFonts w:ascii="Arial" w:eastAsia="Arial" w:hAnsi="Arial" w:cs="Arial"/>
          <w:sz w:val="23"/>
          <w:szCs w:val="23"/>
        </w:rPr>
        <w:t>………………</w:t>
      </w:r>
      <w:r w:rsidR="00FC1094">
        <w:rPr>
          <w:rFonts w:ascii="Arial" w:eastAsia="Arial" w:hAnsi="Arial" w:cs="Arial"/>
          <w:sz w:val="23"/>
          <w:szCs w:val="23"/>
        </w:rPr>
        <w:t>18</w:t>
      </w:r>
    </w:p>
    <w:p w14:paraId="37EF16EB" w14:textId="3A9B2DA8"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sz w:val="23"/>
          <w:szCs w:val="23"/>
        </w:rPr>
        <w:t>5.7 Interim Support</w:t>
      </w:r>
      <w:r w:rsidR="00342F9B" w:rsidRPr="005304F1">
        <w:rPr>
          <w:rFonts w:ascii="Arial" w:eastAsia="Arial" w:hAnsi="Arial" w:cs="Arial"/>
          <w:sz w:val="23"/>
          <w:szCs w:val="23"/>
        </w:rPr>
        <w:t>………………………………………………</w:t>
      </w:r>
      <w:r w:rsidR="000F3BB1">
        <w:rPr>
          <w:rFonts w:ascii="Arial" w:eastAsia="Arial" w:hAnsi="Arial" w:cs="Arial"/>
          <w:sz w:val="23"/>
          <w:szCs w:val="23"/>
        </w:rPr>
        <w:t>……………</w:t>
      </w:r>
      <w:proofErr w:type="gramStart"/>
      <w:r w:rsidR="000F3BB1">
        <w:rPr>
          <w:rFonts w:ascii="Arial" w:eastAsia="Arial" w:hAnsi="Arial" w:cs="Arial"/>
          <w:sz w:val="23"/>
          <w:szCs w:val="23"/>
        </w:rPr>
        <w:t>….</w:t>
      </w:r>
      <w:r w:rsidR="00342F9B" w:rsidRPr="005304F1">
        <w:rPr>
          <w:rFonts w:ascii="Arial" w:eastAsia="Arial" w:hAnsi="Arial" w:cs="Arial"/>
          <w:sz w:val="23"/>
          <w:szCs w:val="23"/>
        </w:rPr>
        <w:t>.</w:t>
      </w:r>
      <w:proofErr w:type="gramEnd"/>
      <w:r w:rsidR="00FC1094">
        <w:rPr>
          <w:rFonts w:ascii="Arial" w:eastAsia="Arial" w:hAnsi="Arial" w:cs="Arial"/>
          <w:sz w:val="23"/>
          <w:szCs w:val="23"/>
        </w:rPr>
        <w:t>19</w:t>
      </w:r>
    </w:p>
    <w:p w14:paraId="7504A7ED" w14:textId="5F774345" w:rsidR="00084F6F" w:rsidRPr="005304F1" w:rsidRDefault="00000000">
      <w:pPr>
        <w:pStyle w:val="Heading3"/>
        <w:spacing w:before="280" w:after="80" w:line="360" w:lineRule="auto"/>
        <w:rPr>
          <w:rFonts w:eastAsia="Times New Roman"/>
          <w:sz w:val="23"/>
          <w:szCs w:val="23"/>
        </w:rPr>
      </w:pPr>
      <w:bookmarkStart w:id="7" w:name="_heading=h.tjimqkvq2uz7" w:colFirst="0" w:colLast="0"/>
      <w:bookmarkEnd w:id="7"/>
      <w:r w:rsidRPr="005304F1">
        <w:rPr>
          <w:rFonts w:eastAsia="Times New Roman"/>
          <w:sz w:val="23"/>
          <w:szCs w:val="23"/>
        </w:rPr>
        <w:t>6. Importance for Health and Social Care</w:t>
      </w:r>
      <w:r w:rsidR="00342F9B" w:rsidRPr="005304F1">
        <w:rPr>
          <w:rFonts w:eastAsia="Times New Roman"/>
          <w:sz w:val="23"/>
          <w:szCs w:val="23"/>
        </w:rPr>
        <w:t>…………………</w:t>
      </w:r>
      <w:r w:rsidR="000F3BB1">
        <w:rPr>
          <w:rFonts w:eastAsia="Times New Roman"/>
          <w:sz w:val="23"/>
          <w:szCs w:val="23"/>
        </w:rPr>
        <w:t>………………</w:t>
      </w:r>
      <w:bookmarkStart w:id="8" w:name="_heading=h.dmt7chln94tl" w:colFirst="0" w:colLast="0"/>
      <w:bookmarkEnd w:id="8"/>
      <w:r w:rsidR="00C965FF">
        <w:rPr>
          <w:rFonts w:eastAsia="Times New Roman"/>
          <w:sz w:val="23"/>
          <w:szCs w:val="23"/>
        </w:rPr>
        <w:t>…</w:t>
      </w:r>
      <w:r w:rsidR="00FC1094">
        <w:rPr>
          <w:rFonts w:eastAsia="Times New Roman"/>
          <w:sz w:val="23"/>
          <w:szCs w:val="23"/>
        </w:rPr>
        <w:t>19</w:t>
      </w:r>
    </w:p>
    <w:p w14:paraId="4EAB221D" w14:textId="21876A57" w:rsidR="00084F6F" w:rsidRPr="005304F1" w:rsidRDefault="00000000">
      <w:pPr>
        <w:pStyle w:val="Heading3"/>
        <w:spacing w:before="280" w:after="80" w:line="360" w:lineRule="auto"/>
        <w:rPr>
          <w:rFonts w:eastAsia="Times New Roman"/>
          <w:sz w:val="23"/>
          <w:szCs w:val="23"/>
        </w:rPr>
      </w:pPr>
      <w:bookmarkStart w:id="9" w:name="_heading=h.syeaguq9r5k3" w:colFirst="0" w:colLast="0"/>
      <w:bookmarkEnd w:id="9"/>
      <w:r w:rsidRPr="005304F1">
        <w:rPr>
          <w:rFonts w:eastAsia="Times New Roman"/>
          <w:sz w:val="23"/>
          <w:szCs w:val="23"/>
        </w:rPr>
        <w:t>7. Limitations of the Review..............................</w:t>
      </w:r>
      <w:r w:rsidR="005304F1" w:rsidRPr="005304F1">
        <w:rPr>
          <w:rFonts w:eastAsia="Times New Roman"/>
          <w:sz w:val="23"/>
          <w:szCs w:val="23"/>
        </w:rPr>
        <w:t>...................</w:t>
      </w:r>
      <w:r w:rsidR="000F3BB1">
        <w:rPr>
          <w:rFonts w:eastAsia="Times New Roman"/>
          <w:sz w:val="23"/>
          <w:szCs w:val="23"/>
        </w:rPr>
        <w:t>.......................</w:t>
      </w:r>
      <w:r w:rsidRPr="005304F1">
        <w:rPr>
          <w:rFonts w:eastAsia="Times New Roman"/>
          <w:sz w:val="23"/>
          <w:szCs w:val="23"/>
        </w:rPr>
        <w:t>2</w:t>
      </w:r>
      <w:r w:rsidR="00FC1094">
        <w:rPr>
          <w:rFonts w:eastAsia="Times New Roman"/>
          <w:sz w:val="23"/>
          <w:szCs w:val="23"/>
        </w:rPr>
        <w:t>0</w:t>
      </w:r>
    </w:p>
    <w:p w14:paraId="1648857C" w14:textId="280BDA4D" w:rsidR="00084F6F" w:rsidRPr="005304F1" w:rsidRDefault="00000000">
      <w:pPr>
        <w:spacing w:before="240" w:after="240" w:line="360" w:lineRule="auto"/>
        <w:rPr>
          <w:rFonts w:ascii="Arial" w:hAnsi="Arial" w:cs="Arial"/>
          <w:sz w:val="23"/>
          <w:szCs w:val="23"/>
        </w:rPr>
      </w:pPr>
      <w:r w:rsidRPr="005304F1">
        <w:rPr>
          <w:rFonts w:ascii="Arial" w:hAnsi="Arial" w:cs="Arial"/>
          <w:sz w:val="23"/>
          <w:szCs w:val="23"/>
        </w:rPr>
        <w:t>8</w:t>
      </w:r>
      <w:r w:rsidRPr="005304F1">
        <w:rPr>
          <w:rFonts w:ascii="Arial" w:hAnsi="Arial" w:cs="Arial"/>
          <w:b/>
          <w:bCs/>
          <w:sz w:val="23"/>
          <w:szCs w:val="23"/>
        </w:rPr>
        <w:t>.  Conclusion</w:t>
      </w:r>
      <w:r w:rsidR="000F3BB1">
        <w:rPr>
          <w:rFonts w:ascii="Arial" w:hAnsi="Arial" w:cs="Arial"/>
          <w:b/>
          <w:bCs/>
          <w:sz w:val="23"/>
          <w:szCs w:val="23"/>
        </w:rPr>
        <w:t>…………………………………………………………………….2</w:t>
      </w:r>
      <w:r w:rsidR="00FC1094">
        <w:rPr>
          <w:rFonts w:ascii="Arial" w:hAnsi="Arial" w:cs="Arial"/>
          <w:b/>
          <w:bCs/>
          <w:sz w:val="23"/>
          <w:szCs w:val="23"/>
        </w:rPr>
        <w:t>1</w:t>
      </w:r>
      <w:r w:rsidRPr="005304F1">
        <w:rPr>
          <w:rFonts w:ascii="Arial" w:hAnsi="Arial" w:cs="Arial"/>
          <w:sz w:val="23"/>
          <w:szCs w:val="23"/>
        </w:rPr>
        <w:br/>
        <w:t>9</w:t>
      </w:r>
      <w:r w:rsidR="000F3BB1">
        <w:rPr>
          <w:rFonts w:ascii="Arial" w:hAnsi="Arial" w:cs="Arial"/>
          <w:sz w:val="23"/>
          <w:szCs w:val="23"/>
        </w:rPr>
        <w:t>.</w:t>
      </w:r>
      <w:r w:rsidRPr="005304F1">
        <w:rPr>
          <w:rFonts w:ascii="Arial" w:hAnsi="Arial" w:cs="Arial"/>
          <w:sz w:val="23"/>
          <w:szCs w:val="23"/>
        </w:rPr>
        <w:t xml:space="preserve"> Recommendations</w:t>
      </w:r>
      <w:r w:rsidR="000F3BB1">
        <w:rPr>
          <w:rFonts w:ascii="Arial" w:hAnsi="Arial" w:cs="Arial"/>
          <w:sz w:val="23"/>
          <w:szCs w:val="23"/>
        </w:rPr>
        <w:t>…………………………………………………………</w:t>
      </w:r>
      <w:proofErr w:type="gramStart"/>
      <w:r w:rsidR="000F3BB1">
        <w:rPr>
          <w:rFonts w:ascii="Arial" w:hAnsi="Arial" w:cs="Arial"/>
          <w:sz w:val="23"/>
          <w:szCs w:val="23"/>
        </w:rPr>
        <w:t>…..</w:t>
      </w:r>
      <w:proofErr w:type="gramEnd"/>
      <w:r w:rsidR="000F3BB1">
        <w:rPr>
          <w:rFonts w:ascii="Arial" w:hAnsi="Arial" w:cs="Arial"/>
          <w:sz w:val="23"/>
          <w:szCs w:val="23"/>
        </w:rPr>
        <w:t>2</w:t>
      </w:r>
      <w:r w:rsidR="00FC1094">
        <w:rPr>
          <w:rFonts w:ascii="Arial" w:hAnsi="Arial" w:cs="Arial"/>
          <w:sz w:val="23"/>
          <w:szCs w:val="23"/>
        </w:rPr>
        <w:t>1</w:t>
      </w:r>
      <w:r w:rsidRPr="005304F1">
        <w:rPr>
          <w:rFonts w:ascii="Arial" w:hAnsi="Arial" w:cs="Arial"/>
          <w:sz w:val="23"/>
          <w:szCs w:val="23"/>
        </w:rPr>
        <w:t xml:space="preserve"> </w:t>
      </w:r>
    </w:p>
    <w:p w14:paraId="42AE2B64" w14:textId="3A53C1A6" w:rsidR="00896CB6" w:rsidRPr="005304F1" w:rsidRDefault="00000000">
      <w:pPr>
        <w:spacing w:before="240" w:after="240" w:line="360" w:lineRule="auto"/>
        <w:rPr>
          <w:rFonts w:ascii="Arial" w:hAnsi="Arial" w:cs="Arial"/>
          <w:sz w:val="23"/>
          <w:szCs w:val="23"/>
        </w:rPr>
      </w:pPr>
      <w:r w:rsidRPr="005304F1">
        <w:rPr>
          <w:rFonts w:ascii="Arial" w:hAnsi="Arial" w:cs="Arial"/>
          <w:sz w:val="23"/>
          <w:szCs w:val="23"/>
        </w:rPr>
        <w:t>9.1 Recommendation for Future Research</w:t>
      </w:r>
      <w:r w:rsidR="000F3BB1">
        <w:rPr>
          <w:rFonts w:ascii="Arial" w:hAnsi="Arial" w:cs="Arial"/>
          <w:sz w:val="23"/>
          <w:szCs w:val="23"/>
        </w:rPr>
        <w:t>…………………………………….2</w:t>
      </w:r>
      <w:r w:rsidR="00FC1094">
        <w:rPr>
          <w:rFonts w:ascii="Arial" w:hAnsi="Arial" w:cs="Arial"/>
          <w:sz w:val="23"/>
          <w:szCs w:val="23"/>
        </w:rPr>
        <w:t>1</w:t>
      </w:r>
      <w:r w:rsidRPr="005304F1">
        <w:rPr>
          <w:rFonts w:ascii="Arial" w:hAnsi="Arial" w:cs="Arial"/>
          <w:sz w:val="23"/>
          <w:szCs w:val="23"/>
        </w:rPr>
        <w:br/>
        <w:t>9.2 Recommendations for Policy</w:t>
      </w:r>
      <w:r w:rsidR="00FC1094">
        <w:rPr>
          <w:rFonts w:ascii="Arial" w:hAnsi="Arial" w:cs="Arial"/>
          <w:sz w:val="23"/>
          <w:szCs w:val="23"/>
        </w:rPr>
        <w:t xml:space="preserve"> Makers</w:t>
      </w:r>
      <w:r w:rsidR="000F3BB1">
        <w:rPr>
          <w:rFonts w:ascii="Arial" w:hAnsi="Arial" w:cs="Arial"/>
          <w:sz w:val="23"/>
          <w:szCs w:val="23"/>
        </w:rPr>
        <w:t>……………………………………</w:t>
      </w:r>
      <w:r w:rsidR="00FC1094">
        <w:rPr>
          <w:rFonts w:ascii="Arial" w:hAnsi="Arial" w:cs="Arial"/>
          <w:sz w:val="23"/>
          <w:szCs w:val="23"/>
        </w:rPr>
        <w:t>…</w:t>
      </w:r>
      <w:r w:rsidR="000F3BB1">
        <w:rPr>
          <w:rFonts w:ascii="Arial" w:hAnsi="Arial" w:cs="Arial"/>
          <w:sz w:val="23"/>
          <w:szCs w:val="23"/>
        </w:rPr>
        <w:t>2</w:t>
      </w:r>
      <w:r w:rsidR="00FC1094">
        <w:rPr>
          <w:rFonts w:ascii="Arial" w:hAnsi="Arial" w:cs="Arial"/>
          <w:sz w:val="23"/>
          <w:szCs w:val="23"/>
        </w:rPr>
        <w:t>2</w:t>
      </w:r>
      <w:r w:rsidRPr="005304F1">
        <w:rPr>
          <w:rFonts w:ascii="Arial" w:hAnsi="Arial" w:cs="Arial"/>
          <w:sz w:val="23"/>
          <w:szCs w:val="23"/>
        </w:rPr>
        <w:br/>
        <w:t>9.3 Recommendations for Health and Social Care Practice</w:t>
      </w:r>
      <w:r w:rsidR="000F3BB1">
        <w:rPr>
          <w:rFonts w:ascii="Arial" w:hAnsi="Arial" w:cs="Arial"/>
          <w:sz w:val="23"/>
          <w:szCs w:val="23"/>
        </w:rPr>
        <w:t>…………………2</w:t>
      </w:r>
      <w:r w:rsidR="00FC1094">
        <w:rPr>
          <w:rFonts w:ascii="Arial" w:hAnsi="Arial" w:cs="Arial"/>
          <w:sz w:val="23"/>
          <w:szCs w:val="23"/>
        </w:rPr>
        <w:t>2</w:t>
      </w:r>
    </w:p>
    <w:p w14:paraId="5EBF964E" w14:textId="31B3B757" w:rsidR="00084F6F" w:rsidRPr="005304F1" w:rsidRDefault="00000000">
      <w:pPr>
        <w:spacing w:before="240" w:after="240" w:line="360" w:lineRule="auto"/>
        <w:rPr>
          <w:rFonts w:ascii="Arial" w:eastAsia="Arial" w:hAnsi="Arial" w:cs="Arial"/>
          <w:sz w:val="23"/>
          <w:szCs w:val="23"/>
        </w:rPr>
      </w:pPr>
      <w:r w:rsidRPr="005304F1">
        <w:rPr>
          <w:rFonts w:ascii="Arial" w:hAnsi="Arial" w:cs="Arial"/>
          <w:b/>
          <w:bCs/>
          <w:sz w:val="23"/>
          <w:szCs w:val="23"/>
        </w:rPr>
        <w:t>References</w:t>
      </w:r>
      <w:r w:rsidRPr="005304F1">
        <w:rPr>
          <w:rFonts w:ascii="Arial" w:hAnsi="Arial" w:cs="Arial"/>
          <w:sz w:val="23"/>
          <w:szCs w:val="23"/>
        </w:rPr>
        <w:t xml:space="preserve"> ......................................................................</w:t>
      </w:r>
      <w:r w:rsidR="000F3BB1">
        <w:rPr>
          <w:rFonts w:ascii="Arial" w:hAnsi="Arial" w:cs="Arial"/>
          <w:sz w:val="23"/>
          <w:szCs w:val="23"/>
        </w:rPr>
        <w:t>............................</w:t>
      </w:r>
      <w:r w:rsidRPr="005304F1">
        <w:rPr>
          <w:rFonts w:ascii="Arial" w:hAnsi="Arial" w:cs="Arial"/>
          <w:sz w:val="23"/>
          <w:szCs w:val="23"/>
        </w:rPr>
        <w:t>2</w:t>
      </w:r>
      <w:r w:rsidR="00FC1094">
        <w:rPr>
          <w:rFonts w:ascii="Arial" w:hAnsi="Arial" w:cs="Arial"/>
          <w:sz w:val="23"/>
          <w:szCs w:val="23"/>
        </w:rPr>
        <w:t>4</w:t>
      </w:r>
    </w:p>
    <w:p w14:paraId="76F626E4" w14:textId="5A5BAD7B" w:rsidR="00084F6F" w:rsidRPr="005304F1" w:rsidRDefault="00000000">
      <w:pPr>
        <w:spacing w:before="240" w:after="240" w:line="360" w:lineRule="auto"/>
        <w:rPr>
          <w:rFonts w:ascii="Arial" w:eastAsia="Arial" w:hAnsi="Arial" w:cs="Arial"/>
          <w:sz w:val="23"/>
          <w:szCs w:val="23"/>
        </w:rPr>
      </w:pPr>
      <w:r w:rsidRPr="005304F1">
        <w:rPr>
          <w:rFonts w:ascii="Arial" w:eastAsia="Arial" w:hAnsi="Arial" w:cs="Arial"/>
          <w:b/>
          <w:bCs/>
          <w:sz w:val="23"/>
          <w:szCs w:val="23"/>
        </w:rPr>
        <w:t>Appendices</w:t>
      </w:r>
      <w:r w:rsidRPr="005304F1">
        <w:rPr>
          <w:rFonts w:ascii="Arial" w:eastAsia="Arial" w:hAnsi="Arial" w:cs="Arial"/>
          <w:sz w:val="23"/>
          <w:szCs w:val="23"/>
        </w:rPr>
        <w:t xml:space="preserve"> ........................................................................</w:t>
      </w:r>
      <w:r w:rsidR="000F3BB1">
        <w:rPr>
          <w:rFonts w:ascii="Arial" w:eastAsia="Arial" w:hAnsi="Arial" w:cs="Arial"/>
          <w:sz w:val="23"/>
          <w:szCs w:val="23"/>
        </w:rPr>
        <w:t>.........................</w:t>
      </w:r>
      <w:r w:rsidRPr="005304F1">
        <w:rPr>
          <w:rFonts w:ascii="Arial" w:eastAsia="Arial" w:hAnsi="Arial" w:cs="Arial"/>
          <w:sz w:val="23"/>
          <w:szCs w:val="23"/>
        </w:rPr>
        <w:t>2</w:t>
      </w:r>
      <w:r w:rsidR="00FC1094">
        <w:rPr>
          <w:rFonts w:ascii="Arial" w:eastAsia="Arial" w:hAnsi="Arial" w:cs="Arial"/>
          <w:sz w:val="23"/>
          <w:szCs w:val="23"/>
        </w:rPr>
        <w:t>6</w:t>
      </w:r>
      <w:r w:rsidRPr="005304F1">
        <w:rPr>
          <w:rFonts w:ascii="Arial" w:eastAsia="Arial" w:hAnsi="Arial" w:cs="Arial"/>
          <w:sz w:val="23"/>
          <w:szCs w:val="23"/>
        </w:rPr>
        <w:br/>
        <w:t>Appendix 1 – Search Strategy</w:t>
      </w:r>
      <w:r w:rsidR="000F3BB1">
        <w:rPr>
          <w:rFonts w:ascii="Arial" w:eastAsia="Arial" w:hAnsi="Arial" w:cs="Arial"/>
          <w:sz w:val="23"/>
          <w:szCs w:val="23"/>
        </w:rPr>
        <w:t>………………………………………………</w:t>
      </w:r>
      <w:proofErr w:type="gramStart"/>
      <w:r w:rsidR="000F3BB1">
        <w:rPr>
          <w:rFonts w:ascii="Arial" w:eastAsia="Arial" w:hAnsi="Arial" w:cs="Arial"/>
          <w:sz w:val="23"/>
          <w:szCs w:val="23"/>
        </w:rPr>
        <w:t>…..</w:t>
      </w:r>
      <w:proofErr w:type="gramEnd"/>
      <w:r w:rsidR="000F3BB1">
        <w:rPr>
          <w:rFonts w:ascii="Arial" w:eastAsia="Arial" w:hAnsi="Arial" w:cs="Arial"/>
          <w:sz w:val="23"/>
          <w:szCs w:val="23"/>
        </w:rPr>
        <w:t>2</w:t>
      </w:r>
      <w:r w:rsidR="00FC1094">
        <w:rPr>
          <w:rFonts w:ascii="Arial" w:eastAsia="Arial" w:hAnsi="Arial" w:cs="Arial"/>
          <w:sz w:val="23"/>
          <w:szCs w:val="23"/>
        </w:rPr>
        <w:t>6</w:t>
      </w:r>
      <w:r w:rsidRPr="005304F1">
        <w:rPr>
          <w:rFonts w:ascii="Arial" w:eastAsia="Arial" w:hAnsi="Arial" w:cs="Arial"/>
          <w:sz w:val="23"/>
          <w:szCs w:val="23"/>
        </w:rPr>
        <w:br/>
        <w:t>Appendix 2 – Inclusion and Exclusion Criteria</w:t>
      </w:r>
      <w:r w:rsidR="000F3BB1">
        <w:rPr>
          <w:rFonts w:ascii="Arial" w:eastAsia="Arial" w:hAnsi="Arial" w:cs="Arial"/>
          <w:sz w:val="23"/>
          <w:szCs w:val="23"/>
        </w:rPr>
        <w:t>…………………………………2</w:t>
      </w:r>
      <w:r w:rsidR="00FC1094">
        <w:rPr>
          <w:rFonts w:ascii="Arial" w:eastAsia="Arial" w:hAnsi="Arial" w:cs="Arial"/>
          <w:sz w:val="23"/>
          <w:szCs w:val="23"/>
        </w:rPr>
        <w:t>7</w:t>
      </w:r>
      <w:r w:rsidRPr="005304F1">
        <w:rPr>
          <w:rFonts w:ascii="Arial" w:eastAsia="Arial" w:hAnsi="Arial" w:cs="Arial"/>
          <w:sz w:val="23"/>
          <w:szCs w:val="23"/>
        </w:rPr>
        <w:br/>
        <w:t>Appendix 3 – Characteristics of the Selected Studies</w:t>
      </w:r>
      <w:r w:rsidR="000F3BB1">
        <w:rPr>
          <w:rFonts w:ascii="Arial" w:eastAsia="Arial" w:hAnsi="Arial" w:cs="Arial"/>
          <w:sz w:val="23"/>
          <w:szCs w:val="23"/>
        </w:rPr>
        <w:t>………………………...2</w:t>
      </w:r>
      <w:r w:rsidR="00FC1094">
        <w:rPr>
          <w:rFonts w:ascii="Arial" w:eastAsia="Arial" w:hAnsi="Arial" w:cs="Arial"/>
          <w:sz w:val="23"/>
          <w:szCs w:val="23"/>
        </w:rPr>
        <w:t>8</w:t>
      </w:r>
    </w:p>
    <w:p w14:paraId="5C3F02FF" w14:textId="77777777" w:rsidR="00084F6F" w:rsidRPr="005304F1" w:rsidRDefault="00084F6F">
      <w:pPr>
        <w:spacing w:line="360" w:lineRule="auto"/>
        <w:rPr>
          <w:rFonts w:ascii="Arial" w:hAnsi="Arial" w:cs="Arial"/>
          <w:sz w:val="23"/>
          <w:szCs w:val="23"/>
        </w:rPr>
      </w:pPr>
    </w:p>
    <w:p w14:paraId="7862C860" w14:textId="77777777" w:rsidR="00084F6F" w:rsidRPr="005304F1" w:rsidRDefault="00084F6F">
      <w:pPr>
        <w:spacing w:line="360" w:lineRule="auto"/>
        <w:rPr>
          <w:rFonts w:ascii="Arial" w:hAnsi="Arial" w:cs="Arial"/>
          <w:sz w:val="23"/>
          <w:szCs w:val="23"/>
        </w:rPr>
      </w:pPr>
    </w:p>
    <w:p w14:paraId="00ADFF9E" w14:textId="77777777" w:rsidR="00084F6F" w:rsidRPr="005304F1" w:rsidRDefault="00084F6F">
      <w:pPr>
        <w:spacing w:line="360" w:lineRule="auto"/>
        <w:rPr>
          <w:rFonts w:ascii="Arial" w:hAnsi="Arial" w:cs="Arial"/>
          <w:sz w:val="23"/>
          <w:szCs w:val="23"/>
        </w:rPr>
      </w:pPr>
    </w:p>
    <w:p w14:paraId="47A80340" w14:textId="213D6CD0" w:rsidR="00084F6F" w:rsidRPr="005304F1" w:rsidRDefault="00000000" w:rsidP="005304F1">
      <w:pPr>
        <w:spacing w:line="360" w:lineRule="auto"/>
        <w:jc w:val="center"/>
        <w:rPr>
          <w:rFonts w:ascii="Arial" w:hAnsi="Arial" w:cs="Arial"/>
          <w:b/>
          <w:bCs/>
          <w:sz w:val="23"/>
          <w:szCs w:val="23"/>
        </w:rPr>
      </w:pPr>
      <w:r w:rsidRPr="005304F1">
        <w:rPr>
          <w:rFonts w:ascii="Arial" w:hAnsi="Arial" w:cs="Arial"/>
          <w:sz w:val="23"/>
          <w:szCs w:val="23"/>
        </w:rPr>
        <w:br w:type="page"/>
      </w:r>
      <w:bookmarkStart w:id="10" w:name="_heading=h.ru5amjl9ws8v" w:colFirst="0" w:colLast="0"/>
      <w:bookmarkEnd w:id="10"/>
      <w:r w:rsidRPr="005304F1">
        <w:rPr>
          <w:rFonts w:ascii="Arial" w:hAnsi="Arial" w:cs="Arial"/>
          <w:b/>
          <w:bCs/>
        </w:rPr>
        <w:lastRenderedPageBreak/>
        <w:t>The Impact of long Waiting Times for NHS Mental Health Appointments on Teenagers in the UK: A Scoping Review</w:t>
      </w:r>
    </w:p>
    <w:p w14:paraId="13918B20"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1" w:name="_heading=h.2vjkmdhydbiv" w:colFirst="0" w:colLast="0"/>
      <w:bookmarkEnd w:id="11"/>
      <w:r w:rsidRPr="005304F1">
        <w:rPr>
          <w:i w:val="0"/>
          <w:iCs w:val="0"/>
          <w:color w:val="auto"/>
          <w:sz w:val="23"/>
          <w:szCs w:val="23"/>
        </w:rPr>
        <w:t>Abstract</w:t>
      </w:r>
    </w:p>
    <w:p w14:paraId="519316C0" w14:textId="46C5915C"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Mental health difficulties among teenagers are an increasing concern for health, education and social care services in the United Kingdom. Adolescence is an important developmental period, and untreated or insufficiently supported mental health difficulties can affect emotional wellbeing, education, family relationships, social participation and longer-term outcomes. At the same time, increasing demand for NHS mental health services has raised concerns regarding access and long waiting times. This scoping review explores and maps existing evidence concerning the impact of long waiting times for NHS mental health appointments on teenagers in the UK. Particular attention is given to mental health outcomes, education, family life, social participation and inequalities in access.</w:t>
      </w:r>
    </w:p>
    <w:p w14:paraId="12DCB292" w14:textId="1970CE50"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A scoping review methodology was used to identify and synthesise relevant UK evidence. </w:t>
      </w:r>
      <w:r w:rsidR="00573898" w:rsidRPr="005304F1">
        <w:rPr>
          <w:rFonts w:ascii="Arial" w:eastAsia="Arial" w:hAnsi="Arial" w:cs="Arial"/>
          <w:sz w:val="23"/>
          <w:szCs w:val="23"/>
        </w:rPr>
        <w:t>Five</w:t>
      </w:r>
      <w:r w:rsidRPr="005304F1">
        <w:rPr>
          <w:rFonts w:ascii="Arial" w:eastAsia="Arial" w:hAnsi="Arial" w:cs="Arial"/>
          <w:sz w:val="23"/>
          <w:szCs w:val="23"/>
        </w:rPr>
        <w:t xml:space="preserve"> studies were included in the final thematic synthesis. The evidence base included qualitative studies</w:t>
      </w:r>
      <w:r w:rsidR="00896CB6" w:rsidRPr="005304F1">
        <w:rPr>
          <w:rFonts w:ascii="Arial" w:eastAsia="Arial" w:hAnsi="Arial" w:cs="Arial"/>
          <w:sz w:val="23"/>
          <w:szCs w:val="23"/>
        </w:rPr>
        <w:t xml:space="preserve"> </w:t>
      </w:r>
      <w:r w:rsidRPr="005304F1">
        <w:rPr>
          <w:rFonts w:ascii="Arial" w:eastAsia="Arial" w:hAnsi="Arial" w:cs="Arial"/>
          <w:sz w:val="23"/>
          <w:szCs w:val="23"/>
        </w:rPr>
        <w:t>of NHS administrative data, service evaluations, quasi-experimental research and systematic review evidence. Five key themes emerged: deterioration in mental health and wellbeing; uncertainty and family strain; educational and social consequences; inequalities in access; and the potential value of interventions delivered while young people wait.</w:t>
      </w:r>
    </w:p>
    <w:p w14:paraId="37BB5751" w14:textId="07675B5B"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findings indicate that long waiting can be associated with deterioration in wellbeing, unmet need, uncertainty and increased pressure on families. However, the evidence is heterogeneous and does not consistently establish a direct causal relationship between waiting and deterioration. Evidence also demonstrates inequalities in access to mental health services. Emerging evidence suggests that psychoeducation, social prescribing, family support and other waiting-list interventions may provide useful interim support.</w:t>
      </w:r>
    </w:p>
    <w:p w14:paraId="291194D2"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review recommends reducing unnecessary delays while simultaneously strengthening communication, risk monitoring, equitable access, multi-agency working and appropriate support during waiting periods.</w:t>
      </w:r>
    </w:p>
    <w:p w14:paraId="2287005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b/>
          <w:bCs/>
          <w:sz w:val="23"/>
          <w:szCs w:val="23"/>
        </w:rPr>
        <w:t>Keywords:</w:t>
      </w:r>
      <w:r w:rsidRPr="005304F1">
        <w:rPr>
          <w:rFonts w:ascii="Arial" w:eastAsia="Arial" w:hAnsi="Arial" w:cs="Arial"/>
          <w:sz w:val="23"/>
          <w:szCs w:val="23"/>
        </w:rPr>
        <w:t xml:space="preserve"> adolescents; teenagers; CAMHS; mental health; NHS; waiting times; access; inequalities; scoping review.</w:t>
      </w:r>
    </w:p>
    <w:p w14:paraId="3024474C" w14:textId="77777777" w:rsidR="00084F6F" w:rsidRPr="005304F1" w:rsidRDefault="00000000">
      <w:pPr>
        <w:pStyle w:val="Heading1"/>
        <w:keepNext w:val="0"/>
        <w:keepLines w:val="0"/>
        <w:tabs>
          <w:tab w:val="left" w:pos="6540"/>
        </w:tabs>
        <w:spacing w:before="480" w:after="120"/>
        <w:rPr>
          <w:color w:val="auto"/>
          <w:sz w:val="23"/>
          <w:szCs w:val="23"/>
        </w:rPr>
      </w:pPr>
      <w:bookmarkStart w:id="12" w:name="_heading=h.nv81silxhoio" w:colFirst="0" w:colLast="0"/>
      <w:bookmarkEnd w:id="12"/>
      <w:r w:rsidRPr="005304F1">
        <w:rPr>
          <w:color w:val="auto"/>
          <w:sz w:val="23"/>
          <w:szCs w:val="23"/>
        </w:rPr>
        <w:lastRenderedPageBreak/>
        <w:t>1. Introduction</w:t>
      </w:r>
    </w:p>
    <w:p w14:paraId="7ACFEB9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Mental health is an essential component of health and wellbeing. Adolescence is a particularly significant period because young people experience substantial emotional, psychological, social and educational development. Mental health difficulties arising during adolescence may affect relationships, educational achievement, participation in social activities and future wellbeing. Early identification and timely access to appropriate mental health support are therefore important.</w:t>
      </w:r>
    </w:p>
    <w:p w14:paraId="158E473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In the United Kingdom, Child and Adolescent Mental Health Services (CAMHS) provide specialist mental health assessment and treatment for children and young people experiencing difficulties such as anxiety, depression, self-harm, eating disorders and other emotional or psychological problems. However, increasing demand for services has resulted in concerns about capacity, access and waiting times.</w:t>
      </w:r>
    </w:p>
    <w:p w14:paraId="0E4FD657"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Waiting for an NHS mental health appointment can represent more than an administrative delay. A young person may experience changes in their mental health between referral and assessment. Anxiety or depression may become more severe, school attendance may decline, relationships may become strained and families may experience uncertainty about how to provide appropriate support. For some young people, waiting may therefore become a period of increased vulnerability.</w:t>
      </w:r>
    </w:p>
    <w:p w14:paraId="27DE7FA7"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Recent qualitative research provides direct evidence of these experiences. Han et al. (2026) interviewed young people and caregivers waiting for CAMHS and identified deterioration in mental and physical health, family and relationship strain, unclear communication and a perceived mismatch between need and available support.</w:t>
      </w:r>
    </w:p>
    <w:p w14:paraId="1DD3FE6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it is important to recognise that young people referred to CAMHS already have mental health needs. Consequently, deterioration during a waiting period cannot automatically be attributed to the waiting time itself. Waiting times may be one factor within a much more complex interaction between individual vulnerability, family circumstances, education, socioeconomic conditions and service availability.</w:t>
      </w:r>
    </w:p>
    <w:p w14:paraId="68D3ECB1" w14:textId="635FDF49" w:rsidR="00084F6F"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review therefore examines not only the length of waiting times but the broader experience and consequences of waiting.</w:t>
      </w:r>
    </w:p>
    <w:p w14:paraId="7005EA6E" w14:textId="77777777" w:rsidR="005304F1" w:rsidRPr="005304F1" w:rsidRDefault="005304F1">
      <w:pPr>
        <w:tabs>
          <w:tab w:val="left" w:pos="6540"/>
        </w:tabs>
        <w:spacing w:before="240" w:after="240" w:line="360" w:lineRule="auto"/>
        <w:rPr>
          <w:rFonts w:ascii="Arial" w:eastAsia="Arial" w:hAnsi="Arial" w:cs="Arial"/>
          <w:sz w:val="23"/>
          <w:szCs w:val="23"/>
        </w:rPr>
      </w:pPr>
    </w:p>
    <w:p w14:paraId="252C2762"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3" w:name="_heading=h.y3ebg1iq49l9" w:colFirst="0" w:colLast="0"/>
      <w:bookmarkEnd w:id="13"/>
      <w:r w:rsidRPr="005304F1">
        <w:rPr>
          <w:i w:val="0"/>
          <w:iCs w:val="0"/>
          <w:color w:val="auto"/>
          <w:sz w:val="23"/>
          <w:szCs w:val="23"/>
        </w:rPr>
        <w:lastRenderedPageBreak/>
        <w:t>1.1 Aim</w:t>
      </w:r>
    </w:p>
    <w:p w14:paraId="29EF8F5A" w14:textId="30C95978"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aim of this research is to explore and map the existing evidence regarding the impact of long waiting times for NHS mental health appointments on teenagers in the UK, with particular consideration of mental health outcomes, education, family life, social participation and access inequalities.</w:t>
      </w:r>
    </w:p>
    <w:p w14:paraId="665B44BD"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4" w:name="_heading=h.qvbujdeft9y" w:colFirst="0" w:colLast="0"/>
      <w:bookmarkEnd w:id="14"/>
      <w:r w:rsidRPr="005304F1">
        <w:rPr>
          <w:i w:val="0"/>
          <w:iCs w:val="0"/>
          <w:color w:val="auto"/>
          <w:sz w:val="23"/>
          <w:szCs w:val="23"/>
        </w:rPr>
        <w:t>1.2 Review Question</w:t>
      </w:r>
    </w:p>
    <w:p w14:paraId="5668E6B8" w14:textId="39AA1EB8"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What is the impact of long waiting times for NHS mental health appointments on teenagers in the UK?</w:t>
      </w:r>
    </w:p>
    <w:p w14:paraId="1167F571"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5" w:name="_heading=h.7cmob8iwsdk7" w:colFirst="0" w:colLast="0"/>
      <w:bookmarkEnd w:id="15"/>
      <w:r w:rsidRPr="005304F1">
        <w:rPr>
          <w:i w:val="0"/>
          <w:iCs w:val="0"/>
          <w:color w:val="auto"/>
          <w:sz w:val="23"/>
          <w:szCs w:val="23"/>
        </w:rPr>
        <w:t>1.3 Objectives</w:t>
      </w:r>
    </w:p>
    <w:p w14:paraId="5C3FA64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objectives of the review are:</w:t>
      </w:r>
    </w:p>
    <w:p w14:paraId="10DB9EEF" w14:textId="77777777" w:rsidR="00084F6F" w:rsidRPr="005304F1" w:rsidRDefault="00000000">
      <w:pPr>
        <w:numPr>
          <w:ilvl w:val="0"/>
          <w:numId w:val="4"/>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To explore current UK policies, legislation, services and strategies relevant to young people's mental health and access to services.</w:t>
      </w:r>
    </w:p>
    <w:p w14:paraId="546CEAD3" w14:textId="77777777" w:rsidR="00084F6F" w:rsidRPr="005304F1" w:rsidRDefault="00000000">
      <w:pPr>
        <w:numPr>
          <w:ilvl w:val="0"/>
          <w:numId w:val="4"/>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To conduct a scoping review of academic literature concerning waiting times and access to NHS mental health services.</w:t>
      </w:r>
    </w:p>
    <w:p w14:paraId="71797CBD" w14:textId="77777777" w:rsidR="00084F6F" w:rsidRPr="005304F1" w:rsidRDefault="00000000">
      <w:pPr>
        <w:numPr>
          <w:ilvl w:val="0"/>
          <w:numId w:val="4"/>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To examine the impact of waiting on young people's mental health and wellbeing.</w:t>
      </w:r>
    </w:p>
    <w:p w14:paraId="5CB34190" w14:textId="77777777" w:rsidR="00084F6F" w:rsidRPr="005304F1" w:rsidRDefault="00000000">
      <w:pPr>
        <w:numPr>
          <w:ilvl w:val="0"/>
          <w:numId w:val="4"/>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To explore consequences for education, family life and social participation.</w:t>
      </w:r>
    </w:p>
    <w:p w14:paraId="63E72886" w14:textId="77777777" w:rsidR="00084F6F" w:rsidRPr="005304F1" w:rsidRDefault="00000000">
      <w:pPr>
        <w:numPr>
          <w:ilvl w:val="0"/>
          <w:numId w:val="4"/>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To examine inequalities in access to mental health services.</w:t>
      </w:r>
    </w:p>
    <w:p w14:paraId="360A7625" w14:textId="77777777" w:rsidR="00084F6F" w:rsidRPr="005304F1" w:rsidRDefault="00000000">
      <w:pPr>
        <w:numPr>
          <w:ilvl w:val="0"/>
          <w:numId w:val="4"/>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To identify evidence concerning support provided while young people wait.</w:t>
      </w:r>
    </w:p>
    <w:p w14:paraId="5C66BAD8" w14:textId="216DE2F2" w:rsidR="00084F6F" w:rsidRPr="005304F1" w:rsidRDefault="00000000" w:rsidP="00804DFC">
      <w:pPr>
        <w:numPr>
          <w:ilvl w:val="0"/>
          <w:numId w:val="4"/>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To make recommendations for future research, policy and health and social care practice.</w:t>
      </w:r>
    </w:p>
    <w:p w14:paraId="0FA8343C" w14:textId="77777777" w:rsidR="00804DFC" w:rsidRPr="005304F1" w:rsidRDefault="00804DFC" w:rsidP="00804DFC">
      <w:pPr>
        <w:tabs>
          <w:tab w:val="left" w:pos="6540"/>
        </w:tabs>
        <w:spacing w:after="240" w:line="360" w:lineRule="auto"/>
        <w:ind w:left="720"/>
        <w:rPr>
          <w:rFonts w:ascii="Arial" w:eastAsia="Arial" w:hAnsi="Arial" w:cs="Arial"/>
          <w:sz w:val="23"/>
          <w:szCs w:val="23"/>
        </w:rPr>
      </w:pPr>
    </w:p>
    <w:p w14:paraId="6C1AE32E" w14:textId="77777777" w:rsidR="00084F6F" w:rsidRPr="005304F1" w:rsidRDefault="00000000">
      <w:pPr>
        <w:pStyle w:val="Heading1"/>
        <w:keepNext w:val="0"/>
        <w:keepLines w:val="0"/>
        <w:tabs>
          <w:tab w:val="left" w:pos="6540"/>
        </w:tabs>
        <w:spacing w:before="480" w:after="120"/>
        <w:rPr>
          <w:color w:val="auto"/>
          <w:sz w:val="23"/>
          <w:szCs w:val="23"/>
        </w:rPr>
      </w:pPr>
      <w:bookmarkStart w:id="16" w:name="_heading=h.lxsnk15x109a" w:colFirst="0" w:colLast="0"/>
      <w:bookmarkEnd w:id="16"/>
      <w:r w:rsidRPr="005304F1">
        <w:rPr>
          <w:color w:val="auto"/>
          <w:sz w:val="23"/>
          <w:szCs w:val="23"/>
        </w:rPr>
        <w:t>2. Background</w:t>
      </w:r>
    </w:p>
    <w:p w14:paraId="5E8A5F6F"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7" w:name="_heading=h.u2zhcegn19r7" w:colFirst="0" w:colLast="0"/>
      <w:bookmarkEnd w:id="17"/>
      <w:r w:rsidRPr="005304F1">
        <w:rPr>
          <w:i w:val="0"/>
          <w:iCs w:val="0"/>
          <w:color w:val="auto"/>
          <w:sz w:val="23"/>
          <w:szCs w:val="23"/>
        </w:rPr>
        <w:t>2.1 Teenagers and Mental Health</w:t>
      </w:r>
    </w:p>
    <w:p w14:paraId="7D7C0BB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Mental health difficulties during adolescence can have consequences extending beyond the immediate period of illness. Difficulties such as anxiety and depression can affect concentration, school attendance, relationships and participation in everyday activities. Where difficulties remain untreated, there may also be increased demand on other </w:t>
      </w:r>
      <w:r w:rsidRPr="005304F1">
        <w:rPr>
          <w:rFonts w:ascii="Arial" w:eastAsia="Arial" w:hAnsi="Arial" w:cs="Arial"/>
          <w:sz w:val="23"/>
          <w:szCs w:val="23"/>
        </w:rPr>
        <w:lastRenderedPageBreak/>
        <w:t>services, including primary care, emergency departments, schools, social care and voluntary-sector organisations.</w:t>
      </w:r>
    </w:p>
    <w:p w14:paraId="1ADBAA3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NHS therefore has an important role in providing accessible and timely mental health services. CAMHS represents a key part of this system, particularly for young people whose needs require specialist assessment or treatment.</w:t>
      </w:r>
    </w:p>
    <w:p w14:paraId="781D64A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access to CAMHS is not uniform. Services differ geographically in terms of referral routes, eligibility thresholds, clinical capacity and available interventions. This can contribute to variations in waiting times and experiences.</w:t>
      </w:r>
    </w:p>
    <w:p w14:paraId="1AAA693B"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8" w:name="_heading=h.tocv3f9da04s" w:colFirst="0" w:colLast="0"/>
      <w:bookmarkEnd w:id="18"/>
      <w:r w:rsidRPr="005304F1">
        <w:rPr>
          <w:i w:val="0"/>
          <w:iCs w:val="0"/>
          <w:color w:val="auto"/>
          <w:sz w:val="23"/>
          <w:szCs w:val="23"/>
        </w:rPr>
        <w:t>2.2 Waiting Times and Access</w:t>
      </w:r>
    </w:p>
    <w:p w14:paraId="1693AFE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Waiting times are often used as an indicator of service performance. However, a waiting-time figure alone does not capture the experience of the young person.</w:t>
      </w:r>
    </w:p>
    <w:p w14:paraId="3AD04F5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young person waiting for six weeks may have access to school-based support, family assistance and community resources. Another young person waiting for the same period may experience worsening symptoms, poor school attendance and increasing family conflict.</w:t>
      </w:r>
    </w:p>
    <w:p w14:paraId="647FAFD0"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Consequently, waiting time should be considered alongside:</w:t>
      </w:r>
    </w:p>
    <w:p w14:paraId="1188B327" w14:textId="77777777" w:rsidR="00084F6F" w:rsidRPr="005304F1" w:rsidRDefault="00000000">
      <w:pPr>
        <w:numPr>
          <w:ilvl w:val="0"/>
          <w:numId w:val="1"/>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severity of need;</w:t>
      </w:r>
    </w:p>
    <w:p w14:paraId="444DAAEC" w14:textId="77777777" w:rsidR="00084F6F" w:rsidRPr="005304F1" w:rsidRDefault="00000000">
      <w:pPr>
        <w:numPr>
          <w:ilvl w:val="0"/>
          <w:numId w:val="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changes in risk;</w:t>
      </w:r>
    </w:p>
    <w:p w14:paraId="72A2EBB5" w14:textId="77777777" w:rsidR="00084F6F" w:rsidRPr="005304F1" w:rsidRDefault="00000000">
      <w:pPr>
        <w:numPr>
          <w:ilvl w:val="0"/>
          <w:numId w:val="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access to interim support;</w:t>
      </w:r>
    </w:p>
    <w:p w14:paraId="6F3985FF" w14:textId="77777777" w:rsidR="00084F6F" w:rsidRPr="005304F1" w:rsidRDefault="00000000">
      <w:pPr>
        <w:numPr>
          <w:ilvl w:val="0"/>
          <w:numId w:val="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family circumstances;</w:t>
      </w:r>
    </w:p>
    <w:p w14:paraId="0CD68299" w14:textId="77777777" w:rsidR="00084F6F" w:rsidRPr="005304F1" w:rsidRDefault="00000000">
      <w:pPr>
        <w:numPr>
          <w:ilvl w:val="0"/>
          <w:numId w:val="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educational participation;</w:t>
      </w:r>
    </w:p>
    <w:p w14:paraId="1C5CDDE8" w14:textId="77777777" w:rsidR="00084F6F" w:rsidRPr="005304F1" w:rsidRDefault="00000000">
      <w:pPr>
        <w:numPr>
          <w:ilvl w:val="0"/>
          <w:numId w:val="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communication with services; and</w:t>
      </w:r>
    </w:p>
    <w:p w14:paraId="31B9DB35" w14:textId="77777777" w:rsidR="00084F6F" w:rsidRPr="005304F1" w:rsidRDefault="00000000">
      <w:pPr>
        <w:numPr>
          <w:ilvl w:val="0"/>
          <w:numId w:val="1"/>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socioeconomic and demographic factors.</w:t>
      </w:r>
    </w:p>
    <w:p w14:paraId="421B567F" w14:textId="2DFF61EB" w:rsidR="00084F6F" w:rsidRDefault="00000000">
      <w:pPr>
        <w:tabs>
          <w:tab w:val="left" w:pos="6540"/>
        </w:tabs>
        <w:spacing w:before="240" w:after="240"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and Deighton (2020), analysing 21,419 CAMHS episodes, found substantial variation in waiting times. Their research also indicated that young people with more severe presentations were more likely to receive prioritised access. This demonstrates that waiting times are influenced by clinical prioritisation and should not simply be interpreted as evidence of poor service performance.</w:t>
      </w:r>
    </w:p>
    <w:p w14:paraId="395C33D6" w14:textId="77777777" w:rsidR="005304F1" w:rsidRPr="005304F1" w:rsidRDefault="005304F1">
      <w:pPr>
        <w:tabs>
          <w:tab w:val="left" w:pos="6540"/>
        </w:tabs>
        <w:spacing w:before="240" w:after="240" w:line="360" w:lineRule="auto"/>
        <w:rPr>
          <w:rFonts w:ascii="Arial" w:eastAsia="Arial" w:hAnsi="Arial" w:cs="Arial"/>
          <w:sz w:val="23"/>
          <w:szCs w:val="23"/>
        </w:rPr>
      </w:pPr>
    </w:p>
    <w:p w14:paraId="2DD2229A"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19" w:name="_heading=h.cjspij1imjnr" w:colFirst="0" w:colLast="0"/>
      <w:bookmarkEnd w:id="19"/>
      <w:r w:rsidRPr="005304F1">
        <w:rPr>
          <w:i w:val="0"/>
          <w:iCs w:val="0"/>
          <w:color w:val="auto"/>
          <w:sz w:val="23"/>
          <w:szCs w:val="23"/>
        </w:rPr>
        <w:lastRenderedPageBreak/>
        <w:t>2.3 Policy and Legislative Context</w:t>
      </w:r>
    </w:p>
    <w:p w14:paraId="718626F7"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policy context surrounding children's mental health in the UK emphasises early intervention, prevention, safeguarding, equality and timely access to appropriate support.</w:t>
      </w:r>
    </w:p>
    <w:p w14:paraId="4291B45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Relevant legislation includes the Children Act 1989, Equality Act 2010 and Mental Health Act 1983, alongside NHS mental health policy and NICE guidance.</w:t>
      </w:r>
    </w:p>
    <w:p w14:paraId="6AC0229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Equality Act 2010 is particularly relevant because mental health services should be accessible without unlawful discrimination. The Children Act 1989 establishes duties concerning children's welfare, while the Mental Health Act provides a legal framework for people requiring assessment or treatment under mental health legislation.</w:t>
      </w:r>
    </w:p>
    <w:p w14:paraId="67FB71B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NICE guidance also emphasises timely assessment and appropriate responses where children and young people experience significant mental health difficulties or risk.</w:t>
      </w:r>
    </w:p>
    <w:p w14:paraId="54E75654" w14:textId="145A29C4" w:rsidR="006450F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The policy environment therefore establishes a clear expectation that young people should receive appropriate mental health support according to need. </w:t>
      </w:r>
      <w:r w:rsidR="002565A3" w:rsidRPr="005304F1">
        <w:rPr>
          <w:rFonts w:ascii="Arial" w:eastAsia="Arial" w:hAnsi="Arial" w:cs="Arial"/>
          <w:sz w:val="23"/>
          <w:szCs w:val="23"/>
        </w:rPr>
        <w:t>L</w:t>
      </w:r>
      <w:r w:rsidRPr="005304F1">
        <w:rPr>
          <w:rFonts w:ascii="Arial" w:eastAsia="Arial" w:hAnsi="Arial" w:cs="Arial"/>
          <w:sz w:val="23"/>
          <w:szCs w:val="23"/>
        </w:rPr>
        <w:t>ong waiting raises questions about whether this principle is being achieved consistently.</w:t>
      </w:r>
    </w:p>
    <w:p w14:paraId="3E2F9739" w14:textId="77777777" w:rsidR="00084F6F" w:rsidRPr="005304F1" w:rsidRDefault="00000000">
      <w:pPr>
        <w:pStyle w:val="Heading1"/>
        <w:keepNext w:val="0"/>
        <w:keepLines w:val="0"/>
        <w:tabs>
          <w:tab w:val="left" w:pos="6540"/>
        </w:tabs>
        <w:spacing w:before="480" w:after="120"/>
        <w:rPr>
          <w:color w:val="auto"/>
          <w:sz w:val="23"/>
          <w:szCs w:val="23"/>
        </w:rPr>
      </w:pPr>
      <w:bookmarkStart w:id="20" w:name="_heading=h.fa9hgkvhh5qs" w:colFirst="0" w:colLast="0"/>
      <w:bookmarkEnd w:id="20"/>
      <w:r w:rsidRPr="005304F1">
        <w:rPr>
          <w:color w:val="auto"/>
          <w:sz w:val="23"/>
          <w:szCs w:val="23"/>
        </w:rPr>
        <w:t>3. Methods</w:t>
      </w:r>
    </w:p>
    <w:p w14:paraId="42C93B93"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1" w:name="_heading=h.okchfx6hb4dy" w:colFirst="0" w:colLast="0"/>
      <w:bookmarkEnd w:id="21"/>
      <w:r w:rsidRPr="005304F1">
        <w:rPr>
          <w:i w:val="0"/>
          <w:iCs w:val="0"/>
          <w:color w:val="auto"/>
          <w:sz w:val="23"/>
          <w:szCs w:val="23"/>
        </w:rPr>
        <w:t>3.1 Scoping Review Design</w:t>
      </w:r>
    </w:p>
    <w:p w14:paraId="3CFF566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scoping review methodology was selected because the research question covers a broad and developing area of evidence. Unlike a systematic review focused on determining the effectiveness of a single intervention, a scoping review allows different types of evidence to be mapped and synthesised.</w:t>
      </w:r>
    </w:p>
    <w:p w14:paraId="2AA1E19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review considered evidence concerning waiting times, access, experiences of waiting, inequalities and interventions provided during waiting periods.</w:t>
      </w:r>
    </w:p>
    <w:p w14:paraId="1F583E97"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2" w:name="_heading=h.m5sdyn3ppep3" w:colFirst="0" w:colLast="0"/>
      <w:bookmarkEnd w:id="22"/>
      <w:r w:rsidRPr="005304F1">
        <w:rPr>
          <w:i w:val="0"/>
          <w:iCs w:val="0"/>
          <w:color w:val="auto"/>
          <w:sz w:val="23"/>
          <w:szCs w:val="23"/>
        </w:rPr>
        <w:t>3.2 Search Strategy</w:t>
      </w:r>
    </w:p>
    <w:p w14:paraId="1765ED7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structured literature search was developed using combinations of terms relating to four main concepts:</w:t>
      </w:r>
    </w:p>
    <w:p w14:paraId="3C52BF9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Appendix 1:</w:t>
      </w:r>
    </w:p>
    <w:p w14:paraId="4D8C34BB" w14:textId="2D31C88B"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Relevant databases for the review included </w:t>
      </w:r>
      <w:r w:rsidR="007653F5" w:rsidRPr="005304F1">
        <w:rPr>
          <w:rFonts w:ascii="Arial" w:eastAsia="Arial" w:hAnsi="Arial" w:cs="Arial"/>
          <w:sz w:val="23"/>
          <w:szCs w:val="23"/>
        </w:rPr>
        <w:t xml:space="preserve">University Library, </w:t>
      </w:r>
      <w:r w:rsidRPr="005304F1">
        <w:rPr>
          <w:rFonts w:ascii="Arial" w:eastAsia="Arial" w:hAnsi="Arial" w:cs="Arial"/>
          <w:sz w:val="23"/>
          <w:szCs w:val="23"/>
        </w:rPr>
        <w:t xml:space="preserve">MEDLINE/PubMed, </w:t>
      </w:r>
      <w:r w:rsidR="007653F5" w:rsidRPr="005304F1">
        <w:rPr>
          <w:rFonts w:ascii="Arial" w:eastAsia="Arial" w:hAnsi="Arial" w:cs="Arial"/>
          <w:sz w:val="23"/>
          <w:szCs w:val="23"/>
        </w:rPr>
        <w:t>ProQuest, Web of Science,</w:t>
      </w:r>
      <w:r w:rsidR="002068CF">
        <w:rPr>
          <w:rFonts w:ascii="Arial" w:eastAsia="Arial" w:hAnsi="Arial" w:cs="Arial"/>
          <w:sz w:val="23"/>
          <w:szCs w:val="23"/>
        </w:rPr>
        <w:t xml:space="preserve"> Google Scholar</w:t>
      </w:r>
      <w:r w:rsidR="00F255EB">
        <w:rPr>
          <w:rFonts w:ascii="Arial" w:eastAsia="Arial" w:hAnsi="Arial" w:cs="Arial"/>
          <w:sz w:val="23"/>
          <w:szCs w:val="23"/>
        </w:rPr>
        <w:t>, Mental Health Databases</w:t>
      </w:r>
      <w:r w:rsidR="007653F5" w:rsidRPr="005304F1">
        <w:rPr>
          <w:rFonts w:ascii="Arial" w:eastAsia="Arial" w:hAnsi="Arial" w:cs="Arial"/>
          <w:sz w:val="23"/>
          <w:szCs w:val="23"/>
        </w:rPr>
        <w:t xml:space="preserve"> </w:t>
      </w:r>
      <w:r w:rsidRPr="005304F1">
        <w:rPr>
          <w:rFonts w:ascii="Arial" w:eastAsia="Arial" w:hAnsi="Arial" w:cs="Arial"/>
          <w:sz w:val="23"/>
          <w:szCs w:val="23"/>
        </w:rPr>
        <w:t>and Social Care Online. Reference lists of relevant studies were also considered.</w:t>
      </w:r>
    </w:p>
    <w:p w14:paraId="16CFCAF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Because the topic is developing rapidly, targeted searches were used to identify recent UK evidence concerning CAMHS waiting lists, inequalities and interventions. This was particularly relevant to studies published in 2026.</w:t>
      </w:r>
    </w:p>
    <w:p w14:paraId="3CAA4830"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3" w:name="_heading=h.rpa2eqjjqyi0" w:colFirst="0" w:colLast="0"/>
      <w:bookmarkEnd w:id="23"/>
      <w:r w:rsidRPr="005304F1">
        <w:rPr>
          <w:i w:val="0"/>
          <w:iCs w:val="0"/>
          <w:color w:val="auto"/>
          <w:sz w:val="23"/>
          <w:szCs w:val="23"/>
        </w:rPr>
        <w:t>3.3 Inclusion Criteria</w:t>
      </w:r>
    </w:p>
    <w:p w14:paraId="6BA026D6" w14:textId="77777777" w:rsidR="00084F6F" w:rsidRPr="005304F1" w:rsidRDefault="00000000">
      <w:pPr>
        <w:tabs>
          <w:tab w:val="left" w:pos="6540"/>
        </w:tabs>
        <w:rPr>
          <w:rFonts w:ascii="Arial" w:hAnsi="Arial" w:cs="Arial"/>
          <w:sz w:val="23"/>
          <w:szCs w:val="23"/>
        </w:rPr>
      </w:pPr>
      <w:r w:rsidRPr="005304F1">
        <w:rPr>
          <w:rFonts w:ascii="Arial" w:hAnsi="Arial" w:cs="Arial"/>
          <w:sz w:val="23"/>
          <w:szCs w:val="23"/>
        </w:rPr>
        <w:t>Appendix 2</w:t>
      </w:r>
    </w:p>
    <w:p w14:paraId="79FED1E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Studies were included where they:</w:t>
      </w:r>
    </w:p>
    <w:p w14:paraId="3FC890C5" w14:textId="77777777" w:rsidR="00084F6F" w:rsidRPr="005304F1" w:rsidRDefault="00000000">
      <w:pPr>
        <w:numPr>
          <w:ilvl w:val="0"/>
          <w:numId w:val="11"/>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involved children, adolescents or young people;</w:t>
      </w:r>
    </w:p>
    <w:p w14:paraId="0C66B268"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addressed mental health;</w:t>
      </w:r>
    </w:p>
    <w:p w14:paraId="5AD6F547"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undertaken in the UK;</w:t>
      </w:r>
    </w:p>
    <w:p w14:paraId="038C9929"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concerned NHS, CAMHS or publicly funded services;</w:t>
      </w:r>
    </w:p>
    <w:p w14:paraId="43DC70BE"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waiting times, access, delays or waiting-list experiences;</w:t>
      </w:r>
    </w:p>
    <w:p w14:paraId="7ADE015C"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outcomes associated with waiting;</w:t>
      </w:r>
    </w:p>
    <w:p w14:paraId="31E72C8B"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interventions provided while waiting; or</w:t>
      </w:r>
    </w:p>
    <w:p w14:paraId="0CA4AFBC" w14:textId="77777777" w:rsidR="00084F6F" w:rsidRPr="005304F1" w:rsidRDefault="00000000">
      <w:pPr>
        <w:numPr>
          <w:ilvl w:val="0"/>
          <w:numId w:val="11"/>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provided evidence concerning inequalities in access.</w:t>
      </w:r>
    </w:p>
    <w:p w14:paraId="24F66D9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Peer-reviewed studies and relevant systematic reviews were included.</w:t>
      </w:r>
    </w:p>
    <w:p w14:paraId="1CD79087"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4" w:name="_heading=h.g1kl6dq1ygya" w:colFirst="0" w:colLast="0"/>
      <w:bookmarkEnd w:id="24"/>
      <w:r w:rsidRPr="005304F1">
        <w:rPr>
          <w:i w:val="0"/>
          <w:iCs w:val="0"/>
          <w:color w:val="auto"/>
          <w:sz w:val="23"/>
          <w:szCs w:val="23"/>
        </w:rPr>
        <w:t>3.4 Exclusion Criteria</w:t>
      </w:r>
    </w:p>
    <w:p w14:paraId="14D04DE2"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Studies were excluded if they:</w:t>
      </w:r>
    </w:p>
    <w:p w14:paraId="16488B7B" w14:textId="77777777" w:rsidR="00084F6F" w:rsidRPr="005304F1" w:rsidRDefault="00000000">
      <w:pPr>
        <w:numPr>
          <w:ilvl w:val="0"/>
          <w:numId w:val="8"/>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focused exclusively on adults;</w:t>
      </w:r>
    </w:p>
    <w:p w14:paraId="781B9FE2"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physical rather than mental health services;</w:t>
      </w:r>
    </w:p>
    <w:p w14:paraId="56D195C4"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undertaken outside the UK without separate UK findings;</w:t>
      </w:r>
    </w:p>
    <w:p w14:paraId="416B5300"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did not address waiting or access;</w:t>
      </w:r>
    </w:p>
    <w:p w14:paraId="4D5BF5D3"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unrelated to NHS or comparable publicly funded services; or</w:t>
      </w:r>
    </w:p>
    <w:p w14:paraId="5BF27CC9" w14:textId="6200FB80" w:rsidR="00084F6F" w:rsidRDefault="00000000">
      <w:pPr>
        <w:numPr>
          <w:ilvl w:val="0"/>
          <w:numId w:val="8"/>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did not provide evidence relevant to the review question.</w:t>
      </w:r>
    </w:p>
    <w:p w14:paraId="5ABD3949" w14:textId="77777777" w:rsidR="009D119E" w:rsidRPr="005304F1" w:rsidRDefault="009D119E" w:rsidP="009D119E">
      <w:pPr>
        <w:tabs>
          <w:tab w:val="left" w:pos="6540"/>
        </w:tabs>
        <w:spacing w:after="240" w:line="360" w:lineRule="auto"/>
        <w:ind w:left="720"/>
        <w:rPr>
          <w:rFonts w:ascii="Arial" w:eastAsia="Arial" w:hAnsi="Arial" w:cs="Arial"/>
          <w:sz w:val="23"/>
          <w:szCs w:val="23"/>
        </w:rPr>
      </w:pPr>
    </w:p>
    <w:p w14:paraId="00AA22C2"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5" w:name="_heading=h.hpyulgd3vvzg" w:colFirst="0" w:colLast="0"/>
      <w:bookmarkEnd w:id="25"/>
      <w:r w:rsidRPr="005304F1">
        <w:rPr>
          <w:i w:val="0"/>
          <w:iCs w:val="0"/>
          <w:color w:val="auto"/>
          <w:sz w:val="23"/>
          <w:szCs w:val="23"/>
        </w:rPr>
        <w:lastRenderedPageBreak/>
        <w:t>3.5 Study Selection</w:t>
      </w:r>
    </w:p>
    <w:p w14:paraId="1A0429FF" w14:textId="61E5058D" w:rsidR="00084F6F" w:rsidRPr="005304F1" w:rsidRDefault="00573898">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Five studies were selected for the final thematic synthesis. These included qualitative research, quantitative studies, national administrative analyses, service evaluations, quasi-experimental research and systematic review evidence.</w:t>
      </w:r>
    </w:p>
    <w:p w14:paraId="2CCBD3F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principal studies retained were:</w:t>
      </w:r>
    </w:p>
    <w:p w14:paraId="2290404E" w14:textId="77777777" w:rsidR="00084F6F" w:rsidRPr="005304F1" w:rsidRDefault="00000000">
      <w:pPr>
        <w:numPr>
          <w:ilvl w:val="0"/>
          <w:numId w:val="9"/>
        </w:numPr>
        <w:tabs>
          <w:tab w:val="left" w:pos="6540"/>
        </w:tabs>
        <w:spacing w:before="240" w:after="0"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and Deighton (2020)</w:t>
      </w:r>
    </w:p>
    <w:p w14:paraId="7676CA8F" w14:textId="77777777" w:rsidR="00084F6F" w:rsidRPr="005304F1" w:rsidRDefault="00000000">
      <w:pPr>
        <w:numPr>
          <w:ilvl w:val="0"/>
          <w:numId w:val="9"/>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Valentine et al. (2024)</w:t>
      </w:r>
    </w:p>
    <w:p w14:paraId="4645D67C" w14:textId="77777777" w:rsidR="00084F6F" w:rsidRPr="005304F1" w:rsidRDefault="00000000">
      <w:pPr>
        <w:numPr>
          <w:ilvl w:val="0"/>
          <w:numId w:val="9"/>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Pape, Rixson and Abdul Pari (2026)</w:t>
      </w:r>
    </w:p>
    <w:p w14:paraId="00421EF4" w14:textId="77777777" w:rsidR="00084F6F" w:rsidRPr="005304F1" w:rsidRDefault="00000000">
      <w:pPr>
        <w:numPr>
          <w:ilvl w:val="0"/>
          <w:numId w:val="9"/>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Han et al. (2026)</w:t>
      </w:r>
    </w:p>
    <w:p w14:paraId="03AA2A32" w14:textId="77777777" w:rsidR="00084F6F" w:rsidRPr="005304F1" w:rsidRDefault="00000000">
      <w:pPr>
        <w:numPr>
          <w:ilvl w:val="0"/>
          <w:numId w:val="9"/>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Hayes et al. (2026)</w:t>
      </w:r>
    </w:p>
    <w:p w14:paraId="48303CB1"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6" w:name="_heading=h.8yde6ngs9uw1" w:colFirst="0" w:colLast="0"/>
      <w:bookmarkEnd w:id="26"/>
      <w:r w:rsidRPr="005304F1">
        <w:rPr>
          <w:i w:val="0"/>
          <w:iCs w:val="0"/>
          <w:color w:val="auto"/>
          <w:sz w:val="23"/>
          <w:szCs w:val="23"/>
        </w:rPr>
        <w:t>3.6 Data Analysis</w:t>
      </w:r>
    </w:p>
    <w:p w14:paraId="7D952B9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thematic approach was used to synthesise the evidence. Findings were extracted and organised according to the research question and objectives.</w:t>
      </w:r>
    </w:p>
    <w:p w14:paraId="5EB5A3A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Five principal themes were identified:</w:t>
      </w:r>
    </w:p>
    <w:p w14:paraId="79553F05" w14:textId="77777777" w:rsidR="00084F6F" w:rsidRPr="005304F1" w:rsidRDefault="00000000">
      <w:pPr>
        <w:numPr>
          <w:ilvl w:val="0"/>
          <w:numId w:val="3"/>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mental health deterioration and wellbeing;</w:t>
      </w:r>
    </w:p>
    <w:p w14:paraId="565FA9D6" w14:textId="77777777" w:rsidR="00084F6F" w:rsidRPr="005304F1" w:rsidRDefault="00000000">
      <w:pPr>
        <w:numPr>
          <w:ilvl w:val="0"/>
          <w:numId w:val="3"/>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family life and uncertainty;</w:t>
      </w:r>
    </w:p>
    <w:p w14:paraId="2F035CDF" w14:textId="77777777" w:rsidR="00084F6F" w:rsidRPr="005304F1" w:rsidRDefault="00000000">
      <w:pPr>
        <w:numPr>
          <w:ilvl w:val="0"/>
          <w:numId w:val="3"/>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education and social participation;</w:t>
      </w:r>
    </w:p>
    <w:p w14:paraId="2F0EA098" w14:textId="77777777" w:rsidR="00084F6F" w:rsidRPr="005304F1" w:rsidRDefault="00000000">
      <w:pPr>
        <w:numPr>
          <w:ilvl w:val="0"/>
          <w:numId w:val="3"/>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inequalities in access; and</w:t>
      </w:r>
    </w:p>
    <w:p w14:paraId="5F33A8EE" w14:textId="77777777" w:rsidR="00084F6F" w:rsidRPr="005304F1" w:rsidRDefault="00000000">
      <w:pPr>
        <w:numPr>
          <w:ilvl w:val="0"/>
          <w:numId w:val="3"/>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interventions and support while waiting.</w:t>
      </w:r>
    </w:p>
    <w:p w14:paraId="5BE497C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methodological differences between studies were considered when interpreting the findings.</w:t>
      </w:r>
    </w:p>
    <w:p w14:paraId="6B9F03DB"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7" w:name="_heading=h.m3tsambnpj8" w:colFirst="0" w:colLast="0"/>
      <w:bookmarkEnd w:id="27"/>
      <w:r w:rsidRPr="005304F1">
        <w:rPr>
          <w:i w:val="0"/>
          <w:iCs w:val="0"/>
          <w:color w:val="auto"/>
          <w:sz w:val="23"/>
          <w:szCs w:val="23"/>
        </w:rPr>
        <w:t>3.7 Ethical Considerations</w:t>
      </w:r>
    </w:p>
    <w:p w14:paraId="4E63D79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As the review used published research rather than collecting new data from participants, formal primary research ethical approval was not required.</w:t>
      </w:r>
    </w:p>
    <w:p w14:paraId="6753104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ethical principles remain relevant. The review presents evidence accurately and avoids overstating findings. Particular care is required when discussing self-harm, suicidal behaviour and mental illness among young people.</w:t>
      </w:r>
    </w:p>
    <w:p w14:paraId="51FB34C1" w14:textId="284B92EB" w:rsidR="00084F6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Academic integrity was maintained through appropriate attribution of findings to the original researchers.</w:t>
      </w:r>
    </w:p>
    <w:p w14:paraId="2D23C3E1" w14:textId="77777777" w:rsidR="00084F6F" w:rsidRPr="005304F1" w:rsidRDefault="00000000">
      <w:pPr>
        <w:pStyle w:val="Heading1"/>
        <w:keepNext w:val="0"/>
        <w:keepLines w:val="0"/>
        <w:tabs>
          <w:tab w:val="left" w:pos="6540"/>
        </w:tabs>
        <w:spacing w:before="480" w:after="120"/>
        <w:rPr>
          <w:color w:val="auto"/>
          <w:sz w:val="23"/>
          <w:szCs w:val="23"/>
        </w:rPr>
      </w:pPr>
      <w:bookmarkStart w:id="28" w:name="_heading=h.piyrccx1fu01" w:colFirst="0" w:colLast="0"/>
      <w:bookmarkEnd w:id="28"/>
      <w:r w:rsidRPr="005304F1">
        <w:rPr>
          <w:color w:val="auto"/>
          <w:sz w:val="23"/>
          <w:szCs w:val="23"/>
        </w:rPr>
        <w:t>4. Results</w:t>
      </w:r>
    </w:p>
    <w:p w14:paraId="501E5A91"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29" w:name="_heading=h.h8k3kby79j0s" w:colFirst="0" w:colLast="0"/>
      <w:bookmarkEnd w:id="29"/>
      <w:r w:rsidRPr="005304F1">
        <w:rPr>
          <w:i w:val="0"/>
          <w:iCs w:val="0"/>
          <w:color w:val="auto"/>
          <w:sz w:val="23"/>
          <w:szCs w:val="23"/>
        </w:rPr>
        <w:t>4.1 Characteristics of the Selected Studies</w:t>
      </w:r>
    </w:p>
    <w:p w14:paraId="37853F9F" w14:textId="77777777" w:rsidR="00084F6F" w:rsidRPr="005304F1" w:rsidRDefault="00000000">
      <w:pPr>
        <w:tabs>
          <w:tab w:val="left" w:pos="6540"/>
        </w:tabs>
        <w:rPr>
          <w:rFonts w:ascii="Arial" w:hAnsi="Arial" w:cs="Arial"/>
          <w:b/>
          <w:bCs/>
          <w:sz w:val="23"/>
          <w:szCs w:val="23"/>
        </w:rPr>
      </w:pPr>
      <w:r w:rsidRPr="005304F1">
        <w:rPr>
          <w:rFonts w:ascii="Arial" w:hAnsi="Arial" w:cs="Arial"/>
          <w:b/>
          <w:bCs/>
          <w:sz w:val="23"/>
          <w:szCs w:val="23"/>
        </w:rPr>
        <w:t xml:space="preserve">Appendix </w:t>
      </w:r>
      <w:proofErr w:type="gramStart"/>
      <w:r w:rsidRPr="005304F1">
        <w:rPr>
          <w:rFonts w:ascii="Arial" w:hAnsi="Arial" w:cs="Arial"/>
          <w:b/>
          <w:bCs/>
          <w:sz w:val="23"/>
          <w:szCs w:val="23"/>
        </w:rPr>
        <w:t>3 :</w:t>
      </w:r>
      <w:proofErr w:type="gramEnd"/>
    </w:p>
    <w:p w14:paraId="0DE69387" w14:textId="362C4B52"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The </w:t>
      </w:r>
      <w:r w:rsidR="00EB4FC9" w:rsidRPr="005304F1">
        <w:rPr>
          <w:rFonts w:ascii="Arial" w:eastAsia="Arial" w:hAnsi="Arial" w:cs="Arial"/>
          <w:sz w:val="23"/>
          <w:szCs w:val="23"/>
        </w:rPr>
        <w:t>Five</w:t>
      </w:r>
      <w:r w:rsidRPr="005304F1">
        <w:rPr>
          <w:rFonts w:ascii="Arial" w:eastAsia="Arial" w:hAnsi="Arial" w:cs="Arial"/>
          <w:sz w:val="23"/>
          <w:szCs w:val="23"/>
        </w:rPr>
        <w:t xml:space="preserve"> selected studies varied in methodology and focus.</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2911"/>
        <w:gridCol w:w="2685"/>
        <w:gridCol w:w="3429"/>
      </w:tblGrid>
      <w:tr w:rsidR="009300F3" w:rsidRPr="005304F1" w14:paraId="107F21D2"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61B65092" w14:textId="77777777"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Study</w:t>
            </w:r>
          </w:p>
        </w:tc>
        <w:tc>
          <w:tcPr>
            <w:tcW w:w="2685" w:type="dxa"/>
            <w:tcBorders>
              <w:top w:val="nil"/>
              <w:left w:val="nil"/>
              <w:bottom w:val="nil"/>
              <w:right w:val="nil"/>
            </w:tcBorders>
            <w:tcMar>
              <w:top w:w="100" w:type="dxa"/>
              <w:left w:w="100" w:type="dxa"/>
              <w:bottom w:w="100" w:type="dxa"/>
              <w:right w:w="100" w:type="dxa"/>
            </w:tcMar>
          </w:tcPr>
          <w:p w14:paraId="2A3DE987" w14:textId="77777777"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Method</w:t>
            </w:r>
          </w:p>
        </w:tc>
        <w:tc>
          <w:tcPr>
            <w:tcW w:w="3429" w:type="dxa"/>
            <w:tcBorders>
              <w:top w:val="nil"/>
              <w:left w:val="nil"/>
              <w:bottom w:val="nil"/>
              <w:right w:val="nil"/>
            </w:tcBorders>
            <w:tcMar>
              <w:top w:w="100" w:type="dxa"/>
              <w:left w:w="100" w:type="dxa"/>
              <w:bottom w:w="100" w:type="dxa"/>
              <w:right w:w="100" w:type="dxa"/>
            </w:tcMar>
          </w:tcPr>
          <w:p w14:paraId="24349685" w14:textId="77777777"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Main contribution</w:t>
            </w:r>
          </w:p>
        </w:tc>
      </w:tr>
      <w:tr w:rsidR="009300F3" w:rsidRPr="005304F1" w14:paraId="57BEA777" w14:textId="77777777" w:rsidTr="005F0184">
        <w:trPr>
          <w:trHeight w:val="785"/>
        </w:trPr>
        <w:tc>
          <w:tcPr>
            <w:tcW w:w="2911" w:type="dxa"/>
            <w:tcBorders>
              <w:top w:val="nil"/>
              <w:left w:val="nil"/>
              <w:bottom w:val="nil"/>
              <w:right w:val="nil"/>
            </w:tcBorders>
            <w:tcMar>
              <w:top w:w="100" w:type="dxa"/>
              <w:left w:w="100" w:type="dxa"/>
              <w:bottom w:w="100" w:type="dxa"/>
              <w:right w:w="100" w:type="dxa"/>
            </w:tcMar>
          </w:tcPr>
          <w:p w14:paraId="78411CEC" w14:textId="77777777" w:rsidR="00084F6F" w:rsidRPr="005304F1" w:rsidRDefault="00000000">
            <w:pPr>
              <w:tabs>
                <w:tab w:val="left" w:pos="6540"/>
              </w:tabs>
              <w:spacing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&amp; Deighton (2020)</w:t>
            </w:r>
          </w:p>
        </w:tc>
        <w:tc>
          <w:tcPr>
            <w:tcW w:w="2685" w:type="dxa"/>
            <w:tcBorders>
              <w:top w:val="nil"/>
              <w:left w:val="nil"/>
              <w:bottom w:val="nil"/>
              <w:right w:val="nil"/>
            </w:tcBorders>
            <w:tcMar>
              <w:top w:w="100" w:type="dxa"/>
              <w:left w:w="100" w:type="dxa"/>
              <w:bottom w:w="100" w:type="dxa"/>
              <w:right w:w="100" w:type="dxa"/>
            </w:tcMar>
          </w:tcPr>
          <w:p w14:paraId="74FF8D4E"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Quantitative</w:t>
            </w:r>
          </w:p>
        </w:tc>
        <w:tc>
          <w:tcPr>
            <w:tcW w:w="3429" w:type="dxa"/>
            <w:tcBorders>
              <w:top w:val="nil"/>
              <w:left w:val="nil"/>
              <w:bottom w:val="nil"/>
              <w:right w:val="nil"/>
            </w:tcBorders>
            <w:tcMar>
              <w:top w:w="100" w:type="dxa"/>
              <w:left w:w="100" w:type="dxa"/>
              <w:bottom w:w="100" w:type="dxa"/>
              <w:right w:w="100" w:type="dxa"/>
            </w:tcMar>
          </w:tcPr>
          <w:p w14:paraId="0ADCE80B"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Waiting times and clinical severity</w:t>
            </w:r>
          </w:p>
        </w:tc>
      </w:tr>
      <w:tr w:rsidR="009300F3" w:rsidRPr="005304F1" w14:paraId="5C453959"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309F368A"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Valentine et al. (2024)</w:t>
            </w:r>
          </w:p>
        </w:tc>
        <w:tc>
          <w:tcPr>
            <w:tcW w:w="2685" w:type="dxa"/>
            <w:tcBorders>
              <w:top w:val="nil"/>
              <w:left w:val="nil"/>
              <w:bottom w:val="nil"/>
              <w:right w:val="nil"/>
            </w:tcBorders>
            <w:tcMar>
              <w:top w:w="100" w:type="dxa"/>
              <w:left w:w="100" w:type="dxa"/>
              <w:bottom w:w="100" w:type="dxa"/>
              <w:right w:w="100" w:type="dxa"/>
            </w:tcMar>
          </w:tcPr>
          <w:p w14:paraId="66FC296B"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Systematic review</w:t>
            </w:r>
          </w:p>
        </w:tc>
        <w:tc>
          <w:tcPr>
            <w:tcW w:w="3429" w:type="dxa"/>
            <w:tcBorders>
              <w:top w:val="nil"/>
              <w:left w:val="nil"/>
              <w:bottom w:val="nil"/>
              <w:right w:val="nil"/>
            </w:tcBorders>
            <w:tcMar>
              <w:top w:w="100" w:type="dxa"/>
              <w:left w:w="100" w:type="dxa"/>
              <w:bottom w:w="100" w:type="dxa"/>
              <w:right w:w="100" w:type="dxa"/>
            </w:tcMar>
          </w:tcPr>
          <w:p w14:paraId="72CDCD2D"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Waiting-list interventions</w:t>
            </w:r>
          </w:p>
        </w:tc>
      </w:tr>
      <w:tr w:rsidR="009300F3" w:rsidRPr="005304F1" w14:paraId="60B0E4F1"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66B5EADD"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Pape et al. (2026)</w:t>
            </w:r>
          </w:p>
        </w:tc>
        <w:tc>
          <w:tcPr>
            <w:tcW w:w="2685" w:type="dxa"/>
            <w:tcBorders>
              <w:top w:val="nil"/>
              <w:left w:val="nil"/>
              <w:bottom w:val="nil"/>
              <w:right w:val="nil"/>
            </w:tcBorders>
            <w:tcMar>
              <w:top w:w="100" w:type="dxa"/>
              <w:left w:w="100" w:type="dxa"/>
              <w:bottom w:w="100" w:type="dxa"/>
              <w:right w:w="100" w:type="dxa"/>
            </w:tcMar>
          </w:tcPr>
          <w:p w14:paraId="6C0010D3"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National administrative analysis</w:t>
            </w:r>
          </w:p>
        </w:tc>
        <w:tc>
          <w:tcPr>
            <w:tcW w:w="3429" w:type="dxa"/>
            <w:tcBorders>
              <w:top w:val="nil"/>
              <w:left w:val="nil"/>
              <w:bottom w:val="nil"/>
              <w:right w:val="nil"/>
            </w:tcBorders>
            <w:tcMar>
              <w:top w:w="100" w:type="dxa"/>
              <w:left w:w="100" w:type="dxa"/>
              <w:bottom w:w="100" w:type="dxa"/>
              <w:right w:w="100" w:type="dxa"/>
            </w:tcMar>
          </w:tcPr>
          <w:p w14:paraId="5992681C"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Inequalities in access</w:t>
            </w:r>
          </w:p>
        </w:tc>
      </w:tr>
      <w:tr w:rsidR="009300F3" w:rsidRPr="005304F1" w14:paraId="59DF9B69"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7D4BEB88"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Han et al. (2026)</w:t>
            </w:r>
          </w:p>
        </w:tc>
        <w:tc>
          <w:tcPr>
            <w:tcW w:w="2685" w:type="dxa"/>
            <w:tcBorders>
              <w:top w:val="nil"/>
              <w:left w:val="nil"/>
              <w:bottom w:val="nil"/>
              <w:right w:val="nil"/>
            </w:tcBorders>
            <w:tcMar>
              <w:top w:w="100" w:type="dxa"/>
              <w:left w:w="100" w:type="dxa"/>
              <w:bottom w:w="100" w:type="dxa"/>
              <w:right w:w="100" w:type="dxa"/>
            </w:tcMar>
          </w:tcPr>
          <w:p w14:paraId="6497B584"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Qualitative</w:t>
            </w:r>
          </w:p>
        </w:tc>
        <w:tc>
          <w:tcPr>
            <w:tcW w:w="3429" w:type="dxa"/>
            <w:tcBorders>
              <w:top w:val="nil"/>
              <w:left w:val="nil"/>
              <w:bottom w:val="nil"/>
              <w:right w:val="nil"/>
            </w:tcBorders>
            <w:tcMar>
              <w:top w:w="100" w:type="dxa"/>
              <w:left w:w="100" w:type="dxa"/>
              <w:bottom w:w="100" w:type="dxa"/>
              <w:right w:w="100" w:type="dxa"/>
            </w:tcMar>
          </w:tcPr>
          <w:p w14:paraId="2B1B858F"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Young people's and caregivers' experiences</w:t>
            </w:r>
          </w:p>
        </w:tc>
      </w:tr>
      <w:tr w:rsidR="009300F3" w:rsidRPr="005304F1" w14:paraId="4C96C39A"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7259EA87"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Hayes et al. (2026)</w:t>
            </w:r>
          </w:p>
        </w:tc>
        <w:tc>
          <w:tcPr>
            <w:tcW w:w="2685" w:type="dxa"/>
            <w:tcBorders>
              <w:top w:val="nil"/>
              <w:left w:val="nil"/>
              <w:bottom w:val="nil"/>
              <w:right w:val="nil"/>
            </w:tcBorders>
            <w:tcMar>
              <w:top w:w="100" w:type="dxa"/>
              <w:left w:w="100" w:type="dxa"/>
              <w:bottom w:w="100" w:type="dxa"/>
              <w:right w:w="100" w:type="dxa"/>
            </w:tcMar>
          </w:tcPr>
          <w:p w14:paraId="7E871FA5"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Service evaluation</w:t>
            </w:r>
          </w:p>
        </w:tc>
        <w:tc>
          <w:tcPr>
            <w:tcW w:w="3429" w:type="dxa"/>
            <w:tcBorders>
              <w:top w:val="nil"/>
              <w:left w:val="nil"/>
              <w:bottom w:val="nil"/>
              <w:right w:val="nil"/>
            </w:tcBorders>
            <w:tcMar>
              <w:top w:w="100" w:type="dxa"/>
              <w:left w:w="100" w:type="dxa"/>
              <w:bottom w:w="100" w:type="dxa"/>
              <w:right w:w="100" w:type="dxa"/>
            </w:tcMar>
          </w:tcPr>
          <w:p w14:paraId="20D5FEA5"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Social prescribing while waiting</w:t>
            </w:r>
          </w:p>
        </w:tc>
      </w:tr>
      <w:tr w:rsidR="009300F3" w:rsidRPr="005304F1" w14:paraId="23C8C70D" w14:textId="77777777" w:rsidTr="005F0184">
        <w:trPr>
          <w:trHeight w:val="785"/>
        </w:trPr>
        <w:tc>
          <w:tcPr>
            <w:tcW w:w="2911" w:type="dxa"/>
            <w:tcBorders>
              <w:top w:val="nil"/>
              <w:left w:val="nil"/>
              <w:bottom w:val="nil"/>
              <w:right w:val="nil"/>
            </w:tcBorders>
            <w:tcMar>
              <w:top w:w="100" w:type="dxa"/>
              <w:left w:w="100" w:type="dxa"/>
              <w:bottom w:w="100" w:type="dxa"/>
              <w:right w:w="100" w:type="dxa"/>
            </w:tcMar>
          </w:tcPr>
          <w:p w14:paraId="24A516DB"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6C6A9F0E"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5164D193" w14:textId="77777777" w:rsidR="00084F6F" w:rsidRPr="005304F1" w:rsidRDefault="00084F6F">
            <w:pPr>
              <w:tabs>
                <w:tab w:val="left" w:pos="6540"/>
              </w:tabs>
              <w:spacing w:line="360" w:lineRule="auto"/>
              <w:rPr>
                <w:rFonts w:ascii="Arial" w:eastAsia="Arial" w:hAnsi="Arial" w:cs="Arial"/>
                <w:sz w:val="23"/>
                <w:szCs w:val="23"/>
              </w:rPr>
            </w:pPr>
          </w:p>
        </w:tc>
      </w:tr>
      <w:tr w:rsidR="009300F3" w:rsidRPr="005304F1" w14:paraId="5CAEDDE4" w14:textId="77777777" w:rsidTr="005F0184">
        <w:trPr>
          <w:trHeight w:val="515"/>
        </w:trPr>
        <w:tc>
          <w:tcPr>
            <w:tcW w:w="2911" w:type="dxa"/>
            <w:tcBorders>
              <w:top w:val="nil"/>
              <w:left w:val="nil"/>
              <w:bottom w:val="nil"/>
              <w:right w:val="nil"/>
            </w:tcBorders>
            <w:tcMar>
              <w:top w:w="100" w:type="dxa"/>
              <w:left w:w="100" w:type="dxa"/>
              <w:bottom w:w="100" w:type="dxa"/>
              <w:right w:w="100" w:type="dxa"/>
            </w:tcMar>
          </w:tcPr>
          <w:p w14:paraId="6888FE9C"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6A9C8C0C"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12B59F59" w14:textId="77777777" w:rsidR="00084F6F" w:rsidRPr="005304F1" w:rsidRDefault="00084F6F">
            <w:pPr>
              <w:tabs>
                <w:tab w:val="left" w:pos="6540"/>
              </w:tabs>
              <w:spacing w:line="360" w:lineRule="auto"/>
              <w:rPr>
                <w:rFonts w:ascii="Arial" w:eastAsia="Arial" w:hAnsi="Arial" w:cs="Arial"/>
                <w:sz w:val="23"/>
                <w:szCs w:val="23"/>
              </w:rPr>
            </w:pPr>
          </w:p>
        </w:tc>
      </w:tr>
    </w:tbl>
    <w:p w14:paraId="2E92FA8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evidence therefore provides different perspectives on waiting, ranging from administrative service data to direct accounts from young people and families.</w:t>
      </w:r>
    </w:p>
    <w:p w14:paraId="57A2BCE0" w14:textId="764FFC56" w:rsidR="00084F6F" w:rsidRDefault="00084F6F">
      <w:pPr>
        <w:tabs>
          <w:tab w:val="left" w:pos="6540"/>
        </w:tabs>
        <w:spacing w:line="360" w:lineRule="auto"/>
        <w:rPr>
          <w:rFonts w:ascii="Arial" w:eastAsia="Arial" w:hAnsi="Arial" w:cs="Arial"/>
          <w:sz w:val="23"/>
          <w:szCs w:val="23"/>
        </w:rPr>
      </w:pPr>
    </w:p>
    <w:p w14:paraId="75906D91" w14:textId="77777777" w:rsidR="009D119E" w:rsidRPr="005304F1" w:rsidRDefault="009D119E">
      <w:pPr>
        <w:tabs>
          <w:tab w:val="left" w:pos="6540"/>
        </w:tabs>
        <w:spacing w:line="360" w:lineRule="auto"/>
        <w:rPr>
          <w:rFonts w:ascii="Arial" w:eastAsia="Arial" w:hAnsi="Arial" w:cs="Arial"/>
          <w:sz w:val="23"/>
          <w:szCs w:val="23"/>
        </w:rPr>
      </w:pPr>
    </w:p>
    <w:p w14:paraId="1934CC6C"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0" w:name="_heading=h.9e8eowoq5knz" w:colFirst="0" w:colLast="0"/>
      <w:bookmarkEnd w:id="30"/>
      <w:r w:rsidRPr="005304F1">
        <w:rPr>
          <w:i w:val="0"/>
          <w:iCs w:val="0"/>
          <w:color w:val="auto"/>
          <w:sz w:val="23"/>
          <w:szCs w:val="23"/>
        </w:rPr>
        <w:lastRenderedPageBreak/>
        <w:t>4.2 Theme One: Deterioration in Mental Health and Wellbeing</w:t>
      </w:r>
    </w:p>
    <w:p w14:paraId="1993060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strongest direct evidence concerning the experience of waiting comes from Han et al. (2026). The study involved 20 young people aged 11–17 and 15 caregivers across ten CAMHS sites in England.</w:t>
      </w:r>
    </w:p>
    <w:p w14:paraId="385C111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Four major experiences were identified: deterioration in mental and physical health, strain on family and wider relationships, unclear processes and communication, and a perceived mismatch between need and available support.</w:t>
      </w:r>
    </w:p>
    <w:p w14:paraId="3F09710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finding is significant because it demonstrates that young people do not necessarily experience waiting as a neutral period.</w:t>
      </w:r>
    </w:p>
    <w:p w14:paraId="6843190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Young people may enter the waiting list experiencing moderate difficulties and subsequently deteriorate while waiting. The absence of timely intervention may allow difficulties to become more established.</w:t>
      </w:r>
    </w:p>
    <w:p w14:paraId="7123ED7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the evidence must be interpreted carefully. The young people in Han et al.'s study were already experiencing mental health difficulties. It is therefore not possible to conclude that waiting alone caused deterioration.</w:t>
      </w:r>
    </w:p>
    <w:p w14:paraId="0A590855" w14:textId="77777777" w:rsidR="00084F6F" w:rsidRPr="005304F1" w:rsidRDefault="00000000">
      <w:pPr>
        <w:tabs>
          <w:tab w:val="left" w:pos="6540"/>
        </w:tabs>
        <w:spacing w:before="240" w:after="240"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and Deighton (2020) provide important contextual evidence. Their analysis of 21,419 CAMHS care episodes identified considerable variation in waiting times. The study also found that young people with more severe difficulties were generally prioritised.</w:t>
      </w:r>
    </w:p>
    <w:p w14:paraId="14A1572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indicates that some longer waits may result from appropriate clinical prioritisation rather than poor practice.</w:t>
      </w:r>
    </w:p>
    <w:p w14:paraId="0C996EC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combined evidence therefore suggests that waiting may be a contributing factor to deterioration, but causal conclusions remain limited.</w:t>
      </w:r>
    </w:p>
    <w:p w14:paraId="753C7D12" w14:textId="40C85D78" w:rsidR="00084F6F" w:rsidRDefault="00084F6F">
      <w:pPr>
        <w:tabs>
          <w:tab w:val="left" w:pos="6540"/>
        </w:tabs>
        <w:spacing w:line="360" w:lineRule="auto"/>
        <w:rPr>
          <w:rFonts w:ascii="Arial" w:eastAsia="Arial" w:hAnsi="Arial" w:cs="Arial"/>
          <w:sz w:val="23"/>
          <w:szCs w:val="23"/>
        </w:rPr>
      </w:pPr>
    </w:p>
    <w:p w14:paraId="61B69FEE" w14:textId="36225769" w:rsidR="009D119E" w:rsidRDefault="009D119E">
      <w:pPr>
        <w:tabs>
          <w:tab w:val="left" w:pos="6540"/>
        </w:tabs>
        <w:spacing w:line="360" w:lineRule="auto"/>
        <w:rPr>
          <w:rFonts w:ascii="Arial" w:eastAsia="Arial" w:hAnsi="Arial" w:cs="Arial"/>
          <w:sz w:val="23"/>
          <w:szCs w:val="23"/>
        </w:rPr>
      </w:pPr>
    </w:p>
    <w:p w14:paraId="5E802AD7" w14:textId="75F84FD2" w:rsidR="009D119E" w:rsidRDefault="009D119E">
      <w:pPr>
        <w:tabs>
          <w:tab w:val="left" w:pos="6540"/>
        </w:tabs>
        <w:spacing w:line="360" w:lineRule="auto"/>
        <w:rPr>
          <w:rFonts w:ascii="Arial" w:eastAsia="Arial" w:hAnsi="Arial" w:cs="Arial"/>
          <w:sz w:val="23"/>
          <w:szCs w:val="23"/>
        </w:rPr>
      </w:pPr>
    </w:p>
    <w:p w14:paraId="521B23B3" w14:textId="77777777" w:rsidR="009D119E" w:rsidRPr="005304F1" w:rsidRDefault="009D119E">
      <w:pPr>
        <w:tabs>
          <w:tab w:val="left" w:pos="6540"/>
        </w:tabs>
        <w:spacing w:line="360" w:lineRule="auto"/>
        <w:rPr>
          <w:rFonts w:ascii="Arial" w:eastAsia="Arial" w:hAnsi="Arial" w:cs="Arial"/>
          <w:sz w:val="23"/>
          <w:szCs w:val="23"/>
        </w:rPr>
      </w:pPr>
    </w:p>
    <w:p w14:paraId="2C970A22"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1" w:name="_heading=h.7qigih43ydqc" w:colFirst="0" w:colLast="0"/>
      <w:bookmarkEnd w:id="31"/>
      <w:r w:rsidRPr="005304F1">
        <w:rPr>
          <w:i w:val="0"/>
          <w:iCs w:val="0"/>
          <w:color w:val="auto"/>
          <w:sz w:val="23"/>
          <w:szCs w:val="23"/>
        </w:rPr>
        <w:lastRenderedPageBreak/>
        <w:t>4.3 Theme Two: Family Life and Relationships</w:t>
      </w:r>
    </w:p>
    <w:p w14:paraId="396C981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Waiting also affects families.</w:t>
      </w:r>
    </w:p>
    <w:p w14:paraId="161366C0"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Han et al. (2026) found that caregivers experienced strain and uncertainty while waiting for specialist support. Families may be required to manage significant emotional and behavioural difficulties without professional intervention.</w:t>
      </w:r>
    </w:p>
    <w:p w14:paraId="015996A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can create additional responsibilities for parents and carers, including monitoring symptoms, supporting school attendance, managing conflict and attempting to identify alternative sources of help.</w:t>
      </w:r>
    </w:p>
    <w:p w14:paraId="64F5B31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findings suggest that effective waiting-list management should include families rather than treating waiting as an administrative process between the service and the young person.</w:t>
      </w:r>
    </w:p>
    <w:p w14:paraId="40E4C0E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Clear communication is particularly important. Families need to understand what the waiting period means, what support is available and who they should contact if circumstances deteriorate.</w:t>
      </w:r>
    </w:p>
    <w:p w14:paraId="22C8C4F8" w14:textId="77777777" w:rsidR="00084F6F" w:rsidRPr="005304F1" w:rsidRDefault="00084F6F">
      <w:pPr>
        <w:tabs>
          <w:tab w:val="left" w:pos="6540"/>
        </w:tabs>
        <w:spacing w:line="360" w:lineRule="auto"/>
        <w:rPr>
          <w:rFonts w:ascii="Arial" w:eastAsia="Arial" w:hAnsi="Arial" w:cs="Arial"/>
          <w:sz w:val="23"/>
          <w:szCs w:val="23"/>
        </w:rPr>
      </w:pPr>
    </w:p>
    <w:p w14:paraId="0B392547"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2" w:name="_heading=h.292b6ir52yrn" w:colFirst="0" w:colLast="0"/>
      <w:bookmarkEnd w:id="32"/>
      <w:r w:rsidRPr="005304F1">
        <w:rPr>
          <w:i w:val="0"/>
          <w:iCs w:val="0"/>
          <w:color w:val="auto"/>
          <w:sz w:val="23"/>
          <w:szCs w:val="23"/>
        </w:rPr>
        <w:t>4.4 Theme Three: Education and Social Participation</w:t>
      </w:r>
    </w:p>
    <w:p w14:paraId="2A57DDB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Mental health difficulties can affect a teenager's ability to participate in education and social activities.</w:t>
      </w:r>
    </w:p>
    <w:p w14:paraId="07E0EBC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Young people experiencing anxiety or depression may struggle with attendance, concentration, motivation and relationships with peers. Where waiting is prolonged, these difficulties may become increasingly established.</w:t>
      </w:r>
    </w:p>
    <w:p w14:paraId="5AC108C7"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Although the selected studies did not consistently measure school attendance or educational attainment, the evidence suggests that waiting can interact with everyday functioning.</w:t>
      </w:r>
    </w:p>
    <w:p w14:paraId="3A7AA6F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Han et al. (2026) found that young people used hobbies, social relationships and other activities to cope while waiting. This suggests that maintaining participation in ordinary activities may provide an important protective factor.</w:t>
      </w:r>
    </w:p>
    <w:p w14:paraId="0E632D9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Education should therefore be considered part of the wider impact of waiting. Mental health services should recognise that a teenager's wellbeing cannot be separated from their educational and social environment.</w:t>
      </w:r>
    </w:p>
    <w:p w14:paraId="2A255329" w14:textId="5120847E" w:rsidR="00084F6F" w:rsidRPr="005304F1" w:rsidRDefault="00000000" w:rsidP="005F0184">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Schools can also provide an important source of early identification and support. Improved communication between CAMHS, schools, primary care and families may help identify deterioration while a young person remains on a waiting list.</w:t>
      </w:r>
    </w:p>
    <w:p w14:paraId="7848B9A0" w14:textId="77777777" w:rsidR="005F0184" w:rsidRPr="005304F1" w:rsidRDefault="005F0184">
      <w:pPr>
        <w:tabs>
          <w:tab w:val="left" w:pos="6540"/>
        </w:tabs>
        <w:spacing w:line="360" w:lineRule="auto"/>
        <w:rPr>
          <w:rFonts w:ascii="Arial" w:eastAsia="Arial" w:hAnsi="Arial" w:cs="Arial"/>
          <w:sz w:val="23"/>
          <w:szCs w:val="23"/>
        </w:rPr>
      </w:pPr>
    </w:p>
    <w:p w14:paraId="74F41612"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3" w:name="_heading=h.ox15u1riyqaj" w:colFirst="0" w:colLast="0"/>
      <w:bookmarkEnd w:id="33"/>
      <w:r w:rsidRPr="005304F1">
        <w:rPr>
          <w:i w:val="0"/>
          <w:iCs w:val="0"/>
          <w:color w:val="auto"/>
          <w:sz w:val="23"/>
          <w:szCs w:val="23"/>
        </w:rPr>
        <w:t>4.5 Theme Four: Inequalities in Access</w:t>
      </w:r>
    </w:p>
    <w:p w14:paraId="52FFA9F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significant finding from the review is that access to mental health services is not experienced equally.</w:t>
      </w:r>
    </w:p>
    <w:p w14:paraId="6BAF6EB1" w14:textId="4BB2B26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Pape et al. (2026) examined national administrative data concerning children's mental health treatment in England and identified inequalities in access across population groups.</w:t>
      </w:r>
      <w:r w:rsidR="00EB4FC9" w:rsidRPr="005304F1">
        <w:rPr>
          <w:rFonts w:ascii="Arial" w:eastAsia="Arial" w:hAnsi="Arial" w:cs="Arial"/>
          <w:sz w:val="23"/>
          <w:szCs w:val="23"/>
        </w:rPr>
        <w:t xml:space="preserve"> </w:t>
      </w:r>
      <w:r w:rsidRPr="005304F1">
        <w:rPr>
          <w:rFonts w:ascii="Arial" w:eastAsia="Arial" w:hAnsi="Arial" w:cs="Arial"/>
          <w:sz w:val="23"/>
          <w:szCs w:val="23"/>
        </w:rPr>
        <w:t>Consequently, simply reducing waiting times may not eliminate inequalities.</w:t>
      </w:r>
    </w:p>
    <w:p w14:paraId="44365FC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teenager living in a disadvantaged community may experience barriers to referral or acceptance before their waiting period begins. They may also have fewer alternative resources available while waiting.</w:t>
      </w:r>
    </w:p>
    <w:p w14:paraId="0C6E1F0A" w14:textId="68E44944" w:rsidR="00084F6F" w:rsidRPr="005304F1" w:rsidRDefault="00000000" w:rsidP="00606BBC">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has important implications for health and social care because services need to monitor equity as well as average performance.</w:t>
      </w:r>
    </w:p>
    <w:p w14:paraId="77A9749B"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4" w:name="_heading=h.1f7vsdqguexq" w:colFirst="0" w:colLast="0"/>
      <w:bookmarkEnd w:id="34"/>
      <w:r w:rsidRPr="005304F1">
        <w:rPr>
          <w:i w:val="0"/>
          <w:iCs w:val="0"/>
          <w:color w:val="auto"/>
          <w:sz w:val="23"/>
          <w:szCs w:val="23"/>
        </w:rPr>
        <w:t>4.6 Theme Five: Interventions While Waiting</w:t>
      </w:r>
    </w:p>
    <w:p w14:paraId="3AEB646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An important development within the evidence base is the emergence of interventions specifically designed to support young people while they wait.</w:t>
      </w:r>
    </w:p>
    <w:p w14:paraId="7378AF3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Valentine et al. (2024) conducted a systematic review of waiting-list interventions and identified 18 studies involving 1,253 children and young people.</w:t>
      </w:r>
    </w:p>
    <w:p w14:paraId="77E5E5D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Interventions included psychoeducation, parental support, bibliotherapy and coaching. The review found promising evidence but also identified methodological weaknesses, including small samples and limitations in study design.</w:t>
      </w:r>
    </w:p>
    <w:p w14:paraId="49AF001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More recent research has explored social prescribing.</w:t>
      </w:r>
    </w:p>
    <w:p w14:paraId="59A4030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Hayes et al. (2026) examined social prescribing for young people awaiting CAMHS support. Social prescribing can connect young people with non-clinical community resources, activities and sources of social connection.</w:t>
      </w:r>
    </w:p>
    <w:p w14:paraId="0414B04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Taylor et al. (2026) examined experiences of young people, parents and staff involved in the Safety Nets intervention. The intervention was designed to support young people while waiting for CAMHS and incorporated psychoeducation and physical activity.</w:t>
      </w:r>
    </w:p>
    <w:p w14:paraId="28BB8F5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These interventions are significant because they challenge the assumption that young people must simply wait until specialist treatment becomes available.</w:t>
      </w:r>
    </w:p>
    <w:p w14:paraId="7E925DDD" w14:textId="2172EA7E" w:rsidR="00084F6F" w:rsidRPr="005304F1" w:rsidRDefault="00000000" w:rsidP="00EB4FC9">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interim support must not become a substitute for specialist treatment where specialist treatment is clinically required.</w:t>
      </w:r>
    </w:p>
    <w:p w14:paraId="5027EB02" w14:textId="77777777" w:rsidR="00084F6F" w:rsidRPr="005304F1" w:rsidRDefault="00000000">
      <w:pPr>
        <w:pStyle w:val="Heading1"/>
        <w:keepNext w:val="0"/>
        <w:keepLines w:val="0"/>
        <w:tabs>
          <w:tab w:val="left" w:pos="6540"/>
        </w:tabs>
        <w:spacing w:before="480" w:after="120"/>
        <w:rPr>
          <w:color w:val="auto"/>
          <w:sz w:val="23"/>
          <w:szCs w:val="23"/>
        </w:rPr>
      </w:pPr>
      <w:bookmarkStart w:id="35" w:name="_heading=h.lm4zugipbmdv" w:colFirst="0" w:colLast="0"/>
      <w:bookmarkEnd w:id="35"/>
      <w:r w:rsidRPr="005304F1">
        <w:rPr>
          <w:color w:val="auto"/>
          <w:sz w:val="23"/>
          <w:szCs w:val="23"/>
        </w:rPr>
        <w:t>5. Discussion</w:t>
      </w:r>
    </w:p>
    <w:p w14:paraId="266F9228"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6" w:name="_heading=h.1pxiimo4kh7d" w:colFirst="0" w:colLast="0"/>
      <w:bookmarkEnd w:id="36"/>
      <w:r w:rsidRPr="005304F1">
        <w:rPr>
          <w:i w:val="0"/>
          <w:iCs w:val="0"/>
          <w:color w:val="auto"/>
          <w:sz w:val="23"/>
          <w:szCs w:val="23"/>
        </w:rPr>
        <w:t>5.1 Main Findings</w:t>
      </w:r>
    </w:p>
    <w:p w14:paraId="2146C7A0" w14:textId="446684CE"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purpose of this scoping review was to examine the impact of long waiting times for NHS mental health appointments on teenagers in the UK.</w:t>
      </w:r>
    </w:p>
    <w:p w14:paraId="3364F65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Five key themes were identified.</w:t>
      </w:r>
    </w:p>
    <w:p w14:paraId="434BC17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First, waiting can be associated with deterioration in mental health and wellbeing.</w:t>
      </w:r>
    </w:p>
    <w:p w14:paraId="4C4B071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Second, waiting can increase uncertainty and pressure on families.</w:t>
      </w:r>
    </w:p>
    <w:p w14:paraId="755B008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Third, mental health difficulties during waiting may affect education and social participation.</w:t>
      </w:r>
    </w:p>
    <w:p w14:paraId="3F2FFD5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Fourth, inequalities exist in access to mental health services.</w:t>
      </w:r>
    </w:p>
    <w:p w14:paraId="2F175C7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Fifth, interventions provided while young people wait may provide important support and reduce the negative consequences of waiting.</w:t>
      </w:r>
    </w:p>
    <w:p w14:paraId="53603E3C" w14:textId="5E3139E7" w:rsidR="00084F6F"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findings therefore suggest that waiting should be considered a health and social care issue rather than solely an administrative performance indicator.</w:t>
      </w:r>
    </w:p>
    <w:p w14:paraId="218728DD" w14:textId="77777777" w:rsidR="00131B24" w:rsidRPr="005304F1" w:rsidRDefault="00131B24" w:rsidP="009D119E">
      <w:pPr>
        <w:tabs>
          <w:tab w:val="left" w:pos="6540"/>
        </w:tabs>
        <w:spacing w:before="240" w:after="240" w:line="360" w:lineRule="auto"/>
        <w:rPr>
          <w:rFonts w:ascii="Arial" w:eastAsia="Arial" w:hAnsi="Arial" w:cs="Arial"/>
          <w:sz w:val="23"/>
          <w:szCs w:val="23"/>
        </w:rPr>
      </w:pPr>
    </w:p>
    <w:p w14:paraId="2E406F8C"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7" w:name="_heading=h.e1yzwyi2xiu" w:colFirst="0" w:colLast="0"/>
      <w:bookmarkEnd w:id="37"/>
      <w:r w:rsidRPr="005304F1">
        <w:rPr>
          <w:i w:val="0"/>
          <w:iCs w:val="0"/>
          <w:color w:val="auto"/>
          <w:sz w:val="23"/>
          <w:szCs w:val="23"/>
        </w:rPr>
        <w:lastRenderedPageBreak/>
        <w:t>5.2 Waiting and Deterioration</w:t>
      </w:r>
    </w:p>
    <w:p w14:paraId="790408F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qualitative findings from Han et al. (2026) provide particularly strong evidence concerning young people's experiences.</w:t>
      </w:r>
    </w:p>
    <w:p w14:paraId="2AD944B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Participants described deterioration while waiting and concerns about the lack of appropriate interim support.</w:t>
      </w:r>
    </w:p>
    <w:p w14:paraId="6C2E483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However, this evidence should be considered alongside the findings of </w:t>
      </w: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and Deighton (2020). Their research demonstrates that waiting times are influenced by clinical severity and prioritisation.</w:t>
      </w:r>
    </w:p>
    <w:p w14:paraId="469666F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distinction is important. A longer wait does not necessarily mean that a service has failed. Services must prioritise young people according to clinical need and risk.</w:t>
      </w:r>
    </w:p>
    <w:p w14:paraId="12F8CFB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Nevertheless, once a young person has been placed on a waiting list, their circumstances can change.</w:t>
      </w:r>
    </w:p>
    <w:p w14:paraId="6E44C1D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Therefore, the original referral assessment should not necessarily be considered a permanent description of need.</w:t>
      </w:r>
    </w:p>
    <w:p w14:paraId="63855A18" w14:textId="78AF940B" w:rsidR="00084F6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teenager waiting several months may require reassessment if their symptoms deteriorate.</w:t>
      </w:r>
    </w:p>
    <w:p w14:paraId="0DDE4980"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8" w:name="_heading=h.9u5aiik378ha" w:colFirst="0" w:colLast="0"/>
      <w:bookmarkEnd w:id="38"/>
      <w:r w:rsidRPr="005304F1">
        <w:rPr>
          <w:i w:val="0"/>
          <w:iCs w:val="0"/>
          <w:color w:val="auto"/>
          <w:sz w:val="23"/>
          <w:szCs w:val="23"/>
        </w:rPr>
        <w:t>5.3 Waiting as a Period of Vulnerability</w:t>
      </w:r>
    </w:p>
    <w:p w14:paraId="23B673D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evidence supports viewing waiting as a potentially vulnerable period.</w:t>
      </w:r>
    </w:p>
    <w:p w14:paraId="2987C040"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young person may experience:</w:t>
      </w:r>
    </w:p>
    <w:p w14:paraId="57E71E5B" w14:textId="77777777" w:rsidR="00084F6F" w:rsidRPr="005304F1" w:rsidRDefault="00000000">
      <w:pPr>
        <w:numPr>
          <w:ilvl w:val="0"/>
          <w:numId w:val="7"/>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worsening symptoms;</w:t>
      </w:r>
    </w:p>
    <w:p w14:paraId="5884715C"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increasing isolation;</w:t>
      </w:r>
    </w:p>
    <w:p w14:paraId="6BFDAA44"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school absence;</w:t>
      </w:r>
    </w:p>
    <w:p w14:paraId="7D79D65B"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family conflict;</w:t>
      </w:r>
    </w:p>
    <w:p w14:paraId="46215160"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reduced motivation;</w:t>
      </w:r>
    </w:p>
    <w:p w14:paraId="073BB482"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uncertainty;</w:t>
      </w:r>
    </w:p>
    <w:p w14:paraId="18889088" w14:textId="77777777" w:rsidR="00084F6F" w:rsidRPr="005304F1" w:rsidRDefault="00000000">
      <w:pPr>
        <w:numPr>
          <w:ilvl w:val="0"/>
          <w:numId w:val="7"/>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increased use of crisis services; or</w:t>
      </w:r>
    </w:p>
    <w:p w14:paraId="4A1D78D0" w14:textId="77777777" w:rsidR="00084F6F" w:rsidRPr="005304F1" w:rsidRDefault="00000000">
      <w:pPr>
        <w:numPr>
          <w:ilvl w:val="0"/>
          <w:numId w:val="7"/>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increased risk.</w:t>
      </w:r>
    </w:p>
    <w:p w14:paraId="67B0A15F" w14:textId="7002CB8E"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This does not mean that all young people experience these outcomes. Rather, services should recognise that long waiting creates the possibility of deterioration.</w:t>
      </w:r>
    </w:p>
    <w:p w14:paraId="58BCE07C" w14:textId="02CF5A05" w:rsidR="00EB4FC9"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Regular contact and review may therefore be appropriate for young people with changing circumstances.</w:t>
      </w:r>
    </w:p>
    <w:p w14:paraId="164A6183"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39" w:name="_heading=h.2q6qp6x2iybr" w:colFirst="0" w:colLast="0"/>
      <w:bookmarkEnd w:id="39"/>
      <w:r w:rsidRPr="005304F1">
        <w:rPr>
          <w:i w:val="0"/>
          <w:iCs w:val="0"/>
          <w:color w:val="auto"/>
          <w:sz w:val="23"/>
          <w:szCs w:val="23"/>
        </w:rPr>
        <w:t>5.4 Family Impact</w:t>
      </w:r>
    </w:p>
    <w:p w14:paraId="3E8B972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findings also demonstrate that the consequences of waiting extend beyond the individual teenager.</w:t>
      </w:r>
    </w:p>
    <w:p w14:paraId="0C32DF0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Parents and carers may become responsible for managing distress without specialist guidance.</w:t>
      </w:r>
    </w:p>
    <w:p w14:paraId="16A3E9C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can be particularly challenging where parents have limited knowledge of mental health or where the young person's difficulties affect family relationships.</w:t>
      </w:r>
    </w:p>
    <w:p w14:paraId="294CABB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Improved communication could reduce some of this pressure.</w:t>
      </w:r>
    </w:p>
    <w:p w14:paraId="7D649AA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Families should receive clear information about:</w:t>
      </w:r>
    </w:p>
    <w:p w14:paraId="178E7062" w14:textId="77777777" w:rsidR="00084F6F" w:rsidRPr="005304F1" w:rsidRDefault="00000000">
      <w:pPr>
        <w:numPr>
          <w:ilvl w:val="0"/>
          <w:numId w:val="5"/>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expected waiting times;</w:t>
      </w:r>
    </w:p>
    <w:p w14:paraId="4E7A268F" w14:textId="77777777" w:rsidR="00084F6F" w:rsidRPr="005304F1" w:rsidRDefault="00000000">
      <w:pPr>
        <w:numPr>
          <w:ilvl w:val="0"/>
          <w:numId w:val="5"/>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what happens next;</w:t>
      </w:r>
    </w:p>
    <w:p w14:paraId="3F261650" w14:textId="77777777" w:rsidR="00084F6F" w:rsidRPr="005304F1" w:rsidRDefault="00000000">
      <w:pPr>
        <w:numPr>
          <w:ilvl w:val="0"/>
          <w:numId w:val="5"/>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available interim support;</w:t>
      </w:r>
    </w:p>
    <w:p w14:paraId="3332D727" w14:textId="77777777" w:rsidR="00084F6F" w:rsidRPr="005304F1" w:rsidRDefault="00000000">
      <w:pPr>
        <w:numPr>
          <w:ilvl w:val="0"/>
          <w:numId w:val="5"/>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signs of deterioration;</w:t>
      </w:r>
    </w:p>
    <w:p w14:paraId="4074AFB6" w14:textId="77777777" w:rsidR="00084F6F" w:rsidRPr="005304F1" w:rsidRDefault="00000000">
      <w:pPr>
        <w:numPr>
          <w:ilvl w:val="0"/>
          <w:numId w:val="5"/>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how to contact services; and</w:t>
      </w:r>
    </w:p>
    <w:p w14:paraId="3DD64232" w14:textId="5E6FC9DE" w:rsidR="00084F6F" w:rsidRPr="009D119E" w:rsidRDefault="00000000" w:rsidP="009D119E">
      <w:pPr>
        <w:numPr>
          <w:ilvl w:val="0"/>
          <w:numId w:val="5"/>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what to do if risk increases.</w:t>
      </w:r>
    </w:p>
    <w:p w14:paraId="5FB64D5B"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0" w:name="_heading=h.mquzs13myx83" w:colFirst="0" w:colLast="0"/>
      <w:bookmarkEnd w:id="40"/>
      <w:r w:rsidRPr="005304F1">
        <w:rPr>
          <w:i w:val="0"/>
          <w:iCs w:val="0"/>
          <w:color w:val="auto"/>
          <w:sz w:val="23"/>
          <w:szCs w:val="23"/>
        </w:rPr>
        <w:t>5.5 Education and Social Participation</w:t>
      </w:r>
    </w:p>
    <w:p w14:paraId="6FC28A0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potential impact on education is an important area requiring further research.</w:t>
      </w:r>
    </w:p>
    <w:p w14:paraId="15370771" w14:textId="0209949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Education is not simply an academic issue. School provides routine, social relationships</w:t>
      </w:r>
      <w:r w:rsidR="00F51A32" w:rsidRPr="005304F1">
        <w:rPr>
          <w:rFonts w:ascii="Arial" w:eastAsia="Arial" w:hAnsi="Arial" w:cs="Arial"/>
          <w:sz w:val="23"/>
          <w:szCs w:val="23"/>
        </w:rPr>
        <w:t xml:space="preserve"> and</w:t>
      </w:r>
      <w:r w:rsidRPr="005304F1">
        <w:rPr>
          <w:rFonts w:ascii="Arial" w:eastAsia="Arial" w:hAnsi="Arial" w:cs="Arial"/>
          <w:sz w:val="23"/>
          <w:szCs w:val="23"/>
        </w:rPr>
        <w:t xml:space="preserve"> identi</w:t>
      </w:r>
      <w:r w:rsidR="00F51A32" w:rsidRPr="005304F1">
        <w:rPr>
          <w:rFonts w:ascii="Arial" w:eastAsia="Arial" w:hAnsi="Arial" w:cs="Arial"/>
          <w:sz w:val="23"/>
          <w:szCs w:val="23"/>
        </w:rPr>
        <w:t>f</w:t>
      </w:r>
      <w:r w:rsidRPr="005304F1">
        <w:rPr>
          <w:rFonts w:ascii="Arial" w:eastAsia="Arial" w:hAnsi="Arial" w:cs="Arial"/>
          <w:sz w:val="23"/>
          <w:szCs w:val="23"/>
        </w:rPr>
        <w:t>y opportunities for development.</w:t>
      </w:r>
    </w:p>
    <w:p w14:paraId="7B25311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young person experiencing prolonged mental health difficulties may disengage from school and friendships.</w:t>
      </w:r>
    </w:p>
    <w:p w14:paraId="5CDA5F81" w14:textId="4E2DD558"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Where this occurs during a long waiting period, the consequences may extend beyond the original mental health difficulty.</w:t>
      </w:r>
    </w:p>
    <w:p w14:paraId="408ED1C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Health and social care services should therefore consider school participation as part of the broader assessment of wellbeing.</w:t>
      </w:r>
    </w:p>
    <w:p w14:paraId="56150068" w14:textId="01A02FC8" w:rsidR="00084F6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Multi-agency working between CAMHS, schools, GPs, social care and voluntary organisations is particularly important.</w:t>
      </w:r>
    </w:p>
    <w:p w14:paraId="7EBD6AE5"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1" w:name="_heading=h.dejd1srgg9xp" w:colFirst="0" w:colLast="0"/>
      <w:bookmarkEnd w:id="41"/>
      <w:r w:rsidRPr="005304F1">
        <w:rPr>
          <w:i w:val="0"/>
          <w:iCs w:val="0"/>
          <w:color w:val="auto"/>
          <w:sz w:val="23"/>
          <w:szCs w:val="23"/>
        </w:rPr>
        <w:t>5.6 Inequality</w:t>
      </w:r>
    </w:p>
    <w:p w14:paraId="43BAE09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evidence concerning inequalities is particularly significant.</w:t>
      </w:r>
    </w:p>
    <w:p w14:paraId="734684AD" w14:textId="6B37EA8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Pape et al. (2026) research demonstrate that access and outcomes can vary according to demographic and socioeconomic factors.</w:t>
      </w:r>
    </w:p>
    <w:p w14:paraId="735CC4C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suggests that universal reductions in waiting time may not be enough.</w:t>
      </w:r>
    </w:p>
    <w:p w14:paraId="48F6D24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Services need to ask:</w:t>
      </w:r>
    </w:p>
    <w:p w14:paraId="3FEEA81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Who is waiting?</w:t>
      </w:r>
    </w:p>
    <w:p w14:paraId="41B46010"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Who is not reaching services?</w:t>
      </w:r>
    </w:p>
    <w:p w14:paraId="3FD6257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Whose referrals are being accepted?</w:t>
      </w:r>
    </w:p>
    <w:p w14:paraId="1569514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Who experiences the longest delays?</w:t>
      </w:r>
    </w:p>
    <w:p w14:paraId="045EF57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Who deteriorates while waiting?</w:t>
      </w:r>
    </w:p>
    <w:p w14:paraId="49FBC1A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approach moves beyond measuring service performance towards measuring equitable access.</w:t>
      </w:r>
    </w:p>
    <w:p w14:paraId="5A41F5D1" w14:textId="67BD1435" w:rsidR="00084F6F" w:rsidRDefault="00084F6F">
      <w:pPr>
        <w:tabs>
          <w:tab w:val="left" w:pos="6540"/>
        </w:tabs>
        <w:spacing w:line="360" w:lineRule="auto"/>
        <w:rPr>
          <w:rFonts w:ascii="Arial" w:eastAsia="Arial" w:hAnsi="Arial" w:cs="Arial"/>
          <w:sz w:val="23"/>
          <w:szCs w:val="23"/>
        </w:rPr>
      </w:pPr>
    </w:p>
    <w:p w14:paraId="5BBD1D68" w14:textId="011DFBB2" w:rsidR="009D119E" w:rsidRDefault="009D119E">
      <w:pPr>
        <w:tabs>
          <w:tab w:val="left" w:pos="6540"/>
        </w:tabs>
        <w:spacing w:line="360" w:lineRule="auto"/>
        <w:rPr>
          <w:rFonts w:ascii="Arial" w:eastAsia="Arial" w:hAnsi="Arial" w:cs="Arial"/>
          <w:sz w:val="23"/>
          <w:szCs w:val="23"/>
        </w:rPr>
      </w:pPr>
    </w:p>
    <w:p w14:paraId="764D9821" w14:textId="19D21A3C" w:rsidR="009D119E" w:rsidRDefault="009D119E">
      <w:pPr>
        <w:tabs>
          <w:tab w:val="left" w:pos="6540"/>
        </w:tabs>
        <w:spacing w:line="360" w:lineRule="auto"/>
        <w:rPr>
          <w:rFonts w:ascii="Arial" w:eastAsia="Arial" w:hAnsi="Arial" w:cs="Arial"/>
          <w:sz w:val="23"/>
          <w:szCs w:val="23"/>
        </w:rPr>
      </w:pPr>
    </w:p>
    <w:p w14:paraId="2C45328F" w14:textId="7955AEDF" w:rsidR="009D119E" w:rsidRDefault="009D119E">
      <w:pPr>
        <w:tabs>
          <w:tab w:val="left" w:pos="6540"/>
        </w:tabs>
        <w:spacing w:line="360" w:lineRule="auto"/>
        <w:rPr>
          <w:rFonts w:ascii="Arial" w:eastAsia="Arial" w:hAnsi="Arial" w:cs="Arial"/>
          <w:sz w:val="23"/>
          <w:szCs w:val="23"/>
        </w:rPr>
      </w:pPr>
    </w:p>
    <w:p w14:paraId="67228916" w14:textId="77777777" w:rsidR="009D119E" w:rsidRPr="005304F1" w:rsidRDefault="009D119E">
      <w:pPr>
        <w:tabs>
          <w:tab w:val="left" w:pos="6540"/>
        </w:tabs>
        <w:spacing w:line="360" w:lineRule="auto"/>
        <w:rPr>
          <w:rFonts w:ascii="Arial" w:eastAsia="Arial" w:hAnsi="Arial" w:cs="Arial"/>
          <w:sz w:val="23"/>
          <w:szCs w:val="23"/>
        </w:rPr>
      </w:pPr>
    </w:p>
    <w:p w14:paraId="2F804950"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2" w:name="_heading=h.f1ou71uciknh" w:colFirst="0" w:colLast="0"/>
      <w:bookmarkEnd w:id="42"/>
      <w:r w:rsidRPr="005304F1">
        <w:rPr>
          <w:i w:val="0"/>
          <w:iCs w:val="0"/>
          <w:color w:val="auto"/>
          <w:sz w:val="23"/>
          <w:szCs w:val="23"/>
        </w:rPr>
        <w:lastRenderedPageBreak/>
        <w:t>5.7 Interim Support</w:t>
      </w:r>
    </w:p>
    <w:p w14:paraId="67895B9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One of the most promising findings concerns waiting-list interventions.</w:t>
      </w:r>
    </w:p>
    <w:p w14:paraId="1B8BFF1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evidence reviewed by Valentine et al. (2024) suggests that psychoeducation and other interventions may provide benefits while young people wait.</w:t>
      </w:r>
    </w:p>
    <w:p w14:paraId="64C698AE"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Social prescribing provides a further approach. Young people may be supported to engage in meaningful community activities, social relationships, physical activity, arts or other interests.</w:t>
      </w:r>
    </w:p>
    <w:p w14:paraId="31DC3E4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aligns with a strengths-based approach because it recognises that young people have abilities, interests and existing resources that can contribute to wellbeing.</w:t>
      </w:r>
    </w:p>
    <w:p w14:paraId="694EE9C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interim interventions must be proportionate to need.</w:t>
      </w:r>
    </w:p>
    <w:p w14:paraId="136CA23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young person experiencing mild anxiety may benefit from community-based support, whereas someone presenting with significant risk may require urgent specialist intervention.</w:t>
      </w:r>
    </w:p>
    <w:p w14:paraId="4998B130"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Therefore, interim support should complement rather than replace appropriate clinical care.</w:t>
      </w:r>
    </w:p>
    <w:p w14:paraId="7BD3E182" w14:textId="77777777" w:rsidR="00084F6F" w:rsidRPr="005304F1" w:rsidRDefault="00000000">
      <w:pPr>
        <w:pStyle w:val="Heading1"/>
        <w:keepNext w:val="0"/>
        <w:keepLines w:val="0"/>
        <w:tabs>
          <w:tab w:val="left" w:pos="6540"/>
        </w:tabs>
        <w:spacing w:before="480" w:after="120"/>
        <w:rPr>
          <w:color w:val="auto"/>
          <w:sz w:val="23"/>
          <w:szCs w:val="23"/>
        </w:rPr>
      </w:pPr>
      <w:bookmarkStart w:id="43" w:name="_heading=h.d3inkpqdifox" w:colFirst="0" w:colLast="0"/>
      <w:bookmarkEnd w:id="43"/>
      <w:r w:rsidRPr="005304F1">
        <w:rPr>
          <w:color w:val="auto"/>
          <w:sz w:val="23"/>
          <w:szCs w:val="23"/>
        </w:rPr>
        <w:t>6. Importance for Health and Social Care</w:t>
      </w:r>
    </w:p>
    <w:p w14:paraId="0A7F2A9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findings have several implications for health and social care.</w:t>
      </w:r>
    </w:p>
    <w:p w14:paraId="4B90F4A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First, waiting lists should be actively managed rather than treated as passive queues.</w:t>
      </w:r>
    </w:p>
    <w:p w14:paraId="1305E3A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Second, young people should have opportunities for reassessment where their circumstances change.</w:t>
      </w:r>
    </w:p>
    <w:p w14:paraId="63FAB68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Third, communication with young people and families should be improved.</w:t>
      </w:r>
    </w:p>
    <w:p w14:paraId="243A7DB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Fourth, services should develop appropriate interim support.</w:t>
      </w:r>
    </w:p>
    <w:p w14:paraId="72F4BEC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Fifth, inequalities should be monitored.</w:t>
      </w:r>
    </w:p>
    <w:p w14:paraId="32488D9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Sixth, multi-agency working should be strengthened.</w:t>
      </w:r>
    </w:p>
    <w:p w14:paraId="246CF93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From a social care perspective, this is particularly important because young people's mental health can affect family functioning, safeguarding, education and wider wellbeing.</w:t>
      </w:r>
    </w:p>
    <w:p w14:paraId="03A20D53"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Social workers may also become involved where mental health difficulties interact with family stress, school absence, safeguarding concerns or wider social needs.</w:t>
      </w:r>
    </w:p>
    <w:p w14:paraId="61088A3E" w14:textId="32F201E9" w:rsidR="00084F6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holistic approach is therefore required.</w:t>
      </w:r>
    </w:p>
    <w:p w14:paraId="1FAC5773" w14:textId="77777777" w:rsidR="00084F6F" w:rsidRPr="005304F1" w:rsidRDefault="00000000">
      <w:pPr>
        <w:pStyle w:val="Heading1"/>
        <w:keepNext w:val="0"/>
        <w:keepLines w:val="0"/>
        <w:tabs>
          <w:tab w:val="left" w:pos="6540"/>
        </w:tabs>
        <w:spacing w:before="480" w:after="120"/>
        <w:rPr>
          <w:color w:val="auto"/>
          <w:sz w:val="23"/>
          <w:szCs w:val="23"/>
        </w:rPr>
      </w:pPr>
      <w:bookmarkStart w:id="44" w:name="_heading=h.cgjjfc8uu04i" w:colFirst="0" w:colLast="0"/>
      <w:bookmarkEnd w:id="44"/>
      <w:r w:rsidRPr="005304F1">
        <w:rPr>
          <w:color w:val="auto"/>
          <w:sz w:val="23"/>
          <w:szCs w:val="23"/>
        </w:rPr>
        <w:t>7. Limitations of the Review</w:t>
      </w:r>
    </w:p>
    <w:p w14:paraId="31A391F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There are several limitations.</w:t>
      </w:r>
    </w:p>
    <w:p w14:paraId="6B23C3F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First, the evidence base is heterogeneous. Studies use different definitions of waiting and access, making direct comparison difficult.</w:t>
      </w:r>
    </w:p>
    <w:p w14:paraId="7AC7956F" w14:textId="7235A03D" w:rsidR="009D119E"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Second, several studies have relatively small samples or focus on individual services.</w:t>
      </w:r>
    </w:p>
    <w:p w14:paraId="65A8FBC1" w14:textId="09401739"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Third, much of the evidence is observational and therefore cannot establish causality.</w:t>
      </w:r>
    </w:p>
    <w:p w14:paraId="1ECEFBC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Fourth, some studies include children or young adults rather than teenagers specifically. Although these studies provide useful contextual evidence, their findings should not automatically be generalised to teenagers.</w:t>
      </w:r>
    </w:p>
    <w:p w14:paraId="059D9A8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Fifth, services vary across the UK. Evidence from England may not fully represent Scotland, Wales or Northern Ireland.</w:t>
      </w:r>
    </w:p>
    <w:p w14:paraId="0A3EA882"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Sixth, the current evidence base concerning the direct relationship between waiting duration and educational outcomes remains limited.</w:t>
      </w:r>
    </w:p>
    <w:p w14:paraId="20D326D2" w14:textId="5A0C8303"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Finally, exact database hit numbers were not retained from the initial search process. Consequently, this review does not report invented numerical database results. </w:t>
      </w:r>
    </w:p>
    <w:p w14:paraId="48132A65" w14:textId="5B2D2B56" w:rsidR="00934503" w:rsidRPr="005304F1" w:rsidRDefault="00934503">
      <w:pPr>
        <w:tabs>
          <w:tab w:val="left" w:pos="6540"/>
        </w:tabs>
        <w:spacing w:before="240" w:after="240" w:line="360" w:lineRule="auto"/>
        <w:rPr>
          <w:rFonts w:ascii="Arial" w:eastAsia="Arial" w:hAnsi="Arial" w:cs="Arial"/>
          <w:sz w:val="23"/>
          <w:szCs w:val="23"/>
        </w:rPr>
      </w:pPr>
    </w:p>
    <w:p w14:paraId="6EE46A77" w14:textId="4BD54A78" w:rsidR="00EB4FC9" w:rsidRPr="005304F1" w:rsidRDefault="00EB4FC9">
      <w:pPr>
        <w:tabs>
          <w:tab w:val="left" w:pos="6540"/>
        </w:tabs>
        <w:spacing w:before="240" w:after="240" w:line="360" w:lineRule="auto"/>
        <w:rPr>
          <w:rFonts w:ascii="Arial" w:eastAsia="Arial" w:hAnsi="Arial" w:cs="Arial"/>
          <w:sz w:val="23"/>
          <w:szCs w:val="23"/>
        </w:rPr>
      </w:pPr>
    </w:p>
    <w:p w14:paraId="5096C585" w14:textId="0E5138AD" w:rsidR="00EB4FC9" w:rsidRDefault="00EB4FC9">
      <w:pPr>
        <w:tabs>
          <w:tab w:val="left" w:pos="6540"/>
        </w:tabs>
        <w:spacing w:before="240" w:after="240" w:line="360" w:lineRule="auto"/>
        <w:rPr>
          <w:rFonts w:ascii="Arial" w:eastAsia="Arial" w:hAnsi="Arial" w:cs="Arial"/>
          <w:sz w:val="23"/>
          <w:szCs w:val="23"/>
        </w:rPr>
      </w:pPr>
    </w:p>
    <w:p w14:paraId="5CF809B5" w14:textId="77777777" w:rsidR="009D119E" w:rsidRPr="005304F1" w:rsidRDefault="009D119E">
      <w:pPr>
        <w:tabs>
          <w:tab w:val="left" w:pos="6540"/>
        </w:tabs>
        <w:spacing w:before="240" w:after="240" w:line="360" w:lineRule="auto"/>
        <w:rPr>
          <w:rFonts w:ascii="Arial" w:eastAsia="Arial" w:hAnsi="Arial" w:cs="Arial"/>
          <w:sz w:val="23"/>
          <w:szCs w:val="23"/>
        </w:rPr>
      </w:pPr>
    </w:p>
    <w:p w14:paraId="5F85047A" w14:textId="77777777" w:rsidR="00084F6F" w:rsidRPr="005304F1" w:rsidRDefault="00000000">
      <w:pPr>
        <w:pStyle w:val="Heading1"/>
        <w:keepNext w:val="0"/>
        <w:keepLines w:val="0"/>
        <w:tabs>
          <w:tab w:val="left" w:pos="6540"/>
        </w:tabs>
        <w:spacing w:before="480" w:after="120"/>
        <w:rPr>
          <w:color w:val="auto"/>
          <w:sz w:val="23"/>
          <w:szCs w:val="23"/>
        </w:rPr>
      </w:pPr>
      <w:bookmarkStart w:id="45" w:name="_heading=h.6q8diehtfpnu" w:colFirst="0" w:colLast="0"/>
      <w:bookmarkEnd w:id="45"/>
      <w:r w:rsidRPr="005304F1">
        <w:rPr>
          <w:color w:val="auto"/>
          <w:sz w:val="23"/>
          <w:szCs w:val="23"/>
        </w:rPr>
        <w:lastRenderedPageBreak/>
        <w:t>8. Conclusion</w:t>
      </w:r>
    </w:p>
    <w:p w14:paraId="0D09B363" w14:textId="32F6EEA6"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This scoping review explored the impact of long waiting times for NHS mental health appointments on teenagers in the UK.</w:t>
      </w:r>
    </w:p>
    <w:p w14:paraId="48338221" w14:textId="48100A53"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evidence suggests that long waiting can be associated with deterioration in mental health and wellbeing, uncertainty, family strain and unmet need. There may also be consequences for education and social participation.</w:t>
      </w:r>
    </w:p>
    <w:p w14:paraId="7B14096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However, the relationship between waiting and deterioration is complex. Young people referred to CAMHS already experience mental health difficulties, and clinical severity influences prioritisation. Therefore, the evidence does not demonstrate that waiting alone causes deterioration.</w:t>
      </w:r>
    </w:p>
    <w:p w14:paraId="4ABA617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major finding is the existence of inequalities in access. Socioeconomic and demographic factors may influence whether young people reach services, whether referrals are accepted and what outcomes they experience.</w:t>
      </w:r>
    </w:p>
    <w:p w14:paraId="6B3A7F3A"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review also identifies promising approaches to supporting young people while they wait. Psychoeducation, social prescribing, family support and community interventions may help protect wellbeing and provide meaningful support during periods of uncertainty.</w:t>
      </w:r>
    </w:p>
    <w:p w14:paraId="493A926B" w14:textId="55BCB836" w:rsidR="00084F6F" w:rsidRPr="005304F1" w:rsidRDefault="00000000" w:rsidP="009D119E">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The overall conclusion is that reducing waiting times should remain a priority, but waiting-time reduction alone is insufficient. A more effective model requires timely assessment, regular review, clear communication, equitable access, interim support and effective multi-agency working.</w:t>
      </w:r>
    </w:p>
    <w:p w14:paraId="670FF5ED" w14:textId="77777777" w:rsidR="00084F6F" w:rsidRPr="005304F1" w:rsidRDefault="00000000">
      <w:pPr>
        <w:pStyle w:val="Heading1"/>
        <w:keepNext w:val="0"/>
        <w:keepLines w:val="0"/>
        <w:tabs>
          <w:tab w:val="left" w:pos="6540"/>
        </w:tabs>
        <w:spacing w:before="480" w:after="120"/>
        <w:rPr>
          <w:color w:val="auto"/>
          <w:sz w:val="23"/>
          <w:szCs w:val="23"/>
        </w:rPr>
      </w:pPr>
      <w:bookmarkStart w:id="46" w:name="_heading=h.r52bods61xkc" w:colFirst="0" w:colLast="0"/>
      <w:bookmarkEnd w:id="46"/>
      <w:r w:rsidRPr="005304F1">
        <w:rPr>
          <w:color w:val="auto"/>
          <w:sz w:val="23"/>
          <w:szCs w:val="23"/>
        </w:rPr>
        <w:t>9. Recommendations</w:t>
      </w:r>
    </w:p>
    <w:p w14:paraId="6A5A63E1"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7" w:name="_heading=h.kixqwj29ut78" w:colFirst="0" w:colLast="0"/>
      <w:bookmarkEnd w:id="47"/>
      <w:r w:rsidRPr="005304F1">
        <w:rPr>
          <w:i w:val="0"/>
          <w:iCs w:val="0"/>
          <w:color w:val="auto"/>
          <w:sz w:val="23"/>
          <w:szCs w:val="23"/>
        </w:rPr>
        <w:t>9.1 Recommendations for Future Research</w:t>
      </w:r>
    </w:p>
    <w:p w14:paraId="28B6A653" w14:textId="77777777" w:rsidR="00084F6F" w:rsidRPr="005304F1" w:rsidRDefault="00000000">
      <w:pPr>
        <w:numPr>
          <w:ilvl w:val="0"/>
          <w:numId w:val="2"/>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Conduct longitudinal research following young people from referral through assessment and treatment.</w:t>
      </w:r>
    </w:p>
    <w:p w14:paraId="02179419" w14:textId="77777777" w:rsidR="00084F6F" w:rsidRPr="005304F1" w:rsidRDefault="00000000">
      <w:pPr>
        <w:numPr>
          <w:ilvl w:val="0"/>
          <w:numId w:val="2"/>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 the relationship between specific waiting durations and outcomes such as anxiety, depression, self-harm, school attendance and social participation.</w:t>
      </w:r>
    </w:p>
    <w:p w14:paraId="5D9943AB" w14:textId="77777777" w:rsidR="00084F6F" w:rsidRPr="005304F1" w:rsidRDefault="00000000">
      <w:pPr>
        <w:numPr>
          <w:ilvl w:val="0"/>
          <w:numId w:val="2"/>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lastRenderedPageBreak/>
        <w:t>Conduct research specifically focused on teenagers rather than combining children and young adults into broad age categories.</w:t>
      </w:r>
    </w:p>
    <w:p w14:paraId="5BC5E6FD" w14:textId="4FF7BDAF" w:rsidR="00084F6F" w:rsidRPr="005304F1" w:rsidRDefault="00000000">
      <w:pPr>
        <w:numPr>
          <w:ilvl w:val="0"/>
          <w:numId w:val="2"/>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Explore the experiences of parents and carers during long waiting periods.</w:t>
      </w:r>
    </w:p>
    <w:p w14:paraId="523B7005" w14:textId="77777777" w:rsidR="00084F6F" w:rsidRPr="005304F1" w:rsidRDefault="00000000">
      <w:pPr>
        <w:numPr>
          <w:ilvl w:val="0"/>
          <w:numId w:val="2"/>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Investigate inequalities in waiting times and access according to socioeconomic status, ethnicity, disability, gender and geography.</w:t>
      </w:r>
    </w:p>
    <w:p w14:paraId="4D45502C" w14:textId="77777777" w:rsidR="00084F6F" w:rsidRPr="005304F1" w:rsidRDefault="00000000">
      <w:pPr>
        <w:numPr>
          <w:ilvl w:val="0"/>
          <w:numId w:val="2"/>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Evaluate waiting-list interventions using larger samples and robust comparative designs.</w:t>
      </w:r>
    </w:p>
    <w:p w14:paraId="77219873" w14:textId="77777777" w:rsidR="00084F6F" w:rsidRPr="005304F1" w:rsidRDefault="00000000">
      <w:pPr>
        <w:numPr>
          <w:ilvl w:val="0"/>
          <w:numId w:val="2"/>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Examine whether interim interventions reduce deterioration, crisis presentations or subsequent service demand.</w:t>
      </w:r>
    </w:p>
    <w:p w14:paraId="5EE26644" w14:textId="0534C1D2"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8" w:name="_heading=h.20e1yauaqcyg" w:colFirst="0" w:colLast="0"/>
      <w:bookmarkEnd w:id="48"/>
      <w:r w:rsidRPr="005304F1">
        <w:rPr>
          <w:i w:val="0"/>
          <w:iCs w:val="0"/>
          <w:color w:val="auto"/>
          <w:sz w:val="23"/>
          <w:szCs w:val="23"/>
        </w:rPr>
        <w:t>9.2 Recommendations for Policy</w:t>
      </w:r>
      <w:r w:rsidR="00EB4FC9" w:rsidRPr="005304F1">
        <w:rPr>
          <w:i w:val="0"/>
          <w:iCs w:val="0"/>
          <w:color w:val="auto"/>
          <w:sz w:val="23"/>
          <w:szCs w:val="23"/>
        </w:rPr>
        <w:t xml:space="preserve"> Makers</w:t>
      </w:r>
    </w:p>
    <w:p w14:paraId="2E7A2D86" w14:textId="75F304FB" w:rsidR="00084F6F" w:rsidRPr="005304F1" w:rsidRDefault="00000000">
      <w:pPr>
        <w:numPr>
          <w:ilvl w:val="0"/>
          <w:numId w:val="10"/>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Continue to reduce unnecessary and long waiting times for children and young people's mental health services.</w:t>
      </w:r>
    </w:p>
    <w:p w14:paraId="203139F5" w14:textId="77777777" w:rsidR="00084F6F" w:rsidRPr="005304F1" w:rsidRDefault="00000000">
      <w:pPr>
        <w:numPr>
          <w:ilvl w:val="0"/>
          <w:numId w:val="10"/>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Monitor waiting times alongside clinical outcomes and patient experience.</w:t>
      </w:r>
    </w:p>
    <w:p w14:paraId="1B894266" w14:textId="77777777" w:rsidR="00084F6F" w:rsidRPr="005304F1" w:rsidRDefault="00000000">
      <w:pPr>
        <w:numPr>
          <w:ilvl w:val="0"/>
          <w:numId w:val="10"/>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Monitor inequalities in referral, acceptance, waiting and treatment.</w:t>
      </w:r>
    </w:p>
    <w:p w14:paraId="7BC50716" w14:textId="77777777" w:rsidR="00084F6F" w:rsidRPr="005304F1" w:rsidRDefault="00000000">
      <w:pPr>
        <w:numPr>
          <w:ilvl w:val="0"/>
          <w:numId w:val="10"/>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Develop consistent approaches to supporting young people while waiting.</w:t>
      </w:r>
    </w:p>
    <w:p w14:paraId="50ADD47F" w14:textId="77777777" w:rsidR="00084F6F" w:rsidRPr="005304F1" w:rsidRDefault="00000000">
      <w:pPr>
        <w:numPr>
          <w:ilvl w:val="0"/>
          <w:numId w:val="10"/>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Strengthen early intervention and prevention services.</w:t>
      </w:r>
    </w:p>
    <w:p w14:paraId="37BDEF91" w14:textId="77777777" w:rsidR="00084F6F" w:rsidRPr="005304F1" w:rsidRDefault="00000000">
      <w:pPr>
        <w:numPr>
          <w:ilvl w:val="0"/>
          <w:numId w:val="10"/>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Ensure waiting-time targets do not unintentionally encourage services to prioritise speed over clinical need.</w:t>
      </w:r>
    </w:p>
    <w:p w14:paraId="0C9C68F1"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49" w:name="_heading=h.vu2h8jyk1tp1" w:colFirst="0" w:colLast="0"/>
      <w:bookmarkEnd w:id="49"/>
      <w:r w:rsidRPr="005304F1">
        <w:rPr>
          <w:i w:val="0"/>
          <w:iCs w:val="0"/>
          <w:color w:val="auto"/>
          <w:sz w:val="23"/>
          <w:szCs w:val="23"/>
        </w:rPr>
        <w:t>9.3 Recommendations for Health and Social Care Practice</w:t>
      </w:r>
    </w:p>
    <w:p w14:paraId="6772A22A" w14:textId="77777777" w:rsidR="00084F6F" w:rsidRPr="005304F1" w:rsidRDefault="00000000">
      <w:pPr>
        <w:numPr>
          <w:ilvl w:val="0"/>
          <w:numId w:val="6"/>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Introduce regular review mechanisms for young people experiencing prolonged waits.</w:t>
      </w:r>
    </w:p>
    <w:p w14:paraId="33C42370" w14:textId="77777777"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Provide young people and families with clear information about waiting times and available support.</w:t>
      </w:r>
    </w:p>
    <w:p w14:paraId="06905509" w14:textId="77777777"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Develop appropriate interim support, including psychoeducation, social prescribing and community-based interventions.</w:t>
      </w:r>
    </w:p>
    <w:p w14:paraId="6A1AE979" w14:textId="77777777"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Strengthen communication between CAMHS, GPs, schools, social care and voluntary organisations.</w:t>
      </w:r>
    </w:p>
    <w:p w14:paraId="257BB16F" w14:textId="56B46866"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Reassess risk where there is evidence that a young person's circumstances ha</w:t>
      </w:r>
      <w:r w:rsidR="005933C1" w:rsidRPr="005304F1">
        <w:rPr>
          <w:rFonts w:ascii="Arial" w:eastAsia="Arial" w:hAnsi="Arial" w:cs="Arial"/>
          <w:sz w:val="23"/>
          <w:szCs w:val="23"/>
        </w:rPr>
        <w:t>ve</w:t>
      </w:r>
      <w:r w:rsidRPr="005304F1">
        <w:rPr>
          <w:rFonts w:ascii="Arial" w:eastAsia="Arial" w:hAnsi="Arial" w:cs="Arial"/>
          <w:sz w:val="23"/>
          <w:szCs w:val="23"/>
        </w:rPr>
        <w:t xml:space="preserve"> deteriorated.</w:t>
      </w:r>
    </w:p>
    <w:p w14:paraId="1552A713" w14:textId="77777777"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Involve young people and families in the design and evaluation of services.</w:t>
      </w:r>
    </w:p>
    <w:p w14:paraId="1EE03CC6" w14:textId="77777777" w:rsidR="00084F6F" w:rsidRPr="005304F1" w:rsidRDefault="00000000">
      <w:pPr>
        <w:numPr>
          <w:ilvl w:val="0"/>
          <w:numId w:val="6"/>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Ensure that interim interventions complement rather than replace specialist mental health treatment.</w:t>
      </w:r>
    </w:p>
    <w:p w14:paraId="1B884C9A" w14:textId="77777777" w:rsidR="00084F6F" w:rsidRPr="005304F1" w:rsidRDefault="00000000">
      <w:pPr>
        <w:numPr>
          <w:ilvl w:val="0"/>
          <w:numId w:val="6"/>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lastRenderedPageBreak/>
        <w:t>Use a strengths-based and person-centred approach that recognises young people's existing resources, interests, relationships and resilience.</w:t>
      </w:r>
    </w:p>
    <w:p w14:paraId="56EF6D29" w14:textId="77777777" w:rsidR="00084F6F" w:rsidRPr="005304F1" w:rsidRDefault="00084F6F">
      <w:pPr>
        <w:tabs>
          <w:tab w:val="left" w:pos="6540"/>
        </w:tabs>
        <w:spacing w:line="360" w:lineRule="auto"/>
        <w:rPr>
          <w:rFonts w:ascii="Arial" w:eastAsia="Arial" w:hAnsi="Arial" w:cs="Arial"/>
          <w:sz w:val="23"/>
          <w:szCs w:val="23"/>
        </w:rPr>
      </w:pPr>
    </w:p>
    <w:p w14:paraId="3A3BA718" w14:textId="77777777" w:rsidR="00084F6F" w:rsidRPr="005304F1" w:rsidRDefault="00084F6F">
      <w:pPr>
        <w:tabs>
          <w:tab w:val="left" w:pos="6540"/>
        </w:tabs>
        <w:spacing w:line="360" w:lineRule="auto"/>
        <w:rPr>
          <w:rFonts w:ascii="Arial" w:eastAsia="Arial" w:hAnsi="Arial" w:cs="Arial"/>
          <w:sz w:val="23"/>
          <w:szCs w:val="23"/>
        </w:rPr>
      </w:pPr>
    </w:p>
    <w:p w14:paraId="1D861E76" w14:textId="77777777" w:rsidR="00084F6F" w:rsidRPr="005304F1" w:rsidRDefault="00084F6F">
      <w:pPr>
        <w:tabs>
          <w:tab w:val="left" w:pos="6540"/>
        </w:tabs>
        <w:spacing w:line="360" w:lineRule="auto"/>
        <w:rPr>
          <w:rFonts w:ascii="Arial" w:eastAsia="Arial" w:hAnsi="Arial" w:cs="Arial"/>
          <w:sz w:val="23"/>
          <w:szCs w:val="23"/>
        </w:rPr>
      </w:pPr>
    </w:p>
    <w:p w14:paraId="3D4B4712" w14:textId="77777777" w:rsidR="00084F6F" w:rsidRPr="005304F1" w:rsidRDefault="00084F6F">
      <w:pPr>
        <w:tabs>
          <w:tab w:val="left" w:pos="6540"/>
        </w:tabs>
        <w:spacing w:line="360" w:lineRule="auto"/>
        <w:rPr>
          <w:rFonts w:ascii="Arial" w:eastAsia="Arial" w:hAnsi="Arial" w:cs="Arial"/>
          <w:sz w:val="23"/>
          <w:szCs w:val="23"/>
        </w:rPr>
      </w:pPr>
    </w:p>
    <w:p w14:paraId="0BF24BD8" w14:textId="43F3D73E" w:rsidR="00084F6F" w:rsidRDefault="00084F6F">
      <w:pPr>
        <w:tabs>
          <w:tab w:val="left" w:pos="6540"/>
        </w:tabs>
        <w:spacing w:line="360" w:lineRule="auto"/>
        <w:rPr>
          <w:rFonts w:ascii="Arial" w:eastAsia="Arial" w:hAnsi="Arial" w:cs="Arial"/>
          <w:sz w:val="23"/>
          <w:szCs w:val="23"/>
        </w:rPr>
      </w:pPr>
    </w:p>
    <w:p w14:paraId="7C954760" w14:textId="05E0369F" w:rsidR="009D119E" w:rsidRDefault="009D119E">
      <w:pPr>
        <w:tabs>
          <w:tab w:val="left" w:pos="6540"/>
        </w:tabs>
        <w:spacing w:line="360" w:lineRule="auto"/>
        <w:rPr>
          <w:rFonts w:ascii="Arial" w:eastAsia="Arial" w:hAnsi="Arial" w:cs="Arial"/>
          <w:sz w:val="23"/>
          <w:szCs w:val="23"/>
        </w:rPr>
      </w:pPr>
    </w:p>
    <w:p w14:paraId="059C3846" w14:textId="552785FB" w:rsidR="009D119E" w:rsidRDefault="009D119E">
      <w:pPr>
        <w:tabs>
          <w:tab w:val="left" w:pos="6540"/>
        </w:tabs>
        <w:spacing w:line="360" w:lineRule="auto"/>
        <w:rPr>
          <w:rFonts w:ascii="Arial" w:eastAsia="Arial" w:hAnsi="Arial" w:cs="Arial"/>
          <w:sz w:val="23"/>
          <w:szCs w:val="23"/>
        </w:rPr>
      </w:pPr>
    </w:p>
    <w:p w14:paraId="684BE2FF" w14:textId="4250314B" w:rsidR="009D119E" w:rsidRDefault="009D119E">
      <w:pPr>
        <w:tabs>
          <w:tab w:val="left" w:pos="6540"/>
        </w:tabs>
        <w:spacing w:line="360" w:lineRule="auto"/>
        <w:rPr>
          <w:rFonts w:ascii="Arial" w:eastAsia="Arial" w:hAnsi="Arial" w:cs="Arial"/>
          <w:sz w:val="23"/>
          <w:szCs w:val="23"/>
        </w:rPr>
      </w:pPr>
    </w:p>
    <w:p w14:paraId="197FF03A" w14:textId="5C2F9CB6" w:rsidR="009D119E" w:rsidRDefault="009D119E">
      <w:pPr>
        <w:tabs>
          <w:tab w:val="left" w:pos="6540"/>
        </w:tabs>
        <w:spacing w:line="360" w:lineRule="auto"/>
        <w:rPr>
          <w:rFonts w:ascii="Arial" w:eastAsia="Arial" w:hAnsi="Arial" w:cs="Arial"/>
          <w:sz w:val="23"/>
          <w:szCs w:val="23"/>
        </w:rPr>
      </w:pPr>
    </w:p>
    <w:p w14:paraId="299BE270" w14:textId="5C4AA0E0" w:rsidR="009D119E" w:rsidRDefault="009D119E">
      <w:pPr>
        <w:tabs>
          <w:tab w:val="left" w:pos="6540"/>
        </w:tabs>
        <w:spacing w:line="360" w:lineRule="auto"/>
        <w:rPr>
          <w:rFonts w:ascii="Arial" w:eastAsia="Arial" w:hAnsi="Arial" w:cs="Arial"/>
          <w:sz w:val="23"/>
          <w:szCs w:val="23"/>
        </w:rPr>
      </w:pPr>
    </w:p>
    <w:p w14:paraId="360AA870" w14:textId="51EC9C37" w:rsidR="009D119E" w:rsidRDefault="009D119E">
      <w:pPr>
        <w:tabs>
          <w:tab w:val="left" w:pos="6540"/>
        </w:tabs>
        <w:spacing w:line="360" w:lineRule="auto"/>
        <w:rPr>
          <w:rFonts w:ascii="Arial" w:eastAsia="Arial" w:hAnsi="Arial" w:cs="Arial"/>
          <w:sz w:val="23"/>
          <w:szCs w:val="23"/>
        </w:rPr>
      </w:pPr>
    </w:p>
    <w:p w14:paraId="7D31C76A" w14:textId="79BC1AC0" w:rsidR="009D119E" w:rsidRDefault="009D119E">
      <w:pPr>
        <w:tabs>
          <w:tab w:val="left" w:pos="6540"/>
        </w:tabs>
        <w:spacing w:line="360" w:lineRule="auto"/>
        <w:rPr>
          <w:rFonts w:ascii="Arial" w:eastAsia="Arial" w:hAnsi="Arial" w:cs="Arial"/>
          <w:sz w:val="23"/>
          <w:szCs w:val="23"/>
        </w:rPr>
      </w:pPr>
    </w:p>
    <w:p w14:paraId="405B31A9" w14:textId="058CE841" w:rsidR="009D119E" w:rsidRDefault="009D119E">
      <w:pPr>
        <w:tabs>
          <w:tab w:val="left" w:pos="6540"/>
        </w:tabs>
        <w:spacing w:line="360" w:lineRule="auto"/>
        <w:rPr>
          <w:rFonts w:ascii="Arial" w:eastAsia="Arial" w:hAnsi="Arial" w:cs="Arial"/>
          <w:sz w:val="23"/>
          <w:szCs w:val="23"/>
        </w:rPr>
      </w:pPr>
    </w:p>
    <w:p w14:paraId="09B6C083" w14:textId="43040C39" w:rsidR="009D119E" w:rsidRDefault="009D119E">
      <w:pPr>
        <w:tabs>
          <w:tab w:val="left" w:pos="6540"/>
        </w:tabs>
        <w:spacing w:line="360" w:lineRule="auto"/>
        <w:rPr>
          <w:rFonts w:ascii="Arial" w:eastAsia="Arial" w:hAnsi="Arial" w:cs="Arial"/>
          <w:sz w:val="23"/>
          <w:szCs w:val="23"/>
        </w:rPr>
      </w:pPr>
    </w:p>
    <w:p w14:paraId="0D55CE1D" w14:textId="2FD0D520" w:rsidR="009D119E" w:rsidRDefault="009D119E">
      <w:pPr>
        <w:tabs>
          <w:tab w:val="left" w:pos="6540"/>
        </w:tabs>
        <w:spacing w:line="360" w:lineRule="auto"/>
        <w:rPr>
          <w:rFonts w:ascii="Arial" w:eastAsia="Arial" w:hAnsi="Arial" w:cs="Arial"/>
          <w:sz w:val="23"/>
          <w:szCs w:val="23"/>
        </w:rPr>
      </w:pPr>
    </w:p>
    <w:p w14:paraId="798CF501" w14:textId="2FA01309" w:rsidR="009D119E" w:rsidRDefault="009D119E">
      <w:pPr>
        <w:tabs>
          <w:tab w:val="left" w:pos="6540"/>
        </w:tabs>
        <w:spacing w:line="360" w:lineRule="auto"/>
        <w:rPr>
          <w:rFonts w:ascii="Arial" w:eastAsia="Arial" w:hAnsi="Arial" w:cs="Arial"/>
          <w:sz w:val="23"/>
          <w:szCs w:val="23"/>
        </w:rPr>
      </w:pPr>
    </w:p>
    <w:p w14:paraId="2B071ADC" w14:textId="4A9E348D" w:rsidR="009D119E" w:rsidRDefault="009D119E">
      <w:pPr>
        <w:tabs>
          <w:tab w:val="left" w:pos="6540"/>
        </w:tabs>
        <w:spacing w:line="360" w:lineRule="auto"/>
        <w:rPr>
          <w:rFonts w:ascii="Arial" w:eastAsia="Arial" w:hAnsi="Arial" w:cs="Arial"/>
          <w:sz w:val="23"/>
          <w:szCs w:val="23"/>
        </w:rPr>
      </w:pPr>
    </w:p>
    <w:p w14:paraId="3252DBC4" w14:textId="2FC5C02D" w:rsidR="009D119E" w:rsidRDefault="009D119E">
      <w:pPr>
        <w:tabs>
          <w:tab w:val="left" w:pos="6540"/>
        </w:tabs>
        <w:spacing w:line="360" w:lineRule="auto"/>
        <w:rPr>
          <w:rFonts w:ascii="Arial" w:eastAsia="Arial" w:hAnsi="Arial" w:cs="Arial"/>
          <w:sz w:val="23"/>
          <w:szCs w:val="23"/>
        </w:rPr>
      </w:pPr>
    </w:p>
    <w:p w14:paraId="506A4D3F" w14:textId="19224DFE" w:rsidR="009D119E" w:rsidRDefault="009D119E">
      <w:pPr>
        <w:tabs>
          <w:tab w:val="left" w:pos="6540"/>
        </w:tabs>
        <w:spacing w:line="360" w:lineRule="auto"/>
        <w:rPr>
          <w:rFonts w:ascii="Arial" w:eastAsia="Arial" w:hAnsi="Arial" w:cs="Arial"/>
          <w:sz w:val="23"/>
          <w:szCs w:val="23"/>
        </w:rPr>
      </w:pPr>
    </w:p>
    <w:p w14:paraId="5416D686" w14:textId="0B30B6F0" w:rsidR="009D119E" w:rsidRDefault="009D119E">
      <w:pPr>
        <w:tabs>
          <w:tab w:val="left" w:pos="6540"/>
        </w:tabs>
        <w:spacing w:line="360" w:lineRule="auto"/>
        <w:rPr>
          <w:rFonts w:ascii="Arial" w:eastAsia="Arial" w:hAnsi="Arial" w:cs="Arial"/>
          <w:sz w:val="23"/>
          <w:szCs w:val="23"/>
        </w:rPr>
      </w:pPr>
    </w:p>
    <w:p w14:paraId="66E6CA03" w14:textId="3EE0B11A" w:rsidR="009D119E" w:rsidRDefault="009D119E">
      <w:pPr>
        <w:tabs>
          <w:tab w:val="left" w:pos="6540"/>
        </w:tabs>
        <w:spacing w:line="360" w:lineRule="auto"/>
        <w:rPr>
          <w:rFonts w:ascii="Arial" w:eastAsia="Arial" w:hAnsi="Arial" w:cs="Arial"/>
          <w:sz w:val="23"/>
          <w:szCs w:val="23"/>
        </w:rPr>
      </w:pPr>
    </w:p>
    <w:p w14:paraId="4CF70E62" w14:textId="3CEF9A92" w:rsidR="009D119E" w:rsidRDefault="009D119E">
      <w:pPr>
        <w:tabs>
          <w:tab w:val="left" w:pos="6540"/>
        </w:tabs>
        <w:spacing w:line="360" w:lineRule="auto"/>
        <w:rPr>
          <w:rFonts w:ascii="Arial" w:eastAsia="Arial" w:hAnsi="Arial" w:cs="Arial"/>
          <w:sz w:val="23"/>
          <w:szCs w:val="23"/>
        </w:rPr>
      </w:pPr>
    </w:p>
    <w:p w14:paraId="4F09AC21" w14:textId="77777777" w:rsidR="009D119E" w:rsidRPr="005304F1" w:rsidRDefault="009D119E">
      <w:pPr>
        <w:tabs>
          <w:tab w:val="left" w:pos="6540"/>
        </w:tabs>
        <w:spacing w:line="360" w:lineRule="auto"/>
        <w:rPr>
          <w:rFonts w:ascii="Arial" w:eastAsia="Arial" w:hAnsi="Arial" w:cs="Arial"/>
          <w:sz w:val="23"/>
          <w:szCs w:val="23"/>
        </w:rPr>
      </w:pPr>
    </w:p>
    <w:p w14:paraId="695449D3" w14:textId="77777777" w:rsidR="00084F6F" w:rsidRPr="005304F1" w:rsidRDefault="00000000" w:rsidP="008B624A">
      <w:pPr>
        <w:pStyle w:val="Heading1"/>
        <w:keepNext w:val="0"/>
        <w:keepLines w:val="0"/>
        <w:tabs>
          <w:tab w:val="left" w:pos="6540"/>
        </w:tabs>
        <w:spacing w:before="480" w:after="120"/>
        <w:jc w:val="center"/>
        <w:rPr>
          <w:color w:val="auto"/>
          <w:sz w:val="23"/>
          <w:szCs w:val="23"/>
        </w:rPr>
      </w:pPr>
      <w:bookmarkStart w:id="50" w:name="_heading=h.u72wqt780vgo" w:colFirst="0" w:colLast="0"/>
      <w:bookmarkEnd w:id="50"/>
      <w:r w:rsidRPr="005304F1">
        <w:rPr>
          <w:color w:val="auto"/>
          <w:sz w:val="23"/>
          <w:szCs w:val="23"/>
        </w:rPr>
        <w:lastRenderedPageBreak/>
        <w:t>References</w:t>
      </w:r>
    </w:p>
    <w:p w14:paraId="61A111DF" w14:textId="77777777" w:rsidR="00084F6F" w:rsidRPr="005304F1" w:rsidRDefault="00000000">
      <w:pPr>
        <w:tabs>
          <w:tab w:val="left" w:pos="6540"/>
        </w:tabs>
        <w:spacing w:before="240" w:after="240"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 xml:space="preserve">-Childs, J. and Deighton, J. (2020) 'Problem severity and waiting times for young people accessing mental health services'. </w:t>
      </w:r>
      <w:proofErr w:type="spellStart"/>
      <w:r w:rsidRPr="005304F1">
        <w:rPr>
          <w:rFonts w:ascii="Arial" w:eastAsia="Arial" w:hAnsi="Arial" w:cs="Arial"/>
          <w:i/>
          <w:iCs/>
          <w:sz w:val="23"/>
          <w:szCs w:val="23"/>
        </w:rPr>
        <w:t>BJPsych</w:t>
      </w:r>
      <w:proofErr w:type="spellEnd"/>
      <w:r w:rsidRPr="005304F1">
        <w:rPr>
          <w:rFonts w:ascii="Arial" w:eastAsia="Arial" w:hAnsi="Arial" w:cs="Arial"/>
          <w:i/>
          <w:iCs/>
          <w:sz w:val="23"/>
          <w:szCs w:val="23"/>
        </w:rPr>
        <w:t xml:space="preserve"> Open</w:t>
      </w:r>
      <w:r w:rsidRPr="005304F1">
        <w:rPr>
          <w:rFonts w:ascii="Arial" w:eastAsia="Arial" w:hAnsi="Arial" w:cs="Arial"/>
          <w:sz w:val="23"/>
          <w:szCs w:val="23"/>
        </w:rPr>
        <w:t>, 6(6).</w:t>
      </w:r>
    </w:p>
    <w:p w14:paraId="7B37794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Han, E., Burton, A., Bradbury, A., Hayes, D., Wright, J., </w:t>
      </w:r>
      <w:proofErr w:type="spellStart"/>
      <w:r w:rsidRPr="005304F1">
        <w:rPr>
          <w:rFonts w:ascii="Arial" w:eastAsia="Arial" w:hAnsi="Arial" w:cs="Arial"/>
          <w:sz w:val="23"/>
          <w:szCs w:val="23"/>
        </w:rPr>
        <w:t>Sticpewich</w:t>
      </w:r>
      <w:proofErr w:type="spellEnd"/>
      <w:r w:rsidRPr="005304F1">
        <w:rPr>
          <w:rFonts w:ascii="Arial" w:eastAsia="Arial" w:hAnsi="Arial" w:cs="Arial"/>
          <w:sz w:val="23"/>
          <w:szCs w:val="23"/>
        </w:rPr>
        <w:t xml:space="preserve">, L., Page, J. and </w:t>
      </w:r>
      <w:proofErr w:type="spellStart"/>
      <w:r w:rsidRPr="005304F1">
        <w:rPr>
          <w:rFonts w:ascii="Arial" w:eastAsia="Arial" w:hAnsi="Arial" w:cs="Arial"/>
          <w:sz w:val="23"/>
          <w:szCs w:val="23"/>
        </w:rPr>
        <w:t>Fancourt</w:t>
      </w:r>
      <w:proofErr w:type="spellEnd"/>
      <w:r w:rsidRPr="005304F1">
        <w:rPr>
          <w:rFonts w:ascii="Arial" w:eastAsia="Arial" w:hAnsi="Arial" w:cs="Arial"/>
          <w:sz w:val="23"/>
          <w:szCs w:val="23"/>
        </w:rPr>
        <w:t xml:space="preserve">, D. (2026) 'Experiences of youth and caregivers waiting for mental health services in the UK: a qualitative study to inform policy and practice'. </w:t>
      </w:r>
      <w:r w:rsidRPr="005304F1">
        <w:rPr>
          <w:rFonts w:ascii="Arial" w:eastAsia="Arial" w:hAnsi="Arial" w:cs="Arial"/>
          <w:i/>
          <w:iCs/>
          <w:sz w:val="23"/>
          <w:szCs w:val="23"/>
        </w:rPr>
        <w:t>European Child &amp; Adolescent Psychiatry</w:t>
      </w:r>
      <w:r w:rsidRPr="005304F1">
        <w:rPr>
          <w:rFonts w:ascii="Arial" w:eastAsia="Arial" w:hAnsi="Arial" w:cs="Arial"/>
          <w:sz w:val="23"/>
          <w:szCs w:val="23"/>
        </w:rPr>
        <w:t>.</w:t>
      </w:r>
    </w:p>
    <w:p w14:paraId="1A341D11"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Hayes, D. et al. (2026) 'Wellbeing While Waiting: effectiveness and implementation of youth social prescribing for young people awaiting CAMHS support'. </w:t>
      </w:r>
      <w:r w:rsidRPr="005304F1">
        <w:rPr>
          <w:rFonts w:ascii="Arial" w:eastAsia="Arial" w:hAnsi="Arial" w:cs="Arial"/>
          <w:i/>
          <w:iCs/>
          <w:sz w:val="23"/>
          <w:szCs w:val="23"/>
        </w:rPr>
        <w:t>European Child &amp; Adolescent Psychiatry</w:t>
      </w:r>
      <w:r w:rsidRPr="005304F1">
        <w:rPr>
          <w:rFonts w:ascii="Arial" w:eastAsia="Arial" w:hAnsi="Arial" w:cs="Arial"/>
          <w:sz w:val="23"/>
          <w:szCs w:val="23"/>
        </w:rPr>
        <w:t>.</w:t>
      </w:r>
    </w:p>
    <w:p w14:paraId="5C4BD64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National Institute for Health and Care Excellence (NICE) (2013, updated) </w:t>
      </w:r>
      <w:r w:rsidRPr="005304F1">
        <w:rPr>
          <w:rFonts w:ascii="Arial" w:eastAsia="Arial" w:hAnsi="Arial" w:cs="Arial"/>
          <w:i/>
          <w:iCs/>
          <w:sz w:val="23"/>
          <w:szCs w:val="23"/>
        </w:rPr>
        <w:t>Depression in children and young people: identification and management</w:t>
      </w:r>
      <w:r w:rsidRPr="005304F1">
        <w:rPr>
          <w:rFonts w:ascii="Arial" w:eastAsia="Arial" w:hAnsi="Arial" w:cs="Arial"/>
          <w:sz w:val="23"/>
          <w:szCs w:val="23"/>
        </w:rPr>
        <w:t>. NICE Guideline NG134. London: NICE.</w:t>
      </w:r>
    </w:p>
    <w:p w14:paraId="6468A8CD"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National Institute for Health and Care Excellence (NICE) (2022) </w:t>
      </w:r>
      <w:r w:rsidRPr="005304F1">
        <w:rPr>
          <w:rFonts w:ascii="Arial" w:eastAsia="Arial" w:hAnsi="Arial" w:cs="Arial"/>
          <w:i/>
          <w:iCs/>
          <w:sz w:val="23"/>
          <w:szCs w:val="23"/>
        </w:rPr>
        <w:t>Social, emotional and mental wellbeing in primary and secondary education</w:t>
      </w:r>
      <w:r w:rsidRPr="005304F1">
        <w:rPr>
          <w:rFonts w:ascii="Arial" w:eastAsia="Arial" w:hAnsi="Arial" w:cs="Arial"/>
          <w:sz w:val="23"/>
          <w:szCs w:val="23"/>
        </w:rPr>
        <w:t>. NICE Guideline NG223. London: NICE.</w:t>
      </w:r>
    </w:p>
    <w:p w14:paraId="1E20AB1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Pape, T., Rixson, L. and Abdul Pari, A.A. (2026) 'Inequity in treatment access for child mental health services in England: analysis of administrative national data for 2021–2022'. </w:t>
      </w:r>
      <w:proofErr w:type="spellStart"/>
      <w:r w:rsidRPr="005304F1">
        <w:rPr>
          <w:rFonts w:ascii="Arial" w:eastAsia="Arial" w:hAnsi="Arial" w:cs="Arial"/>
          <w:i/>
          <w:iCs/>
          <w:sz w:val="23"/>
          <w:szCs w:val="23"/>
        </w:rPr>
        <w:t>BJPsych</w:t>
      </w:r>
      <w:proofErr w:type="spellEnd"/>
      <w:r w:rsidRPr="005304F1">
        <w:rPr>
          <w:rFonts w:ascii="Arial" w:eastAsia="Arial" w:hAnsi="Arial" w:cs="Arial"/>
          <w:i/>
          <w:iCs/>
          <w:sz w:val="23"/>
          <w:szCs w:val="23"/>
        </w:rPr>
        <w:t xml:space="preserve"> Bulletin</w:t>
      </w:r>
      <w:r w:rsidRPr="005304F1">
        <w:rPr>
          <w:rFonts w:ascii="Arial" w:eastAsia="Arial" w:hAnsi="Arial" w:cs="Arial"/>
          <w:sz w:val="23"/>
          <w:szCs w:val="23"/>
        </w:rPr>
        <w:t>, 50(1), pp. 13–19.</w:t>
      </w:r>
    </w:p>
    <w:p w14:paraId="6650A3C3" w14:textId="77777777" w:rsidR="00084F6F" w:rsidRPr="005304F1" w:rsidRDefault="00000000">
      <w:pPr>
        <w:tabs>
          <w:tab w:val="left" w:pos="6540"/>
        </w:tabs>
        <w:spacing w:before="240" w:after="240" w:line="360" w:lineRule="auto"/>
        <w:rPr>
          <w:rFonts w:ascii="Arial" w:eastAsia="Arial" w:hAnsi="Arial" w:cs="Arial"/>
          <w:sz w:val="23"/>
          <w:szCs w:val="23"/>
        </w:rPr>
      </w:pPr>
      <w:proofErr w:type="spellStart"/>
      <w:r w:rsidRPr="005304F1">
        <w:rPr>
          <w:rFonts w:ascii="Arial" w:eastAsia="Arial" w:hAnsi="Arial" w:cs="Arial"/>
          <w:sz w:val="23"/>
          <w:szCs w:val="23"/>
        </w:rPr>
        <w:t>Punton</w:t>
      </w:r>
      <w:proofErr w:type="spellEnd"/>
      <w:r w:rsidRPr="005304F1">
        <w:rPr>
          <w:rFonts w:ascii="Arial" w:eastAsia="Arial" w:hAnsi="Arial" w:cs="Arial"/>
          <w:sz w:val="23"/>
          <w:szCs w:val="23"/>
        </w:rPr>
        <w:t xml:space="preserve">, G., Dodd, A.L. and McNeill, A. (2022) '"You're on the waiting list": an interpretive phenomenological analysis of young adults' experiences of waiting lists within mental health services in the UK'. </w:t>
      </w:r>
      <w:r w:rsidRPr="005304F1">
        <w:rPr>
          <w:rFonts w:ascii="Arial" w:eastAsia="Arial" w:hAnsi="Arial" w:cs="Arial"/>
          <w:i/>
          <w:iCs/>
          <w:sz w:val="23"/>
          <w:szCs w:val="23"/>
        </w:rPr>
        <w:t>PLOS ONE</w:t>
      </w:r>
      <w:r w:rsidRPr="005304F1">
        <w:rPr>
          <w:rFonts w:ascii="Arial" w:eastAsia="Arial" w:hAnsi="Arial" w:cs="Arial"/>
          <w:sz w:val="23"/>
          <w:szCs w:val="23"/>
        </w:rPr>
        <w:t>, 17(3).</w:t>
      </w:r>
    </w:p>
    <w:p w14:paraId="3EA76D32"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Rocks, S., Fazel, M. and </w:t>
      </w:r>
      <w:proofErr w:type="spellStart"/>
      <w:r w:rsidRPr="005304F1">
        <w:rPr>
          <w:rFonts w:ascii="Arial" w:eastAsia="Arial" w:hAnsi="Arial" w:cs="Arial"/>
          <w:sz w:val="23"/>
          <w:szCs w:val="23"/>
        </w:rPr>
        <w:t>Tsiachristas</w:t>
      </w:r>
      <w:proofErr w:type="spellEnd"/>
      <w:r w:rsidRPr="005304F1">
        <w:rPr>
          <w:rFonts w:ascii="Arial" w:eastAsia="Arial" w:hAnsi="Arial" w:cs="Arial"/>
          <w:sz w:val="23"/>
          <w:szCs w:val="23"/>
        </w:rPr>
        <w:t xml:space="preserve">, A. (2020a) 'Impact of transforming mental health services for young people in England on patient access, resource use and health: a quasi-experimental study'. </w:t>
      </w:r>
      <w:r w:rsidRPr="005304F1">
        <w:rPr>
          <w:rFonts w:ascii="Arial" w:eastAsia="Arial" w:hAnsi="Arial" w:cs="Arial"/>
          <w:i/>
          <w:iCs/>
          <w:sz w:val="23"/>
          <w:szCs w:val="23"/>
        </w:rPr>
        <w:t>BMJ Open</w:t>
      </w:r>
      <w:r w:rsidRPr="005304F1">
        <w:rPr>
          <w:rFonts w:ascii="Arial" w:eastAsia="Arial" w:hAnsi="Arial" w:cs="Arial"/>
          <w:sz w:val="23"/>
          <w:szCs w:val="23"/>
        </w:rPr>
        <w:t>, 10.</w:t>
      </w:r>
    </w:p>
    <w:p w14:paraId="3814EC9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Rocks, S., </w:t>
      </w:r>
      <w:proofErr w:type="spellStart"/>
      <w:r w:rsidRPr="005304F1">
        <w:rPr>
          <w:rFonts w:ascii="Arial" w:eastAsia="Arial" w:hAnsi="Arial" w:cs="Arial"/>
          <w:sz w:val="23"/>
          <w:szCs w:val="23"/>
        </w:rPr>
        <w:t>Glogowska</w:t>
      </w:r>
      <w:proofErr w:type="spellEnd"/>
      <w:r w:rsidRPr="005304F1">
        <w:rPr>
          <w:rFonts w:ascii="Arial" w:eastAsia="Arial" w:hAnsi="Arial" w:cs="Arial"/>
          <w:sz w:val="23"/>
          <w:szCs w:val="23"/>
        </w:rPr>
        <w:t xml:space="preserve">, M., Stepney, M., </w:t>
      </w:r>
      <w:proofErr w:type="spellStart"/>
      <w:r w:rsidRPr="005304F1">
        <w:rPr>
          <w:rFonts w:ascii="Arial" w:eastAsia="Arial" w:hAnsi="Arial" w:cs="Arial"/>
          <w:sz w:val="23"/>
          <w:szCs w:val="23"/>
        </w:rPr>
        <w:t>Tsiachristas</w:t>
      </w:r>
      <w:proofErr w:type="spellEnd"/>
      <w:r w:rsidRPr="005304F1">
        <w:rPr>
          <w:rFonts w:ascii="Arial" w:eastAsia="Arial" w:hAnsi="Arial" w:cs="Arial"/>
          <w:sz w:val="23"/>
          <w:szCs w:val="23"/>
        </w:rPr>
        <w:t xml:space="preserve">, A. and Fazel, M. (2020b) 'Introducing a single point of access to child and adolescent mental health services in England: a mixed-methods observational study'. </w:t>
      </w:r>
      <w:r w:rsidRPr="005304F1">
        <w:rPr>
          <w:rFonts w:ascii="Arial" w:eastAsia="Arial" w:hAnsi="Arial" w:cs="Arial"/>
          <w:i/>
          <w:iCs/>
          <w:sz w:val="23"/>
          <w:szCs w:val="23"/>
        </w:rPr>
        <w:t>BMC Health Services Research</w:t>
      </w:r>
      <w:r w:rsidRPr="005304F1">
        <w:rPr>
          <w:rFonts w:ascii="Arial" w:eastAsia="Arial" w:hAnsi="Arial" w:cs="Arial"/>
          <w:sz w:val="23"/>
          <w:szCs w:val="23"/>
        </w:rPr>
        <w:t>, 20.</w:t>
      </w:r>
    </w:p>
    <w:p w14:paraId="15C4ECA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lastRenderedPageBreak/>
        <w:t xml:space="preserve">Taylor, A. et al. (2026) 'Experiences of Young People, Parents and Delivery Staff of the Social Prescribing Intervention "Safety Nets": A Qualitative Investigation'. </w:t>
      </w:r>
      <w:r w:rsidRPr="005304F1">
        <w:rPr>
          <w:rFonts w:ascii="Arial" w:eastAsia="Arial" w:hAnsi="Arial" w:cs="Arial"/>
          <w:i/>
          <w:iCs/>
          <w:sz w:val="23"/>
          <w:szCs w:val="23"/>
        </w:rPr>
        <w:t>International Journal of Mental Health Nursing</w:t>
      </w:r>
      <w:r w:rsidRPr="005304F1">
        <w:rPr>
          <w:rFonts w:ascii="Arial" w:eastAsia="Arial" w:hAnsi="Arial" w:cs="Arial"/>
          <w:sz w:val="23"/>
          <w:szCs w:val="23"/>
        </w:rPr>
        <w:t>.</w:t>
      </w:r>
    </w:p>
    <w:p w14:paraId="381B3CA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Valentine, A.Z., Hall, S.S., </w:t>
      </w:r>
      <w:proofErr w:type="spellStart"/>
      <w:r w:rsidRPr="005304F1">
        <w:rPr>
          <w:rFonts w:ascii="Arial" w:eastAsia="Arial" w:hAnsi="Arial" w:cs="Arial"/>
          <w:sz w:val="23"/>
          <w:szCs w:val="23"/>
        </w:rPr>
        <w:t>Sayal</w:t>
      </w:r>
      <w:proofErr w:type="spellEnd"/>
      <w:r w:rsidRPr="005304F1">
        <w:rPr>
          <w:rFonts w:ascii="Arial" w:eastAsia="Arial" w:hAnsi="Arial" w:cs="Arial"/>
          <w:sz w:val="23"/>
          <w:szCs w:val="23"/>
        </w:rPr>
        <w:t xml:space="preserve">, K. and Hall, C.L. (2024) 'Waiting-list interventions for children and young people using child and adolescent mental health services: a systematic review'. </w:t>
      </w:r>
      <w:r w:rsidRPr="005304F1">
        <w:rPr>
          <w:rFonts w:ascii="Arial" w:eastAsia="Arial" w:hAnsi="Arial" w:cs="Arial"/>
          <w:i/>
          <w:iCs/>
          <w:sz w:val="23"/>
          <w:szCs w:val="23"/>
        </w:rPr>
        <w:t>BMJ Mental Health</w:t>
      </w:r>
      <w:r w:rsidRPr="005304F1">
        <w:rPr>
          <w:rFonts w:ascii="Arial" w:eastAsia="Arial" w:hAnsi="Arial" w:cs="Arial"/>
          <w:sz w:val="23"/>
          <w:szCs w:val="23"/>
        </w:rPr>
        <w:t>, 27(1).</w:t>
      </w:r>
    </w:p>
    <w:p w14:paraId="07F2D4BF"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b/>
          <w:bCs/>
          <w:sz w:val="23"/>
          <w:szCs w:val="23"/>
        </w:rPr>
        <w:t>STADIA study (2026)</w:t>
      </w:r>
      <w:r w:rsidRPr="005304F1">
        <w:rPr>
          <w:rFonts w:ascii="Arial" w:eastAsia="Arial" w:hAnsi="Arial" w:cs="Arial"/>
          <w:sz w:val="23"/>
          <w:szCs w:val="23"/>
        </w:rPr>
        <w:t xml:space="preserve"> 'Investigating inequalities in children and young people's mental healthcare and outcomes: prospective longitudinal analysis from the STADIA trial'.</w:t>
      </w:r>
    </w:p>
    <w:p w14:paraId="09D8637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UK Government (1989) </w:t>
      </w:r>
      <w:r w:rsidRPr="005304F1">
        <w:rPr>
          <w:rFonts w:ascii="Arial" w:eastAsia="Arial" w:hAnsi="Arial" w:cs="Arial"/>
          <w:i/>
          <w:iCs/>
          <w:sz w:val="23"/>
          <w:szCs w:val="23"/>
        </w:rPr>
        <w:t>Children Act 1989</w:t>
      </w:r>
      <w:r w:rsidRPr="005304F1">
        <w:rPr>
          <w:rFonts w:ascii="Arial" w:eastAsia="Arial" w:hAnsi="Arial" w:cs="Arial"/>
          <w:sz w:val="23"/>
          <w:szCs w:val="23"/>
        </w:rPr>
        <w:t>. London: The Stationery Office.</w:t>
      </w:r>
    </w:p>
    <w:p w14:paraId="4D6C183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UK Government (1983) </w:t>
      </w:r>
      <w:r w:rsidRPr="005304F1">
        <w:rPr>
          <w:rFonts w:ascii="Arial" w:eastAsia="Arial" w:hAnsi="Arial" w:cs="Arial"/>
          <w:i/>
          <w:iCs/>
          <w:sz w:val="23"/>
          <w:szCs w:val="23"/>
        </w:rPr>
        <w:t>Mental Health Act 1983</w:t>
      </w:r>
      <w:r w:rsidRPr="005304F1">
        <w:rPr>
          <w:rFonts w:ascii="Arial" w:eastAsia="Arial" w:hAnsi="Arial" w:cs="Arial"/>
          <w:sz w:val="23"/>
          <w:szCs w:val="23"/>
        </w:rPr>
        <w:t>. London: The Stationery Office.</w:t>
      </w:r>
    </w:p>
    <w:p w14:paraId="46EA6706"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UK Government (2010) </w:t>
      </w:r>
      <w:r w:rsidRPr="005304F1">
        <w:rPr>
          <w:rFonts w:ascii="Arial" w:eastAsia="Arial" w:hAnsi="Arial" w:cs="Arial"/>
          <w:i/>
          <w:iCs/>
          <w:sz w:val="23"/>
          <w:szCs w:val="23"/>
        </w:rPr>
        <w:t>Equality Act 2010</w:t>
      </w:r>
      <w:r w:rsidRPr="005304F1">
        <w:rPr>
          <w:rFonts w:ascii="Arial" w:eastAsia="Arial" w:hAnsi="Arial" w:cs="Arial"/>
          <w:sz w:val="23"/>
          <w:szCs w:val="23"/>
        </w:rPr>
        <w:t>. London: The Stationery Office.</w:t>
      </w:r>
    </w:p>
    <w:p w14:paraId="297F37FC" w14:textId="77777777" w:rsidR="00084F6F" w:rsidRPr="005304F1" w:rsidRDefault="00084F6F">
      <w:pPr>
        <w:tabs>
          <w:tab w:val="left" w:pos="6540"/>
        </w:tabs>
        <w:spacing w:line="360" w:lineRule="auto"/>
        <w:rPr>
          <w:rFonts w:ascii="Arial" w:hAnsi="Arial" w:cs="Arial"/>
          <w:sz w:val="23"/>
          <w:szCs w:val="23"/>
        </w:rPr>
      </w:pPr>
    </w:p>
    <w:p w14:paraId="10937A1E" w14:textId="77777777" w:rsidR="00084F6F" w:rsidRPr="005304F1" w:rsidRDefault="00084F6F">
      <w:pPr>
        <w:tabs>
          <w:tab w:val="left" w:pos="6540"/>
        </w:tabs>
        <w:spacing w:line="360" w:lineRule="auto"/>
        <w:rPr>
          <w:rFonts w:ascii="Arial" w:hAnsi="Arial" w:cs="Arial"/>
          <w:sz w:val="23"/>
          <w:szCs w:val="23"/>
        </w:rPr>
      </w:pPr>
    </w:p>
    <w:p w14:paraId="04C093E3" w14:textId="77777777" w:rsidR="00084F6F" w:rsidRPr="005304F1" w:rsidRDefault="00084F6F">
      <w:pPr>
        <w:tabs>
          <w:tab w:val="left" w:pos="6540"/>
        </w:tabs>
        <w:spacing w:line="360" w:lineRule="auto"/>
        <w:rPr>
          <w:rFonts w:ascii="Arial" w:hAnsi="Arial" w:cs="Arial"/>
          <w:sz w:val="23"/>
          <w:szCs w:val="23"/>
        </w:rPr>
      </w:pPr>
    </w:p>
    <w:p w14:paraId="6AF62DC6" w14:textId="77777777" w:rsidR="00084F6F" w:rsidRPr="005304F1" w:rsidRDefault="00084F6F">
      <w:pPr>
        <w:tabs>
          <w:tab w:val="left" w:pos="6540"/>
        </w:tabs>
        <w:spacing w:line="360" w:lineRule="auto"/>
        <w:rPr>
          <w:rFonts w:ascii="Arial" w:hAnsi="Arial" w:cs="Arial"/>
          <w:sz w:val="23"/>
          <w:szCs w:val="23"/>
        </w:rPr>
      </w:pPr>
    </w:p>
    <w:p w14:paraId="0146FB9F" w14:textId="77777777" w:rsidR="00084F6F" w:rsidRPr="005304F1" w:rsidRDefault="00084F6F">
      <w:pPr>
        <w:tabs>
          <w:tab w:val="left" w:pos="6540"/>
        </w:tabs>
        <w:spacing w:line="360" w:lineRule="auto"/>
        <w:rPr>
          <w:rFonts w:ascii="Arial" w:hAnsi="Arial" w:cs="Arial"/>
          <w:sz w:val="23"/>
          <w:szCs w:val="23"/>
        </w:rPr>
      </w:pPr>
    </w:p>
    <w:p w14:paraId="1B2FAB73" w14:textId="77777777" w:rsidR="00084F6F" w:rsidRPr="005304F1" w:rsidRDefault="00084F6F">
      <w:pPr>
        <w:tabs>
          <w:tab w:val="left" w:pos="6540"/>
        </w:tabs>
        <w:spacing w:line="360" w:lineRule="auto"/>
        <w:rPr>
          <w:rFonts w:ascii="Arial" w:hAnsi="Arial" w:cs="Arial"/>
          <w:sz w:val="23"/>
          <w:szCs w:val="23"/>
        </w:rPr>
      </w:pPr>
    </w:p>
    <w:p w14:paraId="0ED12676" w14:textId="77777777" w:rsidR="00084F6F" w:rsidRPr="005304F1" w:rsidRDefault="00084F6F">
      <w:pPr>
        <w:tabs>
          <w:tab w:val="left" w:pos="6540"/>
        </w:tabs>
        <w:spacing w:line="360" w:lineRule="auto"/>
        <w:rPr>
          <w:rFonts w:ascii="Arial" w:hAnsi="Arial" w:cs="Arial"/>
          <w:sz w:val="23"/>
          <w:szCs w:val="23"/>
        </w:rPr>
      </w:pPr>
    </w:p>
    <w:p w14:paraId="0779FA95" w14:textId="77777777" w:rsidR="00084F6F" w:rsidRPr="005304F1" w:rsidRDefault="00084F6F">
      <w:pPr>
        <w:tabs>
          <w:tab w:val="left" w:pos="6540"/>
        </w:tabs>
        <w:spacing w:line="360" w:lineRule="auto"/>
        <w:rPr>
          <w:rFonts w:ascii="Arial" w:hAnsi="Arial" w:cs="Arial"/>
          <w:sz w:val="23"/>
          <w:szCs w:val="23"/>
        </w:rPr>
      </w:pPr>
    </w:p>
    <w:p w14:paraId="6D8EEC1C" w14:textId="77777777" w:rsidR="00084F6F" w:rsidRPr="005304F1" w:rsidRDefault="00000000">
      <w:pPr>
        <w:rPr>
          <w:rFonts w:ascii="Arial" w:hAnsi="Arial" w:cs="Arial"/>
          <w:b/>
          <w:bCs/>
          <w:sz w:val="23"/>
          <w:szCs w:val="23"/>
        </w:rPr>
      </w:pPr>
      <w:r w:rsidRPr="005304F1">
        <w:rPr>
          <w:rFonts w:ascii="Arial" w:hAnsi="Arial" w:cs="Arial"/>
          <w:sz w:val="23"/>
          <w:szCs w:val="23"/>
        </w:rPr>
        <w:br w:type="page"/>
      </w:r>
    </w:p>
    <w:p w14:paraId="1F04E10A" w14:textId="77777777" w:rsidR="00084F6F" w:rsidRPr="005304F1" w:rsidRDefault="00000000">
      <w:pPr>
        <w:pStyle w:val="Heading1"/>
        <w:rPr>
          <w:color w:val="auto"/>
          <w:sz w:val="23"/>
          <w:szCs w:val="23"/>
        </w:rPr>
      </w:pPr>
      <w:r w:rsidRPr="005304F1">
        <w:rPr>
          <w:color w:val="auto"/>
          <w:sz w:val="23"/>
          <w:szCs w:val="23"/>
        </w:rPr>
        <w:lastRenderedPageBreak/>
        <w:t>Appendix 1</w:t>
      </w:r>
    </w:p>
    <w:p w14:paraId="193A01A5"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51" w:name="_heading=h.8kbsracyog52" w:colFirst="0" w:colLast="0"/>
      <w:bookmarkEnd w:id="51"/>
      <w:r w:rsidRPr="005304F1">
        <w:rPr>
          <w:i w:val="0"/>
          <w:iCs w:val="0"/>
          <w:color w:val="auto"/>
          <w:sz w:val="23"/>
          <w:szCs w:val="23"/>
        </w:rPr>
        <w:t>3.2 Search Strategy</w:t>
      </w:r>
    </w:p>
    <w:p w14:paraId="615DD59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 structured literature search was developed using combinations of terms relating to four main concepts:</w:t>
      </w:r>
    </w:p>
    <w:p w14:paraId="67D78945" w14:textId="77777777" w:rsidR="00084F6F" w:rsidRPr="005304F1" w:rsidRDefault="00000000">
      <w:pPr>
        <w:tabs>
          <w:tab w:val="left" w:pos="6540"/>
        </w:tabs>
        <w:spacing w:before="240" w:after="240" w:line="360" w:lineRule="auto"/>
        <w:rPr>
          <w:rFonts w:ascii="Arial" w:eastAsia="Arial" w:hAnsi="Arial" w:cs="Arial"/>
          <w:b/>
          <w:bCs/>
          <w:sz w:val="23"/>
          <w:szCs w:val="23"/>
        </w:rPr>
      </w:pPr>
      <w:r w:rsidRPr="005304F1">
        <w:rPr>
          <w:rFonts w:ascii="Arial" w:eastAsia="Arial" w:hAnsi="Arial" w:cs="Arial"/>
          <w:b/>
          <w:bCs/>
          <w:sz w:val="23"/>
          <w:szCs w:val="23"/>
        </w:rPr>
        <w:t>Population:</w:t>
      </w:r>
    </w:p>
    <w:p w14:paraId="52BA1B9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“adolescent”, “teenager”, “young people”, “young person”, “children and young people” and “CYP”.</w:t>
      </w:r>
    </w:p>
    <w:p w14:paraId="48C175E7" w14:textId="77777777" w:rsidR="00084F6F" w:rsidRPr="005304F1" w:rsidRDefault="00000000">
      <w:pPr>
        <w:tabs>
          <w:tab w:val="left" w:pos="6540"/>
        </w:tabs>
        <w:spacing w:before="240" w:after="240" w:line="360" w:lineRule="auto"/>
        <w:rPr>
          <w:rFonts w:ascii="Arial" w:eastAsia="Arial" w:hAnsi="Arial" w:cs="Arial"/>
          <w:b/>
          <w:bCs/>
          <w:sz w:val="23"/>
          <w:szCs w:val="23"/>
        </w:rPr>
      </w:pPr>
      <w:r w:rsidRPr="005304F1">
        <w:rPr>
          <w:rFonts w:ascii="Arial" w:eastAsia="Arial" w:hAnsi="Arial" w:cs="Arial"/>
          <w:b/>
          <w:bCs/>
          <w:sz w:val="23"/>
          <w:szCs w:val="23"/>
        </w:rPr>
        <w:t>Mental health:</w:t>
      </w:r>
    </w:p>
    <w:p w14:paraId="40D4F709"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t>
      </w:r>
      <w:proofErr w:type="gramStart"/>
      <w:r w:rsidRPr="005304F1">
        <w:rPr>
          <w:rFonts w:ascii="Arial" w:eastAsia="Arial" w:hAnsi="Arial" w:cs="Arial"/>
          <w:sz w:val="23"/>
          <w:szCs w:val="23"/>
        </w:rPr>
        <w:t>mental</w:t>
      </w:r>
      <w:proofErr w:type="gramEnd"/>
      <w:r w:rsidRPr="005304F1">
        <w:rPr>
          <w:rFonts w:ascii="Arial" w:eastAsia="Arial" w:hAnsi="Arial" w:cs="Arial"/>
          <w:sz w:val="23"/>
          <w:szCs w:val="23"/>
        </w:rPr>
        <w:t xml:space="preserve"> health”, “CAMHS”, “child and adolescent mental health” and “mental health services”.</w:t>
      </w:r>
    </w:p>
    <w:p w14:paraId="4515DF1F" w14:textId="77777777" w:rsidR="00084F6F" w:rsidRPr="005304F1" w:rsidRDefault="00000000">
      <w:pPr>
        <w:tabs>
          <w:tab w:val="left" w:pos="6540"/>
        </w:tabs>
        <w:spacing w:before="240" w:after="240" w:line="360" w:lineRule="auto"/>
        <w:rPr>
          <w:rFonts w:ascii="Arial" w:eastAsia="Arial" w:hAnsi="Arial" w:cs="Arial"/>
          <w:b/>
          <w:bCs/>
          <w:sz w:val="23"/>
          <w:szCs w:val="23"/>
        </w:rPr>
      </w:pPr>
      <w:r w:rsidRPr="005304F1">
        <w:rPr>
          <w:rFonts w:ascii="Arial" w:eastAsia="Arial" w:hAnsi="Arial" w:cs="Arial"/>
          <w:b/>
          <w:bCs/>
          <w:sz w:val="23"/>
          <w:szCs w:val="23"/>
        </w:rPr>
        <w:t>Waiting/access:</w:t>
      </w:r>
    </w:p>
    <w:p w14:paraId="731D93B5"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w:t>
      </w:r>
      <w:proofErr w:type="gramStart"/>
      <w:r w:rsidRPr="005304F1">
        <w:rPr>
          <w:rFonts w:ascii="Arial" w:eastAsia="Arial" w:hAnsi="Arial" w:cs="Arial"/>
          <w:sz w:val="23"/>
          <w:szCs w:val="23"/>
        </w:rPr>
        <w:t>waiting</w:t>
      </w:r>
      <w:proofErr w:type="gramEnd"/>
      <w:r w:rsidRPr="005304F1">
        <w:rPr>
          <w:rFonts w:ascii="Arial" w:eastAsia="Arial" w:hAnsi="Arial" w:cs="Arial"/>
          <w:sz w:val="23"/>
          <w:szCs w:val="23"/>
        </w:rPr>
        <w:t xml:space="preserve"> time”, “waiting list”, “waiting period”, “delay”, “delayed treatment” and “access”.</w:t>
      </w:r>
    </w:p>
    <w:p w14:paraId="50B872BA" w14:textId="77777777" w:rsidR="00084F6F" w:rsidRPr="005304F1" w:rsidRDefault="00000000">
      <w:pPr>
        <w:tabs>
          <w:tab w:val="left" w:pos="6540"/>
        </w:tabs>
        <w:spacing w:before="240" w:after="240" w:line="360" w:lineRule="auto"/>
        <w:rPr>
          <w:rFonts w:ascii="Arial" w:eastAsia="Arial" w:hAnsi="Arial" w:cs="Arial"/>
          <w:b/>
          <w:bCs/>
          <w:sz w:val="23"/>
          <w:szCs w:val="23"/>
        </w:rPr>
      </w:pPr>
      <w:r w:rsidRPr="005304F1">
        <w:rPr>
          <w:rFonts w:ascii="Arial" w:eastAsia="Arial" w:hAnsi="Arial" w:cs="Arial"/>
          <w:b/>
          <w:bCs/>
          <w:sz w:val="23"/>
          <w:szCs w:val="23"/>
        </w:rPr>
        <w:t>Location:</w:t>
      </w:r>
    </w:p>
    <w:p w14:paraId="4F1619AB"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“United Kingdom”, “UK”, “England”, “Scotland”, “Wales” and “Northern Ireland”.</w:t>
      </w:r>
    </w:p>
    <w:p w14:paraId="1DE395A2"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Boolean operators AND </w:t>
      </w:r>
      <w:proofErr w:type="spellStart"/>
      <w:r w:rsidRPr="005304F1">
        <w:rPr>
          <w:rFonts w:ascii="Arial" w:eastAsia="Arial" w:hAnsi="Arial" w:cs="Arial"/>
          <w:sz w:val="23"/>
          <w:szCs w:val="23"/>
        </w:rPr>
        <w:t>and</w:t>
      </w:r>
      <w:proofErr w:type="spellEnd"/>
      <w:r w:rsidRPr="005304F1">
        <w:rPr>
          <w:rFonts w:ascii="Arial" w:eastAsia="Arial" w:hAnsi="Arial" w:cs="Arial"/>
          <w:sz w:val="23"/>
          <w:szCs w:val="23"/>
        </w:rPr>
        <w:t xml:space="preserve"> OR were used to combine search terms.</w:t>
      </w:r>
    </w:p>
    <w:p w14:paraId="3EF01988"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Relevant databases for the review included MEDLINE/PubMed, PsycINFO, CINAHL, Scopus, Web of Science, ASSIA and Social Care Online. Reference lists of relevant studies were also considered.</w:t>
      </w:r>
    </w:p>
    <w:p w14:paraId="1C103A4B" w14:textId="77777777" w:rsidR="00084F6F" w:rsidRPr="005304F1" w:rsidRDefault="00084F6F">
      <w:pPr>
        <w:rPr>
          <w:rFonts w:ascii="Arial" w:hAnsi="Arial" w:cs="Arial"/>
          <w:sz w:val="23"/>
          <w:szCs w:val="23"/>
        </w:rPr>
      </w:pPr>
    </w:p>
    <w:p w14:paraId="35991874" w14:textId="77777777" w:rsidR="00084F6F" w:rsidRPr="005304F1" w:rsidRDefault="00084F6F">
      <w:pPr>
        <w:rPr>
          <w:rFonts w:ascii="Arial" w:hAnsi="Arial" w:cs="Arial"/>
          <w:sz w:val="23"/>
          <w:szCs w:val="23"/>
        </w:rPr>
      </w:pPr>
    </w:p>
    <w:p w14:paraId="4D4BDF60" w14:textId="77777777" w:rsidR="00084F6F" w:rsidRPr="005304F1" w:rsidRDefault="00084F6F">
      <w:pPr>
        <w:rPr>
          <w:rFonts w:ascii="Arial" w:hAnsi="Arial" w:cs="Arial"/>
          <w:sz w:val="23"/>
          <w:szCs w:val="23"/>
        </w:rPr>
      </w:pPr>
    </w:p>
    <w:p w14:paraId="72C5396B" w14:textId="77777777" w:rsidR="00084F6F" w:rsidRPr="005304F1" w:rsidRDefault="00084F6F">
      <w:pPr>
        <w:rPr>
          <w:rFonts w:ascii="Arial" w:hAnsi="Arial" w:cs="Arial"/>
          <w:sz w:val="23"/>
          <w:szCs w:val="23"/>
        </w:rPr>
      </w:pPr>
    </w:p>
    <w:p w14:paraId="1338AC05" w14:textId="411D46B4" w:rsidR="00084F6F" w:rsidRDefault="00084F6F">
      <w:pPr>
        <w:rPr>
          <w:rFonts w:ascii="Arial" w:hAnsi="Arial" w:cs="Arial"/>
          <w:sz w:val="23"/>
          <w:szCs w:val="23"/>
        </w:rPr>
      </w:pPr>
    </w:p>
    <w:p w14:paraId="1B2E43A1" w14:textId="58E541F7" w:rsidR="009D119E" w:rsidRDefault="009D119E">
      <w:pPr>
        <w:rPr>
          <w:rFonts w:ascii="Arial" w:hAnsi="Arial" w:cs="Arial"/>
          <w:sz w:val="23"/>
          <w:szCs w:val="23"/>
        </w:rPr>
      </w:pPr>
    </w:p>
    <w:p w14:paraId="6E208FB2" w14:textId="77777777" w:rsidR="009D119E" w:rsidRPr="005304F1" w:rsidRDefault="009D119E">
      <w:pPr>
        <w:rPr>
          <w:rFonts w:ascii="Arial" w:hAnsi="Arial" w:cs="Arial"/>
          <w:sz w:val="23"/>
          <w:szCs w:val="23"/>
        </w:rPr>
      </w:pPr>
    </w:p>
    <w:p w14:paraId="002BEFE5" w14:textId="77777777" w:rsidR="00084F6F" w:rsidRPr="005304F1" w:rsidRDefault="00084F6F">
      <w:pPr>
        <w:rPr>
          <w:rFonts w:ascii="Arial" w:hAnsi="Arial" w:cs="Arial"/>
          <w:sz w:val="23"/>
          <w:szCs w:val="23"/>
        </w:rPr>
      </w:pPr>
    </w:p>
    <w:p w14:paraId="309EE0E2" w14:textId="77777777" w:rsidR="00084F6F" w:rsidRPr="005304F1" w:rsidRDefault="00000000">
      <w:pPr>
        <w:rPr>
          <w:rFonts w:ascii="Arial" w:hAnsi="Arial" w:cs="Arial"/>
          <w:b/>
          <w:bCs/>
          <w:sz w:val="23"/>
          <w:szCs w:val="23"/>
        </w:rPr>
      </w:pPr>
      <w:r w:rsidRPr="005304F1">
        <w:rPr>
          <w:rFonts w:ascii="Arial" w:hAnsi="Arial" w:cs="Arial"/>
          <w:b/>
          <w:bCs/>
          <w:sz w:val="23"/>
          <w:szCs w:val="23"/>
        </w:rPr>
        <w:lastRenderedPageBreak/>
        <w:t xml:space="preserve">Appendix </w:t>
      </w:r>
      <w:proofErr w:type="gramStart"/>
      <w:r w:rsidRPr="005304F1">
        <w:rPr>
          <w:rFonts w:ascii="Arial" w:hAnsi="Arial" w:cs="Arial"/>
          <w:b/>
          <w:bCs/>
          <w:sz w:val="23"/>
          <w:szCs w:val="23"/>
        </w:rPr>
        <w:t>2 :</w:t>
      </w:r>
      <w:proofErr w:type="gramEnd"/>
      <w:r w:rsidRPr="005304F1">
        <w:rPr>
          <w:rFonts w:ascii="Arial" w:hAnsi="Arial" w:cs="Arial"/>
          <w:b/>
          <w:bCs/>
          <w:sz w:val="23"/>
          <w:szCs w:val="23"/>
        </w:rPr>
        <w:t xml:space="preserve"> Inclusion and Exclusion</w:t>
      </w:r>
    </w:p>
    <w:p w14:paraId="5A261CE3"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52" w:name="_heading=h.gikyz1rn8ixm" w:colFirst="0" w:colLast="0"/>
      <w:bookmarkEnd w:id="52"/>
      <w:r w:rsidRPr="005304F1">
        <w:rPr>
          <w:i w:val="0"/>
          <w:iCs w:val="0"/>
          <w:color w:val="auto"/>
          <w:sz w:val="23"/>
          <w:szCs w:val="23"/>
        </w:rPr>
        <w:t>Inclusion Criteria</w:t>
      </w:r>
    </w:p>
    <w:p w14:paraId="032F1014"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Studies were included where they:</w:t>
      </w:r>
    </w:p>
    <w:p w14:paraId="3F887A0D" w14:textId="77777777" w:rsidR="00084F6F" w:rsidRPr="005304F1" w:rsidRDefault="00000000">
      <w:pPr>
        <w:numPr>
          <w:ilvl w:val="0"/>
          <w:numId w:val="11"/>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involved children, adolescents or young people;</w:t>
      </w:r>
    </w:p>
    <w:p w14:paraId="71BF13B2"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addressed mental health;</w:t>
      </w:r>
    </w:p>
    <w:p w14:paraId="4A6395BD"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undertaken in the UK;</w:t>
      </w:r>
    </w:p>
    <w:p w14:paraId="69745A16"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concerned NHS, CAMHS or publicly funded services;</w:t>
      </w:r>
    </w:p>
    <w:p w14:paraId="2FB0E372"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waiting times, access, delays or waiting-list experiences;</w:t>
      </w:r>
    </w:p>
    <w:p w14:paraId="30126402"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outcomes associated with waiting;</w:t>
      </w:r>
    </w:p>
    <w:p w14:paraId="4C93612A" w14:textId="77777777" w:rsidR="00084F6F" w:rsidRPr="005304F1" w:rsidRDefault="00000000">
      <w:pPr>
        <w:numPr>
          <w:ilvl w:val="0"/>
          <w:numId w:val="11"/>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interventions provided while waiting; or</w:t>
      </w:r>
    </w:p>
    <w:p w14:paraId="4D036A30" w14:textId="77777777" w:rsidR="00084F6F" w:rsidRPr="005304F1" w:rsidRDefault="00000000">
      <w:pPr>
        <w:numPr>
          <w:ilvl w:val="0"/>
          <w:numId w:val="11"/>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provided evidence concerning inequalities in access.</w:t>
      </w:r>
    </w:p>
    <w:p w14:paraId="170D9CCA" w14:textId="02854CC4"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Peer-reviewed studies and relevant systematic reviews were included.</w:t>
      </w:r>
    </w:p>
    <w:p w14:paraId="4EDEA96F" w14:textId="77777777" w:rsidR="008B624A" w:rsidRPr="005304F1" w:rsidRDefault="008B624A">
      <w:pPr>
        <w:tabs>
          <w:tab w:val="left" w:pos="6540"/>
        </w:tabs>
        <w:spacing w:before="240" w:after="240" w:line="360" w:lineRule="auto"/>
        <w:rPr>
          <w:rFonts w:ascii="Arial" w:eastAsia="Arial" w:hAnsi="Arial" w:cs="Arial"/>
          <w:sz w:val="23"/>
          <w:szCs w:val="23"/>
        </w:rPr>
      </w:pPr>
    </w:p>
    <w:p w14:paraId="0044B3B3"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53" w:name="_heading=h.94f96y9g2qzk" w:colFirst="0" w:colLast="0"/>
      <w:bookmarkEnd w:id="53"/>
      <w:r w:rsidRPr="005304F1">
        <w:rPr>
          <w:i w:val="0"/>
          <w:iCs w:val="0"/>
          <w:color w:val="auto"/>
          <w:sz w:val="23"/>
          <w:szCs w:val="23"/>
        </w:rPr>
        <w:t>3.4 Exclusion Criteria</w:t>
      </w:r>
    </w:p>
    <w:p w14:paraId="66AE83FC" w14:textId="77777777"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Studies were excluded if they:</w:t>
      </w:r>
    </w:p>
    <w:p w14:paraId="500A4FF6" w14:textId="77777777" w:rsidR="00084F6F" w:rsidRPr="005304F1" w:rsidRDefault="00000000">
      <w:pPr>
        <w:numPr>
          <w:ilvl w:val="0"/>
          <w:numId w:val="8"/>
        </w:numPr>
        <w:tabs>
          <w:tab w:val="left" w:pos="6540"/>
        </w:tabs>
        <w:spacing w:before="240" w:after="0" w:line="360" w:lineRule="auto"/>
        <w:rPr>
          <w:rFonts w:ascii="Arial" w:eastAsia="Arial" w:hAnsi="Arial" w:cs="Arial"/>
          <w:sz w:val="23"/>
          <w:szCs w:val="23"/>
        </w:rPr>
      </w:pPr>
      <w:r w:rsidRPr="005304F1">
        <w:rPr>
          <w:rFonts w:ascii="Arial" w:eastAsia="Arial" w:hAnsi="Arial" w:cs="Arial"/>
          <w:sz w:val="23"/>
          <w:szCs w:val="23"/>
        </w:rPr>
        <w:t>focused exclusively on adults;</w:t>
      </w:r>
    </w:p>
    <w:p w14:paraId="36AA6A6F"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examined physical rather than mental health services;</w:t>
      </w:r>
    </w:p>
    <w:p w14:paraId="42C1E48A"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undertaken outside the UK without separate UK findings;</w:t>
      </w:r>
    </w:p>
    <w:p w14:paraId="23694F29"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did not address waiting or access;</w:t>
      </w:r>
    </w:p>
    <w:p w14:paraId="1A0EA73F" w14:textId="77777777" w:rsidR="00084F6F" w:rsidRPr="005304F1" w:rsidRDefault="00000000">
      <w:pPr>
        <w:numPr>
          <w:ilvl w:val="0"/>
          <w:numId w:val="8"/>
        </w:numPr>
        <w:tabs>
          <w:tab w:val="left" w:pos="6540"/>
        </w:tabs>
        <w:spacing w:after="0" w:line="360" w:lineRule="auto"/>
        <w:rPr>
          <w:rFonts w:ascii="Arial" w:eastAsia="Arial" w:hAnsi="Arial" w:cs="Arial"/>
          <w:sz w:val="23"/>
          <w:szCs w:val="23"/>
        </w:rPr>
      </w:pPr>
      <w:r w:rsidRPr="005304F1">
        <w:rPr>
          <w:rFonts w:ascii="Arial" w:eastAsia="Arial" w:hAnsi="Arial" w:cs="Arial"/>
          <w:sz w:val="23"/>
          <w:szCs w:val="23"/>
        </w:rPr>
        <w:t>were unrelated to NHS or comparable publicly funded services; or</w:t>
      </w:r>
    </w:p>
    <w:p w14:paraId="3F32DD13" w14:textId="77777777" w:rsidR="00084F6F" w:rsidRPr="005304F1" w:rsidRDefault="00000000">
      <w:pPr>
        <w:numPr>
          <w:ilvl w:val="0"/>
          <w:numId w:val="8"/>
        </w:numPr>
        <w:tabs>
          <w:tab w:val="left" w:pos="6540"/>
        </w:tabs>
        <w:spacing w:after="240" w:line="360" w:lineRule="auto"/>
        <w:rPr>
          <w:rFonts w:ascii="Arial" w:eastAsia="Arial" w:hAnsi="Arial" w:cs="Arial"/>
          <w:sz w:val="23"/>
          <w:szCs w:val="23"/>
        </w:rPr>
      </w:pPr>
      <w:r w:rsidRPr="005304F1">
        <w:rPr>
          <w:rFonts w:ascii="Arial" w:eastAsia="Arial" w:hAnsi="Arial" w:cs="Arial"/>
          <w:sz w:val="23"/>
          <w:szCs w:val="23"/>
        </w:rPr>
        <w:t>did not provide evidence relevant to the review question.</w:t>
      </w:r>
    </w:p>
    <w:p w14:paraId="1D57FCCB" w14:textId="77777777" w:rsidR="00084F6F" w:rsidRPr="005304F1" w:rsidRDefault="00084F6F">
      <w:pPr>
        <w:rPr>
          <w:rFonts w:ascii="Arial" w:hAnsi="Arial" w:cs="Arial"/>
          <w:sz w:val="23"/>
          <w:szCs w:val="23"/>
        </w:rPr>
      </w:pPr>
    </w:p>
    <w:p w14:paraId="5389B7E2" w14:textId="77777777" w:rsidR="00084F6F" w:rsidRPr="005304F1" w:rsidRDefault="00084F6F">
      <w:pPr>
        <w:tabs>
          <w:tab w:val="left" w:pos="6540"/>
        </w:tabs>
        <w:spacing w:line="360" w:lineRule="auto"/>
        <w:rPr>
          <w:rFonts w:ascii="Arial" w:hAnsi="Arial" w:cs="Arial"/>
          <w:sz w:val="23"/>
          <w:szCs w:val="23"/>
        </w:rPr>
      </w:pPr>
    </w:p>
    <w:p w14:paraId="65604585" w14:textId="77777777" w:rsidR="00084F6F" w:rsidRPr="005304F1" w:rsidRDefault="00084F6F">
      <w:pPr>
        <w:tabs>
          <w:tab w:val="left" w:pos="6540"/>
        </w:tabs>
        <w:spacing w:line="360" w:lineRule="auto"/>
        <w:rPr>
          <w:rFonts w:ascii="Arial" w:hAnsi="Arial" w:cs="Arial"/>
          <w:sz w:val="23"/>
          <w:szCs w:val="23"/>
        </w:rPr>
      </w:pPr>
    </w:p>
    <w:p w14:paraId="3957F927" w14:textId="77777777" w:rsidR="00084F6F" w:rsidRPr="005304F1" w:rsidRDefault="00084F6F">
      <w:pPr>
        <w:tabs>
          <w:tab w:val="left" w:pos="6540"/>
        </w:tabs>
        <w:spacing w:line="360" w:lineRule="auto"/>
        <w:rPr>
          <w:rFonts w:ascii="Arial" w:hAnsi="Arial" w:cs="Arial"/>
          <w:sz w:val="23"/>
          <w:szCs w:val="23"/>
        </w:rPr>
      </w:pPr>
    </w:p>
    <w:p w14:paraId="7EFE0DFA" w14:textId="77777777" w:rsidR="00084F6F" w:rsidRPr="005304F1" w:rsidRDefault="00084F6F">
      <w:pPr>
        <w:tabs>
          <w:tab w:val="left" w:pos="6540"/>
        </w:tabs>
        <w:spacing w:line="360" w:lineRule="auto"/>
        <w:rPr>
          <w:rFonts w:ascii="Arial" w:hAnsi="Arial" w:cs="Arial"/>
          <w:sz w:val="23"/>
          <w:szCs w:val="23"/>
        </w:rPr>
      </w:pPr>
    </w:p>
    <w:p w14:paraId="50B2EAFD" w14:textId="77777777" w:rsidR="00084F6F" w:rsidRPr="005304F1" w:rsidRDefault="00084F6F">
      <w:pPr>
        <w:tabs>
          <w:tab w:val="left" w:pos="6540"/>
        </w:tabs>
        <w:spacing w:line="360" w:lineRule="auto"/>
        <w:rPr>
          <w:rFonts w:ascii="Arial" w:hAnsi="Arial" w:cs="Arial"/>
          <w:sz w:val="23"/>
          <w:szCs w:val="23"/>
        </w:rPr>
      </w:pPr>
    </w:p>
    <w:p w14:paraId="7AEDD807" w14:textId="77777777" w:rsidR="00084F6F" w:rsidRPr="005304F1" w:rsidRDefault="00000000">
      <w:pPr>
        <w:tabs>
          <w:tab w:val="left" w:pos="6540"/>
        </w:tabs>
        <w:spacing w:line="360" w:lineRule="auto"/>
        <w:rPr>
          <w:rFonts w:ascii="Arial" w:hAnsi="Arial" w:cs="Arial"/>
          <w:b/>
          <w:bCs/>
          <w:sz w:val="23"/>
          <w:szCs w:val="23"/>
        </w:rPr>
      </w:pPr>
      <w:r w:rsidRPr="005304F1">
        <w:rPr>
          <w:rFonts w:ascii="Arial" w:hAnsi="Arial" w:cs="Arial"/>
          <w:b/>
          <w:bCs/>
          <w:sz w:val="23"/>
          <w:szCs w:val="23"/>
        </w:rPr>
        <w:lastRenderedPageBreak/>
        <w:t>Appendix 3</w:t>
      </w:r>
    </w:p>
    <w:p w14:paraId="118588DF" w14:textId="77777777" w:rsidR="00084F6F" w:rsidRPr="005304F1" w:rsidRDefault="00000000">
      <w:pPr>
        <w:pStyle w:val="Heading2"/>
        <w:keepNext w:val="0"/>
        <w:keepLines w:val="0"/>
        <w:tabs>
          <w:tab w:val="left" w:pos="6540"/>
        </w:tabs>
        <w:spacing w:before="360" w:after="80" w:line="360" w:lineRule="auto"/>
        <w:rPr>
          <w:i w:val="0"/>
          <w:iCs w:val="0"/>
          <w:color w:val="auto"/>
          <w:sz w:val="23"/>
          <w:szCs w:val="23"/>
        </w:rPr>
      </w:pPr>
      <w:bookmarkStart w:id="54" w:name="_heading=h.duazsdnny6zn" w:colFirst="0" w:colLast="0"/>
      <w:bookmarkEnd w:id="54"/>
      <w:r w:rsidRPr="005304F1">
        <w:rPr>
          <w:i w:val="0"/>
          <w:iCs w:val="0"/>
          <w:color w:val="auto"/>
          <w:sz w:val="23"/>
          <w:szCs w:val="23"/>
        </w:rPr>
        <w:t>Characteristics of the Selected Studies</w:t>
      </w:r>
    </w:p>
    <w:p w14:paraId="21524992" w14:textId="6AC27691" w:rsidR="00084F6F" w:rsidRPr="005304F1" w:rsidRDefault="00000000">
      <w:pPr>
        <w:tabs>
          <w:tab w:val="left" w:pos="6540"/>
        </w:tabs>
        <w:spacing w:before="240" w:after="240" w:line="360" w:lineRule="auto"/>
        <w:rPr>
          <w:rFonts w:ascii="Arial" w:eastAsia="Arial" w:hAnsi="Arial" w:cs="Arial"/>
          <w:sz w:val="23"/>
          <w:szCs w:val="23"/>
        </w:rPr>
      </w:pPr>
      <w:r w:rsidRPr="005304F1">
        <w:rPr>
          <w:rFonts w:ascii="Arial" w:eastAsia="Arial" w:hAnsi="Arial" w:cs="Arial"/>
          <w:sz w:val="23"/>
          <w:szCs w:val="23"/>
        </w:rPr>
        <w:t xml:space="preserve">The </w:t>
      </w:r>
      <w:r w:rsidR="009300F3" w:rsidRPr="005304F1">
        <w:rPr>
          <w:rFonts w:ascii="Arial" w:eastAsia="Arial" w:hAnsi="Arial" w:cs="Arial"/>
          <w:sz w:val="23"/>
          <w:szCs w:val="23"/>
        </w:rPr>
        <w:t>Five</w:t>
      </w:r>
      <w:r w:rsidRPr="005304F1">
        <w:rPr>
          <w:rFonts w:ascii="Arial" w:eastAsia="Arial" w:hAnsi="Arial" w:cs="Arial"/>
          <w:sz w:val="23"/>
          <w:szCs w:val="23"/>
        </w:rPr>
        <w:t xml:space="preserve"> selected studies varied in methodology and focus.</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911"/>
        <w:gridCol w:w="2685"/>
        <w:gridCol w:w="3429"/>
      </w:tblGrid>
      <w:tr w:rsidR="009300F3" w:rsidRPr="005304F1" w14:paraId="0B34FD49"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6CDD1A43" w14:textId="0A60367E"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Study</w:t>
            </w:r>
          </w:p>
        </w:tc>
        <w:tc>
          <w:tcPr>
            <w:tcW w:w="2685" w:type="dxa"/>
            <w:tcBorders>
              <w:top w:val="nil"/>
              <w:left w:val="nil"/>
              <w:bottom w:val="nil"/>
              <w:right w:val="nil"/>
            </w:tcBorders>
            <w:tcMar>
              <w:top w:w="100" w:type="dxa"/>
              <w:left w:w="100" w:type="dxa"/>
              <w:bottom w:w="100" w:type="dxa"/>
              <w:right w:w="100" w:type="dxa"/>
            </w:tcMar>
          </w:tcPr>
          <w:p w14:paraId="79456D54" w14:textId="77777777"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Method</w:t>
            </w:r>
          </w:p>
        </w:tc>
        <w:tc>
          <w:tcPr>
            <w:tcW w:w="3429" w:type="dxa"/>
            <w:tcBorders>
              <w:top w:val="nil"/>
              <w:left w:val="nil"/>
              <w:bottom w:val="nil"/>
              <w:right w:val="nil"/>
            </w:tcBorders>
            <w:tcMar>
              <w:top w:w="100" w:type="dxa"/>
              <w:left w:w="100" w:type="dxa"/>
              <w:bottom w:w="100" w:type="dxa"/>
              <w:right w:w="100" w:type="dxa"/>
            </w:tcMar>
          </w:tcPr>
          <w:p w14:paraId="77802C6B" w14:textId="77777777" w:rsidR="00084F6F" w:rsidRPr="005304F1" w:rsidRDefault="00000000">
            <w:pPr>
              <w:tabs>
                <w:tab w:val="left" w:pos="6540"/>
              </w:tabs>
              <w:spacing w:line="360" w:lineRule="auto"/>
              <w:jc w:val="center"/>
              <w:rPr>
                <w:rFonts w:ascii="Arial" w:eastAsia="Arial" w:hAnsi="Arial" w:cs="Arial"/>
                <w:sz w:val="23"/>
                <w:szCs w:val="23"/>
              </w:rPr>
            </w:pPr>
            <w:r w:rsidRPr="005304F1">
              <w:rPr>
                <w:rFonts w:ascii="Arial" w:eastAsia="Arial" w:hAnsi="Arial" w:cs="Arial"/>
                <w:b/>
                <w:bCs/>
                <w:sz w:val="23"/>
                <w:szCs w:val="23"/>
              </w:rPr>
              <w:t>Main contribution</w:t>
            </w:r>
          </w:p>
        </w:tc>
      </w:tr>
      <w:tr w:rsidR="009300F3" w:rsidRPr="005304F1" w14:paraId="617CEA09" w14:textId="77777777" w:rsidTr="009300F3">
        <w:trPr>
          <w:trHeight w:val="785"/>
        </w:trPr>
        <w:tc>
          <w:tcPr>
            <w:tcW w:w="2911" w:type="dxa"/>
            <w:tcBorders>
              <w:top w:val="nil"/>
              <w:left w:val="nil"/>
              <w:bottom w:val="nil"/>
              <w:right w:val="nil"/>
            </w:tcBorders>
            <w:tcMar>
              <w:top w:w="100" w:type="dxa"/>
              <w:left w:w="100" w:type="dxa"/>
              <w:bottom w:w="100" w:type="dxa"/>
              <w:right w:w="100" w:type="dxa"/>
            </w:tcMar>
          </w:tcPr>
          <w:p w14:paraId="0AE5891A" w14:textId="77777777" w:rsidR="00084F6F" w:rsidRPr="005304F1" w:rsidRDefault="00000000">
            <w:pPr>
              <w:tabs>
                <w:tab w:val="left" w:pos="6540"/>
              </w:tabs>
              <w:spacing w:line="360" w:lineRule="auto"/>
              <w:rPr>
                <w:rFonts w:ascii="Arial" w:eastAsia="Arial" w:hAnsi="Arial" w:cs="Arial"/>
                <w:sz w:val="23"/>
                <w:szCs w:val="23"/>
              </w:rPr>
            </w:pPr>
            <w:proofErr w:type="spellStart"/>
            <w:r w:rsidRPr="005304F1">
              <w:rPr>
                <w:rFonts w:ascii="Arial" w:eastAsia="Arial" w:hAnsi="Arial" w:cs="Arial"/>
                <w:sz w:val="23"/>
                <w:szCs w:val="23"/>
              </w:rPr>
              <w:t>Edbrooke</w:t>
            </w:r>
            <w:proofErr w:type="spellEnd"/>
            <w:r w:rsidRPr="005304F1">
              <w:rPr>
                <w:rFonts w:ascii="Arial" w:eastAsia="Arial" w:hAnsi="Arial" w:cs="Arial"/>
                <w:sz w:val="23"/>
                <w:szCs w:val="23"/>
              </w:rPr>
              <w:t>-Childs &amp; Deighton (2020)</w:t>
            </w:r>
          </w:p>
        </w:tc>
        <w:tc>
          <w:tcPr>
            <w:tcW w:w="2685" w:type="dxa"/>
            <w:tcBorders>
              <w:top w:val="nil"/>
              <w:left w:val="nil"/>
              <w:bottom w:val="nil"/>
              <w:right w:val="nil"/>
            </w:tcBorders>
            <w:tcMar>
              <w:top w:w="100" w:type="dxa"/>
              <w:left w:w="100" w:type="dxa"/>
              <w:bottom w:w="100" w:type="dxa"/>
              <w:right w:w="100" w:type="dxa"/>
            </w:tcMar>
          </w:tcPr>
          <w:p w14:paraId="22C96B09"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Quantitative</w:t>
            </w:r>
          </w:p>
        </w:tc>
        <w:tc>
          <w:tcPr>
            <w:tcW w:w="3429" w:type="dxa"/>
            <w:tcBorders>
              <w:top w:val="nil"/>
              <w:left w:val="nil"/>
              <w:bottom w:val="nil"/>
              <w:right w:val="nil"/>
            </w:tcBorders>
            <w:tcMar>
              <w:top w:w="100" w:type="dxa"/>
              <w:left w:w="100" w:type="dxa"/>
              <w:bottom w:w="100" w:type="dxa"/>
              <w:right w:w="100" w:type="dxa"/>
            </w:tcMar>
          </w:tcPr>
          <w:p w14:paraId="241C01C7"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Waiting times and clinical severity</w:t>
            </w:r>
          </w:p>
        </w:tc>
      </w:tr>
      <w:tr w:rsidR="009300F3" w:rsidRPr="005304F1" w14:paraId="099BACB6"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6A27EB4E"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Valentine et al. (2024)</w:t>
            </w:r>
          </w:p>
        </w:tc>
        <w:tc>
          <w:tcPr>
            <w:tcW w:w="2685" w:type="dxa"/>
            <w:tcBorders>
              <w:top w:val="nil"/>
              <w:left w:val="nil"/>
              <w:bottom w:val="nil"/>
              <w:right w:val="nil"/>
            </w:tcBorders>
            <w:tcMar>
              <w:top w:w="100" w:type="dxa"/>
              <w:left w:w="100" w:type="dxa"/>
              <w:bottom w:w="100" w:type="dxa"/>
              <w:right w:w="100" w:type="dxa"/>
            </w:tcMar>
          </w:tcPr>
          <w:p w14:paraId="187B0C78"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Systematic review</w:t>
            </w:r>
          </w:p>
        </w:tc>
        <w:tc>
          <w:tcPr>
            <w:tcW w:w="3429" w:type="dxa"/>
            <w:tcBorders>
              <w:top w:val="nil"/>
              <w:left w:val="nil"/>
              <w:bottom w:val="nil"/>
              <w:right w:val="nil"/>
            </w:tcBorders>
            <w:tcMar>
              <w:top w:w="100" w:type="dxa"/>
              <w:left w:w="100" w:type="dxa"/>
              <w:bottom w:w="100" w:type="dxa"/>
              <w:right w:w="100" w:type="dxa"/>
            </w:tcMar>
          </w:tcPr>
          <w:p w14:paraId="439A181B"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Waiting-list interventions</w:t>
            </w:r>
          </w:p>
        </w:tc>
      </w:tr>
      <w:tr w:rsidR="009300F3" w:rsidRPr="005304F1" w14:paraId="60D6E663"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343D80FC"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Pape et al. (2026)</w:t>
            </w:r>
          </w:p>
        </w:tc>
        <w:tc>
          <w:tcPr>
            <w:tcW w:w="2685" w:type="dxa"/>
            <w:tcBorders>
              <w:top w:val="nil"/>
              <w:left w:val="nil"/>
              <w:bottom w:val="nil"/>
              <w:right w:val="nil"/>
            </w:tcBorders>
            <w:tcMar>
              <w:top w:w="100" w:type="dxa"/>
              <w:left w:w="100" w:type="dxa"/>
              <w:bottom w:w="100" w:type="dxa"/>
              <w:right w:w="100" w:type="dxa"/>
            </w:tcMar>
          </w:tcPr>
          <w:p w14:paraId="368A063C"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National administrative analysis</w:t>
            </w:r>
          </w:p>
        </w:tc>
        <w:tc>
          <w:tcPr>
            <w:tcW w:w="3429" w:type="dxa"/>
            <w:tcBorders>
              <w:top w:val="nil"/>
              <w:left w:val="nil"/>
              <w:bottom w:val="nil"/>
              <w:right w:val="nil"/>
            </w:tcBorders>
            <w:tcMar>
              <w:top w:w="100" w:type="dxa"/>
              <w:left w:w="100" w:type="dxa"/>
              <w:bottom w:w="100" w:type="dxa"/>
              <w:right w:w="100" w:type="dxa"/>
            </w:tcMar>
          </w:tcPr>
          <w:p w14:paraId="681DF899"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Inequalities in access</w:t>
            </w:r>
          </w:p>
        </w:tc>
      </w:tr>
      <w:tr w:rsidR="009300F3" w:rsidRPr="005304F1" w14:paraId="4F936730"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2F5157E1"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Han et al. (2026)</w:t>
            </w:r>
          </w:p>
        </w:tc>
        <w:tc>
          <w:tcPr>
            <w:tcW w:w="2685" w:type="dxa"/>
            <w:tcBorders>
              <w:top w:val="nil"/>
              <w:left w:val="nil"/>
              <w:bottom w:val="nil"/>
              <w:right w:val="nil"/>
            </w:tcBorders>
            <w:tcMar>
              <w:top w:w="100" w:type="dxa"/>
              <w:left w:w="100" w:type="dxa"/>
              <w:bottom w:w="100" w:type="dxa"/>
              <w:right w:w="100" w:type="dxa"/>
            </w:tcMar>
          </w:tcPr>
          <w:p w14:paraId="5EA52C80"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Qualitative</w:t>
            </w:r>
          </w:p>
        </w:tc>
        <w:tc>
          <w:tcPr>
            <w:tcW w:w="3429" w:type="dxa"/>
            <w:tcBorders>
              <w:top w:val="nil"/>
              <w:left w:val="nil"/>
              <w:bottom w:val="nil"/>
              <w:right w:val="nil"/>
            </w:tcBorders>
            <w:tcMar>
              <w:top w:w="100" w:type="dxa"/>
              <w:left w:w="100" w:type="dxa"/>
              <w:bottom w:w="100" w:type="dxa"/>
              <w:right w:w="100" w:type="dxa"/>
            </w:tcMar>
          </w:tcPr>
          <w:p w14:paraId="01A91B92"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Young people's and caregivers' experiences</w:t>
            </w:r>
          </w:p>
        </w:tc>
      </w:tr>
      <w:tr w:rsidR="009300F3" w:rsidRPr="005304F1" w14:paraId="24112BD1"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64EA6A4A"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Hayes et al. (2026)</w:t>
            </w:r>
          </w:p>
        </w:tc>
        <w:tc>
          <w:tcPr>
            <w:tcW w:w="2685" w:type="dxa"/>
            <w:tcBorders>
              <w:top w:val="nil"/>
              <w:left w:val="nil"/>
              <w:bottom w:val="nil"/>
              <w:right w:val="nil"/>
            </w:tcBorders>
            <w:tcMar>
              <w:top w:w="100" w:type="dxa"/>
              <w:left w:w="100" w:type="dxa"/>
              <w:bottom w:w="100" w:type="dxa"/>
              <w:right w:w="100" w:type="dxa"/>
            </w:tcMar>
          </w:tcPr>
          <w:p w14:paraId="0FFC73A0"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Service evaluation</w:t>
            </w:r>
          </w:p>
        </w:tc>
        <w:tc>
          <w:tcPr>
            <w:tcW w:w="3429" w:type="dxa"/>
            <w:tcBorders>
              <w:top w:val="nil"/>
              <w:left w:val="nil"/>
              <w:bottom w:val="nil"/>
              <w:right w:val="nil"/>
            </w:tcBorders>
            <w:tcMar>
              <w:top w:w="100" w:type="dxa"/>
              <w:left w:w="100" w:type="dxa"/>
              <w:bottom w:w="100" w:type="dxa"/>
              <w:right w:w="100" w:type="dxa"/>
            </w:tcMar>
          </w:tcPr>
          <w:p w14:paraId="62EC7353" w14:textId="77777777" w:rsidR="00084F6F" w:rsidRPr="005304F1" w:rsidRDefault="00000000">
            <w:pPr>
              <w:tabs>
                <w:tab w:val="left" w:pos="6540"/>
              </w:tabs>
              <w:spacing w:line="360" w:lineRule="auto"/>
              <w:rPr>
                <w:rFonts w:ascii="Arial" w:eastAsia="Arial" w:hAnsi="Arial" w:cs="Arial"/>
                <w:sz w:val="23"/>
                <w:szCs w:val="23"/>
              </w:rPr>
            </w:pPr>
            <w:r w:rsidRPr="005304F1">
              <w:rPr>
                <w:rFonts w:ascii="Arial" w:eastAsia="Arial" w:hAnsi="Arial" w:cs="Arial"/>
                <w:sz w:val="23"/>
                <w:szCs w:val="23"/>
              </w:rPr>
              <w:t>Social prescribing while waiting</w:t>
            </w:r>
          </w:p>
        </w:tc>
      </w:tr>
      <w:tr w:rsidR="009300F3" w:rsidRPr="005304F1" w14:paraId="23C68E2B" w14:textId="77777777" w:rsidTr="009300F3">
        <w:trPr>
          <w:trHeight w:val="785"/>
        </w:trPr>
        <w:tc>
          <w:tcPr>
            <w:tcW w:w="2911" w:type="dxa"/>
            <w:tcBorders>
              <w:top w:val="nil"/>
              <w:left w:val="nil"/>
              <w:bottom w:val="nil"/>
              <w:right w:val="nil"/>
            </w:tcBorders>
            <w:tcMar>
              <w:top w:w="100" w:type="dxa"/>
              <w:left w:w="100" w:type="dxa"/>
              <w:bottom w:w="100" w:type="dxa"/>
              <w:right w:w="100" w:type="dxa"/>
            </w:tcMar>
          </w:tcPr>
          <w:p w14:paraId="41CAC3A6" w14:textId="2391084F"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1AC07F2A" w14:textId="0DA8E620"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65DB2926" w14:textId="7145610B" w:rsidR="00084F6F" w:rsidRPr="005304F1" w:rsidRDefault="00084F6F">
            <w:pPr>
              <w:tabs>
                <w:tab w:val="left" w:pos="6540"/>
              </w:tabs>
              <w:spacing w:line="360" w:lineRule="auto"/>
              <w:rPr>
                <w:rFonts w:ascii="Arial" w:eastAsia="Arial" w:hAnsi="Arial" w:cs="Arial"/>
                <w:sz w:val="23"/>
                <w:szCs w:val="23"/>
              </w:rPr>
            </w:pPr>
          </w:p>
        </w:tc>
      </w:tr>
      <w:tr w:rsidR="009300F3" w:rsidRPr="005304F1" w14:paraId="3F541FCA" w14:textId="77777777" w:rsidTr="009300F3">
        <w:trPr>
          <w:trHeight w:val="785"/>
        </w:trPr>
        <w:tc>
          <w:tcPr>
            <w:tcW w:w="2911" w:type="dxa"/>
            <w:tcBorders>
              <w:top w:val="nil"/>
              <w:left w:val="nil"/>
              <w:bottom w:val="nil"/>
              <w:right w:val="nil"/>
            </w:tcBorders>
            <w:tcMar>
              <w:top w:w="100" w:type="dxa"/>
              <w:left w:w="100" w:type="dxa"/>
              <w:bottom w:w="100" w:type="dxa"/>
              <w:right w:w="100" w:type="dxa"/>
            </w:tcMar>
          </w:tcPr>
          <w:p w14:paraId="1348C8A9"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6A46C858"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3880C6B7" w14:textId="77777777" w:rsidR="00084F6F" w:rsidRPr="005304F1" w:rsidRDefault="00084F6F">
            <w:pPr>
              <w:tabs>
                <w:tab w:val="left" w:pos="6540"/>
              </w:tabs>
              <w:spacing w:line="360" w:lineRule="auto"/>
              <w:rPr>
                <w:rFonts w:ascii="Arial" w:eastAsia="Arial" w:hAnsi="Arial" w:cs="Arial"/>
                <w:sz w:val="23"/>
                <w:szCs w:val="23"/>
              </w:rPr>
            </w:pPr>
          </w:p>
        </w:tc>
      </w:tr>
      <w:tr w:rsidR="009300F3" w:rsidRPr="005304F1" w14:paraId="0039808B"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195462E6"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5562D537"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4B9A79A5" w14:textId="77777777" w:rsidR="00084F6F" w:rsidRPr="005304F1" w:rsidRDefault="00084F6F">
            <w:pPr>
              <w:tabs>
                <w:tab w:val="left" w:pos="6540"/>
              </w:tabs>
              <w:spacing w:line="360" w:lineRule="auto"/>
              <w:rPr>
                <w:rFonts w:ascii="Arial" w:eastAsia="Arial" w:hAnsi="Arial" w:cs="Arial"/>
                <w:sz w:val="23"/>
                <w:szCs w:val="23"/>
              </w:rPr>
            </w:pPr>
          </w:p>
        </w:tc>
      </w:tr>
      <w:tr w:rsidR="009300F3" w:rsidRPr="005304F1" w14:paraId="5B60CE8F"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3905008E"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0FF319F0"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7C36BF96" w14:textId="77777777" w:rsidR="00084F6F" w:rsidRPr="005304F1" w:rsidRDefault="00084F6F">
            <w:pPr>
              <w:tabs>
                <w:tab w:val="left" w:pos="6540"/>
              </w:tabs>
              <w:spacing w:line="360" w:lineRule="auto"/>
              <w:rPr>
                <w:rFonts w:ascii="Arial" w:eastAsia="Arial" w:hAnsi="Arial" w:cs="Arial"/>
                <w:sz w:val="23"/>
                <w:szCs w:val="23"/>
              </w:rPr>
            </w:pPr>
          </w:p>
        </w:tc>
      </w:tr>
      <w:tr w:rsidR="009300F3" w:rsidRPr="005304F1" w14:paraId="3B3E4AC2" w14:textId="77777777" w:rsidTr="009300F3">
        <w:trPr>
          <w:trHeight w:val="515"/>
        </w:trPr>
        <w:tc>
          <w:tcPr>
            <w:tcW w:w="2911" w:type="dxa"/>
            <w:tcBorders>
              <w:top w:val="nil"/>
              <w:left w:val="nil"/>
              <w:bottom w:val="nil"/>
              <w:right w:val="nil"/>
            </w:tcBorders>
            <w:tcMar>
              <w:top w:w="100" w:type="dxa"/>
              <w:left w:w="100" w:type="dxa"/>
              <w:bottom w:w="100" w:type="dxa"/>
              <w:right w:w="100" w:type="dxa"/>
            </w:tcMar>
          </w:tcPr>
          <w:p w14:paraId="2BE12189" w14:textId="77777777" w:rsidR="00084F6F" w:rsidRPr="005304F1" w:rsidRDefault="00084F6F">
            <w:pPr>
              <w:tabs>
                <w:tab w:val="left" w:pos="6540"/>
              </w:tabs>
              <w:spacing w:line="360" w:lineRule="auto"/>
              <w:rPr>
                <w:rFonts w:ascii="Arial" w:eastAsia="Arial" w:hAnsi="Arial" w:cs="Arial"/>
                <w:sz w:val="23"/>
                <w:szCs w:val="23"/>
              </w:rPr>
            </w:pPr>
          </w:p>
        </w:tc>
        <w:tc>
          <w:tcPr>
            <w:tcW w:w="2685" w:type="dxa"/>
            <w:tcBorders>
              <w:top w:val="nil"/>
              <w:left w:val="nil"/>
              <w:bottom w:val="nil"/>
              <w:right w:val="nil"/>
            </w:tcBorders>
            <w:tcMar>
              <w:top w:w="100" w:type="dxa"/>
              <w:left w:w="100" w:type="dxa"/>
              <w:bottom w:w="100" w:type="dxa"/>
              <w:right w:w="100" w:type="dxa"/>
            </w:tcMar>
          </w:tcPr>
          <w:p w14:paraId="76D05996" w14:textId="77777777" w:rsidR="00084F6F" w:rsidRPr="005304F1" w:rsidRDefault="00084F6F">
            <w:pPr>
              <w:tabs>
                <w:tab w:val="left" w:pos="6540"/>
              </w:tabs>
              <w:spacing w:line="360" w:lineRule="auto"/>
              <w:rPr>
                <w:rFonts w:ascii="Arial" w:eastAsia="Arial" w:hAnsi="Arial" w:cs="Arial"/>
                <w:sz w:val="23"/>
                <w:szCs w:val="23"/>
              </w:rPr>
            </w:pPr>
          </w:p>
        </w:tc>
        <w:tc>
          <w:tcPr>
            <w:tcW w:w="3429" w:type="dxa"/>
            <w:tcBorders>
              <w:top w:val="nil"/>
              <w:left w:val="nil"/>
              <w:bottom w:val="nil"/>
              <w:right w:val="nil"/>
            </w:tcBorders>
            <w:tcMar>
              <w:top w:w="100" w:type="dxa"/>
              <w:left w:w="100" w:type="dxa"/>
              <w:bottom w:w="100" w:type="dxa"/>
              <w:right w:w="100" w:type="dxa"/>
            </w:tcMar>
          </w:tcPr>
          <w:p w14:paraId="3209C102" w14:textId="414B8CAA" w:rsidR="00084F6F" w:rsidRPr="005304F1" w:rsidRDefault="00084F6F">
            <w:pPr>
              <w:tabs>
                <w:tab w:val="left" w:pos="6540"/>
              </w:tabs>
              <w:spacing w:line="360" w:lineRule="auto"/>
              <w:rPr>
                <w:rFonts w:ascii="Arial" w:eastAsia="Arial" w:hAnsi="Arial" w:cs="Arial"/>
                <w:sz w:val="23"/>
                <w:szCs w:val="23"/>
              </w:rPr>
            </w:pPr>
          </w:p>
        </w:tc>
      </w:tr>
    </w:tbl>
    <w:p w14:paraId="1FEEDA5D" w14:textId="77777777" w:rsidR="006450FF" w:rsidRPr="005304F1" w:rsidRDefault="006450FF">
      <w:pPr>
        <w:tabs>
          <w:tab w:val="left" w:pos="6540"/>
        </w:tabs>
        <w:spacing w:before="240" w:after="240" w:line="360" w:lineRule="auto"/>
        <w:rPr>
          <w:rFonts w:ascii="Arial" w:hAnsi="Arial" w:cs="Arial"/>
          <w:sz w:val="23"/>
          <w:szCs w:val="23"/>
        </w:rPr>
      </w:pPr>
    </w:p>
    <w:sectPr w:rsidR="006450FF" w:rsidRPr="005304F1">
      <w:footerReference w:type="defaul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FA267" w14:textId="77777777" w:rsidR="00CC3401" w:rsidRDefault="00CC3401">
      <w:pPr>
        <w:spacing w:after="0" w:line="240" w:lineRule="auto"/>
      </w:pPr>
      <w:r>
        <w:separator/>
      </w:r>
    </w:p>
  </w:endnote>
  <w:endnote w:type="continuationSeparator" w:id="0">
    <w:p w14:paraId="67C78157" w14:textId="77777777" w:rsidR="00CC3401" w:rsidRDefault="00CC3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581257DC-90E7-4641-A745-7C83E89D1104}"/>
  </w:font>
  <w:font w:name="Calibri Light">
    <w:panose1 w:val="020F0302020204030204"/>
    <w:charset w:val="00"/>
    <w:family w:val="swiss"/>
    <w:pitch w:val="variable"/>
    <w:sig w:usb0="E4002EFF" w:usb1="C000247B" w:usb2="00000009" w:usb3="00000000" w:csb0="000001FF" w:csb1="00000000"/>
    <w:embedRegular r:id="rId2" w:fontKey="{C341E634-0AA3-4CC0-9C5E-85DBD28BB939}"/>
  </w:font>
  <w:font w:name="Calibri">
    <w:panose1 w:val="020F0502020204030204"/>
    <w:charset w:val="00"/>
    <w:family w:val="swiss"/>
    <w:pitch w:val="variable"/>
    <w:sig w:usb0="E4002EFF" w:usb1="C000247B" w:usb2="00000009" w:usb3="00000000" w:csb0="000001FF" w:csb1="00000000"/>
    <w:embedRegular r:id="rId3" w:fontKey="{ADB9C14D-4B9E-4A0E-B415-1D92A9D7F1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1A24D" w14:textId="77777777" w:rsidR="00084F6F" w:rsidRDefault="00000000">
    <w:pPr>
      <w:pBdr>
        <w:top w:val="nil"/>
        <w:left w:val="nil"/>
        <w:bottom w:val="nil"/>
        <w:right w:val="nil"/>
        <w:between w:val="nil"/>
      </w:pBdr>
      <w:tabs>
        <w:tab w:val="center" w:pos="4513"/>
        <w:tab w:val="right" w:pos="9026"/>
      </w:tabs>
      <w:spacing w:after="0" w:line="240" w:lineRule="auto"/>
      <w:jc w:val="center"/>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0171B4">
      <w:rPr>
        <w:noProof/>
        <w:color w:val="000000"/>
        <w:sz w:val="22"/>
        <w:szCs w:val="22"/>
      </w:rPr>
      <w:t>2</w:t>
    </w:r>
    <w:r>
      <w:rPr>
        <w:color w:val="000000"/>
        <w:sz w:val="22"/>
        <w:szCs w:val="22"/>
      </w:rPr>
      <w:fldChar w:fldCharType="end"/>
    </w:r>
  </w:p>
  <w:p w14:paraId="3ACC2623" w14:textId="77777777" w:rsidR="00084F6F" w:rsidRDefault="00084F6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FA2EB" w14:textId="77777777" w:rsidR="00CC3401" w:rsidRDefault="00CC3401">
      <w:pPr>
        <w:spacing w:after="0" w:line="240" w:lineRule="auto"/>
      </w:pPr>
      <w:r>
        <w:separator/>
      </w:r>
    </w:p>
  </w:footnote>
  <w:footnote w:type="continuationSeparator" w:id="0">
    <w:p w14:paraId="6A09DD7F" w14:textId="77777777" w:rsidR="00CC3401" w:rsidRDefault="00CC3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184D"/>
    <w:multiLevelType w:val="multilevel"/>
    <w:tmpl w:val="DFA8B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6B13BD"/>
    <w:multiLevelType w:val="multilevel"/>
    <w:tmpl w:val="E0441E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50F0FF1"/>
    <w:multiLevelType w:val="multilevel"/>
    <w:tmpl w:val="9CDC1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D77EC7"/>
    <w:multiLevelType w:val="multilevel"/>
    <w:tmpl w:val="CA7C8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AE7478"/>
    <w:multiLevelType w:val="multilevel"/>
    <w:tmpl w:val="D93C62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20BD1975"/>
    <w:multiLevelType w:val="multilevel"/>
    <w:tmpl w:val="91F25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2B2D44"/>
    <w:multiLevelType w:val="multilevel"/>
    <w:tmpl w:val="A760A2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CDC6BF7"/>
    <w:multiLevelType w:val="multilevel"/>
    <w:tmpl w:val="82DA85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50384C40"/>
    <w:multiLevelType w:val="multilevel"/>
    <w:tmpl w:val="1444E5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76527FD1"/>
    <w:multiLevelType w:val="multilevel"/>
    <w:tmpl w:val="79A42C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7A0B5C62"/>
    <w:multiLevelType w:val="multilevel"/>
    <w:tmpl w:val="D0529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29117569">
    <w:abstractNumId w:val="0"/>
  </w:num>
  <w:num w:numId="2" w16cid:durableId="773985244">
    <w:abstractNumId w:val="9"/>
  </w:num>
  <w:num w:numId="3" w16cid:durableId="525950980">
    <w:abstractNumId w:val="7"/>
  </w:num>
  <w:num w:numId="4" w16cid:durableId="679820971">
    <w:abstractNumId w:val="4"/>
  </w:num>
  <w:num w:numId="5" w16cid:durableId="1482774402">
    <w:abstractNumId w:val="2"/>
  </w:num>
  <w:num w:numId="6" w16cid:durableId="2090275358">
    <w:abstractNumId w:val="6"/>
  </w:num>
  <w:num w:numId="7" w16cid:durableId="1245527717">
    <w:abstractNumId w:val="10"/>
  </w:num>
  <w:num w:numId="8" w16cid:durableId="1560744257">
    <w:abstractNumId w:val="5"/>
  </w:num>
  <w:num w:numId="9" w16cid:durableId="1100874348">
    <w:abstractNumId w:val="8"/>
  </w:num>
  <w:num w:numId="10" w16cid:durableId="1936671618">
    <w:abstractNumId w:val="1"/>
  </w:num>
  <w:num w:numId="11" w16cid:durableId="6492891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4F6F"/>
    <w:rsid w:val="000171B4"/>
    <w:rsid w:val="000749DA"/>
    <w:rsid w:val="00084F6F"/>
    <w:rsid w:val="000F3BB1"/>
    <w:rsid w:val="00131B24"/>
    <w:rsid w:val="00187AB5"/>
    <w:rsid w:val="0020304F"/>
    <w:rsid w:val="002068CF"/>
    <w:rsid w:val="002565A3"/>
    <w:rsid w:val="002F47C0"/>
    <w:rsid w:val="00342F9B"/>
    <w:rsid w:val="003623B3"/>
    <w:rsid w:val="003D3B4E"/>
    <w:rsid w:val="004B36A6"/>
    <w:rsid w:val="0050688E"/>
    <w:rsid w:val="005304F1"/>
    <w:rsid w:val="00573898"/>
    <w:rsid w:val="00592C3C"/>
    <w:rsid w:val="005933C1"/>
    <w:rsid w:val="005C6BEE"/>
    <w:rsid w:val="005F0184"/>
    <w:rsid w:val="00606BBC"/>
    <w:rsid w:val="006450FF"/>
    <w:rsid w:val="007202C0"/>
    <w:rsid w:val="007277B3"/>
    <w:rsid w:val="00741EF6"/>
    <w:rsid w:val="007653F5"/>
    <w:rsid w:val="00804DFC"/>
    <w:rsid w:val="008241D3"/>
    <w:rsid w:val="008372D6"/>
    <w:rsid w:val="008848D3"/>
    <w:rsid w:val="00896CB6"/>
    <w:rsid w:val="008B624A"/>
    <w:rsid w:val="009165AB"/>
    <w:rsid w:val="00923650"/>
    <w:rsid w:val="009300F3"/>
    <w:rsid w:val="00934503"/>
    <w:rsid w:val="00990563"/>
    <w:rsid w:val="009D119E"/>
    <w:rsid w:val="009E7945"/>
    <w:rsid w:val="00AC1474"/>
    <w:rsid w:val="00AD1FDD"/>
    <w:rsid w:val="00B24804"/>
    <w:rsid w:val="00B503B2"/>
    <w:rsid w:val="00BD0397"/>
    <w:rsid w:val="00C965FF"/>
    <w:rsid w:val="00CB266D"/>
    <w:rsid w:val="00CC3401"/>
    <w:rsid w:val="00D97E23"/>
    <w:rsid w:val="00E00163"/>
    <w:rsid w:val="00E133B0"/>
    <w:rsid w:val="00EB4FC9"/>
    <w:rsid w:val="00F255EB"/>
    <w:rsid w:val="00F51A32"/>
    <w:rsid w:val="00FC1094"/>
    <w:rsid w:val="00FE1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79CE8"/>
  <w15:docId w15:val="{10B278C1-A516-4468-A47F-CC8B967CF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outlineLvl w:val="0"/>
    </w:pPr>
    <w:rPr>
      <w:rFonts w:ascii="Arial" w:eastAsia="Arial" w:hAnsi="Arial" w:cs="Arial"/>
      <w:b/>
      <w:bCs/>
      <w:color w:val="FF0000"/>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Arial" w:eastAsia="Arial" w:hAnsi="Arial" w:cs="Arial"/>
      <w:b/>
      <w:bCs/>
      <w:i/>
      <w:iCs/>
      <w:color w:val="2F5496"/>
      <w:sz w:val="26"/>
      <w:szCs w:val="26"/>
    </w:rPr>
  </w:style>
  <w:style w:type="paragraph" w:styleId="Heading3">
    <w:name w:val="heading 3"/>
    <w:basedOn w:val="Normal"/>
    <w:next w:val="Normal"/>
    <w:link w:val="Heading3Char"/>
    <w:uiPriority w:val="9"/>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E50FFC"/>
    <w:rPr>
      <w:rFonts w:ascii="Arial" w:eastAsiaTheme="majorEastAsia" w:hAnsi="Arial"/>
      <w:b/>
      <w:color w:val="FF0000"/>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buhFdJkMmuElGDiPj4YTZqJBJA==">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28</Pages>
  <Words>5621</Words>
  <Characters>32041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Onyemaechi Christian Meregini (2413001)</cp:lastModifiedBy>
  <cp:revision>34</cp:revision>
  <dcterms:created xsi:type="dcterms:W3CDTF">2026-08-10T11:55:00Z</dcterms:created>
  <dcterms:modified xsi:type="dcterms:W3CDTF">2026-08-12T06:23:00Z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36a1ce1a-8b64-4cab-a559-59ad1208dd0b</vt:lpwstr>
  </property>
</Properties>
</file>