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E9BFB" w14:textId="77777777" w:rsidR="00743458" w:rsidRPr="00743458" w:rsidRDefault="00695854" w:rsidP="00743458">
      <w:pPr>
        <w:spacing w:after="0" w:line="240" w:lineRule="auto"/>
        <w:jc w:val="right"/>
        <w:rPr>
          <w:rFonts w:ascii="Arial" w:eastAsia="Times New Roman" w:hAnsi="Arial" w:cs="Arial"/>
          <w:b/>
          <w:kern w:val="0"/>
          <w:sz w:val="28"/>
          <w:szCs w:val="28"/>
          <w:lang w:eastAsia="en-GB"/>
          <w14:ligatures w14:val="none"/>
        </w:rPr>
      </w:pPr>
      <w:r w:rsidRPr="00743458">
        <w:rPr>
          <w:rFonts w:ascii="Arial" w:eastAsia="Times New Roman" w:hAnsi="Arial" w:cs="Arial"/>
          <w:noProof/>
          <w:kern w:val="0"/>
          <w:sz w:val="20"/>
          <w:szCs w:val="20"/>
          <w:lang w:eastAsia="en-GB"/>
          <w14:ligatures w14:val="none"/>
        </w:rPr>
        <w:drawing>
          <wp:anchor distT="0" distB="0" distL="114300" distR="114300" simplePos="0" relativeHeight="251658240" behindDoc="0" locked="0" layoutInCell="1" allowOverlap="1" wp14:anchorId="745B4D1B" wp14:editId="6DA9FC2B">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r w:rsidRPr="00743458">
        <w:rPr>
          <w:rFonts w:ascii="Arial" w:eastAsia="Times New Roman" w:hAnsi="Arial" w:cs="Arial"/>
          <w:kern w:val="0"/>
          <w:sz w:val="20"/>
          <w:szCs w:val="20"/>
          <w:lang w:eastAsia="en-GB"/>
          <w14:ligatures w14:val="none"/>
        </w:rPr>
        <w:t xml:space="preserve"> </w:t>
      </w:r>
    </w:p>
    <w:p w14:paraId="7822CDAA" w14:textId="77777777" w:rsidR="00743458" w:rsidRPr="00743458" w:rsidRDefault="00695854" w:rsidP="00743458">
      <w:pPr>
        <w:spacing w:after="0" w:line="240" w:lineRule="auto"/>
        <w:jc w:val="right"/>
        <w:rPr>
          <w:rFonts w:ascii="Arial" w:eastAsia="Times New Roman" w:hAnsi="Arial" w:cs="Arial"/>
          <w:b/>
          <w:kern w:val="0"/>
          <w:sz w:val="28"/>
          <w:szCs w:val="28"/>
          <w:lang w:eastAsia="en-GB"/>
          <w14:ligatures w14:val="none"/>
        </w:rPr>
      </w:pPr>
      <w:r w:rsidRPr="00743458">
        <w:rPr>
          <w:rFonts w:ascii="Arial" w:eastAsia="Times New Roman" w:hAnsi="Arial" w:cs="Arial"/>
          <w:b/>
          <w:kern w:val="0"/>
          <w:sz w:val="28"/>
          <w:szCs w:val="28"/>
          <w:lang w:eastAsia="en-GB"/>
          <w14:ligatures w14:val="none"/>
        </w:rPr>
        <w:t>APPENDIX GA36a</w:t>
      </w:r>
    </w:p>
    <w:p w14:paraId="6A38D8A8" w14:textId="77777777" w:rsidR="00743458" w:rsidRPr="00743458" w:rsidRDefault="00743458" w:rsidP="00743458">
      <w:pPr>
        <w:spacing w:after="0" w:line="240" w:lineRule="auto"/>
        <w:jc w:val="left"/>
        <w:rPr>
          <w:rFonts w:ascii="Arial" w:eastAsia="Times New Roman" w:hAnsi="Arial" w:cs="Arial"/>
          <w:kern w:val="0"/>
          <w:sz w:val="20"/>
          <w:szCs w:val="20"/>
          <w:lang w:eastAsia="en-GB"/>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50"/>
      </w:tblGrid>
      <w:tr w:rsidR="00C1595F" w14:paraId="28E9BE67" w14:textId="77777777" w:rsidTr="007C207E">
        <w:tc>
          <w:tcPr>
            <w:tcW w:w="5000" w:type="pct"/>
            <w:shd w:val="clear" w:color="auto" w:fill="C0C0C0"/>
          </w:tcPr>
          <w:p w14:paraId="21DCA66F" w14:textId="77777777" w:rsidR="00743458" w:rsidRPr="00743458" w:rsidRDefault="00695854" w:rsidP="00743458">
            <w:pPr>
              <w:keepNext/>
              <w:spacing w:before="120" w:after="120" w:line="240" w:lineRule="auto"/>
              <w:jc w:val="center"/>
              <w:outlineLvl w:val="3"/>
              <w:rPr>
                <w:rFonts w:ascii="Arial" w:eastAsia="Times New Roman" w:hAnsi="Arial" w:cs="Arial"/>
                <w:b/>
                <w:kern w:val="0"/>
                <w:sz w:val="40"/>
                <w:szCs w:val="20"/>
                <w:lang w:eastAsia="en-GB"/>
                <w14:ligatures w14:val="none"/>
              </w:rPr>
            </w:pPr>
            <w:r w:rsidRPr="00743458">
              <w:rPr>
                <w:rFonts w:ascii="Arial" w:eastAsia="Times New Roman" w:hAnsi="Arial" w:cs="Arial"/>
                <w:b/>
                <w:kern w:val="0"/>
                <w:sz w:val="40"/>
                <w:szCs w:val="20"/>
                <w:lang w:eastAsia="en-GB"/>
                <w14:ligatures w14:val="none"/>
              </w:rPr>
              <w:t xml:space="preserve">LEVEL 4 ASSESSMENT SPECIFICATION </w:t>
            </w:r>
          </w:p>
        </w:tc>
      </w:tr>
    </w:tbl>
    <w:p w14:paraId="2A3A333C" w14:textId="77777777" w:rsidR="00743458" w:rsidRPr="00743458" w:rsidRDefault="00743458" w:rsidP="00743458">
      <w:pPr>
        <w:spacing w:after="0" w:line="240" w:lineRule="auto"/>
        <w:jc w:val="center"/>
        <w:rPr>
          <w:rFonts w:ascii="Arial" w:eastAsia="Times New Roman" w:hAnsi="Arial" w:cs="Arial"/>
          <w:b/>
          <w:i/>
          <w:kern w:val="0"/>
          <w:sz w:val="32"/>
          <w:szCs w:val="20"/>
          <w:lang w:eastAsia="en-GB"/>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74"/>
        <w:gridCol w:w="3102"/>
        <w:gridCol w:w="2137"/>
        <w:gridCol w:w="2137"/>
      </w:tblGrid>
      <w:tr w:rsidR="00C1595F" w14:paraId="23020E19" w14:textId="77777777" w:rsidTr="007C207E">
        <w:tc>
          <w:tcPr>
            <w:tcW w:w="1055" w:type="pct"/>
            <w:shd w:val="pct15" w:color="auto" w:fill="auto"/>
          </w:tcPr>
          <w:p w14:paraId="15CC5905"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Student name:</w:t>
            </w:r>
          </w:p>
        </w:tc>
        <w:tc>
          <w:tcPr>
            <w:tcW w:w="1659" w:type="pct"/>
          </w:tcPr>
          <w:p w14:paraId="5B7FCE96" w14:textId="3CF47A37" w:rsidR="00743458" w:rsidRPr="00743458" w:rsidRDefault="00D16E24" w:rsidP="00743458">
            <w:pPr>
              <w:spacing w:before="120" w:after="120" w:line="240" w:lineRule="auto"/>
              <w:rPr>
                <w:rFonts w:ascii="Arial" w:eastAsia="Times New Roman" w:hAnsi="Arial" w:cs="Arial"/>
                <w:b/>
                <w:kern w:val="0"/>
                <w:sz w:val="22"/>
                <w:lang w:eastAsia="en-GB"/>
                <w14:ligatures w14:val="none"/>
              </w:rPr>
            </w:pPr>
            <w:r>
              <w:rPr>
                <w:rFonts w:ascii="Arial" w:eastAsia="Times New Roman" w:hAnsi="Arial" w:cs="Arial"/>
                <w:b/>
                <w:kern w:val="0"/>
                <w:sz w:val="22"/>
                <w:lang w:eastAsia="en-GB"/>
                <w14:ligatures w14:val="none"/>
              </w:rPr>
              <w:t>Dzhuliyano Mihaylov</w:t>
            </w:r>
          </w:p>
        </w:tc>
        <w:tc>
          <w:tcPr>
            <w:tcW w:w="1143" w:type="pct"/>
            <w:shd w:val="clear" w:color="auto" w:fill="D9D9D9"/>
          </w:tcPr>
          <w:p w14:paraId="51252C0E"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Student ID number:</w:t>
            </w:r>
          </w:p>
        </w:tc>
        <w:tc>
          <w:tcPr>
            <w:tcW w:w="1143" w:type="pct"/>
          </w:tcPr>
          <w:p w14:paraId="1A17ED94" w14:textId="3AFDDCC6"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Pr>
                <w:rFonts w:ascii="Arial" w:eastAsia="Times New Roman" w:hAnsi="Arial" w:cs="Arial"/>
                <w:b/>
                <w:kern w:val="0"/>
                <w:sz w:val="22"/>
                <w:lang w:eastAsia="en-GB"/>
                <w14:ligatures w14:val="none"/>
              </w:rPr>
              <w:t>2243127</w:t>
            </w:r>
          </w:p>
        </w:tc>
      </w:tr>
      <w:tr w:rsidR="00C1595F" w14:paraId="23D0948C" w14:textId="77777777" w:rsidTr="007C207E">
        <w:tc>
          <w:tcPr>
            <w:tcW w:w="1055" w:type="pct"/>
            <w:shd w:val="pct15" w:color="auto" w:fill="auto"/>
          </w:tcPr>
          <w:p w14:paraId="20E3ABED" w14:textId="32B2F67C"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Pr>
                <w:rFonts w:ascii="Arial" w:eastAsia="Times New Roman" w:hAnsi="Arial" w:cs="Arial"/>
                <w:b/>
                <w:kern w:val="0"/>
                <w:sz w:val="22"/>
                <w:lang w:eastAsia="en-GB"/>
                <w14:ligatures w14:val="none"/>
              </w:rPr>
              <w:t>Program</w:t>
            </w:r>
            <w:r w:rsidRPr="00743458">
              <w:rPr>
                <w:rFonts w:ascii="Arial" w:eastAsia="Times New Roman" w:hAnsi="Arial" w:cs="Arial"/>
                <w:b/>
                <w:kern w:val="0"/>
                <w:sz w:val="22"/>
                <w:lang w:eastAsia="en-GB"/>
                <w14:ligatures w14:val="none"/>
              </w:rPr>
              <w:t>:</w:t>
            </w:r>
          </w:p>
        </w:tc>
        <w:tc>
          <w:tcPr>
            <w:tcW w:w="3945" w:type="pct"/>
            <w:gridSpan w:val="3"/>
          </w:tcPr>
          <w:p w14:paraId="59476A94"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Law and Legal Practice</w:t>
            </w:r>
          </w:p>
        </w:tc>
      </w:tr>
      <w:tr w:rsidR="00C1595F" w14:paraId="0507C13C" w14:textId="77777777" w:rsidTr="007C207E">
        <w:tc>
          <w:tcPr>
            <w:tcW w:w="1055" w:type="pct"/>
            <w:shd w:val="pct15" w:color="auto" w:fill="auto"/>
          </w:tcPr>
          <w:p w14:paraId="13DF7E1A"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Module:</w:t>
            </w:r>
          </w:p>
        </w:tc>
        <w:tc>
          <w:tcPr>
            <w:tcW w:w="3945" w:type="pct"/>
            <w:gridSpan w:val="3"/>
            <w:shd w:val="clear" w:color="auto" w:fill="auto"/>
          </w:tcPr>
          <w:p w14:paraId="7FF56A9B"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Principles of Professional Legal Practice</w:t>
            </w:r>
          </w:p>
        </w:tc>
      </w:tr>
      <w:tr w:rsidR="00C1595F" w14:paraId="766BD41F" w14:textId="77777777" w:rsidTr="007C207E">
        <w:tc>
          <w:tcPr>
            <w:tcW w:w="1055" w:type="pct"/>
            <w:shd w:val="pct15" w:color="auto" w:fill="auto"/>
          </w:tcPr>
          <w:p w14:paraId="158CD744"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Module code:</w:t>
            </w:r>
          </w:p>
        </w:tc>
        <w:tc>
          <w:tcPr>
            <w:tcW w:w="1659" w:type="pct"/>
          </w:tcPr>
          <w:p w14:paraId="572B1595"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BMLW4001</w:t>
            </w:r>
          </w:p>
        </w:tc>
        <w:tc>
          <w:tcPr>
            <w:tcW w:w="1143" w:type="pct"/>
            <w:shd w:val="clear" w:color="auto" w:fill="D9D9D9"/>
          </w:tcPr>
          <w:p w14:paraId="2AE7D2B7" w14:textId="77777777" w:rsidR="00743458" w:rsidRPr="00743458" w:rsidRDefault="00695854" w:rsidP="00743458">
            <w:pPr>
              <w:keepNext/>
              <w:spacing w:after="0" w:line="240" w:lineRule="auto"/>
              <w:outlineLvl w:val="1"/>
              <w:rPr>
                <w:rFonts w:ascii="Arial" w:eastAsia="Times New Roman" w:hAnsi="Arial" w:cs="Arial"/>
                <w:b/>
                <w:kern w:val="0"/>
                <w:sz w:val="22"/>
                <w:lang w:eastAsia="en-GB"/>
                <w14:ligatures w14:val="none"/>
              </w:rPr>
            </w:pPr>
            <w:bookmarkStart w:id="0" w:name="_Toc153145893"/>
            <w:r w:rsidRPr="00743458">
              <w:rPr>
                <w:rFonts w:ascii="Arial" w:eastAsia="Times New Roman" w:hAnsi="Arial" w:cs="Arial"/>
                <w:b/>
                <w:kern w:val="0"/>
                <w:sz w:val="22"/>
                <w:lang w:eastAsia="en-GB"/>
                <w14:ligatures w14:val="none"/>
              </w:rPr>
              <w:t>Contribution to Overall Module Assessment (%):</w:t>
            </w:r>
            <w:bookmarkEnd w:id="0"/>
          </w:p>
        </w:tc>
        <w:tc>
          <w:tcPr>
            <w:tcW w:w="1143" w:type="pct"/>
          </w:tcPr>
          <w:p w14:paraId="1A8B8B4D"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50%</w:t>
            </w:r>
          </w:p>
        </w:tc>
      </w:tr>
      <w:tr w:rsidR="00C1595F" w14:paraId="4B7B164F" w14:textId="77777777" w:rsidTr="007C207E">
        <w:tc>
          <w:tcPr>
            <w:tcW w:w="1055" w:type="pct"/>
            <w:shd w:val="pct15" w:color="auto" w:fill="auto"/>
          </w:tcPr>
          <w:p w14:paraId="21B5B096"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Lecturer:</w:t>
            </w:r>
          </w:p>
        </w:tc>
        <w:tc>
          <w:tcPr>
            <w:tcW w:w="1659" w:type="pct"/>
          </w:tcPr>
          <w:p w14:paraId="52441FC4"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Ellie Brown</w:t>
            </w:r>
          </w:p>
        </w:tc>
        <w:tc>
          <w:tcPr>
            <w:tcW w:w="1143" w:type="pct"/>
            <w:shd w:val="clear" w:color="auto" w:fill="D9D9D9"/>
          </w:tcPr>
          <w:p w14:paraId="1A8381AA"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Internal Verifier:</w:t>
            </w:r>
          </w:p>
        </w:tc>
        <w:tc>
          <w:tcPr>
            <w:tcW w:w="1143" w:type="pct"/>
          </w:tcPr>
          <w:p w14:paraId="421219F8"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Zita Draper</w:t>
            </w:r>
          </w:p>
        </w:tc>
      </w:tr>
      <w:tr w:rsidR="00C1595F" w14:paraId="6018688A" w14:textId="77777777" w:rsidTr="007C207E">
        <w:tc>
          <w:tcPr>
            <w:tcW w:w="1055" w:type="pct"/>
            <w:shd w:val="pct15" w:color="auto" w:fill="auto"/>
          </w:tcPr>
          <w:p w14:paraId="4C13BF06"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Assignment Title:</w:t>
            </w:r>
          </w:p>
        </w:tc>
        <w:tc>
          <w:tcPr>
            <w:tcW w:w="1659" w:type="pct"/>
          </w:tcPr>
          <w:p w14:paraId="2C94195B"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Assignment 2 - Equality and Diversity</w:t>
            </w:r>
          </w:p>
        </w:tc>
        <w:tc>
          <w:tcPr>
            <w:tcW w:w="1143" w:type="pct"/>
            <w:shd w:val="pct15" w:color="auto" w:fill="auto"/>
          </w:tcPr>
          <w:p w14:paraId="489D792C"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Word count (or equivalent):</w:t>
            </w:r>
          </w:p>
        </w:tc>
        <w:tc>
          <w:tcPr>
            <w:tcW w:w="1143" w:type="pct"/>
          </w:tcPr>
          <w:p w14:paraId="5C3E60E7"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1500</w:t>
            </w:r>
          </w:p>
        </w:tc>
      </w:tr>
      <w:tr w:rsidR="00C1595F" w14:paraId="75AE4DA4" w14:textId="77777777" w:rsidTr="007C207E">
        <w:tc>
          <w:tcPr>
            <w:tcW w:w="1055" w:type="pct"/>
            <w:shd w:val="pct15" w:color="auto" w:fill="auto"/>
          </w:tcPr>
          <w:p w14:paraId="236F622E"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Submission deadline:</w:t>
            </w:r>
          </w:p>
        </w:tc>
        <w:tc>
          <w:tcPr>
            <w:tcW w:w="1659" w:type="pct"/>
            <w:shd w:val="clear" w:color="auto" w:fill="auto"/>
          </w:tcPr>
          <w:p w14:paraId="031655B5" w14:textId="7777777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 xml:space="preserve">23:59 on 15 December 2023 via Turnitin </w:t>
            </w:r>
          </w:p>
        </w:tc>
        <w:tc>
          <w:tcPr>
            <w:tcW w:w="1143" w:type="pct"/>
            <w:shd w:val="pct15" w:color="auto" w:fill="auto"/>
          </w:tcPr>
          <w:p w14:paraId="0AE2AFD0" w14:textId="720E0257"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sidRPr="00743458">
              <w:rPr>
                <w:rFonts w:ascii="Arial" w:eastAsia="Times New Roman" w:hAnsi="Arial" w:cs="Arial"/>
                <w:b/>
                <w:kern w:val="0"/>
                <w:sz w:val="22"/>
                <w:lang w:eastAsia="en-GB"/>
                <w14:ligatures w14:val="none"/>
              </w:rPr>
              <w:t xml:space="preserve">Return date of provisional marks &amp; </w:t>
            </w:r>
            <w:r>
              <w:rPr>
                <w:rFonts w:ascii="Arial" w:eastAsia="Times New Roman" w:hAnsi="Arial" w:cs="Arial"/>
                <w:b/>
                <w:kern w:val="0"/>
                <w:sz w:val="22"/>
                <w:lang w:eastAsia="en-GB"/>
                <w14:ligatures w14:val="none"/>
              </w:rPr>
              <w:t xml:space="preserve">and </w:t>
            </w:r>
            <w:r w:rsidRPr="00743458">
              <w:rPr>
                <w:rFonts w:ascii="Arial" w:eastAsia="Times New Roman" w:hAnsi="Arial" w:cs="Arial"/>
                <w:b/>
                <w:kern w:val="0"/>
                <w:sz w:val="22"/>
                <w:lang w:eastAsia="en-GB"/>
                <w14:ligatures w14:val="none"/>
              </w:rPr>
              <w:t xml:space="preserve">written </w:t>
            </w:r>
            <w:r w:rsidRPr="00743458">
              <w:rPr>
                <w:rFonts w:ascii="Arial" w:eastAsia="Times New Roman" w:hAnsi="Arial" w:cs="Arial"/>
                <w:b/>
                <w:kern w:val="0"/>
                <w:sz w:val="22"/>
                <w:lang w:eastAsia="en-GB"/>
                <w14:ligatures w14:val="none"/>
              </w:rPr>
              <w:t>feedback:</w:t>
            </w:r>
          </w:p>
        </w:tc>
        <w:tc>
          <w:tcPr>
            <w:tcW w:w="1143" w:type="pct"/>
          </w:tcPr>
          <w:p w14:paraId="357F74BD" w14:textId="2763A368" w:rsidR="00743458" w:rsidRPr="00743458" w:rsidRDefault="00695854" w:rsidP="00743458">
            <w:pPr>
              <w:spacing w:before="120" w:after="120" w:line="240" w:lineRule="auto"/>
              <w:rPr>
                <w:rFonts w:ascii="Arial" w:eastAsia="Times New Roman" w:hAnsi="Arial" w:cs="Arial"/>
                <w:b/>
                <w:kern w:val="0"/>
                <w:sz w:val="22"/>
                <w:lang w:eastAsia="en-GB"/>
                <w14:ligatures w14:val="none"/>
              </w:rPr>
            </w:pPr>
            <w:r>
              <w:rPr>
                <w:rFonts w:ascii="Arial" w:eastAsia="Times New Roman" w:hAnsi="Arial" w:cs="Arial"/>
                <w:b/>
                <w:kern w:val="0"/>
                <w:sz w:val="22"/>
                <w:lang w:eastAsia="en-GB"/>
                <w14:ligatures w14:val="none"/>
              </w:rPr>
              <w:t>10:00 am</w:t>
            </w:r>
            <w:r w:rsidRPr="00743458">
              <w:rPr>
                <w:rFonts w:ascii="Arial" w:eastAsia="Times New Roman" w:hAnsi="Arial" w:cs="Arial"/>
                <w:b/>
                <w:kern w:val="0"/>
                <w:sz w:val="22"/>
                <w:lang w:eastAsia="en-GB"/>
                <w14:ligatures w14:val="none"/>
              </w:rPr>
              <w:t xml:space="preserve"> on 5 January 2024</w:t>
            </w:r>
          </w:p>
        </w:tc>
      </w:tr>
    </w:tbl>
    <w:p w14:paraId="3AE57913" w14:textId="77777777" w:rsidR="006E1AEA" w:rsidRDefault="006E1AEA"/>
    <w:p w14:paraId="1062A858" w14:textId="77777777" w:rsidR="006E1AEA" w:rsidRDefault="006E1AEA"/>
    <w:p w14:paraId="33E0F4A9" w14:textId="77777777" w:rsidR="006E1AEA" w:rsidRDefault="006E1AEA"/>
    <w:p w14:paraId="5816D62D" w14:textId="77777777" w:rsidR="006E1AEA" w:rsidRDefault="006E1AEA"/>
    <w:p w14:paraId="7F2373EE" w14:textId="77777777" w:rsidR="006E1AEA" w:rsidRDefault="006E1AEA"/>
    <w:p w14:paraId="2442D069" w14:textId="77777777" w:rsidR="00297842" w:rsidRDefault="00297842"/>
    <w:p w14:paraId="0E236DC5" w14:textId="77777777" w:rsidR="006E1AEA" w:rsidRDefault="006E1AEA"/>
    <w:p w14:paraId="0036DF3C" w14:textId="77777777" w:rsidR="006E1AEA" w:rsidRDefault="006E1AEA"/>
    <w:p w14:paraId="541EAAE8" w14:textId="77777777" w:rsidR="006E1AEA" w:rsidRDefault="006E1AEA"/>
    <w:p w14:paraId="378F6345" w14:textId="77777777" w:rsidR="006E1AEA" w:rsidRDefault="006E1AEA"/>
    <w:sdt>
      <w:sdtPr>
        <w:rPr>
          <w:rFonts w:ascii="Times New Roman" w:eastAsiaTheme="minorHAnsi" w:hAnsi="Times New Roman" w:cstheme="minorBidi"/>
          <w:color w:val="auto"/>
          <w:kern w:val="2"/>
          <w:sz w:val="24"/>
          <w:szCs w:val="22"/>
          <w:lang w:val="en-GB"/>
          <w14:ligatures w14:val="standardContextual"/>
        </w:rPr>
        <w:id w:val="-2071329649"/>
        <w:docPartObj>
          <w:docPartGallery w:val="Table of Contents"/>
          <w:docPartUnique/>
        </w:docPartObj>
      </w:sdtPr>
      <w:sdtEndPr>
        <w:rPr>
          <w:b/>
          <w:bCs/>
          <w:noProof/>
        </w:rPr>
      </w:sdtEndPr>
      <w:sdtContent>
        <w:p w14:paraId="3B342ECB" w14:textId="77777777" w:rsidR="006E1AEA" w:rsidRPr="00BF4996" w:rsidRDefault="00695854" w:rsidP="00BF4996">
          <w:pPr>
            <w:pStyle w:val="TOCHeading"/>
            <w:spacing w:before="0"/>
            <w:rPr>
              <w:rFonts w:ascii="Times New Roman" w:hAnsi="Times New Roman" w:cs="Times New Roman"/>
              <w:b/>
              <w:bCs/>
              <w:color w:val="000000" w:themeColor="text1"/>
              <w:sz w:val="28"/>
              <w:szCs w:val="28"/>
            </w:rPr>
          </w:pPr>
          <w:r w:rsidRPr="00BF4996">
            <w:rPr>
              <w:rFonts w:ascii="Times New Roman" w:hAnsi="Times New Roman" w:cs="Times New Roman"/>
              <w:b/>
              <w:bCs/>
              <w:color w:val="000000" w:themeColor="text1"/>
              <w:sz w:val="28"/>
              <w:szCs w:val="28"/>
            </w:rPr>
            <w:t>Table of Contents</w:t>
          </w:r>
        </w:p>
        <w:p w14:paraId="7BBE2BD3" w14:textId="47483DF2" w:rsidR="00297842" w:rsidRDefault="00695854" w:rsidP="00297842">
          <w:pPr>
            <w:pStyle w:val="TOC2"/>
            <w:tabs>
              <w:tab w:val="right" w:leader="dot" w:pos="9350"/>
            </w:tabs>
            <w:spacing w:after="0"/>
            <w:ind w:left="0"/>
            <w:rPr>
              <w:rFonts w:asciiTheme="minorHAnsi" w:eastAsiaTheme="minorEastAsia" w:hAnsiTheme="minorHAnsi"/>
              <w:noProof/>
              <w:sz w:val="22"/>
              <w:lang w:val="en-US"/>
            </w:rPr>
          </w:pPr>
          <w:r>
            <w:rPr>
              <w:rFonts w:cs="Times New Roman"/>
              <w:szCs w:val="24"/>
            </w:rPr>
            <w:fldChar w:fldCharType="begin"/>
          </w:r>
          <w:r>
            <w:instrText xml:space="preserve"> TOC \o "1-3" \h \z \u </w:instrText>
          </w:r>
          <w:r>
            <w:rPr>
              <w:rFonts w:cs="Times New Roman"/>
              <w:szCs w:val="24"/>
            </w:rPr>
            <w:fldChar w:fldCharType="separate"/>
          </w:r>
          <w:hyperlink w:anchor="_Toc153145893" w:history="1"/>
          <w:hyperlink w:anchor="_Toc153145894" w:history="1">
            <w:r w:rsidR="00297842" w:rsidRPr="009972F3">
              <w:rPr>
                <w:rStyle w:val="Hyperlink"/>
                <w:noProof/>
              </w:rPr>
              <w:t>Introduction</w:t>
            </w:r>
            <w:r w:rsidR="00297842">
              <w:rPr>
                <w:noProof/>
                <w:webHidden/>
              </w:rPr>
              <w:tab/>
            </w:r>
            <w:r w:rsidR="00297842">
              <w:rPr>
                <w:noProof/>
                <w:webHidden/>
              </w:rPr>
              <w:fldChar w:fldCharType="begin"/>
            </w:r>
            <w:r w:rsidR="00297842">
              <w:rPr>
                <w:noProof/>
                <w:webHidden/>
              </w:rPr>
              <w:instrText xml:space="preserve"> PAGEREF _Toc153145894 \h </w:instrText>
            </w:r>
            <w:r w:rsidR="00297842">
              <w:rPr>
                <w:noProof/>
                <w:webHidden/>
              </w:rPr>
            </w:r>
            <w:r w:rsidR="00297842">
              <w:rPr>
                <w:webHidden/>
              </w:rPr>
              <w:fldChar w:fldCharType="separate"/>
            </w:r>
            <w:r w:rsidR="00297842">
              <w:rPr>
                <w:noProof/>
                <w:webHidden/>
              </w:rPr>
              <w:t>3</w:t>
            </w:r>
            <w:r w:rsidR="00297842">
              <w:rPr>
                <w:noProof/>
                <w:webHidden/>
              </w:rPr>
              <w:fldChar w:fldCharType="end"/>
            </w:r>
          </w:hyperlink>
        </w:p>
        <w:p w14:paraId="49A44905" w14:textId="36B2B498" w:rsidR="00297842" w:rsidRDefault="00695854" w:rsidP="00297842">
          <w:pPr>
            <w:pStyle w:val="TOC1"/>
            <w:spacing w:after="0"/>
            <w:rPr>
              <w:rFonts w:asciiTheme="minorHAnsi" w:eastAsiaTheme="minorEastAsia" w:hAnsiTheme="minorHAnsi" w:cstheme="minorBidi"/>
              <w:sz w:val="22"/>
              <w:szCs w:val="22"/>
              <w:lang w:val="en-US"/>
            </w:rPr>
          </w:pPr>
          <w:hyperlink w:anchor="_Toc153145895" w:history="1">
            <w:r w:rsidR="00297842" w:rsidRPr="009972F3">
              <w:rPr>
                <w:rStyle w:val="Hyperlink"/>
              </w:rPr>
              <w:t>Legal Frameworks</w:t>
            </w:r>
            <w:r w:rsidR="00297842">
              <w:rPr>
                <w:webHidden/>
              </w:rPr>
              <w:tab/>
            </w:r>
            <w:r w:rsidR="00297842">
              <w:rPr>
                <w:webHidden/>
              </w:rPr>
              <w:fldChar w:fldCharType="begin"/>
            </w:r>
            <w:r w:rsidR="00297842">
              <w:rPr>
                <w:webHidden/>
              </w:rPr>
              <w:instrText xml:space="preserve"> PAGEREF _Toc153145895 \h </w:instrText>
            </w:r>
            <w:r w:rsidR="00297842">
              <w:rPr>
                <w:webHidden/>
              </w:rPr>
            </w:r>
            <w:r w:rsidR="00297842">
              <w:rPr>
                <w:webHidden/>
              </w:rPr>
              <w:fldChar w:fldCharType="separate"/>
            </w:r>
            <w:r w:rsidR="00297842">
              <w:rPr>
                <w:webHidden/>
              </w:rPr>
              <w:t>3</w:t>
            </w:r>
            <w:r w:rsidR="00297842">
              <w:rPr>
                <w:webHidden/>
              </w:rPr>
              <w:fldChar w:fldCharType="end"/>
            </w:r>
          </w:hyperlink>
        </w:p>
        <w:p w14:paraId="3E9218F6" w14:textId="0DBD1783" w:rsidR="00297842" w:rsidRDefault="00695854" w:rsidP="00297842">
          <w:pPr>
            <w:pStyle w:val="TOC2"/>
            <w:tabs>
              <w:tab w:val="right" w:leader="dot" w:pos="9350"/>
            </w:tabs>
            <w:spacing w:after="0"/>
            <w:rPr>
              <w:rFonts w:asciiTheme="minorHAnsi" w:eastAsiaTheme="minorEastAsia" w:hAnsiTheme="minorHAnsi"/>
              <w:noProof/>
              <w:sz w:val="22"/>
              <w:lang w:val="en-US"/>
            </w:rPr>
          </w:pPr>
          <w:hyperlink w:anchor="_Toc153145896" w:history="1">
            <w:r w:rsidR="00297842" w:rsidRPr="009972F3">
              <w:rPr>
                <w:rStyle w:val="Hyperlink"/>
                <w:noProof/>
              </w:rPr>
              <w:t>Equality Act 2010: Foundation for Non-Discrimination</w:t>
            </w:r>
            <w:r w:rsidR="00297842">
              <w:rPr>
                <w:noProof/>
                <w:webHidden/>
              </w:rPr>
              <w:tab/>
            </w:r>
            <w:r w:rsidR="00297842">
              <w:rPr>
                <w:noProof/>
                <w:webHidden/>
              </w:rPr>
              <w:fldChar w:fldCharType="begin"/>
            </w:r>
            <w:r w:rsidR="00297842">
              <w:rPr>
                <w:noProof/>
                <w:webHidden/>
              </w:rPr>
              <w:instrText xml:space="preserve"> PAGEREF _Toc153145896 \h </w:instrText>
            </w:r>
            <w:r w:rsidR="00297842">
              <w:rPr>
                <w:noProof/>
                <w:webHidden/>
              </w:rPr>
            </w:r>
            <w:r w:rsidR="00297842">
              <w:rPr>
                <w:noProof/>
                <w:webHidden/>
              </w:rPr>
              <w:fldChar w:fldCharType="separate"/>
            </w:r>
            <w:r w:rsidR="00297842">
              <w:rPr>
                <w:noProof/>
                <w:webHidden/>
              </w:rPr>
              <w:t>3</w:t>
            </w:r>
            <w:r w:rsidR="00297842">
              <w:rPr>
                <w:noProof/>
                <w:webHidden/>
              </w:rPr>
              <w:fldChar w:fldCharType="end"/>
            </w:r>
          </w:hyperlink>
        </w:p>
        <w:p w14:paraId="05D46E89" w14:textId="6A852FA1" w:rsidR="00297842" w:rsidRDefault="00695854" w:rsidP="00297842">
          <w:pPr>
            <w:pStyle w:val="TOC2"/>
            <w:tabs>
              <w:tab w:val="right" w:leader="dot" w:pos="9350"/>
            </w:tabs>
            <w:spacing w:after="0"/>
            <w:rPr>
              <w:rFonts w:asciiTheme="minorHAnsi" w:eastAsiaTheme="minorEastAsia" w:hAnsiTheme="minorHAnsi"/>
              <w:noProof/>
              <w:sz w:val="22"/>
              <w:lang w:val="en-US"/>
            </w:rPr>
          </w:pPr>
          <w:hyperlink w:anchor="_Toc153145897" w:history="1">
            <w:r w:rsidR="00297842" w:rsidRPr="009972F3">
              <w:rPr>
                <w:rStyle w:val="Hyperlink"/>
                <w:noProof/>
              </w:rPr>
              <w:t>The Legal Services Act 2007</w:t>
            </w:r>
            <w:r w:rsidR="00297842">
              <w:rPr>
                <w:noProof/>
                <w:webHidden/>
              </w:rPr>
              <w:tab/>
            </w:r>
            <w:r w:rsidR="00297842">
              <w:rPr>
                <w:noProof/>
                <w:webHidden/>
              </w:rPr>
              <w:fldChar w:fldCharType="begin"/>
            </w:r>
            <w:r w:rsidR="00297842">
              <w:rPr>
                <w:noProof/>
                <w:webHidden/>
              </w:rPr>
              <w:instrText xml:space="preserve"> PAGEREF _Toc153145897 \h </w:instrText>
            </w:r>
            <w:r w:rsidR="00297842">
              <w:rPr>
                <w:noProof/>
                <w:webHidden/>
              </w:rPr>
            </w:r>
            <w:r w:rsidR="00297842">
              <w:rPr>
                <w:noProof/>
                <w:webHidden/>
              </w:rPr>
              <w:fldChar w:fldCharType="separate"/>
            </w:r>
            <w:r w:rsidR="00297842">
              <w:rPr>
                <w:noProof/>
                <w:webHidden/>
              </w:rPr>
              <w:t>4</w:t>
            </w:r>
            <w:r w:rsidR="00297842">
              <w:rPr>
                <w:noProof/>
                <w:webHidden/>
              </w:rPr>
              <w:fldChar w:fldCharType="end"/>
            </w:r>
          </w:hyperlink>
        </w:p>
        <w:p w14:paraId="41A13717" w14:textId="42D024D3" w:rsidR="00297842" w:rsidRDefault="00695854" w:rsidP="00297842">
          <w:pPr>
            <w:pStyle w:val="TOC1"/>
            <w:spacing w:after="0"/>
            <w:rPr>
              <w:rFonts w:asciiTheme="minorHAnsi" w:eastAsiaTheme="minorEastAsia" w:hAnsiTheme="minorHAnsi" w:cstheme="minorBidi"/>
              <w:sz w:val="22"/>
              <w:szCs w:val="22"/>
              <w:lang w:val="en-US"/>
            </w:rPr>
          </w:pPr>
          <w:hyperlink w:anchor="_Toc153145898" w:history="1">
            <w:r w:rsidR="00297842" w:rsidRPr="009972F3">
              <w:rPr>
                <w:rStyle w:val="Hyperlink"/>
              </w:rPr>
              <w:t>Regulatory Bodies' Role in Promoting Equality and Diversity</w:t>
            </w:r>
            <w:r w:rsidR="00297842">
              <w:rPr>
                <w:webHidden/>
              </w:rPr>
              <w:tab/>
            </w:r>
            <w:r w:rsidR="00297842">
              <w:rPr>
                <w:webHidden/>
              </w:rPr>
              <w:fldChar w:fldCharType="begin"/>
            </w:r>
            <w:r w:rsidR="00297842">
              <w:rPr>
                <w:webHidden/>
              </w:rPr>
              <w:instrText xml:space="preserve"> PAGEREF _Toc153145898 \h </w:instrText>
            </w:r>
            <w:r w:rsidR="00297842">
              <w:rPr>
                <w:webHidden/>
              </w:rPr>
            </w:r>
            <w:r w:rsidR="00297842">
              <w:rPr>
                <w:webHidden/>
              </w:rPr>
              <w:fldChar w:fldCharType="separate"/>
            </w:r>
            <w:r w:rsidR="00297842">
              <w:rPr>
                <w:webHidden/>
              </w:rPr>
              <w:t>4</w:t>
            </w:r>
            <w:r w:rsidR="00297842">
              <w:rPr>
                <w:webHidden/>
              </w:rPr>
              <w:fldChar w:fldCharType="end"/>
            </w:r>
          </w:hyperlink>
        </w:p>
        <w:p w14:paraId="60CB4578" w14:textId="37AAE4DB" w:rsidR="00297842" w:rsidRDefault="00695854" w:rsidP="00297842">
          <w:pPr>
            <w:pStyle w:val="TOC1"/>
            <w:spacing w:after="0"/>
            <w:rPr>
              <w:rFonts w:asciiTheme="minorHAnsi" w:eastAsiaTheme="minorEastAsia" w:hAnsiTheme="minorHAnsi" w:cstheme="minorBidi"/>
              <w:sz w:val="22"/>
              <w:szCs w:val="22"/>
              <w:lang w:val="en-US"/>
            </w:rPr>
          </w:pPr>
          <w:hyperlink w:anchor="_Toc153145899" w:history="1">
            <w:r w:rsidR="00297842" w:rsidRPr="009972F3">
              <w:rPr>
                <w:rStyle w:val="Hyperlink"/>
              </w:rPr>
              <w:t>Incorporation of Equality and Diversity in Codes of Conduct</w:t>
            </w:r>
            <w:r w:rsidR="00297842">
              <w:rPr>
                <w:webHidden/>
              </w:rPr>
              <w:tab/>
            </w:r>
            <w:r w:rsidR="00297842">
              <w:rPr>
                <w:webHidden/>
              </w:rPr>
              <w:fldChar w:fldCharType="begin"/>
            </w:r>
            <w:r w:rsidR="00297842">
              <w:rPr>
                <w:webHidden/>
              </w:rPr>
              <w:instrText xml:space="preserve"> PAGEREF _Toc153145899 \h </w:instrText>
            </w:r>
            <w:r w:rsidR="00297842">
              <w:rPr>
                <w:webHidden/>
              </w:rPr>
            </w:r>
            <w:r w:rsidR="00297842">
              <w:rPr>
                <w:webHidden/>
              </w:rPr>
              <w:fldChar w:fldCharType="separate"/>
            </w:r>
            <w:r w:rsidR="00297842">
              <w:rPr>
                <w:webHidden/>
              </w:rPr>
              <w:t>5</w:t>
            </w:r>
            <w:r w:rsidR="00297842">
              <w:rPr>
                <w:webHidden/>
              </w:rPr>
              <w:fldChar w:fldCharType="end"/>
            </w:r>
          </w:hyperlink>
        </w:p>
        <w:p w14:paraId="7134FDCF" w14:textId="6B5D2B48" w:rsidR="00297842" w:rsidRDefault="00695854" w:rsidP="00297842">
          <w:pPr>
            <w:pStyle w:val="TOC1"/>
            <w:spacing w:after="0"/>
            <w:rPr>
              <w:rFonts w:asciiTheme="minorHAnsi" w:eastAsiaTheme="minorEastAsia" w:hAnsiTheme="minorHAnsi" w:cstheme="minorBidi"/>
              <w:sz w:val="22"/>
              <w:szCs w:val="22"/>
              <w:lang w:val="en-US"/>
            </w:rPr>
          </w:pPr>
          <w:hyperlink w:anchor="_Toc153145900" w:history="1">
            <w:r w:rsidR="00297842" w:rsidRPr="009972F3">
              <w:rPr>
                <w:rStyle w:val="Hyperlink"/>
              </w:rPr>
              <w:t>Strategies for putting the law into action</w:t>
            </w:r>
            <w:r w:rsidR="00297842">
              <w:rPr>
                <w:webHidden/>
              </w:rPr>
              <w:tab/>
            </w:r>
            <w:r w:rsidR="00297842">
              <w:rPr>
                <w:webHidden/>
              </w:rPr>
              <w:fldChar w:fldCharType="begin"/>
            </w:r>
            <w:r w:rsidR="00297842">
              <w:rPr>
                <w:webHidden/>
              </w:rPr>
              <w:instrText xml:space="preserve"> PAGEREF _Toc153145900 \h </w:instrText>
            </w:r>
            <w:r w:rsidR="00297842">
              <w:rPr>
                <w:webHidden/>
              </w:rPr>
            </w:r>
            <w:r w:rsidR="00297842">
              <w:rPr>
                <w:webHidden/>
              </w:rPr>
              <w:fldChar w:fldCharType="separate"/>
            </w:r>
            <w:r w:rsidR="00297842">
              <w:rPr>
                <w:webHidden/>
              </w:rPr>
              <w:t>5</w:t>
            </w:r>
            <w:r w:rsidR="00297842">
              <w:rPr>
                <w:webHidden/>
              </w:rPr>
              <w:fldChar w:fldCharType="end"/>
            </w:r>
          </w:hyperlink>
        </w:p>
        <w:p w14:paraId="18F9D9A6" w14:textId="40062BA6" w:rsidR="00297842" w:rsidRDefault="00695854" w:rsidP="00297842">
          <w:pPr>
            <w:pStyle w:val="TOC1"/>
            <w:spacing w:after="0"/>
            <w:rPr>
              <w:rFonts w:asciiTheme="minorHAnsi" w:eastAsiaTheme="minorEastAsia" w:hAnsiTheme="minorHAnsi" w:cstheme="minorBidi"/>
              <w:sz w:val="22"/>
              <w:szCs w:val="22"/>
              <w:lang w:val="en-US"/>
            </w:rPr>
          </w:pPr>
          <w:hyperlink w:anchor="_Toc153145901" w:history="1">
            <w:r w:rsidR="00297842" w:rsidRPr="009972F3">
              <w:rPr>
                <w:rStyle w:val="Hyperlink"/>
              </w:rPr>
              <w:t>Impact and Implications of the Legal Framework</w:t>
            </w:r>
            <w:r w:rsidR="00297842">
              <w:rPr>
                <w:webHidden/>
              </w:rPr>
              <w:tab/>
            </w:r>
            <w:r w:rsidR="00297842">
              <w:rPr>
                <w:webHidden/>
              </w:rPr>
              <w:fldChar w:fldCharType="begin"/>
            </w:r>
            <w:r w:rsidR="00297842">
              <w:rPr>
                <w:webHidden/>
              </w:rPr>
              <w:instrText xml:space="preserve"> PAGEREF _Toc153145901 \h </w:instrText>
            </w:r>
            <w:r w:rsidR="00297842">
              <w:rPr>
                <w:webHidden/>
              </w:rPr>
            </w:r>
            <w:r w:rsidR="00297842">
              <w:rPr>
                <w:webHidden/>
              </w:rPr>
              <w:fldChar w:fldCharType="separate"/>
            </w:r>
            <w:r w:rsidR="00297842">
              <w:rPr>
                <w:webHidden/>
              </w:rPr>
              <w:t>6</w:t>
            </w:r>
            <w:r w:rsidR="00297842">
              <w:rPr>
                <w:webHidden/>
              </w:rPr>
              <w:fldChar w:fldCharType="end"/>
            </w:r>
          </w:hyperlink>
        </w:p>
        <w:p w14:paraId="441F7B10" w14:textId="1A45F6B1" w:rsidR="00297842" w:rsidRDefault="00695854" w:rsidP="00297842">
          <w:pPr>
            <w:pStyle w:val="TOC1"/>
            <w:spacing w:after="0"/>
            <w:rPr>
              <w:rFonts w:asciiTheme="minorHAnsi" w:eastAsiaTheme="minorEastAsia" w:hAnsiTheme="minorHAnsi" w:cstheme="minorBidi"/>
              <w:sz w:val="22"/>
              <w:szCs w:val="22"/>
              <w:lang w:val="en-US"/>
            </w:rPr>
          </w:pPr>
          <w:hyperlink w:anchor="_Toc153145902" w:history="1">
            <w:r w:rsidR="00297842" w:rsidRPr="009972F3">
              <w:rPr>
                <w:rStyle w:val="Hyperlink"/>
              </w:rPr>
              <w:t>Conclusion</w:t>
            </w:r>
            <w:r w:rsidR="00297842">
              <w:rPr>
                <w:webHidden/>
              </w:rPr>
              <w:tab/>
            </w:r>
            <w:r w:rsidR="00297842">
              <w:rPr>
                <w:webHidden/>
              </w:rPr>
              <w:fldChar w:fldCharType="begin"/>
            </w:r>
            <w:r w:rsidR="00297842">
              <w:rPr>
                <w:webHidden/>
              </w:rPr>
              <w:instrText xml:space="preserve"> PAGEREF _Toc153145902 \h </w:instrText>
            </w:r>
            <w:r w:rsidR="00297842">
              <w:rPr>
                <w:webHidden/>
              </w:rPr>
            </w:r>
            <w:r w:rsidR="00297842">
              <w:rPr>
                <w:webHidden/>
              </w:rPr>
              <w:fldChar w:fldCharType="separate"/>
            </w:r>
            <w:r w:rsidR="00297842">
              <w:rPr>
                <w:webHidden/>
              </w:rPr>
              <w:t>6</w:t>
            </w:r>
            <w:r w:rsidR="00297842">
              <w:rPr>
                <w:webHidden/>
              </w:rPr>
              <w:fldChar w:fldCharType="end"/>
            </w:r>
          </w:hyperlink>
        </w:p>
        <w:p w14:paraId="06C0F2C7" w14:textId="1A6DA7B3" w:rsidR="00297842" w:rsidRDefault="00695854" w:rsidP="00297842">
          <w:pPr>
            <w:pStyle w:val="TOC1"/>
            <w:spacing w:after="0"/>
            <w:rPr>
              <w:rFonts w:asciiTheme="minorHAnsi" w:eastAsiaTheme="minorEastAsia" w:hAnsiTheme="minorHAnsi" w:cstheme="minorBidi"/>
              <w:sz w:val="22"/>
              <w:szCs w:val="22"/>
              <w:lang w:val="en-US"/>
            </w:rPr>
          </w:pPr>
          <w:hyperlink w:anchor="_Toc153145903" w:history="1">
            <w:r w:rsidR="00297842" w:rsidRPr="009972F3">
              <w:rPr>
                <w:rStyle w:val="Hyperlink"/>
              </w:rPr>
              <w:t>Reference</w:t>
            </w:r>
            <w:r w:rsidR="00297842">
              <w:rPr>
                <w:webHidden/>
              </w:rPr>
              <w:tab/>
            </w:r>
            <w:r w:rsidR="00297842">
              <w:rPr>
                <w:webHidden/>
              </w:rPr>
              <w:fldChar w:fldCharType="begin"/>
            </w:r>
            <w:r w:rsidR="00297842">
              <w:rPr>
                <w:webHidden/>
              </w:rPr>
              <w:instrText xml:space="preserve"> PAGEREF _Toc153145903 \h </w:instrText>
            </w:r>
            <w:r w:rsidR="00297842">
              <w:rPr>
                <w:webHidden/>
              </w:rPr>
            </w:r>
            <w:r w:rsidR="00297842">
              <w:rPr>
                <w:webHidden/>
              </w:rPr>
              <w:fldChar w:fldCharType="separate"/>
            </w:r>
            <w:r w:rsidR="00297842">
              <w:rPr>
                <w:webHidden/>
              </w:rPr>
              <w:t>7</w:t>
            </w:r>
            <w:r w:rsidR="00297842">
              <w:rPr>
                <w:webHidden/>
              </w:rPr>
              <w:fldChar w:fldCharType="end"/>
            </w:r>
          </w:hyperlink>
        </w:p>
        <w:p w14:paraId="326DBABC" w14:textId="332E673A" w:rsidR="006E1AEA" w:rsidRDefault="00695854" w:rsidP="00BF4996">
          <w:pPr>
            <w:spacing w:after="0"/>
          </w:pPr>
          <w:r>
            <w:rPr>
              <w:b/>
              <w:bCs/>
              <w:noProof/>
            </w:rPr>
            <w:fldChar w:fldCharType="end"/>
          </w:r>
        </w:p>
      </w:sdtContent>
    </w:sdt>
    <w:p w14:paraId="36A184F5" w14:textId="77777777" w:rsidR="006E1AEA" w:rsidRPr="00BF4996" w:rsidRDefault="00695854" w:rsidP="00BF4996">
      <w:pPr>
        <w:spacing w:after="0"/>
        <w:rPr>
          <w:b/>
          <w:bCs/>
          <w:sz w:val="28"/>
          <w:szCs w:val="28"/>
        </w:rPr>
      </w:pPr>
      <w:r w:rsidRPr="00BF4996">
        <w:rPr>
          <w:b/>
          <w:bCs/>
          <w:sz w:val="28"/>
          <w:szCs w:val="28"/>
        </w:rPr>
        <w:t>Table of Figures</w:t>
      </w:r>
    </w:p>
    <w:p w14:paraId="50A6ECF4" w14:textId="24382942" w:rsidR="00297842" w:rsidRPr="00297842" w:rsidRDefault="00695854">
      <w:pPr>
        <w:pStyle w:val="TableofFigures"/>
        <w:tabs>
          <w:tab w:val="right" w:leader="dot" w:pos="9350"/>
        </w:tabs>
        <w:rPr>
          <w:rFonts w:asciiTheme="minorHAnsi" w:eastAsiaTheme="minorEastAsia" w:hAnsiTheme="minorHAnsi"/>
          <w:noProof/>
          <w:sz w:val="22"/>
          <w:lang w:val="en-US"/>
        </w:rPr>
      </w:pPr>
      <w:r w:rsidRPr="00297842">
        <w:fldChar w:fldCharType="begin"/>
      </w:r>
      <w:r w:rsidRPr="00297842">
        <w:instrText xml:space="preserve"> TOC \h \z \c "Figure" </w:instrText>
      </w:r>
      <w:r w:rsidRPr="00297842">
        <w:fldChar w:fldCharType="separate"/>
      </w:r>
      <w:hyperlink w:anchor="_Toc153145926" w:history="1">
        <w:r w:rsidR="00297842" w:rsidRPr="00297842">
          <w:rPr>
            <w:rStyle w:val="Hyperlink"/>
            <w:noProof/>
          </w:rPr>
          <w:t>Figure 1</w:t>
        </w:r>
        <w:r w:rsidR="00297842" w:rsidRPr="00297842">
          <w:rPr>
            <w:rStyle w:val="Hyperlink"/>
            <w:noProof/>
            <w:lang w:val="en-US"/>
          </w:rPr>
          <w:t>: Nine Characteristics Protected under the 2010 Equality Act.</w:t>
        </w:r>
        <w:r w:rsidR="00297842" w:rsidRPr="00297842">
          <w:rPr>
            <w:noProof/>
            <w:webHidden/>
          </w:rPr>
          <w:tab/>
        </w:r>
        <w:r w:rsidR="00297842" w:rsidRPr="00297842">
          <w:rPr>
            <w:noProof/>
            <w:webHidden/>
          </w:rPr>
          <w:fldChar w:fldCharType="begin"/>
        </w:r>
        <w:r w:rsidR="00297842" w:rsidRPr="00297842">
          <w:rPr>
            <w:noProof/>
            <w:webHidden/>
          </w:rPr>
          <w:instrText xml:space="preserve"> PAGEREF _Toc153145926 \h </w:instrText>
        </w:r>
        <w:r w:rsidR="00297842" w:rsidRPr="00297842">
          <w:rPr>
            <w:noProof/>
            <w:webHidden/>
          </w:rPr>
        </w:r>
        <w:r w:rsidR="00297842" w:rsidRPr="00297842">
          <w:rPr>
            <w:noProof/>
            <w:webHidden/>
          </w:rPr>
          <w:fldChar w:fldCharType="separate"/>
        </w:r>
        <w:r w:rsidR="00297842" w:rsidRPr="00297842">
          <w:rPr>
            <w:noProof/>
            <w:webHidden/>
          </w:rPr>
          <w:t>3</w:t>
        </w:r>
        <w:r w:rsidR="00297842" w:rsidRPr="00297842">
          <w:rPr>
            <w:noProof/>
            <w:webHidden/>
          </w:rPr>
          <w:fldChar w:fldCharType="end"/>
        </w:r>
      </w:hyperlink>
    </w:p>
    <w:p w14:paraId="2EDD2E6C" w14:textId="0912B957" w:rsidR="00297842" w:rsidRPr="00297842" w:rsidRDefault="00695854">
      <w:pPr>
        <w:pStyle w:val="TableofFigures"/>
        <w:tabs>
          <w:tab w:val="right" w:leader="dot" w:pos="9350"/>
        </w:tabs>
        <w:rPr>
          <w:rFonts w:asciiTheme="minorHAnsi" w:eastAsiaTheme="minorEastAsia" w:hAnsiTheme="minorHAnsi"/>
          <w:noProof/>
          <w:sz w:val="22"/>
          <w:lang w:val="en-US"/>
        </w:rPr>
      </w:pPr>
      <w:hyperlink w:anchor="_Toc153145927" w:history="1">
        <w:r w:rsidR="00297842" w:rsidRPr="00297842">
          <w:rPr>
            <w:rStyle w:val="Hyperlink"/>
            <w:noProof/>
          </w:rPr>
          <w:t>Figure 2</w:t>
        </w:r>
        <w:r w:rsidR="00297842" w:rsidRPr="00297842">
          <w:rPr>
            <w:rStyle w:val="Hyperlink"/>
            <w:noProof/>
            <w:lang w:val="en-US"/>
          </w:rPr>
          <w:t>: Diversity in Law Firms</w:t>
        </w:r>
        <w:r w:rsidR="00297842" w:rsidRPr="00297842">
          <w:rPr>
            <w:noProof/>
            <w:webHidden/>
          </w:rPr>
          <w:tab/>
        </w:r>
        <w:r w:rsidR="00297842" w:rsidRPr="00297842">
          <w:rPr>
            <w:noProof/>
            <w:webHidden/>
          </w:rPr>
          <w:fldChar w:fldCharType="begin"/>
        </w:r>
        <w:r w:rsidR="00297842" w:rsidRPr="00297842">
          <w:rPr>
            <w:noProof/>
            <w:webHidden/>
          </w:rPr>
          <w:instrText xml:space="preserve"> PAGEREF _Toc153145927 \h </w:instrText>
        </w:r>
        <w:r w:rsidR="00297842" w:rsidRPr="00297842">
          <w:rPr>
            <w:noProof/>
            <w:webHidden/>
          </w:rPr>
        </w:r>
        <w:r w:rsidR="00297842" w:rsidRPr="00297842">
          <w:rPr>
            <w:noProof/>
            <w:webHidden/>
          </w:rPr>
          <w:fldChar w:fldCharType="separate"/>
        </w:r>
        <w:r w:rsidR="00297842" w:rsidRPr="00297842">
          <w:rPr>
            <w:noProof/>
            <w:webHidden/>
          </w:rPr>
          <w:t>4</w:t>
        </w:r>
        <w:r w:rsidR="00297842" w:rsidRPr="00297842">
          <w:rPr>
            <w:noProof/>
            <w:webHidden/>
          </w:rPr>
          <w:fldChar w:fldCharType="end"/>
        </w:r>
      </w:hyperlink>
    </w:p>
    <w:p w14:paraId="7B8319C0" w14:textId="764AC0A5" w:rsidR="00BF4996" w:rsidRDefault="00695854" w:rsidP="00BF4996">
      <w:pPr>
        <w:spacing w:after="0"/>
      </w:pPr>
      <w:r w:rsidRPr="00297842">
        <w:fldChar w:fldCharType="end"/>
      </w:r>
    </w:p>
    <w:p w14:paraId="6F7FE31E" w14:textId="77777777" w:rsidR="006E1AEA" w:rsidRDefault="00695854">
      <w:pPr>
        <w:jc w:val="left"/>
        <w:rPr>
          <w:rFonts w:eastAsiaTheme="majorEastAsia" w:cstheme="majorBidi"/>
          <w:b/>
          <w:color w:val="000000" w:themeColor="text1"/>
          <w:sz w:val="28"/>
          <w:szCs w:val="32"/>
        </w:rPr>
      </w:pPr>
      <w:r>
        <w:br w:type="page"/>
      </w:r>
    </w:p>
    <w:p w14:paraId="1838E638" w14:textId="77777777" w:rsidR="0089304B" w:rsidRDefault="00695854" w:rsidP="001B699C">
      <w:pPr>
        <w:pStyle w:val="Heading1"/>
        <w:spacing w:before="0"/>
      </w:pPr>
      <w:bookmarkStart w:id="1" w:name="_Toc153145894"/>
      <w:r>
        <w:lastRenderedPageBreak/>
        <w:t>Introduction</w:t>
      </w:r>
      <w:bookmarkEnd w:id="1"/>
    </w:p>
    <w:p w14:paraId="59E4B09C" w14:textId="77777777" w:rsidR="00303982" w:rsidRDefault="00695854" w:rsidP="001B699C">
      <w:pPr>
        <w:spacing w:after="0"/>
      </w:pPr>
      <w:r w:rsidRPr="00303982">
        <w:t xml:space="preserve">Promoting equality and diversity in the legal field and the services provided by lawyers is a basic principle that is upheld by regulatory bodies and people who follow important legal frameworks. The Legal Services Act of 2007 and the Equality Act of 2010 tell groups in charge of rules similar to the SRA, BSB, and CILEX Regulation how to be open and friendly to everyone. Along with regulatory codes, policies, and outreach efforts, these frameworks help make the legal field </w:t>
      </w:r>
      <w:r w:rsidR="00743458" w:rsidRPr="00303982">
        <w:t>fairer</w:t>
      </w:r>
      <w:r w:rsidRPr="00303982">
        <w:t>. This piece will go into more depth about how these things work together. The main focus is on ethical application, and it looks at the different ways that equality and diversity are promoted in professional practice.</w:t>
      </w:r>
    </w:p>
    <w:p w14:paraId="35582857" w14:textId="77777777" w:rsidR="004504CA" w:rsidRDefault="00695854" w:rsidP="001B699C">
      <w:pPr>
        <w:pStyle w:val="Heading1"/>
        <w:spacing w:before="0"/>
      </w:pPr>
      <w:bookmarkStart w:id="2" w:name="_Toc153145895"/>
      <w:r w:rsidRPr="004504CA">
        <w:t>Legal Frameworks</w:t>
      </w:r>
      <w:bookmarkEnd w:id="2"/>
    </w:p>
    <w:p w14:paraId="12105904" w14:textId="77777777" w:rsidR="004504CA" w:rsidRDefault="00695854" w:rsidP="001B699C">
      <w:pPr>
        <w:spacing w:after="0"/>
      </w:pPr>
      <w:r w:rsidRPr="00C67B43">
        <w:t>There are many parts of the legal system that work to support equality and variety in the legal field and in the way that legal services are given. Legislative requirements, regulatory oversight, and professional rules of conduct are some of these parts. The Equality Act 2010 and Legal Services Act 2007 lay the groundwork for legal justice, inclusion, and non-discrimination.</w:t>
      </w:r>
    </w:p>
    <w:p w14:paraId="1833A5E7" w14:textId="77777777" w:rsidR="00EA1921" w:rsidRDefault="00695854" w:rsidP="001B699C">
      <w:pPr>
        <w:pStyle w:val="Heading2"/>
        <w:spacing w:before="0"/>
      </w:pPr>
      <w:bookmarkStart w:id="3" w:name="_Toc153145896"/>
      <w:r w:rsidRPr="00EA1921">
        <w:t>Equality Act 2010: Foundation for Non-Discrimination</w:t>
      </w:r>
      <w:bookmarkEnd w:id="3"/>
    </w:p>
    <w:p w14:paraId="10705248" w14:textId="77777777" w:rsidR="00D84315" w:rsidRDefault="00695854" w:rsidP="001B699C">
      <w:pPr>
        <w:spacing w:after="0"/>
      </w:pPr>
      <w:r>
        <w:t xml:space="preserve">The Equality Act 2010 is the major law in the legal field that protects people from discrimination and works to make things </w:t>
      </w:r>
      <w:r w:rsidR="00743458">
        <w:t>fairer</w:t>
      </w:r>
      <w:r>
        <w:t xml:space="preserve">. Because of this rule, lawyers are responsible for nine protected characteristics: </w:t>
      </w:r>
    </w:p>
    <w:p w14:paraId="401152F2" w14:textId="77777777" w:rsidR="00D84315" w:rsidRDefault="00695854" w:rsidP="001B699C">
      <w:pPr>
        <w:keepNext/>
        <w:spacing w:after="0"/>
        <w:jc w:val="center"/>
      </w:pPr>
      <w:r>
        <w:rPr>
          <w:noProof/>
        </w:rPr>
        <w:drawing>
          <wp:inline distT="0" distB="0" distL="0" distR="0" wp14:anchorId="2D3BE519" wp14:editId="6DD0C413">
            <wp:extent cx="3276600" cy="1888932"/>
            <wp:effectExtent l="0" t="0" r="0" b="0"/>
            <wp:docPr id="722169327" name="Picture 3" descr="Finding Support Locally - Gosport Voluntary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169327" name="Picture 11" descr="Finding Support Locally - Gosport Voluntary Action"/>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316553" cy="1911964"/>
                    </a:xfrm>
                    <a:prstGeom prst="rect">
                      <a:avLst/>
                    </a:prstGeom>
                    <a:noFill/>
                    <a:ln>
                      <a:noFill/>
                    </a:ln>
                  </pic:spPr>
                </pic:pic>
              </a:graphicData>
            </a:graphic>
          </wp:inline>
        </w:drawing>
      </w:r>
    </w:p>
    <w:p w14:paraId="73A7EFFE" w14:textId="77777777" w:rsidR="00E77320" w:rsidRDefault="00695854" w:rsidP="001B699C">
      <w:pPr>
        <w:pStyle w:val="Caption"/>
        <w:spacing w:after="0" w:line="360" w:lineRule="auto"/>
        <w:jc w:val="center"/>
        <w:rPr>
          <w:b/>
          <w:bCs/>
          <w:i w:val="0"/>
          <w:iCs w:val="0"/>
          <w:color w:val="000000" w:themeColor="text1"/>
          <w:lang w:val="en-US"/>
        </w:rPr>
      </w:pPr>
      <w:bookmarkStart w:id="4" w:name="_Toc153145926"/>
      <w:r w:rsidRPr="00D84315">
        <w:rPr>
          <w:b/>
          <w:bCs/>
          <w:i w:val="0"/>
          <w:iCs w:val="0"/>
          <w:color w:val="000000" w:themeColor="text1"/>
        </w:rPr>
        <w:t xml:space="preserve">Figure </w:t>
      </w:r>
      <w:r w:rsidRPr="00D84315">
        <w:rPr>
          <w:b/>
          <w:bCs/>
          <w:i w:val="0"/>
          <w:iCs w:val="0"/>
          <w:color w:val="000000" w:themeColor="text1"/>
        </w:rPr>
        <w:fldChar w:fldCharType="begin"/>
      </w:r>
      <w:r w:rsidRPr="00D84315">
        <w:rPr>
          <w:b/>
          <w:bCs/>
          <w:i w:val="0"/>
          <w:iCs w:val="0"/>
          <w:color w:val="000000" w:themeColor="text1"/>
        </w:rPr>
        <w:instrText xml:space="preserve"> SEQ Figure \* ARABIC </w:instrText>
      </w:r>
      <w:r w:rsidRPr="00D84315">
        <w:rPr>
          <w:b/>
          <w:bCs/>
          <w:i w:val="0"/>
          <w:iCs w:val="0"/>
          <w:color w:val="000000" w:themeColor="text1"/>
        </w:rPr>
        <w:fldChar w:fldCharType="separate"/>
      </w:r>
      <w:r w:rsidR="00F97CAB">
        <w:rPr>
          <w:b/>
          <w:bCs/>
          <w:i w:val="0"/>
          <w:iCs w:val="0"/>
          <w:noProof/>
          <w:color w:val="000000" w:themeColor="text1"/>
        </w:rPr>
        <w:t>1</w:t>
      </w:r>
      <w:r w:rsidRPr="00D84315">
        <w:rPr>
          <w:b/>
          <w:bCs/>
          <w:i w:val="0"/>
          <w:iCs w:val="0"/>
          <w:color w:val="000000" w:themeColor="text1"/>
        </w:rPr>
        <w:fldChar w:fldCharType="end"/>
      </w:r>
      <w:r w:rsidRPr="00D84315">
        <w:rPr>
          <w:b/>
          <w:bCs/>
          <w:i w:val="0"/>
          <w:iCs w:val="0"/>
          <w:color w:val="000000" w:themeColor="text1"/>
          <w:lang w:val="en-US"/>
        </w:rPr>
        <w:t xml:space="preserve">: </w:t>
      </w:r>
      <w:r w:rsidR="00F97CAB">
        <w:rPr>
          <w:b/>
          <w:bCs/>
          <w:i w:val="0"/>
          <w:iCs w:val="0"/>
          <w:color w:val="000000" w:themeColor="text1"/>
          <w:lang w:val="en-US"/>
        </w:rPr>
        <w:t>N</w:t>
      </w:r>
      <w:r w:rsidRPr="00D84315">
        <w:rPr>
          <w:b/>
          <w:bCs/>
          <w:i w:val="0"/>
          <w:iCs w:val="0"/>
          <w:color w:val="000000" w:themeColor="text1"/>
          <w:lang w:val="en-US"/>
        </w:rPr>
        <w:t xml:space="preserve">ine </w:t>
      </w:r>
      <w:r w:rsidR="00F97CAB">
        <w:rPr>
          <w:b/>
          <w:bCs/>
          <w:i w:val="0"/>
          <w:iCs w:val="0"/>
          <w:color w:val="000000" w:themeColor="text1"/>
          <w:lang w:val="en-US"/>
        </w:rPr>
        <w:t>C</w:t>
      </w:r>
      <w:r w:rsidRPr="00D84315">
        <w:rPr>
          <w:b/>
          <w:bCs/>
          <w:i w:val="0"/>
          <w:iCs w:val="0"/>
          <w:color w:val="000000" w:themeColor="text1"/>
          <w:lang w:val="en-US"/>
        </w:rPr>
        <w:t xml:space="preserve">haracteristics </w:t>
      </w:r>
      <w:r w:rsidR="00F97CAB">
        <w:rPr>
          <w:b/>
          <w:bCs/>
          <w:i w:val="0"/>
          <w:iCs w:val="0"/>
          <w:color w:val="000000" w:themeColor="text1"/>
          <w:lang w:val="en-US"/>
        </w:rPr>
        <w:t>P</w:t>
      </w:r>
      <w:r w:rsidRPr="00D84315">
        <w:rPr>
          <w:b/>
          <w:bCs/>
          <w:i w:val="0"/>
          <w:iCs w:val="0"/>
          <w:color w:val="000000" w:themeColor="text1"/>
          <w:lang w:val="en-US"/>
        </w:rPr>
        <w:t>rotected under the 2010 Equality Act.</w:t>
      </w:r>
      <w:bookmarkEnd w:id="4"/>
      <w:r>
        <w:rPr>
          <w:b/>
          <w:bCs/>
          <w:i w:val="0"/>
          <w:iCs w:val="0"/>
          <w:color w:val="000000" w:themeColor="text1"/>
          <w:lang w:val="en-US"/>
        </w:rPr>
        <w:t xml:space="preserve"> </w:t>
      </w:r>
    </w:p>
    <w:p w14:paraId="0CAEDA90" w14:textId="77777777" w:rsidR="00D84315" w:rsidRPr="00D84315" w:rsidRDefault="00695854" w:rsidP="001B699C">
      <w:pPr>
        <w:pStyle w:val="Caption"/>
        <w:spacing w:after="0" w:line="360" w:lineRule="auto"/>
        <w:jc w:val="center"/>
        <w:rPr>
          <w:b/>
          <w:bCs/>
          <w:i w:val="0"/>
          <w:iCs w:val="0"/>
          <w:color w:val="000000" w:themeColor="text1"/>
        </w:rPr>
      </w:pPr>
      <w:r>
        <w:rPr>
          <w:b/>
          <w:bCs/>
          <w:i w:val="0"/>
          <w:iCs w:val="0"/>
          <w:color w:val="000000" w:themeColor="text1"/>
          <w:lang w:val="en-US"/>
        </w:rPr>
        <w:t xml:space="preserve">Source: </w:t>
      </w:r>
      <w:r w:rsidRPr="00E77320">
        <w:rPr>
          <w:b/>
          <w:bCs/>
          <w:i w:val="0"/>
          <w:iCs w:val="0"/>
          <w:color w:val="000000" w:themeColor="text1"/>
        </w:rPr>
        <w:t>(Malleson, 2018)</w:t>
      </w:r>
    </w:p>
    <w:p w14:paraId="2B038062" w14:textId="77777777" w:rsidR="00EA1921" w:rsidRDefault="00695854" w:rsidP="001B699C">
      <w:pPr>
        <w:spacing w:after="0"/>
      </w:pPr>
      <w:r>
        <w:t xml:space="preserve">It tells them that they have to make sure their work and services are fair, and equal, and don't discriminate against anyone. One of the most important laws in the system is the Equality Act 2010, which was passed in 2010. Because of this, lawyers have to do what's right by society and make sure everyone is treated the same. By focusing on these protected traits, the Act puts the law </w:t>
      </w:r>
      <w:r>
        <w:lastRenderedPageBreak/>
        <w:t>in line with social norms. This makes the legal field a place where everyone feels welcome and no one is discriminated against. All legal groups have to change their internal rules, training courses, and ways of keeping an eye on things to make sure they follow standards for equality and diversity</w:t>
      </w:r>
      <w:r w:rsidR="00E77320">
        <w:t xml:space="preserve"> (Fell, 2017)</w:t>
      </w:r>
      <w:r>
        <w:t>. And finally, the Equality Act 2010 is important because it helps make the law more fair in a way that respects differences and keeps everyone's basic rights safe.</w:t>
      </w:r>
    </w:p>
    <w:p w14:paraId="406100AD" w14:textId="77777777" w:rsidR="00C67B43" w:rsidRDefault="00695854" w:rsidP="001B699C">
      <w:pPr>
        <w:pStyle w:val="Heading2"/>
        <w:spacing w:before="0"/>
      </w:pPr>
      <w:bookmarkStart w:id="5" w:name="_Toc153145897"/>
      <w:r w:rsidRPr="002117D6">
        <w:t>The Legal Services Act 2007</w:t>
      </w:r>
      <w:bookmarkEnd w:id="5"/>
    </w:p>
    <w:p w14:paraId="6463B4DA" w14:textId="77777777" w:rsidR="002117D6" w:rsidRDefault="00695854" w:rsidP="001B699C">
      <w:pPr>
        <w:spacing w:after="0"/>
      </w:pPr>
      <w:r w:rsidRPr="004508EB">
        <w:t>A major legal reform is the 2007 Legal Services Act. While not directly about diversity and equality, the purpose is to provide justice, competition, and law services for all. The Act established new legal action bodies such as the SRA, BSB, and CILEX Regulation. The Legal Services Act 2007 focuses on providing adequate legal aid, although it indirectly affects the field's diversity</w:t>
      </w:r>
      <w:r w:rsidR="00E77320">
        <w:t xml:space="preserve"> (Boon, 2017)</w:t>
      </w:r>
      <w:r w:rsidRPr="004508EB">
        <w:t>. New firms and service offerings can make the legal market more vibrant</w:t>
      </w:r>
      <w:r w:rsidR="009C6AFE">
        <w:t xml:space="preserve">. </w:t>
      </w:r>
      <w:r w:rsidR="000E2818" w:rsidRPr="000E2818">
        <w:t>This indirectly fosters inclusion by making law firm arrangements more flexible. The Act doesn't mention equality or diversity, but it affects regulatory agencies like the SRA, BSB, and CILEX Regulation, which support them. These governing groups have included equality and diversity in their moral and ethical codes while respecting the Act's major purposes. The Act has a greater impact since it focuses the legal system on good services and fosters diversity and inclusion</w:t>
      </w:r>
      <w:r w:rsidR="009C6AFE">
        <w:t>.</w:t>
      </w:r>
    </w:p>
    <w:p w14:paraId="601DFE63" w14:textId="77777777" w:rsidR="00C83CBC" w:rsidRDefault="00695854" w:rsidP="001B699C">
      <w:pPr>
        <w:pStyle w:val="Heading1"/>
        <w:spacing w:before="0"/>
      </w:pPr>
      <w:bookmarkStart w:id="6" w:name="_Toc153145898"/>
      <w:r w:rsidRPr="00C83CBC">
        <w:t>Regulatory Bodies' Role in Promoting Equality and Diversity</w:t>
      </w:r>
      <w:bookmarkEnd w:id="6"/>
    </w:p>
    <w:p w14:paraId="79B50B15" w14:textId="45CFDB95" w:rsidR="00ED2703" w:rsidRPr="00ED2703" w:rsidRDefault="00695854" w:rsidP="001B699C">
      <w:pPr>
        <w:spacing w:after="0"/>
      </w:pPr>
      <w:r>
        <w:t>SRA, BSB, and CILEX regulations aim to promote legal equality and diversity. These organizations</w:t>
      </w:r>
      <w:r>
        <w:t xml:space="preserve"> foster inclusive environments where equality, diversity, and </w:t>
      </w:r>
      <w:r w:rsidR="00743458">
        <w:t>non-discrimination</w:t>
      </w:r>
      <w:r>
        <w:t xml:space="preserve"> are ethical. These regulatory entities are vital to legal equality and diversity:</w:t>
      </w:r>
    </w:p>
    <w:p w14:paraId="31770CC8" w14:textId="77777777" w:rsidR="00ED2703" w:rsidRPr="006E641F" w:rsidRDefault="00695854" w:rsidP="001B699C">
      <w:pPr>
        <w:spacing w:after="0"/>
        <w:rPr>
          <w:b/>
          <w:bCs/>
          <w:sz w:val="26"/>
          <w:szCs w:val="26"/>
        </w:rPr>
      </w:pPr>
      <w:r w:rsidRPr="006E641F">
        <w:rPr>
          <w:b/>
          <w:bCs/>
          <w:sz w:val="26"/>
          <w:szCs w:val="26"/>
        </w:rPr>
        <w:t>Solicitors Regulation Authority (SRA) and Equality &amp; Diversity Standards</w:t>
      </w:r>
    </w:p>
    <w:p w14:paraId="3F321AB7" w14:textId="77777777" w:rsidR="00F97CAB" w:rsidRDefault="00695854" w:rsidP="001B699C">
      <w:pPr>
        <w:spacing w:after="0"/>
      </w:pPr>
      <w:r w:rsidRPr="006E641F">
        <w:t xml:space="preserve">The SRA's Code of Conduct has strict rules for equality and diversity, which are in line with UK law. </w:t>
      </w:r>
      <w:r w:rsidRPr="00F97CAB">
        <w:t>The figure presented below illustrates the diversity of law firms as a percentage.</w:t>
      </w:r>
    </w:p>
    <w:p w14:paraId="0037B1F4" w14:textId="77777777" w:rsidR="00F97CAB" w:rsidRDefault="00695854" w:rsidP="001B699C">
      <w:pPr>
        <w:keepNext/>
        <w:spacing w:after="0"/>
        <w:jc w:val="center"/>
      </w:pPr>
      <w:r>
        <w:rPr>
          <w:noProof/>
        </w:rPr>
        <w:drawing>
          <wp:inline distT="0" distB="0" distL="0" distR="0" wp14:anchorId="7CFEFE7E" wp14:editId="5D760FB3">
            <wp:extent cx="3924300" cy="1600450"/>
            <wp:effectExtent l="0" t="0" r="0" b="0"/>
            <wp:docPr id="1368324137" name="Picture 4" descr="SRA | How diverse is the solicitors' profession? | Solicitors Regulation  Autho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324137" name="Picture 13" descr="SRA | How diverse is the solicitors' profession? | Solicitors Regulation  Authority"/>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970370" cy="1619239"/>
                    </a:xfrm>
                    <a:prstGeom prst="rect">
                      <a:avLst/>
                    </a:prstGeom>
                    <a:noFill/>
                    <a:ln>
                      <a:noFill/>
                    </a:ln>
                    <a:extLst>
                      <a:ext uri="{53640926-AAD7-44D8-BBD7-CCE9431645EC}">
                        <a14:shadowObscured xmlns:a14="http://schemas.microsoft.com/office/drawing/2010/main"/>
                      </a:ext>
                    </a:extLst>
                  </pic:spPr>
                </pic:pic>
              </a:graphicData>
            </a:graphic>
          </wp:inline>
        </w:drawing>
      </w:r>
    </w:p>
    <w:p w14:paraId="73B29E73" w14:textId="77777777" w:rsidR="00E77320" w:rsidRDefault="00695854" w:rsidP="001B699C">
      <w:pPr>
        <w:pStyle w:val="Caption"/>
        <w:spacing w:after="0" w:line="360" w:lineRule="auto"/>
        <w:jc w:val="center"/>
        <w:rPr>
          <w:b/>
          <w:bCs/>
          <w:i w:val="0"/>
          <w:iCs w:val="0"/>
          <w:color w:val="000000" w:themeColor="text1"/>
          <w:lang w:val="en-US"/>
        </w:rPr>
      </w:pPr>
      <w:bookmarkStart w:id="7" w:name="_Toc153145927"/>
      <w:r w:rsidRPr="00F97CAB">
        <w:rPr>
          <w:b/>
          <w:bCs/>
          <w:i w:val="0"/>
          <w:iCs w:val="0"/>
          <w:color w:val="000000" w:themeColor="text1"/>
        </w:rPr>
        <w:t xml:space="preserve">Figure </w:t>
      </w:r>
      <w:r w:rsidRPr="00F97CAB">
        <w:rPr>
          <w:b/>
          <w:bCs/>
          <w:i w:val="0"/>
          <w:iCs w:val="0"/>
          <w:color w:val="000000" w:themeColor="text1"/>
        </w:rPr>
        <w:fldChar w:fldCharType="begin"/>
      </w:r>
      <w:r w:rsidRPr="00F97CAB">
        <w:rPr>
          <w:b/>
          <w:bCs/>
          <w:i w:val="0"/>
          <w:iCs w:val="0"/>
          <w:color w:val="000000" w:themeColor="text1"/>
        </w:rPr>
        <w:instrText xml:space="preserve"> SEQ Figure \* ARABIC </w:instrText>
      </w:r>
      <w:r w:rsidRPr="00F97CAB">
        <w:rPr>
          <w:b/>
          <w:bCs/>
          <w:i w:val="0"/>
          <w:iCs w:val="0"/>
          <w:color w:val="000000" w:themeColor="text1"/>
        </w:rPr>
        <w:fldChar w:fldCharType="separate"/>
      </w:r>
      <w:r w:rsidRPr="00F97CAB">
        <w:rPr>
          <w:b/>
          <w:bCs/>
          <w:i w:val="0"/>
          <w:iCs w:val="0"/>
          <w:noProof/>
          <w:color w:val="000000" w:themeColor="text1"/>
        </w:rPr>
        <w:t>2</w:t>
      </w:r>
      <w:r w:rsidRPr="00F97CAB">
        <w:rPr>
          <w:b/>
          <w:bCs/>
          <w:i w:val="0"/>
          <w:iCs w:val="0"/>
          <w:color w:val="000000" w:themeColor="text1"/>
        </w:rPr>
        <w:fldChar w:fldCharType="end"/>
      </w:r>
      <w:r w:rsidRPr="00F97CAB">
        <w:rPr>
          <w:b/>
          <w:bCs/>
          <w:i w:val="0"/>
          <w:iCs w:val="0"/>
          <w:color w:val="000000" w:themeColor="text1"/>
          <w:lang w:val="en-US"/>
        </w:rPr>
        <w:t>: Diversity in Law Firms</w:t>
      </w:r>
      <w:bookmarkEnd w:id="7"/>
      <w:r>
        <w:rPr>
          <w:b/>
          <w:bCs/>
          <w:i w:val="0"/>
          <w:iCs w:val="0"/>
          <w:color w:val="000000" w:themeColor="text1"/>
          <w:lang w:val="en-US"/>
        </w:rPr>
        <w:t xml:space="preserve"> </w:t>
      </w:r>
    </w:p>
    <w:p w14:paraId="2675A68E" w14:textId="77777777" w:rsidR="00F97CAB" w:rsidRDefault="00695854" w:rsidP="001B699C">
      <w:pPr>
        <w:pStyle w:val="Caption"/>
        <w:spacing w:after="0" w:line="360" w:lineRule="auto"/>
        <w:jc w:val="center"/>
        <w:rPr>
          <w:b/>
          <w:bCs/>
          <w:i w:val="0"/>
          <w:iCs w:val="0"/>
          <w:color w:val="000000" w:themeColor="text1"/>
          <w:lang w:val="en-US"/>
        </w:rPr>
      </w:pPr>
      <w:r>
        <w:rPr>
          <w:b/>
          <w:bCs/>
          <w:i w:val="0"/>
          <w:iCs w:val="0"/>
          <w:color w:val="000000" w:themeColor="text1"/>
          <w:lang w:val="en-US"/>
        </w:rPr>
        <w:t>Source</w:t>
      </w:r>
      <w:r w:rsidRPr="00E77320">
        <w:rPr>
          <w:b/>
          <w:bCs/>
          <w:i w:val="0"/>
          <w:iCs w:val="0"/>
          <w:color w:val="000000" w:themeColor="text1"/>
          <w:lang w:val="en-US"/>
        </w:rPr>
        <w:t xml:space="preserve">: </w:t>
      </w:r>
      <w:r w:rsidRPr="00E77320">
        <w:rPr>
          <w:b/>
          <w:bCs/>
          <w:i w:val="0"/>
          <w:iCs w:val="0"/>
          <w:color w:val="000000" w:themeColor="text1"/>
        </w:rPr>
        <w:t>(Simons, 2020)</w:t>
      </w:r>
    </w:p>
    <w:p w14:paraId="0A83525B" w14:textId="77777777" w:rsidR="006E641F" w:rsidRDefault="00695854" w:rsidP="001B699C">
      <w:pPr>
        <w:spacing w:after="0"/>
        <w:rPr>
          <w:b/>
        </w:rPr>
      </w:pPr>
      <w:r w:rsidRPr="006E641F">
        <w:lastRenderedPageBreak/>
        <w:t>To ensure tight compliance, law firms have to set rules, train their staff, and find ways to keep an eye on things. By taking this proactive step, we can make sure that lawyers follow equality and diversity principles. This makes the legal system open to everyone.</w:t>
      </w:r>
    </w:p>
    <w:p w14:paraId="6AFB2C72" w14:textId="77777777" w:rsidR="00ED2703" w:rsidRPr="006E641F" w:rsidRDefault="00695854" w:rsidP="001B699C">
      <w:pPr>
        <w:spacing w:after="0"/>
        <w:rPr>
          <w:b/>
          <w:bCs/>
          <w:sz w:val="26"/>
          <w:szCs w:val="26"/>
        </w:rPr>
      </w:pPr>
      <w:r w:rsidRPr="006E641F">
        <w:rPr>
          <w:b/>
          <w:bCs/>
          <w:sz w:val="26"/>
          <w:szCs w:val="26"/>
        </w:rPr>
        <w:t>Bar Standards Board (BSB) and Emphasis on Equality &amp; Diversity</w:t>
      </w:r>
    </w:p>
    <w:p w14:paraId="40E504E1" w14:textId="77777777" w:rsidR="00ED2703" w:rsidRDefault="00695854" w:rsidP="001B699C">
      <w:pPr>
        <w:spacing w:after="0"/>
      </w:pPr>
      <w:r>
        <w:t>In the same way, the BSB's rules stress diversity and equality, and they expect barristers to behave in a certain way. This code says that barristers should always be fair, value diversity, and work to include everyone in their professional relationships</w:t>
      </w:r>
      <w:r w:rsidR="00BF4996">
        <w:t xml:space="preserve"> (Vaughan, 2021)</w:t>
      </w:r>
      <w:r>
        <w:t>. Equality is valued and protected by the BSB because these ideas are written into their rules.</w:t>
      </w:r>
    </w:p>
    <w:p w14:paraId="2CF90222" w14:textId="77777777" w:rsidR="00ED2703" w:rsidRPr="006E641F" w:rsidRDefault="00695854" w:rsidP="001B699C">
      <w:pPr>
        <w:spacing w:after="0"/>
        <w:rPr>
          <w:b/>
          <w:bCs/>
          <w:sz w:val="26"/>
          <w:szCs w:val="26"/>
        </w:rPr>
      </w:pPr>
      <w:r w:rsidRPr="006E641F">
        <w:rPr>
          <w:b/>
          <w:bCs/>
          <w:sz w:val="26"/>
          <w:szCs w:val="26"/>
        </w:rPr>
        <w:t xml:space="preserve">CILEX Regulation and Mandates for Equality &amp; </w:t>
      </w:r>
      <w:r w:rsidRPr="006E641F">
        <w:rPr>
          <w:b/>
          <w:bCs/>
          <w:sz w:val="26"/>
          <w:szCs w:val="26"/>
        </w:rPr>
        <w:t>Diversity</w:t>
      </w:r>
    </w:p>
    <w:p w14:paraId="67D39662" w14:textId="77777777" w:rsidR="00ED2703" w:rsidRDefault="00695854" w:rsidP="001B699C">
      <w:pPr>
        <w:spacing w:after="0"/>
      </w:pPr>
      <w:r>
        <w:t>The Code of Conduct for CILEX Regulation, which is in charge of legal leaders, has rules about variety and equality. Because of this, law leaders have to do what's right and make the workplace safe for everyone by ending discrimination</w:t>
      </w:r>
      <w:r w:rsidR="00BF4996">
        <w:t xml:space="preserve"> (Taylor, 2022)</w:t>
      </w:r>
      <w:r>
        <w:t>. By making these moral rules necessary, CILEX Regulation promotes an open and fair culture among legal leaders.</w:t>
      </w:r>
    </w:p>
    <w:p w14:paraId="3B3D2B1B" w14:textId="77777777" w:rsidR="00ED2703" w:rsidRDefault="00695854" w:rsidP="001B699C">
      <w:pPr>
        <w:pStyle w:val="Heading1"/>
        <w:spacing w:before="0"/>
      </w:pPr>
      <w:bookmarkStart w:id="8" w:name="_Toc153145899"/>
      <w:r w:rsidRPr="00D803B1">
        <w:t>Incorporation of Equality and Diversity in Codes of Conduct</w:t>
      </w:r>
      <w:bookmarkEnd w:id="8"/>
    </w:p>
    <w:p w14:paraId="34AB8E2A" w14:textId="5821F7EE" w:rsidR="00D803B1" w:rsidRDefault="00695854" w:rsidP="001B699C">
      <w:pPr>
        <w:spacing w:after="0"/>
      </w:pPr>
      <w:r>
        <w:t>As part of their rules on how to behave, regulatory groups such as the Solicitors Regulation Authority (SRA), the Bar Standards Board (BSB), and CILEX Regulation have strong equality and diversity standards. As moral guides, these rules make lawyers put fairness, inclusion, and respect for difference at the top of their list of things to do. These codes say that people who work as lawyers have to respect equality, get rid of discrimination, and create places where people from all backgrounds feel respected.</w:t>
      </w:r>
      <w:r>
        <w:t xml:space="preserve"> These rules are included in codes of </w:t>
      </w:r>
      <w:proofErr w:type="spellStart"/>
      <w:r>
        <w:t>behavior</w:t>
      </w:r>
      <w:proofErr w:type="spellEnd"/>
      <w:r>
        <w:t xml:space="preserve"> to make sure that moral duties are in line with what society expects. This encourages equality and diversity in the legal field.</w:t>
      </w:r>
    </w:p>
    <w:p w14:paraId="3479B58E" w14:textId="77777777" w:rsidR="00FF7197" w:rsidRDefault="00695854" w:rsidP="001B699C">
      <w:pPr>
        <w:pStyle w:val="Heading1"/>
        <w:spacing w:before="0"/>
      </w:pPr>
      <w:bookmarkStart w:id="9" w:name="_Toc153145900"/>
      <w:r w:rsidRPr="00FF7197">
        <w:t>Strategies for putting the law into action</w:t>
      </w:r>
      <w:bookmarkEnd w:id="9"/>
    </w:p>
    <w:p w14:paraId="3C36C953" w14:textId="40BA8319" w:rsidR="00750602" w:rsidRPr="00750602" w:rsidRDefault="00695854" w:rsidP="001B699C">
      <w:pPr>
        <w:spacing w:after="0"/>
      </w:pPr>
      <w:r>
        <w:t>It is necessary to follow strict tactics to meet equality and diversity standards in the UK legal system. Legal bodies make their own rules, give employees specialized</w:t>
      </w:r>
      <w:r>
        <w:t xml:space="preserve"> training, and set up very thorough ways to keep an eye on everything. These strategies are meant to make sure that the Equality Act 2010 and other related laws are followed, which will help make the legal field a more welcoming place for everyone. Legal professionals in the UK uphold their ethical duties by implementing these practices, which promote fairness, respect for variety, and the end of discrimination</w:t>
      </w:r>
      <w:r w:rsidR="00401C28">
        <w:t xml:space="preserve"> (Nicolson, 2022)</w:t>
      </w:r>
      <w:r>
        <w:t xml:space="preserve">. The UK is committed to upholding equality and diversity </w:t>
      </w:r>
      <w:r>
        <w:lastRenderedPageBreak/>
        <w:t>principles, and these a</w:t>
      </w:r>
      <w:r>
        <w:t>pplication strategies will help make the legal sector a place where everyone feels welcome and has the same chances.</w:t>
      </w:r>
    </w:p>
    <w:p w14:paraId="1CD64C99" w14:textId="77777777" w:rsidR="00D84315" w:rsidRDefault="00695854" w:rsidP="001B699C">
      <w:pPr>
        <w:spacing w:after="0"/>
        <w:rPr>
          <w:rFonts w:eastAsiaTheme="majorEastAsia" w:cstheme="majorBidi"/>
          <w:b/>
          <w:color w:val="000000" w:themeColor="text1"/>
          <w:sz w:val="28"/>
          <w:szCs w:val="32"/>
        </w:rPr>
      </w:pPr>
      <w:r w:rsidRPr="00D84315">
        <w:rPr>
          <w:rFonts w:eastAsiaTheme="majorEastAsia" w:cstheme="majorBidi"/>
          <w:b/>
          <w:color w:val="000000" w:themeColor="text1"/>
          <w:sz w:val="28"/>
          <w:szCs w:val="32"/>
        </w:rPr>
        <w:t>Individuals' Initiatives and Role in Promoting Equality and Diversity</w:t>
      </w:r>
    </w:p>
    <w:p w14:paraId="64453C15" w14:textId="77777777" w:rsidR="00D84315" w:rsidRDefault="00695854" w:rsidP="001B699C">
      <w:pPr>
        <w:spacing w:after="0"/>
        <w:rPr>
          <w:b/>
        </w:rPr>
      </w:pPr>
      <w:r w:rsidRPr="00D84315">
        <w:t xml:space="preserve">To promote variety and inclusion in their business, each lawyer plays a very important role. Through projects, action, and leadership, </w:t>
      </w:r>
      <w:r w:rsidR="00401C28">
        <w:t>these people</w:t>
      </w:r>
      <w:r w:rsidRPr="00D84315">
        <w:t xml:space="preserve"> work to stop discrimination, make spaces welcoming, and support equality</w:t>
      </w:r>
      <w:r w:rsidR="00401C28">
        <w:t xml:space="preserve"> (Bussat and Soleymani, 2022)</w:t>
      </w:r>
      <w:r w:rsidRPr="00D84315">
        <w:t xml:space="preserve">. These people hire people from different backgrounds, fight for fair treatment, and reach out to the community to make the playing field </w:t>
      </w:r>
      <w:r w:rsidR="00743458" w:rsidRPr="00D84315">
        <w:t>fairer</w:t>
      </w:r>
      <w:r w:rsidRPr="00D84315">
        <w:t>. Because they work hard to include everyone, government rules have a bigger impact. This changes the culture of the law field so that everyone is treated fairly. Last but not least, their actions show others how to accept differences and work for equali</w:t>
      </w:r>
      <w:r w:rsidRPr="00D84315">
        <w:t>ty in the legal field.</w:t>
      </w:r>
    </w:p>
    <w:p w14:paraId="4F1EDBCD" w14:textId="77777777" w:rsidR="00D803B1" w:rsidRDefault="00695854" w:rsidP="001B699C">
      <w:pPr>
        <w:pStyle w:val="Heading1"/>
        <w:spacing w:before="0"/>
      </w:pPr>
      <w:bookmarkStart w:id="10" w:name="_Toc153145901"/>
      <w:r w:rsidRPr="008947C1">
        <w:t>Impact and Implications of the Legal Framework</w:t>
      </w:r>
      <w:bookmarkEnd w:id="10"/>
    </w:p>
    <w:p w14:paraId="6DE33012" w14:textId="77777777" w:rsidR="00750602" w:rsidRPr="00750602" w:rsidRDefault="00695854" w:rsidP="001B699C">
      <w:pPr>
        <w:spacing w:after="0"/>
      </w:pPr>
      <w:r w:rsidRPr="00750602">
        <w:t>People are greatly affected by the legal framework, which makes the legal field open to everyone. Laws like the Equality Act 2010 and the Legal Services Act 2007 make this possible. It tells lawyers that they have to be fair, include everyone, and not be biased in their work. Lawyers are told how to follow standards for equality and diversity by this system, which shapes the rules that govern them</w:t>
      </w:r>
      <w:r w:rsidR="001B699C">
        <w:t xml:space="preserve"> (Hepple and Choudhury, 2020)</w:t>
      </w:r>
      <w:r w:rsidRPr="00750602">
        <w:t xml:space="preserve">. Everyone, no matter where they come from, feels respected and treated fairly when they follow the rules. The framework's effects show how it helps bring the legal field in line with societal norms. This creates a moral society that values diversity and makes the legal system </w:t>
      </w:r>
      <w:r w:rsidR="00743458" w:rsidRPr="00750602">
        <w:t>fairer</w:t>
      </w:r>
      <w:r w:rsidRPr="00750602">
        <w:t>.</w:t>
      </w:r>
    </w:p>
    <w:p w14:paraId="3FB81242" w14:textId="77777777" w:rsidR="00FA138D" w:rsidRPr="00FA138D" w:rsidRDefault="00695854" w:rsidP="001B699C">
      <w:pPr>
        <w:pStyle w:val="Heading1"/>
        <w:spacing w:before="0"/>
      </w:pPr>
      <w:bookmarkStart w:id="11" w:name="_Toc153145902"/>
      <w:r w:rsidRPr="008947C1">
        <w:t>Conclusion</w:t>
      </w:r>
      <w:bookmarkEnd w:id="11"/>
    </w:p>
    <w:p w14:paraId="13A1413A" w14:textId="77777777" w:rsidR="00D803B1" w:rsidRDefault="00695854" w:rsidP="001B699C">
      <w:pPr>
        <w:spacing w:after="0"/>
      </w:pPr>
      <w:r w:rsidRPr="00FA138D">
        <w:t>The legal field's commitment to diversity and equality, which is built on laws, rules, and moral codes, sets a very important framework. The Equality Act 2010 and the Legal Services Act 2007 say that this system must make sure that ethical tasks are met. This makes sure that the legal system is fair and includes everyone. A lot of people, like the SRA, BSB, and CILEX Regulation, work hard to make sure that these rules are followed</w:t>
      </w:r>
      <w:r w:rsidR="001B699C">
        <w:t xml:space="preserve"> (Webb and Sherr, 2019)</w:t>
      </w:r>
      <w:r w:rsidRPr="00FA138D">
        <w:t>. By having strict rules and support networks, they make an environment that values variety. This moral code aligns with society's expectations, creating a just and courteous legal environment where people from all backgrounds can succeed.</w:t>
      </w:r>
    </w:p>
    <w:p w14:paraId="2C4FF9FB" w14:textId="77777777" w:rsidR="001B699C" w:rsidRDefault="001B699C" w:rsidP="001B699C">
      <w:pPr>
        <w:spacing w:after="0"/>
        <w:jc w:val="left"/>
      </w:pPr>
    </w:p>
    <w:p w14:paraId="1335D699" w14:textId="77777777" w:rsidR="00475486" w:rsidRDefault="00695854" w:rsidP="001B699C">
      <w:pPr>
        <w:pStyle w:val="Heading1"/>
        <w:spacing w:before="0"/>
      </w:pPr>
      <w:bookmarkStart w:id="12" w:name="_Toc153145903"/>
      <w:r>
        <w:lastRenderedPageBreak/>
        <w:t>Reference</w:t>
      </w:r>
      <w:bookmarkEnd w:id="12"/>
    </w:p>
    <w:p w14:paraId="137658D7" w14:textId="298D5B4C" w:rsidR="00743458" w:rsidRDefault="00695854" w:rsidP="001B699C">
      <w:pPr>
        <w:spacing w:after="0"/>
        <w:rPr>
          <w:lang w:val="en-US"/>
        </w:rPr>
      </w:pPr>
      <w:r>
        <w:t xml:space="preserve">Boon, A. 2017. Professionalism under the Legal Services Act 2007. </w:t>
      </w:r>
      <w:r>
        <w:rPr>
          <w:i/>
          <w:iCs/>
        </w:rPr>
        <w:t>International Journal of the Legal Profession</w:t>
      </w:r>
      <w:r>
        <w:t xml:space="preserve">, 17(3), pp.195–232. </w:t>
      </w:r>
      <w:proofErr w:type="spellStart"/>
      <w:r>
        <w:t>doi</w:t>
      </w:r>
      <w:proofErr w:type="spellEnd"/>
      <w:r>
        <w:t xml:space="preserve"> </w:t>
      </w:r>
      <w:r>
        <w:t>https://doi.org/10.1080/09695958.2011.580561.</w:t>
      </w:r>
    </w:p>
    <w:p w14:paraId="3E3AFEDB" w14:textId="77777777" w:rsidR="00743458" w:rsidRDefault="00695854" w:rsidP="001B699C">
      <w:pPr>
        <w:spacing w:after="0"/>
      </w:pPr>
      <w:r>
        <w:t xml:space="preserve">Bussat, V. and Soleymani, D. 2022. Stop-go policies of governments and employers. </w:t>
      </w:r>
      <w:r>
        <w:rPr>
          <w:i/>
          <w:iCs/>
        </w:rPr>
        <w:t>Transfer: European Review of Labour and Research</w:t>
      </w:r>
      <w:r>
        <w:t>, 21(1), pp.65–80. doi:https://doi.org/10.1177/1024258914561413.</w:t>
      </w:r>
    </w:p>
    <w:p w14:paraId="784FEDB9" w14:textId="77777777" w:rsidR="00743458" w:rsidRDefault="00695854" w:rsidP="001B699C">
      <w:pPr>
        <w:spacing w:after="0"/>
      </w:pPr>
      <w:r>
        <w:t xml:space="preserve">Fell, E. 2017. Against Discrimination: Equality Act 2010 (UK). </w:t>
      </w:r>
      <w:r>
        <w:rPr>
          <w:i/>
          <w:iCs/>
        </w:rPr>
        <w:t>Against Discrimination: Equality Act 2010 (UK)</w:t>
      </w:r>
      <w:r>
        <w:t>, [online] 19. doi:https://doi.org/10.15405/epsbs.2017.01.25.</w:t>
      </w:r>
    </w:p>
    <w:p w14:paraId="2D5FCE11" w14:textId="77777777" w:rsidR="00743458" w:rsidRDefault="00695854" w:rsidP="001B699C">
      <w:pPr>
        <w:spacing w:after="0"/>
      </w:pPr>
      <w:r>
        <w:t xml:space="preserve">Hepple, B. and Choudhury, T. 2020. </w:t>
      </w:r>
      <w:r>
        <w:rPr>
          <w:i/>
          <w:iCs/>
        </w:rPr>
        <w:t>Equality: A New Framework: Report of the Independent Review of the Enforcement of UK Anti-Discrimination Legislation</w:t>
      </w:r>
      <w:r>
        <w:t xml:space="preserve">. [online] </w:t>
      </w:r>
      <w:r>
        <w:rPr>
          <w:i/>
          <w:iCs/>
        </w:rPr>
        <w:t>Google Books</w:t>
      </w:r>
      <w:r>
        <w:t>. Hart Publishing. Available at: https://books.google.com/books?hl=en&amp;lr=&amp;id=ELOsrT33t_8C&amp;oi=fnd&amp;pg=PR1&amp;dq=.+Lawyers+are+told+how+to+follow+standards+for+equality+and+diversity+in+uk&amp;ots=KMVeySuH_t&amp;sig=FqvIm_8mP0Bo74IASXoj-adslYo [Accessed 10 Dec. 2023].</w:t>
      </w:r>
    </w:p>
    <w:p w14:paraId="4F711F64" w14:textId="77777777" w:rsidR="00743458" w:rsidRDefault="00695854" w:rsidP="001B699C">
      <w:pPr>
        <w:spacing w:after="0"/>
      </w:pPr>
      <w:r>
        <w:t xml:space="preserve">Malleson, K. 2018. Equality Law and the Protected Characteristics. </w:t>
      </w:r>
      <w:r>
        <w:rPr>
          <w:i/>
          <w:iCs/>
        </w:rPr>
        <w:t>The Modern Law Review</w:t>
      </w:r>
      <w:r>
        <w:t>, 81(4), pp.598–621. doi:https://doi.org/10.1111/1468-2230.12353.</w:t>
      </w:r>
    </w:p>
    <w:p w14:paraId="41CE2887" w14:textId="2EF42929" w:rsidR="00743458" w:rsidRDefault="00695854" w:rsidP="001B699C">
      <w:pPr>
        <w:spacing w:after="0"/>
      </w:pPr>
      <w:r>
        <w:t>Nicolson, D. 2022. Demography, discrimination,</w:t>
      </w:r>
      <w:r>
        <w:t xml:space="preserve"> and diversity: a new dawn for the British legal profession? </w:t>
      </w:r>
      <w:r>
        <w:rPr>
          <w:i/>
          <w:iCs/>
        </w:rPr>
        <w:t>International Journal of the Legal Profession</w:t>
      </w:r>
      <w:r>
        <w:t>, 12(2), pp.201–228. doi:https://doi.org/10.1080/09695950500246522.</w:t>
      </w:r>
    </w:p>
    <w:p w14:paraId="1CF59DC9" w14:textId="77777777" w:rsidR="00743458" w:rsidRDefault="00695854" w:rsidP="001B699C">
      <w:pPr>
        <w:spacing w:after="0"/>
      </w:pPr>
      <w:r>
        <w:t xml:space="preserve">Simons, L. 2020. </w:t>
      </w:r>
      <w:r>
        <w:rPr>
          <w:i/>
          <w:iCs/>
        </w:rPr>
        <w:t>How diverse is the legal profession?</w:t>
      </w:r>
      <w:r>
        <w:t xml:space="preserve"> [online] www.sra.org.uk. Available at: https://www.sra.org.uk/sra/equality-diversity/diversity-profession/diverse-legal-profession/.</w:t>
      </w:r>
    </w:p>
    <w:p w14:paraId="15B2DA39" w14:textId="77777777" w:rsidR="00743458" w:rsidRDefault="00695854" w:rsidP="001B699C">
      <w:pPr>
        <w:spacing w:after="0"/>
      </w:pPr>
      <w:r>
        <w:t xml:space="preserve">Taylor, A. 2022. </w:t>
      </w:r>
      <w:r>
        <w:rPr>
          <w:i/>
          <w:iCs/>
        </w:rPr>
        <w:t>Redirecting...</w:t>
      </w:r>
      <w:r>
        <w:t xml:space="preserve"> [online] heinonline.org. Available at: https://heinonline.org/hol-cgi-bin/get_pdf.cgi?handle=hein.journals/inrnlwnw36§ion=4 [Accessed 10 Dec. 2023].</w:t>
      </w:r>
    </w:p>
    <w:p w14:paraId="096A8B03" w14:textId="7555A7A9" w:rsidR="00743458" w:rsidRDefault="00695854" w:rsidP="001B699C">
      <w:pPr>
        <w:spacing w:after="0"/>
      </w:pPr>
      <w:r>
        <w:t xml:space="preserve">Vaughan, S. 2021. ‘Prefer not to say’: diversity and diversity reporting at the bar of England &amp; Wales. </w:t>
      </w:r>
      <w:r>
        <w:rPr>
          <w:i/>
          <w:iCs/>
        </w:rPr>
        <w:t>International Journal of the Legal Profession</w:t>
      </w:r>
      <w:r>
        <w:t xml:space="preserve">, 24(3), pp.207–226. </w:t>
      </w:r>
      <w:proofErr w:type="spellStart"/>
      <w:r>
        <w:t>doi</w:t>
      </w:r>
      <w:proofErr w:type="spellEnd"/>
      <w:r>
        <w:t xml:space="preserve"> </w:t>
      </w:r>
      <w:r>
        <w:t>https://doi.org/10.1080/09695958.2016.1181076.</w:t>
      </w:r>
    </w:p>
    <w:p w14:paraId="57639E72" w14:textId="77777777" w:rsidR="00743458" w:rsidRDefault="00695854" w:rsidP="001B699C">
      <w:pPr>
        <w:spacing w:after="0"/>
      </w:pPr>
      <w:r>
        <w:t xml:space="preserve">Webb, J. and Sherr, A. 2019. </w:t>
      </w:r>
      <w:r>
        <w:rPr>
          <w:i/>
          <w:iCs/>
        </w:rPr>
        <w:t>Setting standards: the future of legal services education and training regulation in England and Wales: the final report of the Legal Education and Training Review independent research team, June 2013</w:t>
      </w:r>
      <w:r>
        <w:t>. [online] letr.org.uk. Available at: https://irep.ntu.ac.uk/id/eprint/26418/ [Accessed 10 Dec. 2023].</w:t>
      </w:r>
    </w:p>
    <w:p w14:paraId="23C269A3" w14:textId="77777777" w:rsidR="004508EB" w:rsidRPr="004508EB" w:rsidRDefault="004508EB" w:rsidP="004508EB"/>
    <w:sectPr w:rsidR="004508EB" w:rsidRPr="004508EB" w:rsidSect="00743458">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D733B" w14:textId="77777777" w:rsidR="001D4E31" w:rsidRDefault="001D4E31">
      <w:pPr>
        <w:spacing w:after="0" w:line="240" w:lineRule="auto"/>
      </w:pPr>
      <w:r>
        <w:separator/>
      </w:r>
    </w:p>
  </w:endnote>
  <w:endnote w:type="continuationSeparator" w:id="0">
    <w:p w14:paraId="4BB10866" w14:textId="77777777" w:rsidR="001D4E31" w:rsidRDefault="001D4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2142579"/>
      <w:docPartObj>
        <w:docPartGallery w:val="Page Numbers (Bottom of Page)"/>
        <w:docPartUnique/>
      </w:docPartObj>
    </w:sdtPr>
    <w:sdtEndPr>
      <w:rPr>
        <w:noProof/>
      </w:rPr>
    </w:sdtEndPr>
    <w:sdtContent>
      <w:p w14:paraId="535B24DC" w14:textId="77777777" w:rsidR="00743458" w:rsidRDefault="006958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A1F6B1" w14:textId="77777777" w:rsidR="00743458" w:rsidRDefault="00743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FC536" w14:textId="77777777" w:rsidR="001D4E31" w:rsidRDefault="001D4E31">
      <w:pPr>
        <w:spacing w:after="0" w:line="240" w:lineRule="auto"/>
      </w:pPr>
      <w:r>
        <w:separator/>
      </w:r>
    </w:p>
  </w:footnote>
  <w:footnote w:type="continuationSeparator" w:id="0">
    <w:p w14:paraId="64A2EF85" w14:textId="77777777" w:rsidR="001D4E31" w:rsidRDefault="001D4E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37C91"/>
    <w:multiLevelType w:val="hybridMultilevel"/>
    <w:tmpl w:val="7922AAE4"/>
    <w:lvl w:ilvl="0" w:tplc="78A6E29A">
      <w:start w:val="1"/>
      <w:numFmt w:val="decimal"/>
      <w:lvlText w:val="%1."/>
      <w:lvlJc w:val="left"/>
      <w:pPr>
        <w:ind w:left="720" w:hanging="360"/>
      </w:pPr>
      <w:rPr>
        <w:rFonts w:hint="default"/>
      </w:rPr>
    </w:lvl>
    <w:lvl w:ilvl="1" w:tplc="C11E2034" w:tentative="1">
      <w:start w:val="1"/>
      <w:numFmt w:val="lowerLetter"/>
      <w:lvlText w:val="%2."/>
      <w:lvlJc w:val="left"/>
      <w:pPr>
        <w:ind w:left="1440" w:hanging="360"/>
      </w:pPr>
    </w:lvl>
    <w:lvl w:ilvl="2" w:tplc="F3349890" w:tentative="1">
      <w:start w:val="1"/>
      <w:numFmt w:val="lowerRoman"/>
      <w:lvlText w:val="%3."/>
      <w:lvlJc w:val="right"/>
      <w:pPr>
        <w:ind w:left="2160" w:hanging="180"/>
      </w:pPr>
    </w:lvl>
    <w:lvl w:ilvl="3" w:tplc="645A2AE0" w:tentative="1">
      <w:start w:val="1"/>
      <w:numFmt w:val="decimal"/>
      <w:lvlText w:val="%4."/>
      <w:lvlJc w:val="left"/>
      <w:pPr>
        <w:ind w:left="2880" w:hanging="360"/>
      </w:pPr>
    </w:lvl>
    <w:lvl w:ilvl="4" w:tplc="2DD6C900" w:tentative="1">
      <w:start w:val="1"/>
      <w:numFmt w:val="lowerLetter"/>
      <w:lvlText w:val="%5."/>
      <w:lvlJc w:val="left"/>
      <w:pPr>
        <w:ind w:left="3600" w:hanging="360"/>
      </w:pPr>
    </w:lvl>
    <w:lvl w:ilvl="5" w:tplc="A89837DC" w:tentative="1">
      <w:start w:val="1"/>
      <w:numFmt w:val="lowerRoman"/>
      <w:lvlText w:val="%6."/>
      <w:lvlJc w:val="right"/>
      <w:pPr>
        <w:ind w:left="4320" w:hanging="180"/>
      </w:pPr>
    </w:lvl>
    <w:lvl w:ilvl="6" w:tplc="6E308176" w:tentative="1">
      <w:start w:val="1"/>
      <w:numFmt w:val="decimal"/>
      <w:lvlText w:val="%7."/>
      <w:lvlJc w:val="left"/>
      <w:pPr>
        <w:ind w:left="5040" w:hanging="360"/>
      </w:pPr>
    </w:lvl>
    <w:lvl w:ilvl="7" w:tplc="ED8EED70" w:tentative="1">
      <w:start w:val="1"/>
      <w:numFmt w:val="lowerLetter"/>
      <w:lvlText w:val="%8."/>
      <w:lvlJc w:val="left"/>
      <w:pPr>
        <w:ind w:left="5760" w:hanging="360"/>
      </w:pPr>
    </w:lvl>
    <w:lvl w:ilvl="8" w:tplc="6AE8AF7A" w:tentative="1">
      <w:start w:val="1"/>
      <w:numFmt w:val="lowerRoman"/>
      <w:lvlText w:val="%9."/>
      <w:lvlJc w:val="right"/>
      <w:pPr>
        <w:ind w:left="6480" w:hanging="180"/>
      </w:pPr>
    </w:lvl>
  </w:abstractNum>
  <w:abstractNum w:abstractNumId="1" w15:restartNumberingAfterBreak="0">
    <w:nsid w:val="68D05059"/>
    <w:multiLevelType w:val="hybridMultilevel"/>
    <w:tmpl w:val="C68EBF18"/>
    <w:lvl w:ilvl="0" w:tplc="793A351A">
      <w:start w:val="1"/>
      <w:numFmt w:val="decimal"/>
      <w:lvlText w:val="%1."/>
      <w:lvlJc w:val="left"/>
      <w:pPr>
        <w:ind w:left="720" w:hanging="360"/>
      </w:pPr>
      <w:rPr>
        <w:rFonts w:hint="default"/>
      </w:rPr>
    </w:lvl>
    <w:lvl w:ilvl="1" w:tplc="B2363F26" w:tentative="1">
      <w:start w:val="1"/>
      <w:numFmt w:val="lowerLetter"/>
      <w:lvlText w:val="%2."/>
      <w:lvlJc w:val="left"/>
      <w:pPr>
        <w:ind w:left="1440" w:hanging="360"/>
      </w:pPr>
    </w:lvl>
    <w:lvl w:ilvl="2" w:tplc="E52A1204" w:tentative="1">
      <w:start w:val="1"/>
      <w:numFmt w:val="lowerRoman"/>
      <w:lvlText w:val="%3."/>
      <w:lvlJc w:val="right"/>
      <w:pPr>
        <w:ind w:left="2160" w:hanging="180"/>
      </w:pPr>
    </w:lvl>
    <w:lvl w:ilvl="3" w:tplc="A7785196" w:tentative="1">
      <w:start w:val="1"/>
      <w:numFmt w:val="decimal"/>
      <w:lvlText w:val="%4."/>
      <w:lvlJc w:val="left"/>
      <w:pPr>
        <w:ind w:left="2880" w:hanging="360"/>
      </w:pPr>
    </w:lvl>
    <w:lvl w:ilvl="4" w:tplc="614286EE" w:tentative="1">
      <w:start w:val="1"/>
      <w:numFmt w:val="lowerLetter"/>
      <w:lvlText w:val="%5."/>
      <w:lvlJc w:val="left"/>
      <w:pPr>
        <w:ind w:left="3600" w:hanging="360"/>
      </w:pPr>
    </w:lvl>
    <w:lvl w:ilvl="5" w:tplc="C3900700" w:tentative="1">
      <w:start w:val="1"/>
      <w:numFmt w:val="lowerRoman"/>
      <w:lvlText w:val="%6."/>
      <w:lvlJc w:val="right"/>
      <w:pPr>
        <w:ind w:left="4320" w:hanging="180"/>
      </w:pPr>
    </w:lvl>
    <w:lvl w:ilvl="6" w:tplc="0818CBD0" w:tentative="1">
      <w:start w:val="1"/>
      <w:numFmt w:val="decimal"/>
      <w:lvlText w:val="%7."/>
      <w:lvlJc w:val="left"/>
      <w:pPr>
        <w:ind w:left="5040" w:hanging="360"/>
      </w:pPr>
    </w:lvl>
    <w:lvl w:ilvl="7" w:tplc="955A3C64" w:tentative="1">
      <w:start w:val="1"/>
      <w:numFmt w:val="lowerLetter"/>
      <w:lvlText w:val="%8."/>
      <w:lvlJc w:val="left"/>
      <w:pPr>
        <w:ind w:left="5760" w:hanging="360"/>
      </w:pPr>
    </w:lvl>
    <w:lvl w:ilvl="8" w:tplc="4E8258BA" w:tentative="1">
      <w:start w:val="1"/>
      <w:numFmt w:val="lowerRoman"/>
      <w:lvlText w:val="%9."/>
      <w:lvlJc w:val="right"/>
      <w:pPr>
        <w:ind w:left="6480" w:hanging="180"/>
      </w:pPr>
    </w:lvl>
  </w:abstractNum>
  <w:num w:numId="1" w16cid:durableId="1050881400">
    <w:abstractNumId w:val="0"/>
  </w:num>
  <w:num w:numId="2" w16cid:durableId="184102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1t7A0NzI0NzMzNjVQ0lEKTi0uzszPAykwqgUACgjMPywAAAA="/>
  </w:docVars>
  <w:rsids>
    <w:rsidRoot w:val="006E1AEA"/>
    <w:rsid w:val="00013BE4"/>
    <w:rsid w:val="000B2D82"/>
    <w:rsid w:val="000E2818"/>
    <w:rsid w:val="00165599"/>
    <w:rsid w:val="001B699C"/>
    <w:rsid w:val="001D4E31"/>
    <w:rsid w:val="002117D6"/>
    <w:rsid w:val="00216F54"/>
    <w:rsid w:val="00297842"/>
    <w:rsid w:val="00303982"/>
    <w:rsid w:val="00401C28"/>
    <w:rsid w:val="004504CA"/>
    <w:rsid w:val="004508EB"/>
    <w:rsid w:val="00475486"/>
    <w:rsid w:val="00524635"/>
    <w:rsid w:val="00695854"/>
    <w:rsid w:val="006E1AEA"/>
    <w:rsid w:val="006E641F"/>
    <w:rsid w:val="00743458"/>
    <w:rsid w:val="00750602"/>
    <w:rsid w:val="00782E86"/>
    <w:rsid w:val="0089304B"/>
    <w:rsid w:val="008947C1"/>
    <w:rsid w:val="00914893"/>
    <w:rsid w:val="009C6AFE"/>
    <w:rsid w:val="009C705A"/>
    <w:rsid w:val="00A22932"/>
    <w:rsid w:val="00BD4A2D"/>
    <w:rsid w:val="00BF4996"/>
    <w:rsid w:val="00C1595F"/>
    <w:rsid w:val="00C67B43"/>
    <w:rsid w:val="00C83CBC"/>
    <w:rsid w:val="00CD4C88"/>
    <w:rsid w:val="00D16E24"/>
    <w:rsid w:val="00D803B1"/>
    <w:rsid w:val="00D84315"/>
    <w:rsid w:val="00DE55E1"/>
    <w:rsid w:val="00E77320"/>
    <w:rsid w:val="00EA1921"/>
    <w:rsid w:val="00ED2703"/>
    <w:rsid w:val="00F97CAB"/>
    <w:rsid w:val="00FA138D"/>
    <w:rsid w:val="00FF719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D0794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84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E1AEA"/>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6E1AEA"/>
    <w:pPr>
      <w:keepNext/>
      <w:keepLines/>
      <w:spacing w:before="40" w:after="0"/>
      <w:outlineLvl w:val="1"/>
    </w:pPr>
    <w:rPr>
      <w:rFonts w:eastAsiaTheme="majorEastAsia" w:cstheme="majorBidi"/>
      <w:b/>
      <w:color w:val="000000" w:themeColor="text1"/>
      <w:sz w:val="26"/>
      <w:szCs w:val="26"/>
    </w:rPr>
  </w:style>
  <w:style w:type="paragraph" w:styleId="Heading4">
    <w:name w:val="heading 4"/>
    <w:basedOn w:val="Normal"/>
    <w:next w:val="Normal"/>
    <w:link w:val="Heading4Char"/>
    <w:uiPriority w:val="9"/>
    <w:semiHidden/>
    <w:unhideWhenUsed/>
    <w:qFormat/>
    <w:rsid w:val="0074345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AEA"/>
    <w:rPr>
      <w:rFonts w:ascii="Times New Roman" w:eastAsiaTheme="majorEastAsia" w:hAnsi="Times New Roman" w:cstheme="majorBidi"/>
      <w:b/>
      <w:color w:val="000000" w:themeColor="text1"/>
      <w:sz w:val="28"/>
      <w:szCs w:val="32"/>
      <w:lang w:val="en-GB"/>
    </w:rPr>
  </w:style>
  <w:style w:type="paragraph" w:styleId="TOCHeading">
    <w:name w:val="TOC Heading"/>
    <w:basedOn w:val="Heading1"/>
    <w:next w:val="Normal"/>
    <w:uiPriority w:val="39"/>
    <w:unhideWhenUsed/>
    <w:qFormat/>
    <w:rsid w:val="006E1AEA"/>
    <w:pPr>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E1AEA"/>
    <w:pPr>
      <w:tabs>
        <w:tab w:val="right" w:leader="dot" w:pos="9350"/>
      </w:tabs>
      <w:spacing w:after="100"/>
    </w:pPr>
    <w:rPr>
      <w:rFonts w:cs="Times New Roman"/>
      <w:noProof/>
      <w:szCs w:val="24"/>
    </w:rPr>
  </w:style>
  <w:style w:type="character" w:styleId="Hyperlink">
    <w:name w:val="Hyperlink"/>
    <w:basedOn w:val="DefaultParagraphFont"/>
    <w:uiPriority w:val="99"/>
    <w:unhideWhenUsed/>
    <w:rsid w:val="006E1AEA"/>
    <w:rPr>
      <w:color w:val="0563C1" w:themeColor="hyperlink"/>
      <w:u w:val="single"/>
    </w:rPr>
  </w:style>
  <w:style w:type="character" w:customStyle="1" w:styleId="Heading2Char">
    <w:name w:val="Heading 2 Char"/>
    <w:basedOn w:val="DefaultParagraphFont"/>
    <w:link w:val="Heading2"/>
    <w:uiPriority w:val="9"/>
    <w:rsid w:val="006E1AEA"/>
    <w:rPr>
      <w:rFonts w:ascii="Times New Roman" w:eastAsiaTheme="majorEastAsia" w:hAnsi="Times New Roman" w:cstheme="majorBidi"/>
      <w:b/>
      <w:color w:val="000000" w:themeColor="text1"/>
      <w:sz w:val="26"/>
      <w:szCs w:val="26"/>
      <w:lang w:val="en-GB"/>
    </w:rPr>
  </w:style>
  <w:style w:type="paragraph" w:styleId="TOC2">
    <w:name w:val="toc 2"/>
    <w:basedOn w:val="Normal"/>
    <w:next w:val="Normal"/>
    <w:autoRedefine/>
    <w:uiPriority w:val="39"/>
    <w:unhideWhenUsed/>
    <w:rsid w:val="008947C1"/>
    <w:pPr>
      <w:spacing w:after="100"/>
      <w:ind w:left="240"/>
    </w:pPr>
  </w:style>
  <w:style w:type="paragraph" w:styleId="Caption">
    <w:name w:val="caption"/>
    <w:basedOn w:val="Normal"/>
    <w:next w:val="Normal"/>
    <w:uiPriority w:val="35"/>
    <w:unhideWhenUsed/>
    <w:qFormat/>
    <w:rsid w:val="00D8431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16F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6F54"/>
    <w:rPr>
      <w:rFonts w:ascii="Times New Roman" w:hAnsi="Times New Roman"/>
      <w:sz w:val="24"/>
      <w:lang w:val="en-GB"/>
    </w:rPr>
  </w:style>
  <w:style w:type="paragraph" w:styleId="Footer">
    <w:name w:val="footer"/>
    <w:basedOn w:val="Normal"/>
    <w:link w:val="FooterChar"/>
    <w:uiPriority w:val="99"/>
    <w:unhideWhenUsed/>
    <w:rsid w:val="00216F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6F54"/>
    <w:rPr>
      <w:rFonts w:ascii="Times New Roman" w:hAnsi="Times New Roman"/>
      <w:sz w:val="24"/>
      <w:lang w:val="en-GB"/>
    </w:rPr>
  </w:style>
  <w:style w:type="paragraph" w:styleId="TableofFigures">
    <w:name w:val="table of figures"/>
    <w:basedOn w:val="Normal"/>
    <w:next w:val="Normal"/>
    <w:uiPriority w:val="99"/>
    <w:unhideWhenUsed/>
    <w:rsid w:val="00BF4996"/>
    <w:pPr>
      <w:spacing w:after="0"/>
    </w:pPr>
  </w:style>
  <w:style w:type="paragraph" w:styleId="NormalWeb">
    <w:name w:val="Normal (Web)"/>
    <w:basedOn w:val="Normal"/>
    <w:uiPriority w:val="99"/>
    <w:semiHidden/>
    <w:unhideWhenUsed/>
    <w:rsid w:val="001B699C"/>
    <w:pPr>
      <w:spacing w:before="100" w:beforeAutospacing="1" w:after="100" w:afterAutospacing="1" w:line="240" w:lineRule="auto"/>
      <w:jc w:val="left"/>
    </w:pPr>
    <w:rPr>
      <w:rFonts w:eastAsia="Times New Roman" w:cs="Times New Roman"/>
      <w:kern w:val="0"/>
      <w:szCs w:val="24"/>
      <w:lang w:val="en-US" w:bidi="bn-BD"/>
      <w14:ligatures w14:val="none"/>
    </w:rPr>
  </w:style>
  <w:style w:type="character" w:customStyle="1" w:styleId="Heading4Char">
    <w:name w:val="Heading 4 Char"/>
    <w:basedOn w:val="DefaultParagraphFont"/>
    <w:link w:val="Heading4"/>
    <w:uiPriority w:val="9"/>
    <w:semiHidden/>
    <w:rsid w:val="00743458"/>
    <w:rPr>
      <w:rFonts w:asciiTheme="majorHAnsi" w:eastAsiaTheme="majorEastAsia" w:hAnsiTheme="majorHAnsi"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90C699-FE1C-4CED-8EDE-5E64DBB04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1830</Words>
  <Characters>10366</Characters>
  <Application>Microsoft Office Word</Application>
  <DocSecurity>0</DocSecurity>
  <Lines>208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2023-12-10T10:32:00Z</dcterms:created>
  <dcterms:modified xsi:type="dcterms:W3CDTF">2023-12-15T15:05:00Z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d2b1d51bb4d032145185201c66e84cb0968ec456f5e5e46187423d3b93da2906</vt:lpwstr>
  </property>
</Properties>
</file>