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7D4209" w14:textId="77777777" w:rsidR="0079630F" w:rsidRDefault="0079630F" w:rsidP="0079630F">
      <w:pPr>
        <w:spacing w:line="360" w:lineRule="auto"/>
        <w:jc w:val="center"/>
        <w:rPr>
          <w:rStyle w:val="Heading1Char"/>
          <w:b w:val="0"/>
          <w:sz w:val="32"/>
          <w:szCs w:val="32"/>
        </w:rPr>
      </w:pPr>
      <w:r w:rsidRPr="002C20AE">
        <w:rPr>
          <w:rStyle w:val="Heading1Char"/>
          <w:b w:val="0"/>
          <w:noProof/>
          <w:sz w:val="32"/>
          <w:szCs w:val="32"/>
        </w:rPr>
        <w:drawing>
          <wp:inline distT="0" distB="0" distL="0" distR="0" wp14:anchorId="15033D0E" wp14:editId="4ABA6A54">
            <wp:extent cx="3077004" cy="1200318"/>
            <wp:effectExtent l="0" t="0" r="0" b="0"/>
            <wp:docPr id="1490448713" name="Picture 149044871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48713" name="Picture 1490448713" descr="A close-up of a sign&#10;&#10;AI-generated content may be incorrect."/>
                    <pic:cNvPicPr/>
                  </pic:nvPicPr>
                  <pic:blipFill>
                    <a:blip r:embed="rId7"/>
                    <a:stretch>
                      <a:fillRect/>
                    </a:stretch>
                  </pic:blipFill>
                  <pic:spPr>
                    <a:xfrm>
                      <a:off x="0" y="0"/>
                      <a:ext cx="3077004" cy="1200318"/>
                    </a:xfrm>
                    <a:prstGeom prst="rect">
                      <a:avLst/>
                    </a:prstGeom>
                  </pic:spPr>
                </pic:pic>
              </a:graphicData>
            </a:graphic>
          </wp:inline>
        </w:drawing>
      </w:r>
    </w:p>
    <w:p w14:paraId="2A5B3A99" w14:textId="77777777" w:rsidR="0079630F" w:rsidRDefault="0079630F" w:rsidP="0079630F">
      <w:pPr>
        <w:spacing w:line="360" w:lineRule="auto"/>
        <w:jc w:val="center"/>
        <w:rPr>
          <w:rStyle w:val="Heading1Char"/>
          <w:b w:val="0"/>
          <w:sz w:val="32"/>
          <w:szCs w:val="32"/>
        </w:rPr>
      </w:pPr>
    </w:p>
    <w:p w14:paraId="5E81D4FA" w14:textId="77777777" w:rsidR="0079630F" w:rsidRPr="002C20AE" w:rsidRDefault="0079630F" w:rsidP="0079630F">
      <w:pPr>
        <w:spacing w:line="360" w:lineRule="auto"/>
        <w:ind w:left="1440" w:firstLine="720"/>
        <w:rPr>
          <w:rStyle w:val="Heading1Char"/>
          <w:b w:val="0"/>
          <w:sz w:val="32"/>
          <w:szCs w:val="32"/>
        </w:rPr>
      </w:pPr>
      <w:r w:rsidRPr="002C20AE">
        <w:rPr>
          <w:rStyle w:val="Heading1Char"/>
          <w:b w:val="0"/>
          <w:sz w:val="32"/>
          <w:szCs w:val="32"/>
        </w:rPr>
        <w:t>Student Name:</w:t>
      </w:r>
      <w:r>
        <w:rPr>
          <w:rStyle w:val="Heading1Char"/>
          <w:b w:val="0"/>
          <w:sz w:val="32"/>
          <w:szCs w:val="32"/>
        </w:rPr>
        <w:t xml:space="preserve"> Buha viraj  Manishbhai</w:t>
      </w:r>
    </w:p>
    <w:p w14:paraId="35D45316" w14:textId="77777777" w:rsidR="0079630F" w:rsidRDefault="0079630F" w:rsidP="0079630F">
      <w:pPr>
        <w:spacing w:line="360" w:lineRule="auto"/>
        <w:jc w:val="center"/>
        <w:rPr>
          <w:rStyle w:val="Heading1Char"/>
          <w:b w:val="0"/>
          <w:sz w:val="32"/>
          <w:szCs w:val="32"/>
        </w:rPr>
      </w:pPr>
    </w:p>
    <w:p w14:paraId="2D844BC9" w14:textId="77777777" w:rsidR="0079630F" w:rsidRPr="002C20AE" w:rsidRDefault="0079630F" w:rsidP="0079630F">
      <w:pPr>
        <w:spacing w:line="360" w:lineRule="auto"/>
        <w:jc w:val="center"/>
        <w:rPr>
          <w:rStyle w:val="Heading1Char"/>
          <w:b w:val="0"/>
          <w:sz w:val="32"/>
          <w:szCs w:val="32"/>
        </w:rPr>
      </w:pPr>
      <w:r w:rsidRPr="002C20AE">
        <w:rPr>
          <w:rStyle w:val="Heading1Char"/>
          <w:b w:val="0"/>
          <w:sz w:val="32"/>
          <w:szCs w:val="32"/>
        </w:rPr>
        <w:t>Student ID:</w:t>
      </w:r>
      <w:r>
        <w:rPr>
          <w:rStyle w:val="Heading1Char"/>
          <w:b w:val="0"/>
          <w:sz w:val="32"/>
          <w:szCs w:val="32"/>
        </w:rPr>
        <w:t xml:space="preserve"> 2506581</w:t>
      </w:r>
    </w:p>
    <w:p w14:paraId="475C1ADC" w14:textId="77777777" w:rsidR="0079630F" w:rsidRPr="002C20AE" w:rsidRDefault="0079630F" w:rsidP="0079630F">
      <w:pPr>
        <w:spacing w:line="360" w:lineRule="auto"/>
        <w:jc w:val="center"/>
        <w:rPr>
          <w:rStyle w:val="Heading1Char"/>
          <w:b w:val="0"/>
          <w:sz w:val="32"/>
          <w:szCs w:val="32"/>
        </w:rPr>
      </w:pPr>
    </w:p>
    <w:p w14:paraId="337F56A5" w14:textId="0C9FA39A" w:rsidR="0079630F" w:rsidRPr="002C20AE" w:rsidRDefault="0079630F" w:rsidP="0079630F">
      <w:pPr>
        <w:spacing w:line="360" w:lineRule="auto"/>
        <w:jc w:val="center"/>
        <w:rPr>
          <w:rStyle w:val="Heading1Char"/>
          <w:b w:val="0"/>
          <w:sz w:val="32"/>
          <w:szCs w:val="32"/>
        </w:rPr>
      </w:pPr>
      <w:r w:rsidRPr="002C20AE">
        <w:rPr>
          <w:rStyle w:val="Heading1Char"/>
          <w:b w:val="0"/>
          <w:sz w:val="32"/>
          <w:szCs w:val="32"/>
        </w:rPr>
        <w:t xml:space="preserve">Module Name: </w:t>
      </w:r>
      <w:r w:rsidR="005E6C71">
        <w:rPr>
          <w:rStyle w:val="Heading1Char"/>
          <w:b w:val="0"/>
          <w:sz w:val="32"/>
          <w:szCs w:val="32"/>
        </w:rPr>
        <w:t>Financial</w:t>
      </w:r>
      <w:r w:rsidRPr="002C20AE">
        <w:rPr>
          <w:rStyle w:val="Heading1Char"/>
          <w:b w:val="0"/>
          <w:sz w:val="32"/>
          <w:szCs w:val="32"/>
        </w:rPr>
        <w:t xml:space="preserve"> Management</w:t>
      </w:r>
    </w:p>
    <w:p w14:paraId="372BC0EC" w14:textId="77777777" w:rsidR="0079630F" w:rsidRDefault="0079630F" w:rsidP="0079630F">
      <w:pPr>
        <w:spacing w:line="360" w:lineRule="auto"/>
        <w:jc w:val="center"/>
        <w:rPr>
          <w:rStyle w:val="Heading1Char"/>
          <w:b w:val="0"/>
          <w:sz w:val="32"/>
          <w:szCs w:val="32"/>
        </w:rPr>
      </w:pPr>
    </w:p>
    <w:p w14:paraId="0171D983" w14:textId="6A349F2E" w:rsidR="0079630F" w:rsidRPr="002C20AE" w:rsidRDefault="0079630F" w:rsidP="0079630F">
      <w:pPr>
        <w:spacing w:line="360" w:lineRule="auto"/>
        <w:ind w:left="2160" w:firstLine="720"/>
        <w:rPr>
          <w:rStyle w:val="Heading1Char"/>
          <w:b w:val="0"/>
          <w:sz w:val="32"/>
          <w:szCs w:val="32"/>
        </w:rPr>
      </w:pPr>
      <w:r w:rsidRPr="002C20AE">
        <w:rPr>
          <w:rStyle w:val="Heading1Char"/>
          <w:b w:val="0"/>
          <w:sz w:val="32"/>
          <w:szCs w:val="32"/>
        </w:rPr>
        <w:t>Module Code: LCMB70</w:t>
      </w:r>
      <w:r w:rsidR="00602A45">
        <w:rPr>
          <w:rStyle w:val="Heading1Char"/>
          <w:b w:val="0"/>
          <w:sz w:val="32"/>
          <w:szCs w:val="32"/>
        </w:rPr>
        <w:t>02</w:t>
      </w:r>
    </w:p>
    <w:p w14:paraId="4E473A64" w14:textId="77777777" w:rsidR="005E6C71" w:rsidRDefault="005E6C71" w:rsidP="005E6C71">
      <w:pPr>
        <w:spacing w:line="360" w:lineRule="auto"/>
        <w:rPr>
          <w:rStyle w:val="Heading1Char"/>
          <w:b w:val="0"/>
          <w:sz w:val="32"/>
          <w:szCs w:val="32"/>
        </w:rPr>
      </w:pPr>
    </w:p>
    <w:p w14:paraId="5B0B48B6" w14:textId="2AA8FD71" w:rsidR="0079630F" w:rsidRPr="002C20AE" w:rsidRDefault="0079630F" w:rsidP="005E6C71">
      <w:pPr>
        <w:spacing w:line="360" w:lineRule="auto"/>
        <w:ind w:left="1440" w:firstLine="720"/>
        <w:rPr>
          <w:rStyle w:val="Heading1Char"/>
          <w:b w:val="0"/>
          <w:sz w:val="32"/>
          <w:szCs w:val="32"/>
        </w:rPr>
      </w:pPr>
      <w:r>
        <w:rPr>
          <w:rStyle w:val="Heading1Char"/>
          <w:b w:val="0"/>
          <w:sz w:val="32"/>
          <w:szCs w:val="32"/>
        </w:rPr>
        <w:t xml:space="preserve"> </w:t>
      </w:r>
      <w:r w:rsidRPr="002C20AE">
        <w:rPr>
          <w:rStyle w:val="Heading1Char"/>
          <w:b w:val="0"/>
          <w:sz w:val="32"/>
          <w:szCs w:val="32"/>
        </w:rPr>
        <w:t>Lecturer’s Name:</w:t>
      </w:r>
      <w:r w:rsidR="00602A45">
        <w:rPr>
          <w:rStyle w:val="Heading1Char"/>
          <w:b w:val="0"/>
          <w:sz w:val="32"/>
          <w:szCs w:val="32"/>
        </w:rPr>
        <w:t xml:space="preserve"> </w:t>
      </w:r>
      <w:r w:rsidR="00602A45" w:rsidRPr="00602A45">
        <w:rPr>
          <w:bCs/>
          <w:color w:val="000000" w:themeColor="text1"/>
          <w:sz w:val="32"/>
          <w:szCs w:val="32"/>
        </w:rPr>
        <w:t>Sheng</w:t>
      </w:r>
      <w:r w:rsidR="005E6C71">
        <w:rPr>
          <w:bCs/>
          <w:color w:val="000000" w:themeColor="text1"/>
          <w:sz w:val="32"/>
          <w:szCs w:val="32"/>
        </w:rPr>
        <w:t>f</w:t>
      </w:r>
      <w:r w:rsidR="00602A45" w:rsidRPr="00602A45">
        <w:rPr>
          <w:bCs/>
          <w:color w:val="000000" w:themeColor="text1"/>
          <w:sz w:val="32"/>
          <w:szCs w:val="32"/>
        </w:rPr>
        <w:t>eng</w:t>
      </w:r>
      <w:r w:rsidR="00602A45" w:rsidRPr="00602A45">
        <w:rPr>
          <w:bCs/>
          <w:color w:val="000000" w:themeColor="text1"/>
          <w:sz w:val="32"/>
          <w:szCs w:val="32"/>
        </w:rPr>
        <w:t xml:space="preserve"> Mei</w:t>
      </w:r>
      <w:r w:rsidR="00974ED5">
        <w:rPr>
          <w:bCs/>
          <w:color w:val="000000" w:themeColor="text1"/>
          <w:sz w:val="32"/>
          <w:szCs w:val="32"/>
        </w:rPr>
        <w:t xml:space="preserve"> </w:t>
      </w:r>
      <w:r w:rsidR="00974ED5">
        <w:rPr>
          <w:rStyle w:val="Heading1Char"/>
          <w:b w:val="0"/>
          <w:sz w:val="32"/>
          <w:szCs w:val="32"/>
        </w:rPr>
        <w:t>(London)</w:t>
      </w:r>
    </w:p>
    <w:p w14:paraId="794487AD" w14:textId="77777777" w:rsidR="0079630F" w:rsidRDefault="0079630F" w:rsidP="0079630F">
      <w:pPr>
        <w:spacing w:line="360" w:lineRule="auto"/>
        <w:rPr>
          <w:rStyle w:val="Heading1Char"/>
          <w:b w:val="0"/>
          <w:sz w:val="32"/>
          <w:szCs w:val="32"/>
        </w:rPr>
      </w:pPr>
    </w:p>
    <w:p w14:paraId="4D23503F" w14:textId="76D5443D" w:rsidR="00FA51B8" w:rsidRPr="001626AD" w:rsidRDefault="0079630F" w:rsidP="0079630F">
      <w:pPr>
        <w:spacing w:line="360" w:lineRule="auto"/>
        <w:ind w:left="2880"/>
        <w:rPr>
          <w:b/>
          <w:bCs/>
          <w:color w:val="000000" w:themeColor="text1"/>
          <w:sz w:val="24"/>
          <w:szCs w:val="24"/>
        </w:rPr>
      </w:pPr>
      <w:r>
        <w:rPr>
          <w:rStyle w:val="Heading1Char"/>
          <w:b w:val="0"/>
          <w:sz w:val="32"/>
          <w:szCs w:val="32"/>
        </w:rPr>
        <w:t xml:space="preserve">      </w:t>
      </w:r>
      <w:r w:rsidRPr="002C20AE">
        <w:rPr>
          <w:rStyle w:val="Heading1Char"/>
          <w:b w:val="0"/>
          <w:sz w:val="32"/>
          <w:szCs w:val="32"/>
        </w:rPr>
        <w:t xml:space="preserve">Work Count: </w:t>
      </w:r>
      <w:r w:rsidR="00EF520C">
        <w:rPr>
          <w:rStyle w:val="Heading1Char"/>
          <w:b w:val="0"/>
          <w:sz w:val="32"/>
          <w:szCs w:val="32"/>
        </w:rPr>
        <w:t>5033</w:t>
      </w:r>
      <w:r w:rsidR="00056198" w:rsidRPr="001626AD">
        <w:rPr>
          <w:color w:val="000000" w:themeColor="text1"/>
        </w:rPr>
        <w:br w:type="page"/>
      </w:r>
    </w:p>
    <w:p w14:paraId="5ECA5EFF" w14:textId="77777777" w:rsidR="00FA51B8" w:rsidRPr="001626AD" w:rsidRDefault="00056198">
      <w:pPr>
        <w:keepNext/>
        <w:keepLines/>
        <w:pBdr>
          <w:top w:val="nil"/>
          <w:left w:val="nil"/>
          <w:bottom w:val="nil"/>
          <w:right w:val="nil"/>
          <w:between w:val="nil"/>
        </w:pBdr>
        <w:spacing w:line="360" w:lineRule="auto"/>
        <w:jc w:val="center"/>
        <w:rPr>
          <w:b/>
          <w:bCs/>
          <w:color w:val="000000" w:themeColor="text1"/>
          <w:sz w:val="24"/>
          <w:szCs w:val="24"/>
        </w:rPr>
      </w:pPr>
      <w:r w:rsidRPr="001626AD">
        <w:rPr>
          <w:b/>
          <w:bCs/>
          <w:color w:val="000000" w:themeColor="text1"/>
          <w:sz w:val="24"/>
          <w:szCs w:val="24"/>
        </w:rPr>
        <w:lastRenderedPageBreak/>
        <w:t>Table of Contents</w:t>
      </w:r>
    </w:p>
    <w:sdt>
      <w:sdtPr>
        <w:rPr>
          <w:color w:val="000000" w:themeColor="text1"/>
        </w:rPr>
        <w:id w:val="1315814185"/>
        <w:docPartObj>
          <w:docPartGallery w:val="Table of Contents"/>
          <w:docPartUnique/>
        </w:docPartObj>
      </w:sdtPr>
      <w:sdtEndPr/>
      <w:sdtContent>
        <w:p w14:paraId="14AB3BE0" w14:textId="77777777" w:rsidR="0003048C" w:rsidRPr="00A15CEB" w:rsidRDefault="00056198" w:rsidP="00A15CEB">
          <w:pPr>
            <w:pStyle w:val="TOC1"/>
            <w:tabs>
              <w:tab w:val="right" w:leader="dot" w:pos="9350"/>
            </w:tabs>
            <w:spacing w:line="360" w:lineRule="auto"/>
            <w:jc w:val="both"/>
            <w:rPr>
              <w:rFonts w:asciiTheme="minorHAnsi" w:eastAsiaTheme="minorEastAsia" w:hAnsiTheme="minorHAnsi" w:cstheme="minorBidi"/>
              <w:noProof/>
              <w:sz w:val="24"/>
              <w:lang w:val="en-IN"/>
            </w:rPr>
          </w:pPr>
          <w:r w:rsidRPr="001626AD">
            <w:rPr>
              <w:color w:val="000000" w:themeColor="text1"/>
            </w:rPr>
            <w:fldChar w:fldCharType="begin"/>
          </w:r>
          <w:r w:rsidRPr="001626AD">
            <w:rPr>
              <w:color w:val="000000" w:themeColor="text1"/>
            </w:rPr>
            <w:instrText xml:space="preserve"> TOC \h \u \z \t "Heading 1,1,Heading 2,2,Heading 3,3,"</w:instrText>
          </w:r>
          <w:r w:rsidRPr="001626AD">
            <w:rPr>
              <w:color w:val="000000" w:themeColor="text1"/>
            </w:rPr>
            <w:fldChar w:fldCharType="separate"/>
          </w:r>
          <w:hyperlink w:anchor="_Toc213703054" w:history="1">
            <w:r w:rsidR="0003048C" w:rsidRPr="00A15CEB">
              <w:rPr>
                <w:rStyle w:val="Hyperlink"/>
                <w:noProof/>
                <w:sz w:val="24"/>
              </w:rPr>
              <w:t>1. Introduction</w:t>
            </w:r>
            <w:r w:rsidR="0003048C" w:rsidRPr="00A15CEB">
              <w:rPr>
                <w:noProof/>
                <w:webHidden/>
                <w:sz w:val="24"/>
              </w:rPr>
              <w:tab/>
            </w:r>
            <w:r w:rsidR="0003048C" w:rsidRPr="00A15CEB">
              <w:rPr>
                <w:noProof/>
                <w:webHidden/>
                <w:sz w:val="24"/>
              </w:rPr>
              <w:fldChar w:fldCharType="begin"/>
            </w:r>
            <w:r w:rsidR="0003048C" w:rsidRPr="00A15CEB">
              <w:rPr>
                <w:noProof/>
                <w:webHidden/>
                <w:sz w:val="24"/>
              </w:rPr>
              <w:instrText xml:space="preserve"> PAGEREF _Toc213703054 \h </w:instrText>
            </w:r>
            <w:r w:rsidR="0003048C" w:rsidRPr="00A15CEB">
              <w:rPr>
                <w:noProof/>
                <w:webHidden/>
                <w:sz w:val="24"/>
              </w:rPr>
            </w:r>
            <w:r w:rsidR="0003048C" w:rsidRPr="00A15CEB">
              <w:rPr>
                <w:noProof/>
                <w:webHidden/>
                <w:sz w:val="24"/>
              </w:rPr>
              <w:fldChar w:fldCharType="separate"/>
            </w:r>
            <w:r w:rsidR="0003048C" w:rsidRPr="00A15CEB">
              <w:rPr>
                <w:noProof/>
                <w:webHidden/>
                <w:sz w:val="24"/>
              </w:rPr>
              <w:t>9</w:t>
            </w:r>
            <w:r w:rsidR="0003048C" w:rsidRPr="00A15CEB">
              <w:rPr>
                <w:noProof/>
                <w:webHidden/>
                <w:sz w:val="24"/>
              </w:rPr>
              <w:fldChar w:fldCharType="end"/>
            </w:r>
          </w:hyperlink>
        </w:p>
        <w:p w14:paraId="0824AEAF" w14:textId="77777777" w:rsidR="0003048C" w:rsidRPr="00A15CEB" w:rsidRDefault="0003048C" w:rsidP="00A15CEB">
          <w:pPr>
            <w:pStyle w:val="TOC1"/>
            <w:tabs>
              <w:tab w:val="right" w:leader="dot" w:pos="9350"/>
            </w:tabs>
            <w:spacing w:line="360" w:lineRule="auto"/>
            <w:jc w:val="both"/>
            <w:rPr>
              <w:rFonts w:asciiTheme="minorHAnsi" w:eastAsiaTheme="minorEastAsia" w:hAnsiTheme="minorHAnsi" w:cstheme="minorBidi"/>
              <w:noProof/>
              <w:sz w:val="24"/>
              <w:lang w:val="en-IN"/>
            </w:rPr>
          </w:pPr>
          <w:hyperlink w:anchor="_Toc213703055" w:history="1">
            <w:r w:rsidRPr="00A15CEB">
              <w:rPr>
                <w:rStyle w:val="Hyperlink"/>
                <w:noProof/>
                <w:sz w:val="24"/>
              </w:rPr>
              <w:t>2. Financial Health Check</w:t>
            </w:r>
            <w:r w:rsidRPr="00A15CEB">
              <w:rPr>
                <w:noProof/>
                <w:webHidden/>
                <w:sz w:val="24"/>
              </w:rPr>
              <w:tab/>
            </w:r>
            <w:r w:rsidRPr="00A15CEB">
              <w:rPr>
                <w:noProof/>
                <w:webHidden/>
                <w:sz w:val="24"/>
              </w:rPr>
              <w:fldChar w:fldCharType="begin"/>
            </w:r>
            <w:r w:rsidRPr="00A15CEB">
              <w:rPr>
                <w:noProof/>
                <w:webHidden/>
                <w:sz w:val="24"/>
              </w:rPr>
              <w:instrText xml:space="preserve"> PAGEREF _Toc213703055 \h </w:instrText>
            </w:r>
            <w:r w:rsidRPr="00A15CEB">
              <w:rPr>
                <w:noProof/>
                <w:webHidden/>
                <w:sz w:val="24"/>
              </w:rPr>
            </w:r>
            <w:r w:rsidRPr="00A15CEB">
              <w:rPr>
                <w:noProof/>
                <w:webHidden/>
                <w:sz w:val="24"/>
              </w:rPr>
              <w:fldChar w:fldCharType="separate"/>
            </w:r>
            <w:r w:rsidRPr="00A15CEB">
              <w:rPr>
                <w:noProof/>
                <w:webHidden/>
                <w:sz w:val="24"/>
              </w:rPr>
              <w:t>9</w:t>
            </w:r>
            <w:r w:rsidRPr="00A15CEB">
              <w:rPr>
                <w:noProof/>
                <w:webHidden/>
                <w:sz w:val="24"/>
              </w:rPr>
              <w:fldChar w:fldCharType="end"/>
            </w:r>
          </w:hyperlink>
        </w:p>
        <w:p w14:paraId="024E2CCB"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56" w:history="1">
            <w:r w:rsidRPr="00A15CEB">
              <w:rPr>
                <w:rStyle w:val="Hyperlink"/>
                <w:noProof/>
                <w:sz w:val="24"/>
              </w:rPr>
              <w:t>2.1 Analysis of the Firm’s Financial Statements</w:t>
            </w:r>
            <w:r w:rsidRPr="00A15CEB">
              <w:rPr>
                <w:noProof/>
                <w:webHidden/>
                <w:sz w:val="24"/>
              </w:rPr>
              <w:tab/>
            </w:r>
            <w:r w:rsidRPr="00A15CEB">
              <w:rPr>
                <w:noProof/>
                <w:webHidden/>
                <w:sz w:val="24"/>
              </w:rPr>
              <w:fldChar w:fldCharType="begin"/>
            </w:r>
            <w:r w:rsidRPr="00A15CEB">
              <w:rPr>
                <w:noProof/>
                <w:webHidden/>
                <w:sz w:val="24"/>
              </w:rPr>
              <w:instrText xml:space="preserve"> PAGEREF _Toc213703056 \h </w:instrText>
            </w:r>
            <w:r w:rsidRPr="00A15CEB">
              <w:rPr>
                <w:noProof/>
                <w:webHidden/>
                <w:sz w:val="24"/>
              </w:rPr>
            </w:r>
            <w:r w:rsidRPr="00A15CEB">
              <w:rPr>
                <w:noProof/>
                <w:webHidden/>
                <w:sz w:val="24"/>
              </w:rPr>
              <w:fldChar w:fldCharType="separate"/>
            </w:r>
            <w:r w:rsidRPr="00A15CEB">
              <w:rPr>
                <w:noProof/>
                <w:webHidden/>
                <w:sz w:val="24"/>
              </w:rPr>
              <w:t>9</w:t>
            </w:r>
            <w:r w:rsidRPr="00A15CEB">
              <w:rPr>
                <w:noProof/>
                <w:webHidden/>
                <w:sz w:val="24"/>
              </w:rPr>
              <w:fldChar w:fldCharType="end"/>
            </w:r>
          </w:hyperlink>
        </w:p>
        <w:p w14:paraId="0C192A96"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57" w:history="1">
            <w:r w:rsidRPr="00A15CEB">
              <w:rPr>
                <w:rStyle w:val="Hyperlink"/>
                <w:noProof/>
                <w:sz w:val="24"/>
              </w:rPr>
              <w:t>2.2 Ratio Analysis</w:t>
            </w:r>
            <w:r w:rsidRPr="00A15CEB">
              <w:rPr>
                <w:noProof/>
                <w:webHidden/>
                <w:sz w:val="24"/>
              </w:rPr>
              <w:tab/>
            </w:r>
            <w:r w:rsidRPr="00A15CEB">
              <w:rPr>
                <w:noProof/>
                <w:webHidden/>
                <w:sz w:val="24"/>
              </w:rPr>
              <w:fldChar w:fldCharType="begin"/>
            </w:r>
            <w:r w:rsidRPr="00A15CEB">
              <w:rPr>
                <w:noProof/>
                <w:webHidden/>
                <w:sz w:val="24"/>
              </w:rPr>
              <w:instrText xml:space="preserve"> PAGEREF _Toc213703057 \h </w:instrText>
            </w:r>
            <w:r w:rsidRPr="00A15CEB">
              <w:rPr>
                <w:noProof/>
                <w:webHidden/>
                <w:sz w:val="24"/>
              </w:rPr>
            </w:r>
            <w:r w:rsidRPr="00A15CEB">
              <w:rPr>
                <w:noProof/>
                <w:webHidden/>
                <w:sz w:val="24"/>
              </w:rPr>
              <w:fldChar w:fldCharType="separate"/>
            </w:r>
            <w:r w:rsidRPr="00A15CEB">
              <w:rPr>
                <w:noProof/>
                <w:webHidden/>
                <w:sz w:val="24"/>
              </w:rPr>
              <w:t>9</w:t>
            </w:r>
            <w:r w:rsidRPr="00A15CEB">
              <w:rPr>
                <w:noProof/>
                <w:webHidden/>
                <w:sz w:val="24"/>
              </w:rPr>
              <w:fldChar w:fldCharType="end"/>
            </w:r>
          </w:hyperlink>
        </w:p>
        <w:p w14:paraId="3C8370DF"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58" w:history="1">
            <w:r w:rsidRPr="00A15CEB">
              <w:rPr>
                <w:rStyle w:val="Hyperlink"/>
                <w:noProof/>
                <w:sz w:val="24"/>
              </w:rPr>
              <w:t>2.3 Identification of Trends, Strengths and Threats</w:t>
            </w:r>
            <w:r w:rsidRPr="00A15CEB">
              <w:rPr>
                <w:noProof/>
                <w:webHidden/>
                <w:sz w:val="24"/>
              </w:rPr>
              <w:tab/>
            </w:r>
            <w:r w:rsidRPr="00A15CEB">
              <w:rPr>
                <w:noProof/>
                <w:webHidden/>
                <w:sz w:val="24"/>
              </w:rPr>
              <w:fldChar w:fldCharType="begin"/>
            </w:r>
            <w:r w:rsidRPr="00A15CEB">
              <w:rPr>
                <w:noProof/>
                <w:webHidden/>
                <w:sz w:val="24"/>
              </w:rPr>
              <w:instrText xml:space="preserve"> PAGEREF _Toc213703058 \h </w:instrText>
            </w:r>
            <w:r w:rsidRPr="00A15CEB">
              <w:rPr>
                <w:noProof/>
                <w:webHidden/>
                <w:sz w:val="24"/>
              </w:rPr>
            </w:r>
            <w:r w:rsidRPr="00A15CEB">
              <w:rPr>
                <w:noProof/>
                <w:webHidden/>
                <w:sz w:val="24"/>
              </w:rPr>
              <w:fldChar w:fldCharType="separate"/>
            </w:r>
            <w:r w:rsidRPr="00A15CEB">
              <w:rPr>
                <w:noProof/>
                <w:webHidden/>
                <w:sz w:val="24"/>
              </w:rPr>
              <w:t>15</w:t>
            </w:r>
            <w:r w:rsidRPr="00A15CEB">
              <w:rPr>
                <w:noProof/>
                <w:webHidden/>
                <w:sz w:val="24"/>
              </w:rPr>
              <w:fldChar w:fldCharType="end"/>
            </w:r>
          </w:hyperlink>
        </w:p>
        <w:p w14:paraId="198DE436"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59" w:history="1">
            <w:r w:rsidRPr="00A15CEB">
              <w:rPr>
                <w:rStyle w:val="Hyperlink"/>
                <w:noProof/>
                <w:sz w:val="24"/>
              </w:rPr>
              <w:t>2.4 Use of corporate failure prediction models</w:t>
            </w:r>
            <w:r w:rsidRPr="00A15CEB">
              <w:rPr>
                <w:noProof/>
                <w:webHidden/>
                <w:sz w:val="24"/>
              </w:rPr>
              <w:tab/>
            </w:r>
            <w:r w:rsidRPr="00A15CEB">
              <w:rPr>
                <w:noProof/>
                <w:webHidden/>
                <w:sz w:val="24"/>
              </w:rPr>
              <w:fldChar w:fldCharType="begin"/>
            </w:r>
            <w:r w:rsidRPr="00A15CEB">
              <w:rPr>
                <w:noProof/>
                <w:webHidden/>
                <w:sz w:val="24"/>
              </w:rPr>
              <w:instrText xml:space="preserve"> PAGEREF _Toc213703059 \h </w:instrText>
            </w:r>
            <w:r w:rsidRPr="00A15CEB">
              <w:rPr>
                <w:noProof/>
                <w:webHidden/>
                <w:sz w:val="24"/>
              </w:rPr>
            </w:r>
            <w:r w:rsidRPr="00A15CEB">
              <w:rPr>
                <w:noProof/>
                <w:webHidden/>
                <w:sz w:val="24"/>
              </w:rPr>
              <w:fldChar w:fldCharType="separate"/>
            </w:r>
            <w:r w:rsidRPr="00A15CEB">
              <w:rPr>
                <w:noProof/>
                <w:webHidden/>
                <w:sz w:val="24"/>
              </w:rPr>
              <w:t>17</w:t>
            </w:r>
            <w:r w:rsidRPr="00A15CEB">
              <w:rPr>
                <w:noProof/>
                <w:webHidden/>
                <w:sz w:val="24"/>
              </w:rPr>
              <w:fldChar w:fldCharType="end"/>
            </w:r>
          </w:hyperlink>
        </w:p>
        <w:p w14:paraId="7378A190" w14:textId="77777777" w:rsidR="0003048C" w:rsidRPr="00A15CEB" w:rsidRDefault="0003048C" w:rsidP="00A15CEB">
          <w:pPr>
            <w:pStyle w:val="TOC1"/>
            <w:tabs>
              <w:tab w:val="right" w:leader="dot" w:pos="9350"/>
            </w:tabs>
            <w:spacing w:line="360" w:lineRule="auto"/>
            <w:jc w:val="both"/>
            <w:rPr>
              <w:rFonts w:asciiTheme="minorHAnsi" w:eastAsiaTheme="minorEastAsia" w:hAnsiTheme="minorHAnsi" w:cstheme="minorBidi"/>
              <w:noProof/>
              <w:sz w:val="24"/>
              <w:lang w:val="en-IN"/>
            </w:rPr>
          </w:pPr>
          <w:hyperlink w:anchor="_Toc213703060" w:history="1">
            <w:r w:rsidRPr="00A15CEB">
              <w:rPr>
                <w:rStyle w:val="Hyperlink"/>
                <w:noProof/>
                <w:sz w:val="24"/>
              </w:rPr>
              <w:t>3. Working Capital Management Analysis</w:t>
            </w:r>
            <w:r w:rsidRPr="00A15CEB">
              <w:rPr>
                <w:noProof/>
                <w:webHidden/>
                <w:sz w:val="24"/>
              </w:rPr>
              <w:tab/>
            </w:r>
            <w:r w:rsidRPr="00A15CEB">
              <w:rPr>
                <w:noProof/>
                <w:webHidden/>
                <w:sz w:val="24"/>
              </w:rPr>
              <w:fldChar w:fldCharType="begin"/>
            </w:r>
            <w:r w:rsidRPr="00A15CEB">
              <w:rPr>
                <w:noProof/>
                <w:webHidden/>
                <w:sz w:val="24"/>
              </w:rPr>
              <w:instrText xml:space="preserve"> PAGEREF _Toc213703060 \h </w:instrText>
            </w:r>
            <w:r w:rsidRPr="00A15CEB">
              <w:rPr>
                <w:noProof/>
                <w:webHidden/>
                <w:sz w:val="24"/>
              </w:rPr>
            </w:r>
            <w:r w:rsidRPr="00A15CEB">
              <w:rPr>
                <w:noProof/>
                <w:webHidden/>
                <w:sz w:val="24"/>
              </w:rPr>
              <w:fldChar w:fldCharType="separate"/>
            </w:r>
            <w:r w:rsidRPr="00A15CEB">
              <w:rPr>
                <w:noProof/>
                <w:webHidden/>
                <w:sz w:val="24"/>
              </w:rPr>
              <w:t>17</w:t>
            </w:r>
            <w:r w:rsidRPr="00A15CEB">
              <w:rPr>
                <w:noProof/>
                <w:webHidden/>
                <w:sz w:val="24"/>
              </w:rPr>
              <w:fldChar w:fldCharType="end"/>
            </w:r>
          </w:hyperlink>
        </w:p>
        <w:p w14:paraId="75DB091F"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61" w:history="1">
            <w:r w:rsidRPr="00A15CEB">
              <w:rPr>
                <w:rStyle w:val="Hyperlink"/>
                <w:noProof/>
                <w:sz w:val="24"/>
              </w:rPr>
              <w:t>3.1 Assessment of Cash Operating Cycle</w:t>
            </w:r>
            <w:r w:rsidRPr="00A15CEB">
              <w:rPr>
                <w:noProof/>
                <w:webHidden/>
                <w:sz w:val="24"/>
              </w:rPr>
              <w:tab/>
            </w:r>
            <w:r w:rsidRPr="00A15CEB">
              <w:rPr>
                <w:noProof/>
                <w:webHidden/>
                <w:sz w:val="24"/>
              </w:rPr>
              <w:fldChar w:fldCharType="begin"/>
            </w:r>
            <w:r w:rsidRPr="00A15CEB">
              <w:rPr>
                <w:noProof/>
                <w:webHidden/>
                <w:sz w:val="24"/>
              </w:rPr>
              <w:instrText xml:space="preserve"> PAGEREF _Toc213703061 \h </w:instrText>
            </w:r>
            <w:r w:rsidRPr="00A15CEB">
              <w:rPr>
                <w:noProof/>
                <w:webHidden/>
                <w:sz w:val="24"/>
              </w:rPr>
            </w:r>
            <w:r w:rsidRPr="00A15CEB">
              <w:rPr>
                <w:noProof/>
                <w:webHidden/>
                <w:sz w:val="24"/>
              </w:rPr>
              <w:fldChar w:fldCharType="separate"/>
            </w:r>
            <w:r w:rsidRPr="00A15CEB">
              <w:rPr>
                <w:noProof/>
                <w:webHidden/>
                <w:sz w:val="24"/>
              </w:rPr>
              <w:t>17</w:t>
            </w:r>
            <w:r w:rsidRPr="00A15CEB">
              <w:rPr>
                <w:noProof/>
                <w:webHidden/>
                <w:sz w:val="24"/>
              </w:rPr>
              <w:fldChar w:fldCharType="end"/>
            </w:r>
          </w:hyperlink>
        </w:p>
        <w:p w14:paraId="6EF9D52F"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62" w:history="1">
            <w:r w:rsidRPr="00A15CEB">
              <w:rPr>
                <w:rStyle w:val="Hyperlink"/>
                <w:noProof/>
                <w:sz w:val="24"/>
              </w:rPr>
              <w:t>3.2 Recommended Strategies</w:t>
            </w:r>
            <w:r w:rsidRPr="00A15CEB">
              <w:rPr>
                <w:noProof/>
                <w:webHidden/>
                <w:sz w:val="24"/>
              </w:rPr>
              <w:tab/>
            </w:r>
            <w:r w:rsidRPr="00A15CEB">
              <w:rPr>
                <w:noProof/>
                <w:webHidden/>
                <w:sz w:val="24"/>
              </w:rPr>
              <w:fldChar w:fldCharType="begin"/>
            </w:r>
            <w:r w:rsidRPr="00A15CEB">
              <w:rPr>
                <w:noProof/>
                <w:webHidden/>
                <w:sz w:val="24"/>
              </w:rPr>
              <w:instrText xml:space="preserve"> PAGEREF _Toc213703062 \h </w:instrText>
            </w:r>
            <w:r w:rsidRPr="00A15CEB">
              <w:rPr>
                <w:noProof/>
                <w:webHidden/>
                <w:sz w:val="24"/>
              </w:rPr>
            </w:r>
            <w:r w:rsidRPr="00A15CEB">
              <w:rPr>
                <w:noProof/>
                <w:webHidden/>
                <w:sz w:val="24"/>
              </w:rPr>
              <w:fldChar w:fldCharType="separate"/>
            </w:r>
            <w:r w:rsidRPr="00A15CEB">
              <w:rPr>
                <w:noProof/>
                <w:webHidden/>
                <w:sz w:val="24"/>
              </w:rPr>
              <w:t>18</w:t>
            </w:r>
            <w:r w:rsidRPr="00A15CEB">
              <w:rPr>
                <w:noProof/>
                <w:webHidden/>
                <w:sz w:val="24"/>
              </w:rPr>
              <w:fldChar w:fldCharType="end"/>
            </w:r>
          </w:hyperlink>
        </w:p>
        <w:p w14:paraId="01744DB6"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63" w:history="1">
            <w:r w:rsidRPr="00A15CEB">
              <w:rPr>
                <w:rStyle w:val="Hyperlink"/>
                <w:noProof/>
                <w:sz w:val="24"/>
              </w:rPr>
              <w:t>3.3 Comparison of Short-Term and Long-Term Financing Options</w:t>
            </w:r>
            <w:r w:rsidRPr="00A15CEB">
              <w:rPr>
                <w:noProof/>
                <w:webHidden/>
                <w:sz w:val="24"/>
              </w:rPr>
              <w:tab/>
            </w:r>
            <w:r w:rsidRPr="00A15CEB">
              <w:rPr>
                <w:noProof/>
                <w:webHidden/>
                <w:sz w:val="24"/>
              </w:rPr>
              <w:fldChar w:fldCharType="begin"/>
            </w:r>
            <w:r w:rsidRPr="00A15CEB">
              <w:rPr>
                <w:noProof/>
                <w:webHidden/>
                <w:sz w:val="24"/>
              </w:rPr>
              <w:instrText xml:space="preserve"> PAGEREF _Toc213703063 \h </w:instrText>
            </w:r>
            <w:r w:rsidRPr="00A15CEB">
              <w:rPr>
                <w:noProof/>
                <w:webHidden/>
                <w:sz w:val="24"/>
              </w:rPr>
            </w:r>
            <w:r w:rsidRPr="00A15CEB">
              <w:rPr>
                <w:noProof/>
                <w:webHidden/>
                <w:sz w:val="24"/>
              </w:rPr>
              <w:fldChar w:fldCharType="separate"/>
            </w:r>
            <w:r w:rsidRPr="00A15CEB">
              <w:rPr>
                <w:noProof/>
                <w:webHidden/>
                <w:sz w:val="24"/>
              </w:rPr>
              <w:t>19</w:t>
            </w:r>
            <w:r w:rsidRPr="00A15CEB">
              <w:rPr>
                <w:noProof/>
                <w:webHidden/>
                <w:sz w:val="24"/>
              </w:rPr>
              <w:fldChar w:fldCharType="end"/>
            </w:r>
          </w:hyperlink>
        </w:p>
        <w:p w14:paraId="65D5E64D" w14:textId="77777777" w:rsidR="0003048C" w:rsidRPr="00A15CEB" w:rsidRDefault="0003048C" w:rsidP="00A15CEB">
          <w:pPr>
            <w:pStyle w:val="TOC1"/>
            <w:tabs>
              <w:tab w:val="right" w:leader="dot" w:pos="9350"/>
            </w:tabs>
            <w:spacing w:line="360" w:lineRule="auto"/>
            <w:jc w:val="both"/>
            <w:rPr>
              <w:rFonts w:asciiTheme="minorHAnsi" w:eastAsiaTheme="minorEastAsia" w:hAnsiTheme="minorHAnsi" w:cstheme="minorBidi"/>
              <w:noProof/>
              <w:sz w:val="24"/>
              <w:lang w:val="en-IN"/>
            </w:rPr>
          </w:pPr>
          <w:hyperlink w:anchor="_Toc213703064" w:history="1">
            <w:r w:rsidRPr="00A15CEB">
              <w:rPr>
                <w:rStyle w:val="Hyperlink"/>
                <w:noProof/>
                <w:sz w:val="24"/>
              </w:rPr>
              <w:t>4. Strategic Financial Restructuring Plan</w:t>
            </w:r>
            <w:r w:rsidRPr="00A15CEB">
              <w:rPr>
                <w:noProof/>
                <w:webHidden/>
                <w:sz w:val="24"/>
              </w:rPr>
              <w:tab/>
            </w:r>
            <w:r w:rsidRPr="00A15CEB">
              <w:rPr>
                <w:noProof/>
                <w:webHidden/>
                <w:sz w:val="24"/>
              </w:rPr>
              <w:fldChar w:fldCharType="begin"/>
            </w:r>
            <w:r w:rsidRPr="00A15CEB">
              <w:rPr>
                <w:noProof/>
                <w:webHidden/>
                <w:sz w:val="24"/>
              </w:rPr>
              <w:instrText xml:space="preserve"> PAGEREF _Toc213703064 \h </w:instrText>
            </w:r>
            <w:r w:rsidRPr="00A15CEB">
              <w:rPr>
                <w:noProof/>
                <w:webHidden/>
                <w:sz w:val="24"/>
              </w:rPr>
            </w:r>
            <w:r w:rsidRPr="00A15CEB">
              <w:rPr>
                <w:noProof/>
                <w:webHidden/>
                <w:sz w:val="24"/>
              </w:rPr>
              <w:fldChar w:fldCharType="separate"/>
            </w:r>
            <w:r w:rsidRPr="00A15CEB">
              <w:rPr>
                <w:noProof/>
                <w:webHidden/>
                <w:sz w:val="24"/>
              </w:rPr>
              <w:t>20</w:t>
            </w:r>
            <w:r w:rsidRPr="00A15CEB">
              <w:rPr>
                <w:noProof/>
                <w:webHidden/>
                <w:sz w:val="24"/>
              </w:rPr>
              <w:fldChar w:fldCharType="end"/>
            </w:r>
          </w:hyperlink>
        </w:p>
        <w:p w14:paraId="59F1181A"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65" w:history="1">
            <w:r w:rsidRPr="00A15CEB">
              <w:rPr>
                <w:rStyle w:val="Hyperlink"/>
                <w:noProof/>
                <w:sz w:val="24"/>
              </w:rPr>
              <w:t>4.1 Recommended Options for Financial Restructuring</w:t>
            </w:r>
            <w:r w:rsidRPr="00A15CEB">
              <w:rPr>
                <w:noProof/>
                <w:webHidden/>
                <w:sz w:val="24"/>
              </w:rPr>
              <w:tab/>
            </w:r>
            <w:r w:rsidRPr="00A15CEB">
              <w:rPr>
                <w:noProof/>
                <w:webHidden/>
                <w:sz w:val="24"/>
              </w:rPr>
              <w:fldChar w:fldCharType="begin"/>
            </w:r>
            <w:r w:rsidRPr="00A15CEB">
              <w:rPr>
                <w:noProof/>
                <w:webHidden/>
                <w:sz w:val="24"/>
              </w:rPr>
              <w:instrText xml:space="preserve"> PAGEREF _Toc213703065 \h </w:instrText>
            </w:r>
            <w:r w:rsidRPr="00A15CEB">
              <w:rPr>
                <w:noProof/>
                <w:webHidden/>
                <w:sz w:val="24"/>
              </w:rPr>
            </w:r>
            <w:r w:rsidRPr="00A15CEB">
              <w:rPr>
                <w:noProof/>
                <w:webHidden/>
                <w:sz w:val="24"/>
              </w:rPr>
              <w:fldChar w:fldCharType="separate"/>
            </w:r>
            <w:r w:rsidRPr="00A15CEB">
              <w:rPr>
                <w:noProof/>
                <w:webHidden/>
                <w:sz w:val="24"/>
              </w:rPr>
              <w:t>20</w:t>
            </w:r>
            <w:r w:rsidRPr="00A15CEB">
              <w:rPr>
                <w:noProof/>
                <w:webHidden/>
                <w:sz w:val="24"/>
              </w:rPr>
              <w:fldChar w:fldCharType="end"/>
            </w:r>
          </w:hyperlink>
        </w:p>
        <w:p w14:paraId="1136739E"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66" w:history="1">
            <w:r w:rsidRPr="00A15CEB">
              <w:rPr>
                <w:rStyle w:val="Hyperlink"/>
                <w:noProof/>
                <w:sz w:val="24"/>
              </w:rPr>
              <w:t>4.2 Impact on Debt Structure, Shareholder Value and Operational Flexibility</w:t>
            </w:r>
            <w:r w:rsidRPr="00A15CEB">
              <w:rPr>
                <w:noProof/>
                <w:webHidden/>
                <w:sz w:val="24"/>
              </w:rPr>
              <w:tab/>
            </w:r>
            <w:r w:rsidRPr="00A15CEB">
              <w:rPr>
                <w:noProof/>
                <w:webHidden/>
                <w:sz w:val="24"/>
              </w:rPr>
              <w:fldChar w:fldCharType="begin"/>
            </w:r>
            <w:r w:rsidRPr="00A15CEB">
              <w:rPr>
                <w:noProof/>
                <w:webHidden/>
                <w:sz w:val="24"/>
              </w:rPr>
              <w:instrText xml:space="preserve"> PAGEREF _Toc213703066 \h </w:instrText>
            </w:r>
            <w:r w:rsidRPr="00A15CEB">
              <w:rPr>
                <w:noProof/>
                <w:webHidden/>
                <w:sz w:val="24"/>
              </w:rPr>
            </w:r>
            <w:r w:rsidRPr="00A15CEB">
              <w:rPr>
                <w:noProof/>
                <w:webHidden/>
                <w:sz w:val="24"/>
              </w:rPr>
              <w:fldChar w:fldCharType="separate"/>
            </w:r>
            <w:r w:rsidRPr="00A15CEB">
              <w:rPr>
                <w:noProof/>
                <w:webHidden/>
                <w:sz w:val="24"/>
              </w:rPr>
              <w:t>22</w:t>
            </w:r>
            <w:r w:rsidRPr="00A15CEB">
              <w:rPr>
                <w:noProof/>
                <w:webHidden/>
                <w:sz w:val="24"/>
              </w:rPr>
              <w:fldChar w:fldCharType="end"/>
            </w:r>
          </w:hyperlink>
        </w:p>
        <w:p w14:paraId="70FE2387"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67" w:history="1">
            <w:r w:rsidRPr="00A15CEB">
              <w:rPr>
                <w:rStyle w:val="Hyperlink"/>
                <w:noProof/>
                <w:sz w:val="24"/>
              </w:rPr>
              <w:t>4.3 International and Ethical Considerations</w:t>
            </w:r>
            <w:r w:rsidRPr="00A15CEB">
              <w:rPr>
                <w:noProof/>
                <w:webHidden/>
                <w:sz w:val="24"/>
              </w:rPr>
              <w:tab/>
            </w:r>
            <w:r w:rsidRPr="00A15CEB">
              <w:rPr>
                <w:noProof/>
                <w:webHidden/>
                <w:sz w:val="24"/>
              </w:rPr>
              <w:fldChar w:fldCharType="begin"/>
            </w:r>
            <w:r w:rsidRPr="00A15CEB">
              <w:rPr>
                <w:noProof/>
                <w:webHidden/>
                <w:sz w:val="24"/>
              </w:rPr>
              <w:instrText xml:space="preserve"> PAGEREF _Toc213703067 \h </w:instrText>
            </w:r>
            <w:r w:rsidRPr="00A15CEB">
              <w:rPr>
                <w:noProof/>
                <w:webHidden/>
                <w:sz w:val="24"/>
              </w:rPr>
            </w:r>
            <w:r w:rsidRPr="00A15CEB">
              <w:rPr>
                <w:noProof/>
                <w:webHidden/>
                <w:sz w:val="24"/>
              </w:rPr>
              <w:fldChar w:fldCharType="separate"/>
            </w:r>
            <w:r w:rsidRPr="00A15CEB">
              <w:rPr>
                <w:noProof/>
                <w:webHidden/>
                <w:sz w:val="24"/>
              </w:rPr>
              <w:t>24</w:t>
            </w:r>
            <w:r w:rsidRPr="00A15CEB">
              <w:rPr>
                <w:noProof/>
                <w:webHidden/>
                <w:sz w:val="24"/>
              </w:rPr>
              <w:fldChar w:fldCharType="end"/>
            </w:r>
          </w:hyperlink>
        </w:p>
        <w:p w14:paraId="60A5D58C" w14:textId="77777777" w:rsidR="0003048C" w:rsidRPr="00A15CEB" w:rsidRDefault="0003048C" w:rsidP="00A15CEB">
          <w:pPr>
            <w:pStyle w:val="TOC1"/>
            <w:tabs>
              <w:tab w:val="right" w:leader="dot" w:pos="9350"/>
            </w:tabs>
            <w:spacing w:line="360" w:lineRule="auto"/>
            <w:jc w:val="both"/>
            <w:rPr>
              <w:rFonts w:asciiTheme="minorHAnsi" w:eastAsiaTheme="minorEastAsia" w:hAnsiTheme="minorHAnsi" w:cstheme="minorBidi"/>
              <w:noProof/>
              <w:sz w:val="24"/>
              <w:lang w:val="en-IN"/>
            </w:rPr>
          </w:pPr>
          <w:hyperlink w:anchor="_Toc213703068" w:history="1">
            <w:r w:rsidRPr="00A15CEB">
              <w:rPr>
                <w:rStyle w:val="Hyperlink"/>
                <w:noProof/>
                <w:sz w:val="24"/>
              </w:rPr>
              <w:t>5. Investment Appraisal and Capital Budgeting</w:t>
            </w:r>
            <w:r w:rsidRPr="00A15CEB">
              <w:rPr>
                <w:noProof/>
                <w:webHidden/>
                <w:sz w:val="24"/>
              </w:rPr>
              <w:tab/>
            </w:r>
            <w:r w:rsidRPr="00A15CEB">
              <w:rPr>
                <w:noProof/>
                <w:webHidden/>
                <w:sz w:val="24"/>
              </w:rPr>
              <w:fldChar w:fldCharType="begin"/>
            </w:r>
            <w:r w:rsidRPr="00A15CEB">
              <w:rPr>
                <w:noProof/>
                <w:webHidden/>
                <w:sz w:val="24"/>
              </w:rPr>
              <w:instrText xml:space="preserve"> PAGEREF _Toc213703068 \h </w:instrText>
            </w:r>
            <w:r w:rsidRPr="00A15CEB">
              <w:rPr>
                <w:noProof/>
                <w:webHidden/>
                <w:sz w:val="24"/>
              </w:rPr>
            </w:r>
            <w:r w:rsidRPr="00A15CEB">
              <w:rPr>
                <w:noProof/>
                <w:webHidden/>
                <w:sz w:val="24"/>
              </w:rPr>
              <w:fldChar w:fldCharType="separate"/>
            </w:r>
            <w:r w:rsidRPr="00A15CEB">
              <w:rPr>
                <w:noProof/>
                <w:webHidden/>
                <w:sz w:val="24"/>
              </w:rPr>
              <w:t>25</w:t>
            </w:r>
            <w:r w:rsidRPr="00A15CEB">
              <w:rPr>
                <w:noProof/>
                <w:webHidden/>
                <w:sz w:val="24"/>
              </w:rPr>
              <w:fldChar w:fldCharType="end"/>
            </w:r>
          </w:hyperlink>
        </w:p>
        <w:p w14:paraId="54FE3E17"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69" w:history="1">
            <w:r w:rsidRPr="00A15CEB">
              <w:rPr>
                <w:rStyle w:val="Hyperlink"/>
                <w:noProof/>
                <w:sz w:val="24"/>
              </w:rPr>
              <w:t>5.1 Evaluation of Three Proposed Investment Projects</w:t>
            </w:r>
            <w:r w:rsidRPr="00A15CEB">
              <w:rPr>
                <w:noProof/>
                <w:webHidden/>
                <w:sz w:val="24"/>
              </w:rPr>
              <w:tab/>
            </w:r>
            <w:r w:rsidRPr="00A15CEB">
              <w:rPr>
                <w:noProof/>
                <w:webHidden/>
                <w:sz w:val="24"/>
              </w:rPr>
              <w:fldChar w:fldCharType="begin"/>
            </w:r>
            <w:r w:rsidRPr="00A15CEB">
              <w:rPr>
                <w:noProof/>
                <w:webHidden/>
                <w:sz w:val="24"/>
              </w:rPr>
              <w:instrText xml:space="preserve"> PAGEREF _Toc213703069 \h </w:instrText>
            </w:r>
            <w:r w:rsidRPr="00A15CEB">
              <w:rPr>
                <w:noProof/>
                <w:webHidden/>
                <w:sz w:val="24"/>
              </w:rPr>
            </w:r>
            <w:r w:rsidRPr="00A15CEB">
              <w:rPr>
                <w:noProof/>
                <w:webHidden/>
                <w:sz w:val="24"/>
              </w:rPr>
              <w:fldChar w:fldCharType="separate"/>
            </w:r>
            <w:r w:rsidRPr="00A15CEB">
              <w:rPr>
                <w:noProof/>
                <w:webHidden/>
                <w:sz w:val="24"/>
              </w:rPr>
              <w:t>25</w:t>
            </w:r>
            <w:r w:rsidRPr="00A15CEB">
              <w:rPr>
                <w:noProof/>
                <w:webHidden/>
                <w:sz w:val="24"/>
              </w:rPr>
              <w:fldChar w:fldCharType="end"/>
            </w:r>
          </w:hyperlink>
        </w:p>
        <w:p w14:paraId="38A0D737"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70" w:history="1">
            <w:r w:rsidRPr="00A15CEB">
              <w:rPr>
                <w:rStyle w:val="Hyperlink"/>
                <w:noProof/>
                <w:sz w:val="24"/>
              </w:rPr>
              <w:t>5.2 Final Investment Recommendation and Justification</w:t>
            </w:r>
            <w:r w:rsidRPr="00A15CEB">
              <w:rPr>
                <w:noProof/>
                <w:webHidden/>
                <w:sz w:val="24"/>
              </w:rPr>
              <w:tab/>
            </w:r>
            <w:r w:rsidRPr="00A15CEB">
              <w:rPr>
                <w:noProof/>
                <w:webHidden/>
                <w:sz w:val="24"/>
              </w:rPr>
              <w:fldChar w:fldCharType="begin"/>
            </w:r>
            <w:r w:rsidRPr="00A15CEB">
              <w:rPr>
                <w:noProof/>
                <w:webHidden/>
                <w:sz w:val="24"/>
              </w:rPr>
              <w:instrText xml:space="preserve"> PAGEREF _Toc213703070 \h </w:instrText>
            </w:r>
            <w:r w:rsidRPr="00A15CEB">
              <w:rPr>
                <w:noProof/>
                <w:webHidden/>
                <w:sz w:val="24"/>
              </w:rPr>
            </w:r>
            <w:r w:rsidRPr="00A15CEB">
              <w:rPr>
                <w:noProof/>
                <w:webHidden/>
                <w:sz w:val="24"/>
              </w:rPr>
              <w:fldChar w:fldCharType="separate"/>
            </w:r>
            <w:r w:rsidRPr="00A15CEB">
              <w:rPr>
                <w:noProof/>
                <w:webHidden/>
                <w:sz w:val="24"/>
              </w:rPr>
              <w:t>31</w:t>
            </w:r>
            <w:r w:rsidRPr="00A15CEB">
              <w:rPr>
                <w:noProof/>
                <w:webHidden/>
                <w:sz w:val="24"/>
              </w:rPr>
              <w:fldChar w:fldCharType="end"/>
            </w:r>
          </w:hyperlink>
        </w:p>
        <w:p w14:paraId="0D6D312D" w14:textId="77777777" w:rsidR="0003048C" w:rsidRPr="00A15CEB" w:rsidRDefault="0003048C" w:rsidP="00A15CEB">
          <w:pPr>
            <w:pStyle w:val="TOC1"/>
            <w:tabs>
              <w:tab w:val="right" w:leader="dot" w:pos="9350"/>
            </w:tabs>
            <w:spacing w:line="360" w:lineRule="auto"/>
            <w:jc w:val="both"/>
            <w:rPr>
              <w:rFonts w:asciiTheme="minorHAnsi" w:eastAsiaTheme="minorEastAsia" w:hAnsiTheme="minorHAnsi" w:cstheme="minorBidi"/>
              <w:noProof/>
              <w:sz w:val="24"/>
              <w:lang w:val="en-IN"/>
            </w:rPr>
          </w:pPr>
          <w:hyperlink w:anchor="_Toc213703071" w:history="1">
            <w:r w:rsidRPr="00A15CEB">
              <w:rPr>
                <w:rStyle w:val="Hyperlink"/>
                <w:noProof/>
                <w:sz w:val="24"/>
              </w:rPr>
              <w:t>Conclusion</w:t>
            </w:r>
            <w:r w:rsidRPr="00A15CEB">
              <w:rPr>
                <w:noProof/>
                <w:webHidden/>
                <w:sz w:val="24"/>
              </w:rPr>
              <w:tab/>
            </w:r>
            <w:r w:rsidRPr="00A15CEB">
              <w:rPr>
                <w:noProof/>
                <w:webHidden/>
                <w:sz w:val="24"/>
              </w:rPr>
              <w:fldChar w:fldCharType="begin"/>
            </w:r>
            <w:r w:rsidRPr="00A15CEB">
              <w:rPr>
                <w:noProof/>
                <w:webHidden/>
                <w:sz w:val="24"/>
              </w:rPr>
              <w:instrText xml:space="preserve"> PAGEREF _Toc213703071 \h </w:instrText>
            </w:r>
            <w:r w:rsidRPr="00A15CEB">
              <w:rPr>
                <w:noProof/>
                <w:webHidden/>
                <w:sz w:val="24"/>
              </w:rPr>
            </w:r>
            <w:r w:rsidRPr="00A15CEB">
              <w:rPr>
                <w:noProof/>
                <w:webHidden/>
                <w:sz w:val="24"/>
              </w:rPr>
              <w:fldChar w:fldCharType="separate"/>
            </w:r>
            <w:r w:rsidRPr="00A15CEB">
              <w:rPr>
                <w:noProof/>
                <w:webHidden/>
                <w:sz w:val="24"/>
              </w:rPr>
              <w:t>32</w:t>
            </w:r>
            <w:r w:rsidRPr="00A15CEB">
              <w:rPr>
                <w:noProof/>
                <w:webHidden/>
                <w:sz w:val="24"/>
              </w:rPr>
              <w:fldChar w:fldCharType="end"/>
            </w:r>
          </w:hyperlink>
        </w:p>
        <w:p w14:paraId="310436CF" w14:textId="77777777" w:rsidR="0003048C" w:rsidRPr="00A15CEB" w:rsidRDefault="0003048C" w:rsidP="00A15CEB">
          <w:pPr>
            <w:pStyle w:val="TOC1"/>
            <w:tabs>
              <w:tab w:val="right" w:leader="dot" w:pos="9350"/>
            </w:tabs>
            <w:spacing w:line="360" w:lineRule="auto"/>
            <w:jc w:val="both"/>
            <w:rPr>
              <w:rFonts w:asciiTheme="minorHAnsi" w:eastAsiaTheme="minorEastAsia" w:hAnsiTheme="minorHAnsi" w:cstheme="minorBidi"/>
              <w:noProof/>
              <w:sz w:val="24"/>
              <w:lang w:val="en-IN"/>
            </w:rPr>
          </w:pPr>
          <w:hyperlink w:anchor="_Toc213703072" w:history="1">
            <w:r w:rsidRPr="00A15CEB">
              <w:rPr>
                <w:rStyle w:val="Hyperlink"/>
                <w:noProof/>
                <w:sz w:val="24"/>
              </w:rPr>
              <w:t>References</w:t>
            </w:r>
            <w:r w:rsidRPr="00A15CEB">
              <w:rPr>
                <w:noProof/>
                <w:webHidden/>
                <w:sz w:val="24"/>
              </w:rPr>
              <w:tab/>
            </w:r>
            <w:r w:rsidRPr="00A15CEB">
              <w:rPr>
                <w:noProof/>
                <w:webHidden/>
                <w:sz w:val="24"/>
              </w:rPr>
              <w:fldChar w:fldCharType="begin"/>
            </w:r>
            <w:r w:rsidRPr="00A15CEB">
              <w:rPr>
                <w:noProof/>
                <w:webHidden/>
                <w:sz w:val="24"/>
              </w:rPr>
              <w:instrText xml:space="preserve"> PAGEREF _Toc213703072 \h </w:instrText>
            </w:r>
            <w:r w:rsidRPr="00A15CEB">
              <w:rPr>
                <w:noProof/>
                <w:webHidden/>
                <w:sz w:val="24"/>
              </w:rPr>
            </w:r>
            <w:r w:rsidRPr="00A15CEB">
              <w:rPr>
                <w:noProof/>
                <w:webHidden/>
                <w:sz w:val="24"/>
              </w:rPr>
              <w:fldChar w:fldCharType="separate"/>
            </w:r>
            <w:r w:rsidRPr="00A15CEB">
              <w:rPr>
                <w:noProof/>
                <w:webHidden/>
                <w:sz w:val="24"/>
              </w:rPr>
              <w:t>33</w:t>
            </w:r>
            <w:r w:rsidRPr="00A15CEB">
              <w:rPr>
                <w:noProof/>
                <w:webHidden/>
                <w:sz w:val="24"/>
              </w:rPr>
              <w:fldChar w:fldCharType="end"/>
            </w:r>
          </w:hyperlink>
        </w:p>
        <w:p w14:paraId="09B7642A" w14:textId="77777777" w:rsidR="0003048C" w:rsidRPr="00A15CEB" w:rsidRDefault="0003048C" w:rsidP="00A15CEB">
          <w:pPr>
            <w:pStyle w:val="TOC1"/>
            <w:tabs>
              <w:tab w:val="right" w:leader="dot" w:pos="9350"/>
            </w:tabs>
            <w:spacing w:line="360" w:lineRule="auto"/>
            <w:jc w:val="both"/>
            <w:rPr>
              <w:rFonts w:asciiTheme="minorHAnsi" w:eastAsiaTheme="minorEastAsia" w:hAnsiTheme="minorHAnsi" w:cstheme="minorBidi"/>
              <w:noProof/>
              <w:sz w:val="24"/>
              <w:lang w:val="en-IN"/>
            </w:rPr>
          </w:pPr>
          <w:hyperlink w:anchor="_Toc213703073" w:history="1">
            <w:r w:rsidRPr="00A15CEB">
              <w:rPr>
                <w:rStyle w:val="Hyperlink"/>
                <w:noProof/>
                <w:sz w:val="24"/>
              </w:rPr>
              <w:t>Appendices</w:t>
            </w:r>
            <w:r w:rsidRPr="00A15CEB">
              <w:rPr>
                <w:noProof/>
                <w:webHidden/>
                <w:sz w:val="24"/>
              </w:rPr>
              <w:tab/>
            </w:r>
            <w:r w:rsidRPr="00A15CEB">
              <w:rPr>
                <w:noProof/>
                <w:webHidden/>
                <w:sz w:val="24"/>
              </w:rPr>
              <w:fldChar w:fldCharType="begin"/>
            </w:r>
            <w:r w:rsidRPr="00A15CEB">
              <w:rPr>
                <w:noProof/>
                <w:webHidden/>
                <w:sz w:val="24"/>
              </w:rPr>
              <w:instrText xml:space="preserve"> PAGEREF _Toc213703073 \h </w:instrText>
            </w:r>
            <w:r w:rsidRPr="00A15CEB">
              <w:rPr>
                <w:noProof/>
                <w:webHidden/>
                <w:sz w:val="24"/>
              </w:rPr>
            </w:r>
            <w:r w:rsidRPr="00A15CEB">
              <w:rPr>
                <w:noProof/>
                <w:webHidden/>
                <w:sz w:val="24"/>
              </w:rPr>
              <w:fldChar w:fldCharType="separate"/>
            </w:r>
            <w:r w:rsidRPr="00A15CEB">
              <w:rPr>
                <w:noProof/>
                <w:webHidden/>
                <w:sz w:val="24"/>
              </w:rPr>
              <w:t>38</w:t>
            </w:r>
            <w:r w:rsidRPr="00A15CEB">
              <w:rPr>
                <w:noProof/>
                <w:webHidden/>
                <w:sz w:val="24"/>
              </w:rPr>
              <w:fldChar w:fldCharType="end"/>
            </w:r>
          </w:hyperlink>
        </w:p>
        <w:p w14:paraId="5B8A653D" w14:textId="77777777" w:rsidR="0003048C" w:rsidRPr="00A15CEB" w:rsidRDefault="0003048C" w:rsidP="00A15CEB">
          <w:pPr>
            <w:pStyle w:val="TOC2"/>
            <w:tabs>
              <w:tab w:val="right" w:leader="dot" w:pos="9350"/>
            </w:tabs>
            <w:spacing w:line="360" w:lineRule="auto"/>
            <w:jc w:val="both"/>
            <w:rPr>
              <w:rFonts w:asciiTheme="minorHAnsi" w:eastAsiaTheme="minorEastAsia" w:hAnsiTheme="minorHAnsi" w:cstheme="minorBidi"/>
              <w:noProof/>
              <w:sz w:val="24"/>
              <w:lang w:val="en-IN"/>
            </w:rPr>
          </w:pPr>
          <w:hyperlink w:anchor="_Toc213703074" w:history="1">
            <w:r w:rsidRPr="00A15CEB">
              <w:rPr>
                <w:rStyle w:val="Hyperlink"/>
                <w:noProof/>
                <w:sz w:val="24"/>
              </w:rPr>
              <w:t>Appendix 1: Ratio analysis</w:t>
            </w:r>
            <w:r w:rsidRPr="00A15CEB">
              <w:rPr>
                <w:noProof/>
                <w:webHidden/>
                <w:sz w:val="24"/>
              </w:rPr>
              <w:tab/>
            </w:r>
            <w:r w:rsidRPr="00A15CEB">
              <w:rPr>
                <w:noProof/>
                <w:webHidden/>
                <w:sz w:val="24"/>
              </w:rPr>
              <w:fldChar w:fldCharType="begin"/>
            </w:r>
            <w:r w:rsidRPr="00A15CEB">
              <w:rPr>
                <w:noProof/>
                <w:webHidden/>
                <w:sz w:val="24"/>
              </w:rPr>
              <w:instrText xml:space="preserve"> PAGEREF _Toc213703074 \h </w:instrText>
            </w:r>
            <w:r w:rsidRPr="00A15CEB">
              <w:rPr>
                <w:noProof/>
                <w:webHidden/>
                <w:sz w:val="24"/>
              </w:rPr>
            </w:r>
            <w:r w:rsidRPr="00A15CEB">
              <w:rPr>
                <w:noProof/>
                <w:webHidden/>
                <w:sz w:val="24"/>
              </w:rPr>
              <w:fldChar w:fldCharType="separate"/>
            </w:r>
            <w:r w:rsidRPr="00A15CEB">
              <w:rPr>
                <w:noProof/>
                <w:webHidden/>
                <w:sz w:val="24"/>
              </w:rPr>
              <w:t>38</w:t>
            </w:r>
            <w:r w:rsidRPr="00A15CEB">
              <w:rPr>
                <w:noProof/>
                <w:webHidden/>
                <w:sz w:val="24"/>
              </w:rPr>
              <w:fldChar w:fldCharType="end"/>
            </w:r>
          </w:hyperlink>
        </w:p>
        <w:p w14:paraId="675AC806" w14:textId="77777777" w:rsidR="0003048C" w:rsidRDefault="0003048C" w:rsidP="00A15CEB">
          <w:pPr>
            <w:pStyle w:val="TOC2"/>
            <w:tabs>
              <w:tab w:val="right" w:leader="dot" w:pos="9350"/>
            </w:tabs>
            <w:spacing w:line="360" w:lineRule="auto"/>
            <w:jc w:val="both"/>
            <w:rPr>
              <w:rFonts w:asciiTheme="minorHAnsi" w:eastAsiaTheme="minorEastAsia" w:hAnsiTheme="minorHAnsi" w:cstheme="minorBidi"/>
              <w:noProof/>
              <w:lang w:val="en-IN"/>
            </w:rPr>
          </w:pPr>
          <w:hyperlink w:anchor="_Toc213703087" w:history="1">
            <w:r w:rsidRPr="00A15CEB">
              <w:rPr>
                <w:rStyle w:val="Hyperlink"/>
                <w:noProof/>
                <w:sz w:val="24"/>
              </w:rPr>
              <w:t>Appendix 2: Investment analysis</w:t>
            </w:r>
            <w:r w:rsidRPr="00A15CEB">
              <w:rPr>
                <w:noProof/>
                <w:webHidden/>
                <w:sz w:val="24"/>
              </w:rPr>
              <w:tab/>
            </w:r>
            <w:r w:rsidRPr="00A15CEB">
              <w:rPr>
                <w:noProof/>
                <w:webHidden/>
                <w:sz w:val="24"/>
              </w:rPr>
              <w:fldChar w:fldCharType="begin"/>
            </w:r>
            <w:r w:rsidRPr="00A15CEB">
              <w:rPr>
                <w:noProof/>
                <w:webHidden/>
                <w:sz w:val="24"/>
              </w:rPr>
              <w:instrText xml:space="preserve"> PAGEREF _Toc213703087 \h </w:instrText>
            </w:r>
            <w:r w:rsidRPr="00A15CEB">
              <w:rPr>
                <w:noProof/>
                <w:webHidden/>
                <w:sz w:val="24"/>
              </w:rPr>
            </w:r>
            <w:r w:rsidRPr="00A15CEB">
              <w:rPr>
                <w:noProof/>
                <w:webHidden/>
                <w:sz w:val="24"/>
              </w:rPr>
              <w:fldChar w:fldCharType="separate"/>
            </w:r>
            <w:r w:rsidRPr="00A15CEB">
              <w:rPr>
                <w:noProof/>
                <w:webHidden/>
                <w:sz w:val="24"/>
              </w:rPr>
              <w:t>48</w:t>
            </w:r>
            <w:r w:rsidRPr="00A15CEB">
              <w:rPr>
                <w:noProof/>
                <w:webHidden/>
                <w:sz w:val="24"/>
              </w:rPr>
              <w:fldChar w:fldCharType="end"/>
            </w:r>
          </w:hyperlink>
        </w:p>
        <w:p w14:paraId="20B8797B" w14:textId="77777777" w:rsidR="00FA51B8" w:rsidRPr="001626AD" w:rsidRDefault="00056198">
          <w:pPr>
            <w:spacing w:line="360" w:lineRule="auto"/>
            <w:jc w:val="both"/>
            <w:rPr>
              <w:color w:val="000000" w:themeColor="text1"/>
            </w:rPr>
          </w:pPr>
          <w:r w:rsidRPr="001626AD">
            <w:rPr>
              <w:color w:val="000000" w:themeColor="text1"/>
            </w:rPr>
            <w:fldChar w:fldCharType="end"/>
          </w:r>
        </w:p>
      </w:sdtContent>
    </w:sdt>
    <w:p w14:paraId="60191B5B" w14:textId="77777777" w:rsidR="00FA51B8" w:rsidRPr="001626AD" w:rsidRDefault="00056198">
      <w:pPr>
        <w:rPr>
          <w:b/>
          <w:bCs/>
          <w:color w:val="000000" w:themeColor="text1"/>
          <w:sz w:val="24"/>
          <w:szCs w:val="24"/>
        </w:rPr>
      </w:pPr>
      <w:r w:rsidRPr="001626AD">
        <w:rPr>
          <w:color w:val="000000" w:themeColor="text1"/>
        </w:rPr>
        <w:br w:type="page"/>
      </w:r>
    </w:p>
    <w:p w14:paraId="3E3B4A53" w14:textId="77777777" w:rsidR="00160971" w:rsidRPr="00FA2975" w:rsidRDefault="00160971" w:rsidP="00643CA2">
      <w:pPr>
        <w:pStyle w:val="Heading1"/>
      </w:pPr>
      <w:bookmarkStart w:id="0" w:name="_Toc213703054"/>
      <w:r w:rsidRPr="00FA2975">
        <w:lastRenderedPageBreak/>
        <w:t>1. Introduction</w:t>
      </w:r>
      <w:bookmarkEnd w:id="0"/>
    </w:p>
    <w:p w14:paraId="039F2AF2"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A financial consultancy report for a failing firm, General Electronics, has been presented under the instructions of the company’s CFO (Chief Financial Officer). An analysis of the company's financial performance over the past five years has been conducted to identify key issues and provide an evidence-based turnaround strategy. </w:t>
      </w:r>
    </w:p>
    <w:p w14:paraId="0C3F42C2" w14:textId="77777777" w:rsidR="00160971" w:rsidRPr="00FA2975" w:rsidRDefault="00160971" w:rsidP="00643CA2">
      <w:pPr>
        <w:pStyle w:val="Heading1"/>
      </w:pPr>
      <w:bookmarkStart w:id="1" w:name="_Toc213703055"/>
      <w:r w:rsidRPr="00FA2975">
        <w:t>2. Financial Health Check</w:t>
      </w:r>
      <w:bookmarkEnd w:id="1"/>
      <w:r w:rsidRPr="00FA2975">
        <w:t xml:space="preserve"> </w:t>
      </w:r>
    </w:p>
    <w:p w14:paraId="71F0D2D5" w14:textId="77777777" w:rsidR="00160971" w:rsidRPr="00FA2975" w:rsidRDefault="00160971" w:rsidP="00643CA2">
      <w:pPr>
        <w:pStyle w:val="Heading2"/>
      </w:pPr>
      <w:bookmarkStart w:id="2" w:name="_Toc213703056"/>
      <w:r w:rsidRPr="00FA2975">
        <w:t>2.1 Analysis of the Firm’s Financial Statements</w:t>
      </w:r>
      <w:bookmarkEnd w:id="2"/>
    </w:p>
    <w:p w14:paraId="3ED524B9"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An analysis of General Electronics' financial statements from 2020 to 2024 reveals a severe erosion of profitability, a decline in revenue generation, and a corresponding decline in market share (Jackson, 2021). A critical financial condition for the company can be noticed through a steady decline in revenue generation from £614,680 million in 2020 to £394,879 million in 2024. Hence, a decline of 36% has been recorded in five years. Similarly, the net profit margin for the organisation has dropped from 6.3% to -6.1% in 2024. In 2023, the net profit margin dropped to -23.4%, indicating severe losses. Based on the financial situation, the company requires strategic restructuring for its survival. </w:t>
      </w:r>
    </w:p>
    <w:p w14:paraId="11EEA40D" w14:textId="77777777" w:rsidR="00160971" w:rsidRPr="00FA2975" w:rsidRDefault="00160971" w:rsidP="00643CA2">
      <w:pPr>
        <w:pStyle w:val="Heading2"/>
      </w:pPr>
      <w:bookmarkStart w:id="3" w:name="_Toc213703057"/>
      <w:r w:rsidRPr="00FA2975">
        <w:t>2.2 Ratio Analysis</w:t>
      </w:r>
      <w:bookmarkEnd w:id="3"/>
    </w:p>
    <w:p w14:paraId="0B184E35"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Profitability</w:t>
      </w:r>
    </w:p>
    <w:p w14:paraId="3E7D05AB"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i) Net profit margin</w:t>
      </w:r>
    </w:p>
    <w:p w14:paraId="5D4F56B9" w14:textId="77777777" w:rsidR="00160971" w:rsidRPr="00FA2975" w:rsidRDefault="00160971" w:rsidP="00160971">
      <w:pPr>
        <w:numPr>
          <w:ilvl w:val="0"/>
          <w:numId w:val="30"/>
        </w:numPr>
        <w:spacing w:line="360" w:lineRule="auto"/>
        <w:jc w:val="both"/>
        <w:rPr>
          <w:rFonts w:eastAsia="Times New Roman"/>
          <w:sz w:val="24"/>
          <w:szCs w:val="24"/>
        </w:rPr>
      </w:pPr>
      <w:r w:rsidRPr="00FA2975">
        <w:rPr>
          <w:rFonts w:eastAsia="Times New Roman"/>
          <w:sz w:val="24"/>
          <w:szCs w:val="24"/>
        </w:rPr>
        <w:t>In calculating net profit margin (NPM) for each year, a ratio of net income and revenue is considered. It is expressed as a percentage and indicates the profitability of business operations.</w:t>
      </w:r>
    </w:p>
    <w:p w14:paraId="47BEDCBC" w14:textId="77777777" w:rsidR="00160971" w:rsidRPr="00FA2975" w:rsidRDefault="00160971" w:rsidP="00160971">
      <w:pPr>
        <w:numPr>
          <w:ilvl w:val="0"/>
          <w:numId w:val="30"/>
        </w:numPr>
        <w:spacing w:line="360" w:lineRule="auto"/>
        <w:jc w:val="both"/>
        <w:rPr>
          <w:rFonts w:eastAsia="Times New Roman"/>
          <w:sz w:val="24"/>
          <w:szCs w:val="24"/>
        </w:rPr>
      </w:pPr>
      <w:r w:rsidRPr="00FA2975">
        <w:rPr>
          <w:rFonts w:eastAsia="Times New Roman"/>
          <w:sz w:val="24"/>
          <w:szCs w:val="24"/>
        </w:rPr>
        <w:t xml:space="preserve">In the present case, gross profit margin has shown limited movement in gross profit margin between 2020 (28.7%) and 2024 (28.9%). </w:t>
      </w:r>
    </w:p>
    <w:p w14:paraId="0026F6DC" w14:textId="77777777" w:rsidR="00160971" w:rsidRPr="00FA2975" w:rsidRDefault="00160971" w:rsidP="00160971">
      <w:pPr>
        <w:numPr>
          <w:ilvl w:val="0"/>
          <w:numId w:val="30"/>
        </w:numPr>
        <w:spacing w:line="360" w:lineRule="auto"/>
        <w:jc w:val="both"/>
        <w:rPr>
          <w:rFonts w:eastAsia="Times New Roman"/>
          <w:sz w:val="24"/>
          <w:szCs w:val="24"/>
        </w:rPr>
      </w:pPr>
      <w:r w:rsidRPr="00FA2975">
        <w:rPr>
          <w:rFonts w:eastAsia="Times New Roman"/>
          <w:sz w:val="24"/>
          <w:szCs w:val="24"/>
        </w:rPr>
        <w:t xml:space="preserve">NPM value has become 6.3%, 0.9%, 0.07%, -23.4% and -6.1% in 2020, 2021, 2022, 2023 and 2024, respectively. </w:t>
      </w:r>
    </w:p>
    <w:p w14:paraId="71D9123D" w14:textId="77777777" w:rsidR="00160971" w:rsidRPr="00FA2975" w:rsidRDefault="00160971" w:rsidP="00160971">
      <w:pPr>
        <w:numPr>
          <w:ilvl w:val="0"/>
          <w:numId w:val="30"/>
        </w:numPr>
        <w:spacing w:line="360" w:lineRule="auto"/>
        <w:jc w:val="both"/>
        <w:rPr>
          <w:rFonts w:eastAsia="Times New Roman"/>
          <w:sz w:val="24"/>
          <w:szCs w:val="24"/>
        </w:rPr>
      </w:pPr>
      <w:r w:rsidRPr="00FA2975">
        <w:rPr>
          <w:rFonts w:eastAsia="Times New Roman"/>
          <w:sz w:val="24"/>
          <w:szCs w:val="24"/>
        </w:rPr>
        <w:t xml:space="preserve">In interpretation, the decline reflected an unsustainable cost structure and poor management of company expenses (Budiyanta, 2021). </w:t>
      </w:r>
    </w:p>
    <w:p w14:paraId="2F9D9078" w14:textId="77777777" w:rsidR="00160971" w:rsidRPr="00FA2975" w:rsidRDefault="008B33E4" w:rsidP="00160971">
      <w:pPr>
        <w:spacing w:line="360" w:lineRule="auto"/>
        <w:jc w:val="center"/>
        <w:rPr>
          <w:rFonts w:eastAsia="Times New Roman"/>
          <w:sz w:val="24"/>
          <w:szCs w:val="24"/>
        </w:rPr>
      </w:pPr>
      <w:r>
        <w:rPr>
          <w:noProof/>
          <w:lang w:val="en-IN"/>
        </w:rPr>
        <w:lastRenderedPageBreak/>
        <w:drawing>
          <wp:inline distT="0" distB="0" distL="0" distR="0" wp14:anchorId="353A85A8" wp14:editId="21263BC6">
            <wp:extent cx="5943600" cy="3134360"/>
            <wp:effectExtent l="0" t="0" r="0" b="889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ABC1972"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1: </w:t>
      </w:r>
      <w:r w:rsidR="008B33E4">
        <w:rPr>
          <w:rFonts w:eastAsia="Times New Roman"/>
          <w:b/>
          <w:bCs/>
          <w:sz w:val="24"/>
          <w:szCs w:val="24"/>
        </w:rPr>
        <w:t xml:space="preserve">5-year performance of </w:t>
      </w:r>
      <w:r w:rsidRPr="00FA2975">
        <w:rPr>
          <w:rFonts w:eastAsia="Times New Roman"/>
          <w:b/>
          <w:bCs/>
          <w:sz w:val="24"/>
          <w:szCs w:val="24"/>
        </w:rPr>
        <w:t>Net Profit Margin</w:t>
      </w:r>
    </w:p>
    <w:p w14:paraId="2D28F9B1"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17FFB586"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ii) Operating profit margin</w:t>
      </w:r>
    </w:p>
    <w:p w14:paraId="47E38E53" w14:textId="77777777" w:rsidR="00160971" w:rsidRPr="00FA2975" w:rsidRDefault="00160971" w:rsidP="00160971">
      <w:pPr>
        <w:numPr>
          <w:ilvl w:val="0"/>
          <w:numId w:val="26"/>
        </w:numPr>
        <w:spacing w:line="360" w:lineRule="auto"/>
        <w:jc w:val="both"/>
        <w:rPr>
          <w:rFonts w:eastAsia="Times New Roman"/>
          <w:sz w:val="24"/>
          <w:szCs w:val="24"/>
        </w:rPr>
      </w:pPr>
      <w:r w:rsidRPr="00FA2975">
        <w:rPr>
          <w:rFonts w:eastAsia="Times New Roman"/>
          <w:sz w:val="24"/>
          <w:szCs w:val="24"/>
        </w:rPr>
        <w:t xml:space="preserve">After subtracting all operating expenses from gross profit, an idea of the company's profitability before tax is obtained. </w:t>
      </w:r>
    </w:p>
    <w:p w14:paraId="7FD7EC47" w14:textId="77777777" w:rsidR="00160971" w:rsidRPr="00FA2975" w:rsidRDefault="00160971" w:rsidP="00160971">
      <w:pPr>
        <w:numPr>
          <w:ilvl w:val="0"/>
          <w:numId w:val="26"/>
        </w:numPr>
        <w:spacing w:line="360" w:lineRule="auto"/>
        <w:jc w:val="both"/>
        <w:rPr>
          <w:rFonts w:eastAsia="Times New Roman"/>
          <w:sz w:val="24"/>
          <w:szCs w:val="24"/>
        </w:rPr>
      </w:pPr>
      <w:r w:rsidRPr="00FA2975">
        <w:rPr>
          <w:rFonts w:eastAsia="Times New Roman"/>
          <w:sz w:val="24"/>
          <w:szCs w:val="24"/>
        </w:rPr>
        <w:t xml:space="preserve">In the case of General Electronics, operating profit margins from 2020 to 2024 are 6.1%, 3.9%, 2.7%, -20.3% and -3.9%, respectively. </w:t>
      </w:r>
    </w:p>
    <w:p w14:paraId="19904FBD" w14:textId="77777777" w:rsidR="00160971" w:rsidRPr="00FA2975" w:rsidRDefault="00160971" w:rsidP="00160971">
      <w:pPr>
        <w:numPr>
          <w:ilvl w:val="0"/>
          <w:numId w:val="26"/>
        </w:numPr>
        <w:spacing w:line="360" w:lineRule="auto"/>
        <w:jc w:val="both"/>
        <w:rPr>
          <w:rFonts w:eastAsia="Times New Roman"/>
          <w:sz w:val="24"/>
          <w:szCs w:val="24"/>
        </w:rPr>
      </w:pPr>
      <w:r w:rsidRPr="00FA2975">
        <w:rPr>
          <w:rFonts w:eastAsia="Times New Roman"/>
          <w:sz w:val="24"/>
          <w:szCs w:val="24"/>
        </w:rPr>
        <w:t xml:space="preserve">It indicated poor operational efficiency with a concerning drop in 2023 (Widiasmara </w:t>
      </w:r>
      <w:r w:rsidRPr="00FA2975">
        <w:rPr>
          <w:rFonts w:eastAsia="Times New Roman"/>
          <w:i/>
          <w:iCs/>
          <w:sz w:val="24"/>
          <w:szCs w:val="24"/>
        </w:rPr>
        <w:t>et al.</w:t>
      </w:r>
      <w:r w:rsidRPr="00FA2975">
        <w:rPr>
          <w:rFonts w:eastAsia="Times New Roman"/>
          <w:sz w:val="24"/>
          <w:szCs w:val="24"/>
        </w:rPr>
        <w:t>, 2022).</w:t>
      </w:r>
    </w:p>
    <w:p w14:paraId="504FC785" w14:textId="77777777" w:rsidR="00160971" w:rsidRPr="00FA2975" w:rsidRDefault="008B33E4" w:rsidP="00160971">
      <w:pPr>
        <w:spacing w:line="360" w:lineRule="auto"/>
        <w:jc w:val="both"/>
        <w:rPr>
          <w:rFonts w:eastAsia="Times New Roman"/>
          <w:sz w:val="24"/>
          <w:szCs w:val="24"/>
        </w:rPr>
      </w:pPr>
      <w:r>
        <w:rPr>
          <w:noProof/>
          <w:lang w:val="en-IN"/>
        </w:rPr>
        <w:lastRenderedPageBreak/>
        <w:drawing>
          <wp:inline distT="0" distB="0" distL="0" distR="0" wp14:anchorId="52CFE82E" wp14:editId="0D0B10F8">
            <wp:extent cx="5928360" cy="3444240"/>
            <wp:effectExtent l="0" t="0" r="15240" b="381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FA62C8F"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2: </w:t>
      </w:r>
      <w:r w:rsidR="008B33E4">
        <w:rPr>
          <w:rFonts w:eastAsia="Times New Roman"/>
          <w:b/>
          <w:bCs/>
          <w:sz w:val="24"/>
          <w:szCs w:val="24"/>
        </w:rPr>
        <w:t xml:space="preserve">5-year performance of </w:t>
      </w:r>
      <w:r w:rsidRPr="00FA2975">
        <w:rPr>
          <w:rFonts w:eastAsia="Times New Roman"/>
          <w:b/>
          <w:bCs/>
          <w:sz w:val="24"/>
          <w:szCs w:val="24"/>
        </w:rPr>
        <w:t>Operating Profit Margin</w:t>
      </w:r>
    </w:p>
    <w:p w14:paraId="45082B5D"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65745837"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Liquidity</w:t>
      </w:r>
    </w:p>
    <w:p w14:paraId="3B69101F"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iii) Current ratio</w:t>
      </w:r>
    </w:p>
    <w:p w14:paraId="489C3C72" w14:textId="77777777" w:rsidR="00160971" w:rsidRPr="00FA2975" w:rsidRDefault="00160971" w:rsidP="00160971">
      <w:pPr>
        <w:numPr>
          <w:ilvl w:val="0"/>
          <w:numId w:val="21"/>
        </w:numPr>
        <w:spacing w:line="360" w:lineRule="auto"/>
        <w:jc w:val="both"/>
        <w:rPr>
          <w:rFonts w:eastAsia="Times New Roman"/>
          <w:sz w:val="24"/>
          <w:szCs w:val="24"/>
        </w:rPr>
      </w:pPr>
      <w:r w:rsidRPr="00FA2975">
        <w:rPr>
          <w:rFonts w:eastAsia="Times New Roman"/>
          <w:sz w:val="24"/>
          <w:szCs w:val="24"/>
        </w:rPr>
        <w:t xml:space="preserve">The current ratio, also known as the working capital ratio, evaluates whether the company has sufficient total assets to cover its liabilities (Lalithchandra and Rajendhiran, 2021). </w:t>
      </w:r>
    </w:p>
    <w:p w14:paraId="2CC7AA52" w14:textId="77777777" w:rsidR="00160971" w:rsidRPr="00FA2975" w:rsidRDefault="00160971" w:rsidP="00160971">
      <w:pPr>
        <w:numPr>
          <w:ilvl w:val="0"/>
          <w:numId w:val="21"/>
        </w:numPr>
        <w:spacing w:line="360" w:lineRule="auto"/>
        <w:jc w:val="both"/>
        <w:rPr>
          <w:rFonts w:eastAsia="Times New Roman"/>
          <w:sz w:val="24"/>
          <w:szCs w:val="24"/>
        </w:rPr>
      </w:pPr>
      <w:r w:rsidRPr="00FA2975">
        <w:rPr>
          <w:rFonts w:eastAsia="Times New Roman"/>
          <w:sz w:val="24"/>
          <w:szCs w:val="24"/>
        </w:rPr>
        <w:t xml:space="preserve">In 2020, the values of current assets and current liabilities were £326,843 million and £179,510 million, respectively. Hence, the current ratio in 2020 was 1.82. </w:t>
      </w:r>
    </w:p>
    <w:p w14:paraId="02DDDB84" w14:textId="77777777" w:rsidR="00160971" w:rsidRPr="00FA2975" w:rsidRDefault="00160971" w:rsidP="00160971">
      <w:pPr>
        <w:numPr>
          <w:ilvl w:val="0"/>
          <w:numId w:val="21"/>
        </w:numPr>
        <w:spacing w:line="360" w:lineRule="auto"/>
        <w:jc w:val="both"/>
        <w:rPr>
          <w:rFonts w:eastAsia="Times New Roman"/>
          <w:sz w:val="24"/>
          <w:szCs w:val="24"/>
        </w:rPr>
      </w:pPr>
      <w:r w:rsidRPr="00FA2975">
        <w:rPr>
          <w:rFonts w:eastAsia="Times New Roman"/>
          <w:sz w:val="24"/>
          <w:szCs w:val="24"/>
        </w:rPr>
        <w:t xml:space="preserve">However, in 2024, current assets and liabilities for the company were £242,494 and £158,291, respectively. </w:t>
      </w:r>
    </w:p>
    <w:p w14:paraId="143B149F" w14:textId="77777777" w:rsidR="00160971" w:rsidRPr="00FA2975" w:rsidRDefault="00160971" w:rsidP="00160971">
      <w:pPr>
        <w:numPr>
          <w:ilvl w:val="0"/>
          <w:numId w:val="21"/>
        </w:numPr>
        <w:spacing w:line="360" w:lineRule="auto"/>
        <w:jc w:val="both"/>
        <w:rPr>
          <w:rFonts w:eastAsia="Times New Roman"/>
          <w:sz w:val="24"/>
          <w:szCs w:val="24"/>
        </w:rPr>
      </w:pPr>
      <w:r w:rsidRPr="00FA2975">
        <w:rPr>
          <w:rFonts w:eastAsia="Times New Roman"/>
          <w:sz w:val="24"/>
          <w:szCs w:val="24"/>
        </w:rPr>
        <w:t xml:space="preserve">As a result, the current ratio dropped to 1.53 in 2024. A relative increase in liabilities as compared to company assets can be noticed. </w:t>
      </w:r>
    </w:p>
    <w:p w14:paraId="3992DE0C" w14:textId="77777777" w:rsidR="00160971" w:rsidRPr="00FA2975" w:rsidRDefault="008B33E4" w:rsidP="00160971">
      <w:pPr>
        <w:spacing w:line="360" w:lineRule="auto"/>
        <w:jc w:val="center"/>
        <w:rPr>
          <w:rFonts w:eastAsia="Times New Roman"/>
          <w:sz w:val="24"/>
          <w:szCs w:val="24"/>
        </w:rPr>
      </w:pPr>
      <w:r>
        <w:rPr>
          <w:noProof/>
          <w:lang w:val="en-IN"/>
        </w:rPr>
        <w:lastRenderedPageBreak/>
        <w:drawing>
          <wp:inline distT="0" distB="0" distL="0" distR="0" wp14:anchorId="7C96AEEA" wp14:editId="3BC14962">
            <wp:extent cx="5943600" cy="2880360"/>
            <wp:effectExtent l="0" t="0" r="0" b="15240"/>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25D4B60"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3: </w:t>
      </w:r>
      <w:r w:rsidR="008B33E4">
        <w:rPr>
          <w:rFonts w:eastAsia="Times New Roman"/>
          <w:b/>
          <w:bCs/>
          <w:sz w:val="24"/>
          <w:szCs w:val="24"/>
        </w:rPr>
        <w:t xml:space="preserve">5-year performance of </w:t>
      </w:r>
      <w:r w:rsidRPr="00FA2975">
        <w:rPr>
          <w:rFonts w:eastAsia="Times New Roman"/>
          <w:b/>
          <w:bCs/>
          <w:sz w:val="24"/>
          <w:szCs w:val="24"/>
        </w:rPr>
        <w:t>current ratio</w:t>
      </w:r>
    </w:p>
    <w:p w14:paraId="6021739F"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7E5D7B1E"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iv) Quick ratio</w:t>
      </w:r>
    </w:p>
    <w:p w14:paraId="63491E5D" w14:textId="77777777" w:rsidR="00160971" w:rsidRPr="00FA2975" w:rsidRDefault="00160971" w:rsidP="00160971">
      <w:pPr>
        <w:numPr>
          <w:ilvl w:val="0"/>
          <w:numId w:val="31"/>
        </w:numPr>
        <w:spacing w:line="360" w:lineRule="auto"/>
        <w:jc w:val="both"/>
        <w:rPr>
          <w:rFonts w:eastAsia="Times New Roman"/>
          <w:sz w:val="24"/>
          <w:szCs w:val="24"/>
        </w:rPr>
      </w:pPr>
      <w:r w:rsidRPr="00FA2975">
        <w:rPr>
          <w:rFonts w:eastAsia="Times New Roman"/>
          <w:sz w:val="24"/>
          <w:szCs w:val="24"/>
        </w:rPr>
        <w:t>A financial unit that is formed by subtracting inventory and prepaid expenses from current assets.</w:t>
      </w:r>
    </w:p>
    <w:p w14:paraId="071EC85B" w14:textId="77777777" w:rsidR="00160971" w:rsidRPr="00FA2975" w:rsidRDefault="00160971" w:rsidP="00160971">
      <w:pPr>
        <w:numPr>
          <w:ilvl w:val="0"/>
          <w:numId w:val="31"/>
        </w:numPr>
        <w:spacing w:line="360" w:lineRule="auto"/>
        <w:jc w:val="both"/>
        <w:rPr>
          <w:rFonts w:eastAsia="Times New Roman"/>
          <w:sz w:val="24"/>
          <w:szCs w:val="24"/>
        </w:rPr>
      </w:pPr>
      <w:r w:rsidRPr="00FA2975">
        <w:rPr>
          <w:rFonts w:eastAsia="Times New Roman"/>
          <w:sz w:val="24"/>
          <w:szCs w:val="24"/>
        </w:rPr>
        <w:t xml:space="preserve">The quick ratio, also known as the acid-test ratio, is a ratio between the mentioned financial unit and current liabilities (Mao, 2023). </w:t>
      </w:r>
    </w:p>
    <w:p w14:paraId="42F8F41F" w14:textId="77777777" w:rsidR="00160971" w:rsidRPr="00FA2975" w:rsidRDefault="00160971" w:rsidP="00160971">
      <w:pPr>
        <w:numPr>
          <w:ilvl w:val="0"/>
          <w:numId w:val="31"/>
        </w:numPr>
        <w:spacing w:line="360" w:lineRule="auto"/>
        <w:jc w:val="both"/>
        <w:rPr>
          <w:rFonts w:eastAsia="Times New Roman"/>
          <w:sz w:val="24"/>
          <w:szCs w:val="24"/>
        </w:rPr>
      </w:pPr>
      <w:r w:rsidRPr="00FA2975">
        <w:rPr>
          <w:rFonts w:eastAsia="Times New Roman"/>
          <w:sz w:val="24"/>
          <w:szCs w:val="24"/>
        </w:rPr>
        <w:t xml:space="preserve">Between 2022 and 2024, current assets have dropped by 28% due to cash depletion and a reduction in inventory value. </w:t>
      </w:r>
    </w:p>
    <w:p w14:paraId="63BA116A" w14:textId="77777777" w:rsidR="00160971" w:rsidRPr="00FA2975" w:rsidRDefault="00160971" w:rsidP="00160971">
      <w:pPr>
        <w:numPr>
          <w:ilvl w:val="0"/>
          <w:numId w:val="31"/>
        </w:numPr>
        <w:spacing w:line="360" w:lineRule="auto"/>
        <w:jc w:val="both"/>
        <w:rPr>
          <w:rFonts w:eastAsia="Times New Roman"/>
          <w:sz w:val="24"/>
          <w:szCs w:val="24"/>
        </w:rPr>
      </w:pPr>
      <w:r w:rsidRPr="00FA2975">
        <w:rPr>
          <w:rFonts w:eastAsia="Times New Roman"/>
          <w:sz w:val="24"/>
          <w:szCs w:val="24"/>
        </w:rPr>
        <w:t xml:space="preserve">In 2020, 2023 and 2024, the QR values were greater than 1. </w:t>
      </w:r>
    </w:p>
    <w:p w14:paraId="743B0CA3" w14:textId="77777777" w:rsidR="00160971" w:rsidRPr="00FA2975" w:rsidRDefault="00160971" w:rsidP="00160971">
      <w:pPr>
        <w:numPr>
          <w:ilvl w:val="0"/>
          <w:numId w:val="31"/>
        </w:numPr>
        <w:spacing w:line="360" w:lineRule="auto"/>
        <w:jc w:val="both"/>
        <w:rPr>
          <w:rFonts w:eastAsia="Times New Roman"/>
          <w:sz w:val="24"/>
          <w:szCs w:val="24"/>
        </w:rPr>
      </w:pPr>
      <w:r w:rsidRPr="00FA2975">
        <w:rPr>
          <w:rFonts w:eastAsia="Times New Roman"/>
          <w:sz w:val="24"/>
          <w:szCs w:val="24"/>
        </w:rPr>
        <w:t xml:space="preserve">In 2021 and 2022, the quick ratio dropped below the standard value of 1:1, which indicated deteriorating short-term solvency. </w:t>
      </w:r>
    </w:p>
    <w:p w14:paraId="1860B018" w14:textId="77777777" w:rsidR="00160971" w:rsidRPr="00FA2975" w:rsidRDefault="00BC06BD" w:rsidP="00160971">
      <w:pPr>
        <w:spacing w:line="360" w:lineRule="auto"/>
        <w:jc w:val="both"/>
        <w:rPr>
          <w:rFonts w:eastAsia="Times New Roman"/>
          <w:sz w:val="24"/>
          <w:szCs w:val="24"/>
        </w:rPr>
      </w:pPr>
      <w:r>
        <w:rPr>
          <w:noProof/>
          <w:lang w:val="en-IN"/>
        </w:rPr>
        <w:lastRenderedPageBreak/>
        <w:drawing>
          <wp:inline distT="0" distB="0" distL="0" distR="0" wp14:anchorId="0129108B" wp14:editId="1F6C531B">
            <wp:extent cx="5943600" cy="2644140"/>
            <wp:effectExtent l="0" t="0" r="0" b="381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0504B54"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4: </w:t>
      </w:r>
      <w:r w:rsidR="00BC06BD">
        <w:rPr>
          <w:rFonts w:eastAsia="Times New Roman"/>
          <w:b/>
          <w:bCs/>
          <w:sz w:val="24"/>
          <w:szCs w:val="24"/>
        </w:rPr>
        <w:t xml:space="preserve">5-year performance of </w:t>
      </w:r>
      <w:r w:rsidRPr="00FA2975">
        <w:rPr>
          <w:rFonts w:eastAsia="Times New Roman"/>
          <w:b/>
          <w:bCs/>
          <w:sz w:val="24"/>
          <w:szCs w:val="24"/>
        </w:rPr>
        <w:t>quick ratio</w:t>
      </w:r>
    </w:p>
    <w:p w14:paraId="3366C1B7" w14:textId="77777777" w:rsidR="00160971" w:rsidRPr="00FA2975" w:rsidRDefault="00160971" w:rsidP="00160971">
      <w:pPr>
        <w:spacing w:line="360" w:lineRule="auto"/>
        <w:jc w:val="center"/>
        <w:rPr>
          <w:rFonts w:eastAsia="Times New Roman"/>
          <w:b/>
          <w:bCs/>
          <w:sz w:val="24"/>
          <w:szCs w:val="24"/>
        </w:rPr>
      </w:pPr>
      <w:r w:rsidRPr="00FA2975">
        <w:rPr>
          <w:rFonts w:eastAsia="Times New Roman"/>
          <w:sz w:val="24"/>
          <w:szCs w:val="24"/>
        </w:rPr>
        <w:t>(Source: Self-developed)</w:t>
      </w:r>
    </w:p>
    <w:p w14:paraId="0822480D"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Efficiency</w:t>
      </w:r>
    </w:p>
    <w:p w14:paraId="2632C18A"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v) Inventory turnover ratio</w:t>
      </w:r>
    </w:p>
    <w:p w14:paraId="0437820F" w14:textId="77777777" w:rsidR="00160971" w:rsidRPr="00FA2975" w:rsidRDefault="00160971" w:rsidP="00160971">
      <w:pPr>
        <w:numPr>
          <w:ilvl w:val="0"/>
          <w:numId w:val="32"/>
        </w:numPr>
        <w:spacing w:line="360" w:lineRule="auto"/>
        <w:jc w:val="both"/>
        <w:rPr>
          <w:rFonts w:eastAsia="Times New Roman"/>
          <w:sz w:val="24"/>
          <w:szCs w:val="24"/>
        </w:rPr>
      </w:pPr>
      <w:r w:rsidRPr="00FA2975">
        <w:rPr>
          <w:rFonts w:eastAsia="Times New Roman"/>
          <w:sz w:val="24"/>
          <w:szCs w:val="24"/>
        </w:rPr>
        <w:t xml:space="preserve">The cost of sales for the company dropped from £438,424 million in 2020 to £280,885 million in 2024. </w:t>
      </w:r>
    </w:p>
    <w:p w14:paraId="60853265" w14:textId="77777777" w:rsidR="00160971" w:rsidRPr="00FA2975" w:rsidRDefault="00160971" w:rsidP="00160971">
      <w:pPr>
        <w:numPr>
          <w:ilvl w:val="0"/>
          <w:numId w:val="32"/>
        </w:numPr>
        <w:spacing w:line="360" w:lineRule="auto"/>
        <w:jc w:val="both"/>
        <w:rPr>
          <w:rFonts w:eastAsia="Times New Roman"/>
          <w:sz w:val="24"/>
          <w:szCs w:val="24"/>
        </w:rPr>
      </w:pPr>
      <w:r w:rsidRPr="00FA2975">
        <w:rPr>
          <w:rFonts w:eastAsia="Times New Roman"/>
          <w:sz w:val="24"/>
          <w:szCs w:val="24"/>
        </w:rPr>
        <w:t xml:space="preserve">Besides, inventory value has decreased from £120,430 million in 2020 to £79,355 million in 2024. </w:t>
      </w:r>
    </w:p>
    <w:p w14:paraId="70EB2853" w14:textId="77777777" w:rsidR="00160971" w:rsidRPr="00FA2975" w:rsidRDefault="00160971" w:rsidP="00160971">
      <w:pPr>
        <w:numPr>
          <w:ilvl w:val="0"/>
          <w:numId w:val="32"/>
        </w:numPr>
        <w:spacing w:line="360" w:lineRule="auto"/>
        <w:jc w:val="both"/>
        <w:rPr>
          <w:rFonts w:eastAsia="Times New Roman"/>
          <w:sz w:val="24"/>
          <w:szCs w:val="24"/>
        </w:rPr>
      </w:pPr>
      <w:r w:rsidRPr="00FA2975">
        <w:rPr>
          <w:rFonts w:eastAsia="Times New Roman"/>
          <w:sz w:val="24"/>
          <w:szCs w:val="24"/>
        </w:rPr>
        <w:t xml:space="preserve">Hence, a variation of the inventory turnover ratio can be noticed from 3.64 in 2020 to 3.54 in 2024. </w:t>
      </w:r>
    </w:p>
    <w:p w14:paraId="0876FDFA" w14:textId="77777777" w:rsidR="00160971" w:rsidRPr="00FA2975" w:rsidRDefault="00160971" w:rsidP="00160971">
      <w:pPr>
        <w:numPr>
          <w:ilvl w:val="0"/>
          <w:numId w:val="32"/>
        </w:numPr>
        <w:spacing w:line="360" w:lineRule="auto"/>
        <w:jc w:val="both"/>
        <w:rPr>
          <w:rFonts w:eastAsia="Times New Roman"/>
          <w:sz w:val="24"/>
          <w:szCs w:val="24"/>
        </w:rPr>
      </w:pPr>
      <w:r w:rsidRPr="00FA2975">
        <w:rPr>
          <w:rFonts w:eastAsia="Times New Roman"/>
          <w:sz w:val="24"/>
          <w:szCs w:val="24"/>
        </w:rPr>
        <w:t xml:space="preserve">As the ratio is decreasing, the company is expected to face challenges of overstocking and a decrease in demand (Herison </w:t>
      </w:r>
      <w:r w:rsidRPr="00FA2975">
        <w:rPr>
          <w:rFonts w:eastAsia="Times New Roman"/>
          <w:i/>
          <w:iCs/>
          <w:sz w:val="24"/>
          <w:szCs w:val="24"/>
        </w:rPr>
        <w:t>et al.</w:t>
      </w:r>
      <w:r w:rsidRPr="00FA2975">
        <w:rPr>
          <w:rFonts w:eastAsia="Times New Roman"/>
          <w:sz w:val="24"/>
          <w:szCs w:val="24"/>
        </w:rPr>
        <w:t xml:space="preserve">, 2022). </w:t>
      </w:r>
    </w:p>
    <w:p w14:paraId="57FA232E" w14:textId="77777777" w:rsidR="00160971" w:rsidRPr="00FA2975" w:rsidRDefault="00160971" w:rsidP="00160971">
      <w:pPr>
        <w:numPr>
          <w:ilvl w:val="0"/>
          <w:numId w:val="32"/>
        </w:numPr>
        <w:spacing w:line="360" w:lineRule="auto"/>
        <w:jc w:val="both"/>
        <w:rPr>
          <w:rFonts w:eastAsia="Times New Roman"/>
          <w:sz w:val="24"/>
          <w:szCs w:val="24"/>
        </w:rPr>
      </w:pPr>
      <w:r w:rsidRPr="00FA2975">
        <w:rPr>
          <w:rFonts w:eastAsia="Times New Roman"/>
          <w:sz w:val="24"/>
          <w:szCs w:val="24"/>
        </w:rPr>
        <w:t xml:space="preserve">It can further imply delays in supplier payments, causing a negative impact on the supplier relationship. </w:t>
      </w:r>
    </w:p>
    <w:p w14:paraId="322480DE" w14:textId="77777777" w:rsidR="00160971" w:rsidRPr="00FA2975" w:rsidRDefault="00E36A53" w:rsidP="00160971">
      <w:pPr>
        <w:spacing w:line="360" w:lineRule="auto"/>
        <w:jc w:val="center"/>
        <w:rPr>
          <w:rFonts w:eastAsia="Times New Roman"/>
          <w:sz w:val="24"/>
          <w:szCs w:val="24"/>
        </w:rPr>
      </w:pPr>
      <w:r>
        <w:rPr>
          <w:noProof/>
          <w:lang w:val="en-IN"/>
        </w:rPr>
        <w:lastRenderedPageBreak/>
        <w:drawing>
          <wp:inline distT="0" distB="0" distL="0" distR="0" wp14:anchorId="19BCE58A" wp14:editId="7EBE9CFC">
            <wp:extent cx="5943600" cy="3383280"/>
            <wp:effectExtent l="0" t="0" r="0" b="762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70805E"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5: </w:t>
      </w:r>
      <w:r w:rsidR="00E36A53">
        <w:rPr>
          <w:rFonts w:eastAsia="Times New Roman"/>
          <w:b/>
          <w:bCs/>
          <w:sz w:val="24"/>
          <w:szCs w:val="24"/>
        </w:rPr>
        <w:t xml:space="preserve">5-year performance of </w:t>
      </w:r>
      <w:r w:rsidRPr="00FA2975">
        <w:rPr>
          <w:rFonts w:eastAsia="Times New Roman"/>
          <w:b/>
          <w:bCs/>
          <w:sz w:val="24"/>
          <w:szCs w:val="24"/>
        </w:rPr>
        <w:t>inventory turnover ratio</w:t>
      </w:r>
    </w:p>
    <w:p w14:paraId="1FF96713"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3DF3FDF9"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vi) Receivable turnover ratio</w:t>
      </w:r>
    </w:p>
    <w:p w14:paraId="54630A87" w14:textId="77777777" w:rsidR="00160971" w:rsidRPr="00FA2975" w:rsidRDefault="00160971" w:rsidP="00160971">
      <w:pPr>
        <w:numPr>
          <w:ilvl w:val="0"/>
          <w:numId w:val="29"/>
        </w:numPr>
        <w:spacing w:line="360" w:lineRule="auto"/>
        <w:jc w:val="both"/>
        <w:rPr>
          <w:rFonts w:eastAsia="Times New Roman"/>
          <w:sz w:val="24"/>
          <w:szCs w:val="24"/>
        </w:rPr>
      </w:pPr>
      <w:r w:rsidRPr="00FA2975">
        <w:rPr>
          <w:rFonts w:eastAsia="Times New Roman"/>
          <w:sz w:val="24"/>
          <w:szCs w:val="24"/>
        </w:rPr>
        <w:t xml:space="preserve">As mentioned earlier, a decline in sales value from £614,680 million in 2020 to £394,879 million in 2024 has been recorded. </w:t>
      </w:r>
    </w:p>
    <w:p w14:paraId="7697CB69" w14:textId="77777777" w:rsidR="00160971" w:rsidRPr="00FA2975" w:rsidRDefault="00160971" w:rsidP="00160971">
      <w:pPr>
        <w:numPr>
          <w:ilvl w:val="0"/>
          <w:numId w:val="29"/>
        </w:numPr>
        <w:spacing w:line="360" w:lineRule="auto"/>
        <w:jc w:val="both"/>
        <w:rPr>
          <w:rFonts w:eastAsia="Times New Roman"/>
          <w:sz w:val="24"/>
          <w:szCs w:val="24"/>
        </w:rPr>
      </w:pPr>
      <w:r w:rsidRPr="00FA2975">
        <w:rPr>
          <w:rFonts w:eastAsia="Times New Roman"/>
          <w:sz w:val="24"/>
          <w:szCs w:val="24"/>
        </w:rPr>
        <w:t xml:space="preserve">Similarly, the value of accounts receivable has declined from £129,433 million to £114,182 million in 2024. </w:t>
      </w:r>
    </w:p>
    <w:p w14:paraId="38636A57" w14:textId="77777777" w:rsidR="00160971" w:rsidRPr="00FA2975" w:rsidRDefault="00160971" w:rsidP="00160971">
      <w:pPr>
        <w:numPr>
          <w:ilvl w:val="0"/>
          <w:numId w:val="29"/>
        </w:numPr>
        <w:spacing w:line="360" w:lineRule="auto"/>
        <w:jc w:val="both"/>
        <w:rPr>
          <w:rFonts w:eastAsia="Times New Roman"/>
          <w:sz w:val="24"/>
          <w:szCs w:val="24"/>
        </w:rPr>
      </w:pPr>
      <w:r w:rsidRPr="00FA2975">
        <w:rPr>
          <w:rFonts w:eastAsia="Times New Roman"/>
          <w:sz w:val="24"/>
          <w:szCs w:val="24"/>
        </w:rPr>
        <w:t xml:space="preserve">A decrease in receivable turnover ratio from 4.75 in 2020 to 3.46 in 2024 has been recorded. </w:t>
      </w:r>
    </w:p>
    <w:p w14:paraId="58F3545C" w14:textId="77777777" w:rsidR="00160971" w:rsidRPr="00FA2975" w:rsidRDefault="00160971" w:rsidP="00160971">
      <w:pPr>
        <w:numPr>
          <w:ilvl w:val="0"/>
          <w:numId w:val="29"/>
        </w:numPr>
        <w:spacing w:line="360" w:lineRule="auto"/>
        <w:jc w:val="both"/>
        <w:rPr>
          <w:rFonts w:eastAsia="Times New Roman"/>
          <w:sz w:val="24"/>
          <w:szCs w:val="24"/>
        </w:rPr>
      </w:pPr>
      <w:r w:rsidRPr="00FA2975">
        <w:rPr>
          <w:rFonts w:eastAsia="Times New Roman"/>
          <w:sz w:val="24"/>
          <w:szCs w:val="24"/>
        </w:rPr>
        <w:t xml:space="preserve">It indicates an unfavourable situation for the company as it is taking more time to collect money due to poor credit policies (Eryatna </w:t>
      </w:r>
      <w:r w:rsidRPr="00FA2975">
        <w:rPr>
          <w:rFonts w:eastAsia="Times New Roman"/>
          <w:i/>
          <w:iCs/>
          <w:sz w:val="24"/>
          <w:szCs w:val="24"/>
        </w:rPr>
        <w:t>et al.,</w:t>
      </w:r>
      <w:r w:rsidRPr="00FA2975">
        <w:rPr>
          <w:rFonts w:eastAsia="Times New Roman"/>
          <w:sz w:val="24"/>
          <w:szCs w:val="24"/>
        </w:rPr>
        <w:t xml:space="preserve"> 2021). </w:t>
      </w:r>
    </w:p>
    <w:p w14:paraId="09F83593" w14:textId="77777777" w:rsidR="00160971" w:rsidRPr="00FA2975" w:rsidRDefault="00DD3B84" w:rsidP="00160971">
      <w:pPr>
        <w:spacing w:line="360" w:lineRule="auto"/>
        <w:jc w:val="center"/>
        <w:rPr>
          <w:rFonts w:eastAsia="Times New Roman"/>
          <w:sz w:val="24"/>
          <w:szCs w:val="24"/>
        </w:rPr>
      </w:pPr>
      <w:r>
        <w:rPr>
          <w:noProof/>
          <w:lang w:val="en-IN"/>
        </w:rPr>
        <w:lastRenderedPageBreak/>
        <w:drawing>
          <wp:inline distT="0" distB="0" distL="0" distR="0" wp14:anchorId="71995A6E" wp14:editId="232F1F54">
            <wp:extent cx="5806440" cy="3147060"/>
            <wp:effectExtent l="0" t="0" r="3810" b="1524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22C0E50"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6: </w:t>
      </w:r>
      <w:r w:rsidR="00E251CD">
        <w:rPr>
          <w:rFonts w:eastAsia="Times New Roman"/>
          <w:b/>
          <w:bCs/>
          <w:sz w:val="24"/>
          <w:szCs w:val="24"/>
        </w:rPr>
        <w:t xml:space="preserve">5-year performance of </w:t>
      </w:r>
      <w:r w:rsidRPr="00FA2975">
        <w:rPr>
          <w:rFonts w:eastAsia="Times New Roman"/>
          <w:b/>
          <w:bCs/>
          <w:sz w:val="24"/>
          <w:szCs w:val="24"/>
        </w:rPr>
        <w:t>receivable turnover ratio</w:t>
      </w:r>
    </w:p>
    <w:p w14:paraId="3F2DD899"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5CDB2EA3"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Gearing</w:t>
      </w:r>
    </w:p>
    <w:p w14:paraId="5F9900E0"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vii) Debt-to-equity ratio</w:t>
      </w:r>
    </w:p>
    <w:p w14:paraId="0BC36D2A" w14:textId="77777777" w:rsidR="00160971" w:rsidRPr="00FA2975" w:rsidRDefault="00160971" w:rsidP="00160971">
      <w:pPr>
        <w:numPr>
          <w:ilvl w:val="0"/>
          <w:numId w:val="33"/>
        </w:numPr>
        <w:spacing w:line="360" w:lineRule="auto"/>
        <w:jc w:val="both"/>
        <w:rPr>
          <w:rFonts w:eastAsia="Times New Roman"/>
          <w:sz w:val="24"/>
          <w:szCs w:val="24"/>
        </w:rPr>
      </w:pPr>
      <w:r w:rsidRPr="00FA2975">
        <w:rPr>
          <w:rFonts w:eastAsia="Times New Roman"/>
          <w:sz w:val="24"/>
          <w:szCs w:val="24"/>
        </w:rPr>
        <w:t xml:space="preserve">A ratio between total liabilities and shareholder equity has been considered. It indicated an excessive rise in liabilities in 2021 and 2022. </w:t>
      </w:r>
    </w:p>
    <w:p w14:paraId="633FAB4A" w14:textId="77777777" w:rsidR="00160971" w:rsidRPr="00FA2975" w:rsidRDefault="00160971" w:rsidP="00160971">
      <w:pPr>
        <w:numPr>
          <w:ilvl w:val="0"/>
          <w:numId w:val="33"/>
        </w:numPr>
        <w:spacing w:line="360" w:lineRule="auto"/>
        <w:jc w:val="both"/>
        <w:rPr>
          <w:rFonts w:eastAsia="Times New Roman"/>
          <w:sz w:val="24"/>
          <w:szCs w:val="24"/>
        </w:rPr>
      </w:pPr>
      <w:r w:rsidRPr="00FA2975">
        <w:rPr>
          <w:rFonts w:eastAsia="Times New Roman"/>
          <w:sz w:val="24"/>
          <w:szCs w:val="24"/>
        </w:rPr>
        <w:t xml:space="preserve">On the other hand, shareholder equity dropped from £313,301 million in 2020 to £153,105 million in 2024. </w:t>
      </w:r>
    </w:p>
    <w:p w14:paraId="1C9B1738" w14:textId="77777777" w:rsidR="00160971" w:rsidRPr="00FA2975" w:rsidRDefault="00160971" w:rsidP="00160971">
      <w:pPr>
        <w:numPr>
          <w:ilvl w:val="0"/>
          <w:numId w:val="33"/>
        </w:numPr>
        <w:spacing w:line="360" w:lineRule="auto"/>
        <w:jc w:val="both"/>
        <w:rPr>
          <w:rFonts w:eastAsia="Times New Roman"/>
          <w:sz w:val="24"/>
          <w:szCs w:val="24"/>
        </w:rPr>
      </w:pPr>
      <w:r w:rsidRPr="00FA2975">
        <w:rPr>
          <w:rFonts w:eastAsia="Times New Roman"/>
          <w:sz w:val="24"/>
          <w:szCs w:val="24"/>
        </w:rPr>
        <w:t xml:space="preserve">A rise in the debt-to-equity ratio has been noticed from 0.63 in 2020 to 1.11 in 2024. </w:t>
      </w:r>
    </w:p>
    <w:p w14:paraId="04D670F3" w14:textId="77777777" w:rsidR="00160971" w:rsidRPr="00FA2975" w:rsidRDefault="00160971" w:rsidP="00160971">
      <w:pPr>
        <w:numPr>
          <w:ilvl w:val="0"/>
          <w:numId w:val="33"/>
        </w:numPr>
        <w:spacing w:line="360" w:lineRule="auto"/>
        <w:jc w:val="both"/>
        <w:rPr>
          <w:rFonts w:eastAsia="Times New Roman"/>
          <w:sz w:val="24"/>
          <w:szCs w:val="24"/>
        </w:rPr>
      </w:pPr>
      <w:r w:rsidRPr="00FA2975">
        <w:rPr>
          <w:rFonts w:eastAsia="Times New Roman"/>
          <w:sz w:val="24"/>
          <w:szCs w:val="24"/>
        </w:rPr>
        <w:t xml:space="preserve">It implies higher financial risks for the company due to higher repayment obligation, default risk and increased cost of capital (Purwaka </w:t>
      </w:r>
      <w:r w:rsidRPr="00FA2975">
        <w:rPr>
          <w:rFonts w:eastAsia="Times New Roman"/>
          <w:i/>
          <w:iCs/>
          <w:sz w:val="24"/>
          <w:szCs w:val="24"/>
        </w:rPr>
        <w:t>et al.,</w:t>
      </w:r>
      <w:r w:rsidRPr="00FA2975">
        <w:rPr>
          <w:rFonts w:eastAsia="Times New Roman"/>
          <w:sz w:val="24"/>
          <w:szCs w:val="24"/>
        </w:rPr>
        <w:t xml:space="preserve"> 2022). </w:t>
      </w:r>
    </w:p>
    <w:p w14:paraId="31B7D732" w14:textId="77777777" w:rsidR="00160971" w:rsidRPr="00FA2975" w:rsidRDefault="002E50F9" w:rsidP="00160971">
      <w:pPr>
        <w:spacing w:line="360" w:lineRule="auto"/>
        <w:jc w:val="center"/>
        <w:rPr>
          <w:rFonts w:eastAsia="Times New Roman"/>
          <w:sz w:val="24"/>
          <w:szCs w:val="24"/>
        </w:rPr>
      </w:pPr>
      <w:r>
        <w:rPr>
          <w:noProof/>
          <w:lang w:val="en-IN"/>
        </w:rPr>
        <w:lastRenderedPageBreak/>
        <w:drawing>
          <wp:inline distT="0" distB="0" distL="0" distR="0" wp14:anchorId="61D1AC9C" wp14:editId="43D7C75F">
            <wp:extent cx="5943600" cy="2758440"/>
            <wp:effectExtent l="0" t="0" r="0" b="381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4C7667D"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7: </w:t>
      </w:r>
      <w:r w:rsidR="002E50F9">
        <w:rPr>
          <w:rFonts w:eastAsia="Times New Roman"/>
          <w:b/>
          <w:bCs/>
          <w:sz w:val="24"/>
          <w:szCs w:val="24"/>
        </w:rPr>
        <w:t xml:space="preserve">5-year performance of </w:t>
      </w:r>
      <w:r w:rsidRPr="00FA2975">
        <w:rPr>
          <w:rFonts w:eastAsia="Times New Roman"/>
          <w:b/>
          <w:bCs/>
          <w:sz w:val="24"/>
          <w:szCs w:val="24"/>
        </w:rPr>
        <w:t>Debt-to-equity ratio</w:t>
      </w:r>
    </w:p>
    <w:p w14:paraId="20B3B4A3"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292581FF"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viii) Interest coverage ratio</w:t>
      </w:r>
    </w:p>
    <w:p w14:paraId="1EF8D0A1" w14:textId="77777777" w:rsidR="00160971" w:rsidRPr="00FA2975" w:rsidRDefault="00160971" w:rsidP="00160971">
      <w:pPr>
        <w:numPr>
          <w:ilvl w:val="0"/>
          <w:numId w:val="25"/>
        </w:numPr>
        <w:spacing w:line="360" w:lineRule="auto"/>
        <w:jc w:val="both"/>
        <w:rPr>
          <w:rFonts w:eastAsia="Times New Roman"/>
          <w:sz w:val="24"/>
          <w:szCs w:val="24"/>
        </w:rPr>
      </w:pPr>
      <w:r w:rsidRPr="00FA2975">
        <w:rPr>
          <w:rFonts w:eastAsia="Times New Roman"/>
          <w:sz w:val="24"/>
          <w:szCs w:val="24"/>
        </w:rPr>
        <w:t xml:space="preserve">In 2020, the operating income for the company was £37,267 million, which reached -£15,297 million in 2024. </w:t>
      </w:r>
    </w:p>
    <w:p w14:paraId="4A6884C8" w14:textId="77777777" w:rsidR="00160971" w:rsidRPr="00FA2975" w:rsidRDefault="00160971" w:rsidP="00160971">
      <w:pPr>
        <w:numPr>
          <w:ilvl w:val="0"/>
          <w:numId w:val="25"/>
        </w:numPr>
        <w:spacing w:line="360" w:lineRule="auto"/>
        <w:jc w:val="both"/>
        <w:rPr>
          <w:rFonts w:eastAsia="Times New Roman"/>
          <w:sz w:val="24"/>
          <w:szCs w:val="24"/>
        </w:rPr>
      </w:pPr>
      <w:r w:rsidRPr="00FA2975">
        <w:rPr>
          <w:rFonts w:eastAsia="Times New Roman"/>
          <w:sz w:val="24"/>
          <w:szCs w:val="24"/>
        </w:rPr>
        <w:t xml:space="preserve">Moreover, interest expense increased from £1,422 million in 2020 to £3,361 million in 2024. The interest coverage ratio in 2024 is -4.55. </w:t>
      </w:r>
    </w:p>
    <w:p w14:paraId="26BAD3C2" w14:textId="77777777" w:rsidR="00160971" w:rsidRPr="00FA2975" w:rsidRDefault="00160971" w:rsidP="00160971">
      <w:pPr>
        <w:numPr>
          <w:ilvl w:val="0"/>
          <w:numId w:val="25"/>
        </w:numPr>
        <w:spacing w:line="360" w:lineRule="auto"/>
        <w:jc w:val="both"/>
        <w:rPr>
          <w:rFonts w:eastAsia="Times New Roman"/>
          <w:sz w:val="24"/>
          <w:szCs w:val="24"/>
        </w:rPr>
      </w:pPr>
      <w:r w:rsidRPr="00FA2975">
        <w:rPr>
          <w:rFonts w:eastAsia="Times New Roman"/>
          <w:sz w:val="24"/>
          <w:szCs w:val="24"/>
        </w:rPr>
        <w:t xml:space="preserve">It implies that the organisation is at a serious risk of defaulting on its debt. </w:t>
      </w:r>
    </w:p>
    <w:p w14:paraId="685A90EA" w14:textId="77777777" w:rsidR="00160971" w:rsidRPr="00FA2975" w:rsidRDefault="00160971" w:rsidP="00160971">
      <w:pPr>
        <w:numPr>
          <w:ilvl w:val="0"/>
          <w:numId w:val="25"/>
        </w:numPr>
        <w:spacing w:line="360" w:lineRule="auto"/>
        <w:jc w:val="both"/>
        <w:rPr>
          <w:rFonts w:eastAsia="Times New Roman"/>
          <w:sz w:val="24"/>
          <w:szCs w:val="24"/>
        </w:rPr>
      </w:pPr>
      <w:r w:rsidRPr="00FA2975">
        <w:rPr>
          <w:rFonts w:eastAsia="Times New Roman"/>
          <w:sz w:val="24"/>
          <w:szCs w:val="24"/>
        </w:rPr>
        <w:t>It further implies that operating losses fail to cover interest expenses (Broby, 2021).</w:t>
      </w:r>
    </w:p>
    <w:p w14:paraId="7576603C" w14:textId="77777777" w:rsidR="00160971" w:rsidRPr="00FA2975" w:rsidRDefault="005E6E13" w:rsidP="00160971">
      <w:pPr>
        <w:spacing w:line="360" w:lineRule="auto"/>
        <w:jc w:val="both"/>
        <w:rPr>
          <w:rFonts w:eastAsia="Times New Roman"/>
          <w:sz w:val="24"/>
          <w:szCs w:val="24"/>
        </w:rPr>
      </w:pPr>
      <w:r>
        <w:rPr>
          <w:noProof/>
          <w:lang w:val="en-IN"/>
        </w:rPr>
        <w:drawing>
          <wp:inline distT="0" distB="0" distL="0" distR="0" wp14:anchorId="4808542A" wp14:editId="0291A222">
            <wp:extent cx="5943600" cy="2679065"/>
            <wp:effectExtent l="0" t="0" r="0" b="6985"/>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956C7F8"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8: </w:t>
      </w:r>
      <w:r w:rsidR="005E6E13">
        <w:rPr>
          <w:rFonts w:eastAsia="Times New Roman"/>
          <w:b/>
          <w:bCs/>
          <w:sz w:val="24"/>
          <w:szCs w:val="24"/>
        </w:rPr>
        <w:t xml:space="preserve">5-year performance of </w:t>
      </w:r>
      <w:r w:rsidRPr="00FA2975">
        <w:rPr>
          <w:rFonts w:eastAsia="Times New Roman"/>
          <w:b/>
          <w:bCs/>
          <w:sz w:val="24"/>
          <w:szCs w:val="24"/>
        </w:rPr>
        <w:t>interest coverage ratio</w:t>
      </w:r>
    </w:p>
    <w:p w14:paraId="71425DC4"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lastRenderedPageBreak/>
        <w:t>(Source: Self-developed)</w:t>
      </w:r>
    </w:p>
    <w:p w14:paraId="1A141EE4"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Investment</w:t>
      </w:r>
    </w:p>
    <w:p w14:paraId="10F1DFE1"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ix) Return on Equity</w:t>
      </w:r>
    </w:p>
    <w:p w14:paraId="2A26866B" w14:textId="77777777" w:rsidR="00160971" w:rsidRPr="00FA2975" w:rsidRDefault="00160971" w:rsidP="00160971">
      <w:pPr>
        <w:numPr>
          <w:ilvl w:val="0"/>
          <w:numId w:val="22"/>
        </w:numPr>
        <w:spacing w:line="360" w:lineRule="auto"/>
        <w:jc w:val="both"/>
        <w:rPr>
          <w:rFonts w:eastAsia="Times New Roman"/>
          <w:sz w:val="24"/>
          <w:szCs w:val="24"/>
        </w:rPr>
      </w:pPr>
      <w:r w:rsidRPr="00FA2975">
        <w:rPr>
          <w:rFonts w:eastAsia="Times New Roman"/>
          <w:sz w:val="24"/>
          <w:szCs w:val="24"/>
        </w:rPr>
        <w:t>In 2020, net income for the company was £38,572 million, which reached -£24,029 million in 2024.</w:t>
      </w:r>
    </w:p>
    <w:p w14:paraId="22FF7BE2" w14:textId="77777777" w:rsidR="00160971" w:rsidRPr="00FA2975" w:rsidRDefault="00160971" w:rsidP="00160971">
      <w:pPr>
        <w:numPr>
          <w:ilvl w:val="0"/>
          <w:numId w:val="22"/>
        </w:numPr>
        <w:spacing w:line="360" w:lineRule="auto"/>
        <w:jc w:val="both"/>
        <w:rPr>
          <w:rFonts w:eastAsia="Times New Roman"/>
          <w:sz w:val="24"/>
          <w:szCs w:val="24"/>
        </w:rPr>
      </w:pPr>
      <w:r w:rsidRPr="00FA2975">
        <w:rPr>
          <w:rFonts w:eastAsia="Times New Roman"/>
          <w:sz w:val="24"/>
          <w:szCs w:val="24"/>
        </w:rPr>
        <w:t>The shareholder equity has similarly dropped from £313,301 million in 2020 to £153,105 million in 2024.</w:t>
      </w:r>
    </w:p>
    <w:p w14:paraId="3E404BBE" w14:textId="77777777" w:rsidR="00160971" w:rsidRPr="00FA2975" w:rsidRDefault="00160971" w:rsidP="00160971">
      <w:pPr>
        <w:numPr>
          <w:ilvl w:val="0"/>
          <w:numId w:val="22"/>
        </w:numPr>
        <w:spacing w:line="360" w:lineRule="auto"/>
        <w:jc w:val="both"/>
        <w:rPr>
          <w:rFonts w:eastAsia="Times New Roman"/>
          <w:sz w:val="24"/>
          <w:szCs w:val="24"/>
        </w:rPr>
      </w:pPr>
      <w:r w:rsidRPr="00FA2975">
        <w:rPr>
          <w:rFonts w:eastAsia="Times New Roman"/>
          <w:sz w:val="24"/>
          <w:szCs w:val="24"/>
        </w:rPr>
        <w:t>From a positive value of 0.12 in 2020, the ROE value has reached -0.16 million in 2024.</w:t>
      </w:r>
    </w:p>
    <w:p w14:paraId="43A68C2B" w14:textId="77777777" w:rsidR="00160971" w:rsidRPr="00FA2975" w:rsidRDefault="00160971" w:rsidP="00160971">
      <w:pPr>
        <w:numPr>
          <w:ilvl w:val="0"/>
          <w:numId w:val="22"/>
        </w:numPr>
        <w:spacing w:line="360" w:lineRule="auto"/>
        <w:jc w:val="both"/>
        <w:rPr>
          <w:rFonts w:eastAsia="Times New Roman"/>
          <w:sz w:val="24"/>
          <w:szCs w:val="24"/>
        </w:rPr>
      </w:pPr>
      <w:r w:rsidRPr="00FA2975">
        <w:rPr>
          <w:rFonts w:eastAsia="Times New Roman"/>
          <w:sz w:val="24"/>
          <w:szCs w:val="24"/>
        </w:rPr>
        <w:t xml:space="preserve">It indicates a loss of money as the investment is greater than the profit or returns from the business operations (Susilawati </w:t>
      </w:r>
      <w:r w:rsidRPr="00FA2975">
        <w:rPr>
          <w:rFonts w:eastAsia="Times New Roman"/>
          <w:i/>
          <w:iCs/>
          <w:sz w:val="24"/>
          <w:szCs w:val="24"/>
        </w:rPr>
        <w:t>et al.,</w:t>
      </w:r>
      <w:r w:rsidRPr="00FA2975">
        <w:rPr>
          <w:rFonts w:eastAsia="Times New Roman"/>
          <w:sz w:val="24"/>
          <w:szCs w:val="24"/>
        </w:rPr>
        <w:t xml:space="preserve"> 2022).</w:t>
      </w:r>
    </w:p>
    <w:p w14:paraId="675C26C9" w14:textId="77777777" w:rsidR="00160971" w:rsidRPr="00FA2975" w:rsidRDefault="00832DAF" w:rsidP="00160971">
      <w:pPr>
        <w:spacing w:line="360" w:lineRule="auto"/>
        <w:jc w:val="center"/>
        <w:rPr>
          <w:rFonts w:eastAsia="Times New Roman"/>
          <w:sz w:val="24"/>
          <w:szCs w:val="24"/>
        </w:rPr>
      </w:pPr>
      <w:r>
        <w:rPr>
          <w:noProof/>
          <w:lang w:val="en-IN"/>
        </w:rPr>
        <w:drawing>
          <wp:inline distT="0" distB="0" distL="0" distR="0" wp14:anchorId="2805A1C8" wp14:editId="7B1C4EAC">
            <wp:extent cx="5943600" cy="3177540"/>
            <wp:effectExtent l="0" t="0" r="0" b="3810"/>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548CCB4"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9: </w:t>
      </w:r>
      <w:r w:rsidR="00832DAF">
        <w:rPr>
          <w:rFonts w:eastAsia="Times New Roman"/>
          <w:b/>
          <w:bCs/>
          <w:sz w:val="24"/>
          <w:szCs w:val="24"/>
        </w:rPr>
        <w:t xml:space="preserve">5-year performance of </w:t>
      </w:r>
      <w:r w:rsidRPr="00FA2975">
        <w:rPr>
          <w:rFonts w:eastAsia="Times New Roman"/>
          <w:b/>
          <w:bCs/>
          <w:sz w:val="24"/>
          <w:szCs w:val="24"/>
        </w:rPr>
        <w:t>return on equity</w:t>
      </w:r>
    </w:p>
    <w:p w14:paraId="64E1ED81"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4A615F14"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x) Earnings Per Share</w:t>
      </w:r>
    </w:p>
    <w:p w14:paraId="14896DB7" w14:textId="77777777" w:rsidR="00160971" w:rsidRPr="00FA2975" w:rsidRDefault="00160971" w:rsidP="00160971">
      <w:pPr>
        <w:numPr>
          <w:ilvl w:val="0"/>
          <w:numId w:val="24"/>
        </w:numPr>
        <w:spacing w:line="360" w:lineRule="auto"/>
        <w:jc w:val="both"/>
        <w:rPr>
          <w:rFonts w:eastAsia="Times New Roman"/>
          <w:sz w:val="24"/>
          <w:szCs w:val="24"/>
        </w:rPr>
      </w:pPr>
      <w:r w:rsidRPr="00FA2975">
        <w:rPr>
          <w:rFonts w:eastAsia="Times New Roman"/>
          <w:sz w:val="24"/>
          <w:szCs w:val="24"/>
        </w:rPr>
        <w:t xml:space="preserve">In 2020, 2021 and 2022, EPS values for the organisation were 2.78, 0.39 and 0.03, respectively. </w:t>
      </w:r>
    </w:p>
    <w:p w14:paraId="7742CB16" w14:textId="77777777" w:rsidR="00160971" w:rsidRPr="00FA2975" w:rsidRDefault="00160971" w:rsidP="00160971">
      <w:pPr>
        <w:numPr>
          <w:ilvl w:val="0"/>
          <w:numId w:val="24"/>
        </w:numPr>
        <w:spacing w:line="360" w:lineRule="auto"/>
        <w:jc w:val="both"/>
        <w:rPr>
          <w:rFonts w:eastAsia="Times New Roman"/>
          <w:sz w:val="24"/>
          <w:szCs w:val="24"/>
        </w:rPr>
      </w:pPr>
      <w:r w:rsidRPr="00FA2975">
        <w:rPr>
          <w:rFonts w:eastAsia="Times New Roman"/>
          <w:sz w:val="24"/>
          <w:szCs w:val="24"/>
        </w:rPr>
        <w:t>In 2023 and 2024, EPS values went negative and reached -7.64 and -1.85, respectively.</w:t>
      </w:r>
    </w:p>
    <w:p w14:paraId="58760161" w14:textId="77777777" w:rsidR="00160971" w:rsidRPr="00FA2975" w:rsidRDefault="00160971" w:rsidP="00160971">
      <w:pPr>
        <w:numPr>
          <w:ilvl w:val="0"/>
          <w:numId w:val="24"/>
        </w:numPr>
        <w:spacing w:line="360" w:lineRule="auto"/>
        <w:jc w:val="both"/>
        <w:rPr>
          <w:rFonts w:eastAsia="Times New Roman"/>
          <w:sz w:val="24"/>
          <w:szCs w:val="24"/>
        </w:rPr>
      </w:pPr>
      <w:r w:rsidRPr="00FA2975">
        <w:rPr>
          <w:rFonts w:eastAsia="Times New Roman"/>
          <w:sz w:val="24"/>
          <w:szCs w:val="24"/>
        </w:rPr>
        <w:lastRenderedPageBreak/>
        <w:t>It implies a decrease in net income, an increase in the number of outstanding shares and a profitability crisis (Mahendra, 2023).</w:t>
      </w:r>
    </w:p>
    <w:p w14:paraId="421FBFC7" w14:textId="77777777" w:rsidR="00160971" w:rsidRPr="00FA2975" w:rsidRDefault="00832DAF" w:rsidP="00160971">
      <w:pPr>
        <w:spacing w:line="360" w:lineRule="auto"/>
        <w:jc w:val="center"/>
        <w:rPr>
          <w:rFonts w:eastAsia="Times New Roman"/>
          <w:sz w:val="24"/>
          <w:szCs w:val="24"/>
        </w:rPr>
      </w:pPr>
      <w:r>
        <w:rPr>
          <w:noProof/>
          <w:lang w:val="en-IN"/>
        </w:rPr>
        <w:drawing>
          <wp:inline distT="0" distB="0" distL="0" distR="0" wp14:anchorId="0803053D" wp14:editId="76ECA63C">
            <wp:extent cx="5943600" cy="3025140"/>
            <wp:effectExtent l="0" t="0" r="0" b="381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70D1174"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10: </w:t>
      </w:r>
      <w:r w:rsidR="00832DAF">
        <w:rPr>
          <w:rFonts w:eastAsia="Times New Roman"/>
          <w:b/>
          <w:bCs/>
          <w:sz w:val="24"/>
          <w:szCs w:val="24"/>
        </w:rPr>
        <w:t xml:space="preserve">5-year performance of </w:t>
      </w:r>
      <w:r w:rsidRPr="00FA2975">
        <w:rPr>
          <w:rFonts w:eastAsia="Times New Roman"/>
          <w:b/>
          <w:bCs/>
          <w:sz w:val="24"/>
          <w:szCs w:val="24"/>
        </w:rPr>
        <w:t>EPS</w:t>
      </w:r>
    </w:p>
    <w:p w14:paraId="2B637904"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22265B2F"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Cash flow</w:t>
      </w:r>
    </w:p>
    <w:p w14:paraId="3484CD8D"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xi) Operating Cash Flow Margin</w:t>
      </w:r>
    </w:p>
    <w:p w14:paraId="65CE6BE4" w14:textId="77777777" w:rsidR="00160971" w:rsidRPr="00FA2975" w:rsidRDefault="00160971" w:rsidP="00160971">
      <w:pPr>
        <w:numPr>
          <w:ilvl w:val="0"/>
          <w:numId w:val="28"/>
        </w:numPr>
        <w:spacing w:line="360" w:lineRule="auto"/>
        <w:jc w:val="both"/>
        <w:rPr>
          <w:rFonts w:eastAsia="Times New Roman"/>
          <w:sz w:val="24"/>
          <w:szCs w:val="24"/>
        </w:rPr>
      </w:pPr>
      <w:r w:rsidRPr="00FA2975">
        <w:rPr>
          <w:rFonts w:eastAsia="Times New Roman"/>
          <w:sz w:val="24"/>
          <w:szCs w:val="24"/>
        </w:rPr>
        <w:t>An operating cash flow for the organisation has decreased from £73,392 million to £14,822 million in 2024.</w:t>
      </w:r>
    </w:p>
    <w:p w14:paraId="3B0E0995" w14:textId="77777777" w:rsidR="00160971" w:rsidRPr="00FA2975" w:rsidRDefault="00160971" w:rsidP="00160971">
      <w:pPr>
        <w:numPr>
          <w:ilvl w:val="0"/>
          <w:numId w:val="28"/>
        </w:numPr>
        <w:spacing w:line="360" w:lineRule="auto"/>
        <w:jc w:val="both"/>
        <w:rPr>
          <w:rFonts w:eastAsia="Times New Roman"/>
          <w:sz w:val="24"/>
          <w:szCs w:val="24"/>
        </w:rPr>
      </w:pPr>
      <w:r w:rsidRPr="00FA2975">
        <w:rPr>
          <w:rFonts w:eastAsia="Times New Roman"/>
          <w:sz w:val="24"/>
          <w:szCs w:val="24"/>
        </w:rPr>
        <w:t>The net sales have decreased from £614,680 million in 2020 to £394,879 million in 2024.</w:t>
      </w:r>
    </w:p>
    <w:p w14:paraId="2492675B" w14:textId="77777777" w:rsidR="00160971" w:rsidRPr="00FA2975" w:rsidRDefault="00160971" w:rsidP="00160971">
      <w:pPr>
        <w:numPr>
          <w:ilvl w:val="0"/>
          <w:numId w:val="28"/>
        </w:numPr>
        <w:spacing w:line="360" w:lineRule="auto"/>
        <w:jc w:val="both"/>
        <w:rPr>
          <w:rFonts w:eastAsia="Times New Roman"/>
          <w:sz w:val="24"/>
          <w:szCs w:val="24"/>
        </w:rPr>
      </w:pPr>
      <w:r w:rsidRPr="00FA2975">
        <w:rPr>
          <w:rFonts w:eastAsia="Times New Roman"/>
          <w:sz w:val="24"/>
          <w:szCs w:val="24"/>
        </w:rPr>
        <w:t>The operating cash flow margin value dropped from 11.94 to 3.75.</w:t>
      </w:r>
    </w:p>
    <w:p w14:paraId="1F93D9D0" w14:textId="77777777" w:rsidR="00160971" w:rsidRPr="00FA2975" w:rsidRDefault="00160971" w:rsidP="00160971">
      <w:pPr>
        <w:numPr>
          <w:ilvl w:val="0"/>
          <w:numId w:val="28"/>
        </w:numPr>
        <w:spacing w:line="360" w:lineRule="auto"/>
        <w:jc w:val="both"/>
        <w:rPr>
          <w:rFonts w:eastAsia="Times New Roman"/>
          <w:sz w:val="24"/>
          <w:szCs w:val="24"/>
        </w:rPr>
      </w:pPr>
      <w:r w:rsidRPr="00FA2975">
        <w:rPr>
          <w:rFonts w:eastAsia="Times New Roman"/>
          <w:sz w:val="24"/>
          <w:szCs w:val="24"/>
        </w:rPr>
        <w:t xml:space="preserve">Poor cash quality and higher liquidity risks have been noticed along with deteriorating working capital management (Choudhary and Limodio, 2021). </w:t>
      </w:r>
    </w:p>
    <w:p w14:paraId="0617CC8B" w14:textId="77777777" w:rsidR="00160971" w:rsidRPr="00FA2975" w:rsidRDefault="00E15087" w:rsidP="00160971">
      <w:pPr>
        <w:spacing w:line="360" w:lineRule="auto"/>
        <w:jc w:val="center"/>
        <w:rPr>
          <w:rFonts w:eastAsia="Times New Roman"/>
          <w:sz w:val="24"/>
          <w:szCs w:val="24"/>
        </w:rPr>
      </w:pPr>
      <w:r>
        <w:rPr>
          <w:noProof/>
          <w:lang w:val="en-IN"/>
        </w:rPr>
        <w:lastRenderedPageBreak/>
        <w:drawing>
          <wp:inline distT="0" distB="0" distL="0" distR="0" wp14:anchorId="6FB24B06" wp14:editId="25F50F81">
            <wp:extent cx="5943600" cy="3253740"/>
            <wp:effectExtent l="0" t="0" r="0" b="3810"/>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A0EAB04"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11: </w:t>
      </w:r>
      <w:r w:rsidR="007E6651">
        <w:rPr>
          <w:rFonts w:eastAsia="Times New Roman"/>
          <w:b/>
          <w:bCs/>
          <w:sz w:val="24"/>
          <w:szCs w:val="24"/>
        </w:rPr>
        <w:t xml:space="preserve">5-year performance of </w:t>
      </w:r>
      <w:r w:rsidRPr="00FA2975">
        <w:rPr>
          <w:rFonts w:eastAsia="Times New Roman"/>
          <w:b/>
          <w:bCs/>
          <w:sz w:val="24"/>
          <w:szCs w:val="24"/>
        </w:rPr>
        <w:t>operating cash flow margin</w:t>
      </w:r>
    </w:p>
    <w:p w14:paraId="7FC38CF8"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0C04021B"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xii) Free Cash Flow Margin</w:t>
      </w:r>
    </w:p>
    <w:p w14:paraId="10D16A9A" w14:textId="77777777" w:rsidR="00160971" w:rsidRPr="00FA2975" w:rsidRDefault="00160971" w:rsidP="00160971">
      <w:pPr>
        <w:numPr>
          <w:ilvl w:val="0"/>
          <w:numId w:val="23"/>
        </w:numPr>
        <w:spacing w:line="360" w:lineRule="auto"/>
        <w:jc w:val="both"/>
        <w:rPr>
          <w:rFonts w:eastAsia="Times New Roman"/>
          <w:sz w:val="24"/>
          <w:szCs w:val="24"/>
        </w:rPr>
      </w:pPr>
      <w:r w:rsidRPr="00FA2975">
        <w:rPr>
          <w:rFonts w:eastAsia="Times New Roman"/>
          <w:sz w:val="24"/>
          <w:szCs w:val="24"/>
        </w:rPr>
        <w:t>In 2020, capital expenditure was £73,292 million, which dropped to £4,572 million in 2024.</w:t>
      </w:r>
    </w:p>
    <w:p w14:paraId="4CF3508A" w14:textId="77777777" w:rsidR="00160971" w:rsidRPr="00FA2975" w:rsidRDefault="00160971" w:rsidP="00160971">
      <w:pPr>
        <w:numPr>
          <w:ilvl w:val="0"/>
          <w:numId w:val="23"/>
        </w:numPr>
        <w:spacing w:line="360" w:lineRule="auto"/>
        <w:jc w:val="both"/>
        <w:rPr>
          <w:rFonts w:eastAsia="Times New Roman"/>
          <w:sz w:val="24"/>
          <w:szCs w:val="24"/>
        </w:rPr>
      </w:pPr>
      <w:r w:rsidRPr="00FA2975">
        <w:rPr>
          <w:rFonts w:eastAsia="Times New Roman"/>
          <w:sz w:val="24"/>
          <w:szCs w:val="24"/>
        </w:rPr>
        <w:t>Net sales have dropped from £614,680 million to £394,879 million from 2020 to 2024.</w:t>
      </w:r>
    </w:p>
    <w:p w14:paraId="2D65999F" w14:textId="77777777" w:rsidR="00160971" w:rsidRPr="00FA2975" w:rsidRDefault="00160971" w:rsidP="00160971">
      <w:pPr>
        <w:numPr>
          <w:ilvl w:val="0"/>
          <w:numId w:val="23"/>
        </w:numPr>
        <w:spacing w:line="360" w:lineRule="auto"/>
        <w:jc w:val="both"/>
        <w:rPr>
          <w:rFonts w:eastAsia="Times New Roman"/>
          <w:sz w:val="24"/>
          <w:szCs w:val="24"/>
        </w:rPr>
      </w:pPr>
      <w:r w:rsidRPr="00FA2975">
        <w:rPr>
          <w:rFonts w:eastAsia="Times New Roman"/>
          <w:sz w:val="24"/>
          <w:szCs w:val="24"/>
        </w:rPr>
        <w:t>In 2020, the free cash flow margin for the company was 9.2, which decreased to 2.6 in 2024.</w:t>
      </w:r>
    </w:p>
    <w:p w14:paraId="2DC33A49" w14:textId="77777777" w:rsidR="00160971" w:rsidRPr="00FA2975" w:rsidRDefault="00160971" w:rsidP="00160971">
      <w:pPr>
        <w:numPr>
          <w:ilvl w:val="0"/>
          <w:numId w:val="23"/>
        </w:numPr>
        <w:spacing w:line="360" w:lineRule="auto"/>
        <w:jc w:val="both"/>
        <w:rPr>
          <w:rFonts w:eastAsia="Times New Roman"/>
          <w:sz w:val="24"/>
          <w:szCs w:val="24"/>
        </w:rPr>
      </w:pPr>
      <w:r w:rsidRPr="00FA2975">
        <w:rPr>
          <w:rFonts w:eastAsia="Times New Roman"/>
          <w:sz w:val="24"/>
          <w:szCs w:val="24"/>
        </w:rPr>
        <w:t xml:space="preserve">The implications include poor operating efficiency, reduced financial flexibility and higher debt risk (Karimi </w:t>
      </w:r>
      <w:r w:rsidRPr="00FA2975">
        <w:rPr>
          <w:rFonts w:eastAsia="Times New Roman"/>
          <w:i/>
          <w:iCs/>
          <w:sz w:val="24"/>
          <w:szCs w:val="24"/>
        </w:rPr>
        <w:t>et al.</w:t>
      </w:r>
      <w:r w:rsidRPr="00FA2975">
        <w:rPr>
          <w:rFonts w:eastAsia="Times New Roman"/>
          <w:sz w:val="24"/>
          <w:szCs w:val="24"/>
        </w:rPr>
        <w:t xml:space="preserve">, 2023). </w:t>
      </w:r>
    </w:p>
    <w:p w14:paraId="359FCDF9" w14:textId="77777777" w:rsidR="00160971" w:rsidRPr="00FA2975" w:rsidRDefault="007E6651" w:rsidP="00160971">
      <w:pPr>
        <w:spacing w:line="360" w:lineRule="auto"/>
        <w:jc w:val="center"/>
        <w:rPr>
          <w:rFonts w:eastAsia="Times New Roman"/>
          <w:sz w:val="24"/>
          <w:szCs w:val="24"/>
        </w:rPr>
      </w:pPr>
      <w:r>
        <w:rPr>
          <w:noProof/>
          <w:lang w:val="en-IN"/>
        </w:rPr>
        <w:lastRenderedPageBreak/>
        <w:drawing>
          <wp:inline distT="0" distB="0" distL="0" distR="0" wp14:anchorId="4560981D" wp14:editId="25B8589E">
            <wp:extent cx="5943600" cy="3489960"/>
            <wp:effectExtent l="0" t="0" r="0" b="1524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EAD9FEC"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 xml:space="preserve">Figure 12: </w:t>
      </w:r>
      <w:r w:rsidR="007E6651">
        <w:rPr>
          <w:rFonts w:eastAsia="Times New Roman"/>
          <w:b/>
          <w:bCs/>
          <w:sz w:val="24"/>
          <w:szCs w:val="24"/>
        </w:rPr>
        <w:t xml:space="preserve">5-year performance of </w:t>
      </w:r>
      <w:r w:rsidRPr="00FA2975">
        <w:rPr>
          <w:rFonts w:eastAsia="Times New Roman"/>
          <w:b/>
          <w:bCs/>
          <w:sz w:val="24"/>
          <w:szCs w:val="24"/>
        </w:rPr>
        <w:t>free cash flow margin</w:t>
      </w:r>
    </w:p>
    <w:p w14:paraId="75DD1219"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3D0C4277" w14:textId="77777777" w:rsidR="00160971" w:rsidRPr="00FA2975" w:rsidRDefault="00160971" w:rsidP="00643CA2">
      <w:pPr>
        <w:pStyle w:val="Heading2"/>
      </w:pPr>
      <w:bookmarkStart w:id="4" w:name="_Toc213703058"/>
      <w:r w:rsidRPr="00FA2975">
        <w:t>2.3 Identification of Trends, Strengths and Threats</w:t>
      </w:r>
      <w:bookmarkEnd w:id="4"/>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60971" w:rsidRPr="00FA2975" w14:paraId="03D1A11B" w14:textId="77777777" w:rsidTr="00832DAF">
        <w:tc>
          <w:tcPr>
            <w:tcW w:w="2340" w:type="dxa"/>
            <w:tcMar>
              <w:top w:w="100" w:type="dxa"/>
              <w:left w:w="100" w:type="dxa"/>
              <w:bottom w:w="100" w:type="dxa"/>
              <w:right w:w="100" w:type="dxa"/>
            </w:tcMar>
          </w:tcPr>
          <w:p w14:paraId="1A5EB2F6" w14:textId="77777777" w:rsidR="00160971" w:rsidRPr="00FA2975" w:rsidRDefault="00160971" w:rsidP="00832DAF">
            <w:pPr>
              <w:widowControl w:val="0"/>
              <w:pBdr>
                <w:top w:val="nil"/>
                <w:left w:val="nil"/>
                <w:bottom w:val="nil"/>
                <w:right w:val="nil"/>
                <w:between w:val="nil"/>
              </w:pBdr>
              <w:spacing w:line="360" w:lineRule="auto"/>
              <w:jc w:val="center"/>
              <w:rPr>
                <w:rFonts w:eastAsia="Times New Roman"/>
                <w:b/>
                <w:bCs/>
                <w:sz w:val="24"/>
                <w:szCs w:val="24"/>
              </w:rPr>
            </w:pPr>
            <w:r w:rsidRPr="00FA2975">
              <w:rPr>
                <w:rFonts w:eastAsia="Times New Roman"/>
                <w:b/>
                <w:bCs/>
                <w:sz w:val="24"/>
                <w:szCs w:val="24"/>
              </w:rPr>
              <w:t>Area</w:t>
            </w:r>
          </w:p>
        </w:tc>
        <w:tc>
          <w:tcPr>
            <w:tcW w:w="2340" w:type="dxa"/>
            <w:tcMar>
              <w:top w:w="100" w:type="dxa"/>
              <w:left w:w="100" w:type="dxa"/>
              <w:bottom w:w="100" w:type="dxa"/>
              <w:right w:w="100" w:type="dxa"/>
            </w:tcMar>
          </w:tcPr>
          <w:p w14:paraId="3E045824" w14:textId="77777777" w:rsidR="00160971" w:rsidRPr="00FA2975" w:rsidRDefault="00160971" w:rsidP="00832DAF">
            <w:pPr>
              <w:widowControl w:val="0"/>
              <w:pBdr>
                <w:top w:val="nil"/>
                <w:left w:val="nil"/>
                <w:bottom w:val="nil"/>
                <w:right w:val="nil"/>
                <w:between w:val="nil"/>
              </w:pBdr>
              <w:spacing w:line="360" w:lineRule="auto"/>
              <w:jc w:val="center"/>
              <w:rPr>
                <w:rFonts w:eastAsia="Times New Roman"/>
                <w:b/>
                <w:bCs/>
                <w:sz w:val="24"/>
                <w:szCs w:val="24"/>
              </w:rPr>
            </w:pPr>
            <w:r w:rsidRPr="00FA2975">
              <w:rPr>
                <w:rFonts w:eastAsia="Times New Roman"/>
                <w:b/>
                <w:bCs/>
                <w:sz w:val="24"/>
                <w:szCs w:val="24"/>
              </w:rPr>
              <w:t>Trend</w:t>
            </w:r>
          </w:p>
        </w:tc>
        <w:tc>
          <w:tcPr>
            <w:tcW w:w="2340" w:type="dxa"/>
            <w:tcMar>
              <w:top w:w="100" w:type="dxa"/>
              <w:left w:w="100" w:type="dxa"/>
              <w:bottom w:w="100" w:type="dxa"/>
              <w:right w:w="100" w:type="dxa"/>
            </w:tcMar>
          </w:tcPr>
          <w:p w14:paraId="47B62F93" w14:textId="77777777" w:rsidR="00160971" w:rsidRPr="00FA2975" w:rsidRDefault="00160971" w:rsidP="00832DAF">
            <w:pPr>
              <w:widowControl w:val="0"/>
              <w:pBdr>
                <w:top w:val="nil"/>
                <w:left w:val="nil"/>
                <w:bottom w:val="nil"/>
                <w:right w:val="nil"/>
                <w:between w:val="nil"/>
              </w:pBdr>
              <w:spacing w:line="360" w:lineRule="auto"/>
              <w:jc w:val="center"/>
              <w:rPr>
                <w:rFonts w:eastAsia="Times New Roman"/>
                <w:b/>
                <w:bCs/>
                <w:sz w:val="24"/>
                <w:szCs w:val="24"/>
              </w:rPr>
            </w:pPr>
            <w:r w:rsidRPr="00FA2975">
              <w:rPr>
                <w:rFonts w:eastAsia="Times New Roman"/>
                <w:b/>
                <w:bCs/>
                <w:sz w:val="24"/>
                <w:szCs w:val="24"/>
              </w:rPr>
              <w:t>Strength/Weakness</w:t>
            </w:r>
          </w:p>
        </w:tc>
        <w:tc>
          <w:tcPr>
            <w:tcW w:w="2340" w:type="dxa"/>
            <w:tcMar>
              <w:top w:w="100" w:type="dxa"/>
              <w:left w:w="100" w:type="dxa"/>
              <w:bottom w:w="100" w:type="dxa"/>
              <w:right w:w="100" w:type="dxa"/>
            </w:tcMar>
          </w:tcPr>
          <w:p w14:paraId="334BF3B8" w14:textId="77777777" w:rsidR="00160971" w:rsidRPr="00FA2975" w:rsidRDefault="00160971" w:rsidP="00832DAF">
            <w:pPr>
              <w:widowControl w:val="0"/>
              <w:pBdr>
                <w:top w:val="nil"/>
                <w:left w:val="nil"/>
                <w:bottom w:val="nil"/>
                <w:right w:val="nil"/>
                <w:between w:val="nil"/>
              </w:pBdr>
              <w:spacing w:line="360" w:lineRule="auto"/>
              <w:jc w:val="center"/>
              <w:rPr>
                <w:rFonts w:eastAsia="Times New Roman"/>
                <w:b/>
                <w:bCs/>
                <w:sz w:val="24"/>
                <w:szCs w:val="24"/>
              </w:rPr>
            </w:pPr>
            <w:r w:rsidRPr="00FA2975">
              <w:rPr>
                <w:rFonts w:eastAsia="Times New Roman"/>
                <w:b/>
                <w:bCs/>
                <w:sz w:val="24"/>
                <w:szCs w:val="24"/>
              </w:rPr>
              <w:t>Interpretation</w:t>
            </w:r>
          </w:p>
        </w:tc>
      </w:tr>
      <w:tr w:rsidR="00160971" w:rsidRPr="00FA2975" w14:paraId="53550138" w14:textId="77777777" w:rsidTr="00832DAF">
        <w:tc>
          <w:tcPr>
            <w:tcW w:w="2340" w:type="dxa"/>
            <w:tcMar>
              <w:top w:w="100" w:type="dxa"/>
              <w:left w:w="100" w:type="dxa"/>
              <w:bottom w:w="100" w:type="dxa"/>
              <w:right w:w="100" w:type="dxa"/>
            </w:tcMar>
          </w:tcPr>
          <w:p w14:paraId="1C1E3252"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 xml:space="preserve">Revenue </w:t>
            </w:r>
          </w:p>
        </w:tc>
        <w:tc>
          <w:tcPr>
            <w:tcW w:w="2340" w:type="dxa"/>
            <w:tcMar>
              <w:top w:w="100" w:type="dxa"/>
              <w:left w:w="100" w:type="dxa"/>
              <w:bottom w:w="100" w:type="dxa"/>
              <w:right w:w="100" w:type="dxa"/>
            </w:tcMar>
          </w:tcPr>
          <w:p w14:paraId="4D7D3F64"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Decline in sales in 2024 as compared to 2020</w:t>
            </w:r>
          </w:p>
        </w:tc>
        <w:tc>
          <w:tcPr>
            <w:tcW w:w="2340" w:type="dxa"/>
            <w:tcMar>
              <w:top w:w="100" w:type="dxa"/>
              <w:left w:w="100" w:type="dxa"/>
              <w:bottom w:w="100" w:type="dxa"/>
              <w:right w:w="100" w:type="dxa"/>
            </w:tcMar>
          </w:tcPr>
          <w:p w14:paraId="58F5C3BB"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Weakness (Threat)</w:t>
            </w:r>
          </w:p>
        </w:tc>
        <w:tc>
          <w:tcPr>
            <w:tcW w:w="2340" w:type="dxa"/>
            <w:tcMar>
              <w:top w:w="100" w:type="dxa"/>
              <w:left w:w="100" w:type="dxa"/>
              <w:bottom w:w="100" w:type="dxa"/>
              <w:right w:w="100" w:type="dxa"/>
            </w:tcMar>
          </w:tcPr>
          <w:p w14:paraId="6762C60E"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A 36% drop in revenue generation indicated poor financial efficiency</w:t>
            </w:r>
          </w:p>
        </w:tc>
      </w:tr>
      <w:tr w:rsidR="00160971" w:rsidRPr="00FA2975" w14:paraId="2C33E5B5" w14:textId="77777777" w:rsidTr="00832DAF">
        <w:tc>
          <w:tcPr>
            <w:tcW w:w="2340" w:type="dxa"/>
            <w:tcMar>
              <w:top w:w="100" w:type="dxa"/>
              <w:left w:w="100" w:type="dxa"/>
              <w:bottom w:w="100" w:type="dxa"/>
              <w:right w:w="100" w:type="dxa"/>
            </w:tcMar>
          </w:tcPr>
          <w:p w14:paraId="7F1C9E07"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Profitability</w:t>
            </w:r>
          </w:p>
        </w:tc>
        <w:tc>
          <w:tcPr>
            <w:tcW w:w="2340" w:type="dxa"/>
            <w:tcMar>
              <w:top w:w="100" w:type="dxa"/>
              <w:left w:w="100" w:type="dxa"/>
              <w:bottom w:w="100" w:type="dxa"/>
              <w:right w:w="100" w:type="dxa"/>
            </w:tcMar>
          </w:tcPr>
          <w:p w14:paraId="07E766D6"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Profit (2020): £38,572 million</w:t>
            </w:r>
          </w:p>
          <w:p w14:paraId="5360CF9F"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Profit (2024):</w:t>
            </w:r>
          </w:p>
          <w:p w14:paraId="4409E339"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£24,029 million</w:t>
            </w:r>
          </w:p>
        </w:tc>
        <w:tc>
          <w:tcPr>
            <w:tcW w:w="2340" w:type="dxa"/>
            <w:tcMar>
              <w:top w:w="100" w:type="dxa"/>
              <w:left w:w="100" w:type="dxa"/>
              <w:bottom w:w="100" w:type="dxa"/>
              <w:right w:w="100" w:type="dxa"/>
            </w:tcMar>
          </w:tcPr>
          <w:p w14:paraId="4A5EE117" w14:textId="77777777" w:rsidR="00160971" w:rsidRPr="00FA2975" w:rsidRDefault="00160971" w:rsidP="00832DAF">
            <w:pPr>
              <w:widowControl w:val="0"/>
              <w:spacing w:line="360" w:lineRule="auto"/>
              <w:rPr>
                <w:rFonts w:eastAsia="Times New Roman"/>
                <w:sz w:val="24"/>
                <w:szCs w:val="24"/>
              </w:rPr>
            </w:pPr>
            <w:r w:rsidRPr="00FA2975">
              <w:rPr>
                <w:rFonts w:eastAsia="Times New Roman"/>
                <w:sz w:val="24"/>
                <w:szCs w:val="24"/>
              </w:rPr>
              <w:t>Weakness (Threat)</w:t>
            </w:r>
          </w:p>
        </w:tc>
        <w:tc>
          <w:tcPr>
            <w:tcW w:w="2340" w:type="dxa"/>
            <w:tcMar>
              <w:top w:w="100" w:type="dxa"/>
              <w:left w:w="100" w:type="dxa"/>
              <w:bottom w:w="100" w:type="dxa"/>
              <w:right w:w="100" w:type="dxa"/>
            </w:tcMar>
          </w:tcPr>
          <w:p w14:paraId="34EE11F6"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Reflects a consistent decline in profits</w:t>
            </w:r>
          </w:p>
        </w:tc>
      </w:tr>
      <w:tr w:rsidR="00160971" w:rsidRPr="00FA2975" w14:paraId="1E006034" w14:textId="77777777" w:rsidTr="00832DAF">
        <w:tc>
          <w:tcPr>
            <w:tcW w:w="2340" w:type="dxa"/>
            <w:tcMar>
              <w:top w:w="100" w:type="dxa"/>
              <w:left w:w="100" w:type="dxa"/>
              <w:bottom w:w="100" w:type="dxa"/>
              <w:right w:w="100" w:type="dxa"/>
            </w:tcMar>
          </w:tcPr>
          <w:p w14:paraId="5E001456"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Operating margin</w:t>
            </w:r>
          </w:p>
        </w:tc>
        <w:tc>
          <w:tcPr>
            <w:tcW w:w="2340" w:type="dxa"/>
            <w:tcMar>
              <w:top w:w="100" w:type="dxa"/>
              <w:left w:w="100" w:type="dxa"/>
              <w:bottom w:w="100" w:type="dxa"/>
              <w:right w:w="100" w:type="dxa"/>
            </w:tcMar>
          </w:tcPr>
          <w:p w14:paraId="4419214D"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2020: 6.06%</w:t>
            </w:r>
            <w:r w:rsidRPr="00FA2975">
              <w:rPr>
                <w:rFonts w:eastAsia="Times New Roman"/>
                <w:sz w:val="24"/>
                <w:szCs w:val="24"/>
              </w:rPr>
              <w:br/>
            </w:r>
            <w:r w:rsidRPr="00FA2975">
              <w:rPr>
                <w:rFonts w:eastAsia="Times New Roman"/>
                <w:sz w:val="24"/>
                <w:szCs w:val="24"/>
              </w:rPr>
              <w:lastRenderedPageBreak/>
              <w:t>2024: -3.87%</w:t>
            </w:r>
          </w:p>
        </w:tc>
        <w:tc>
          <w:tcPr>
            <w:tcW w:w="2340" w:type="dxa"/>
            <w:tcMar>
              <w:top w:w="100" w:type="dxa"/>
              <w:left w:w="100" w:type="dxa"/>
              <w:bottom w:w="100" w:type="dxa"/>
              <w:right w:w="100" w:type="dxa"/>
            </w:tcMar>
          </w:tcPr>
          <w:p w14:paraId="131F5CB2" w14:textId="77777777" w:rsidR="00160971" w:rsidRPr="00FA2975" w:rsidRDefault="00160971" w:rsidP="00832DAF">
            <w:pPr>
              <w:widowControl w:val="0"/>
              <w:spacing w:line="360" w:lineRule="auto"/>
              <w:rPr>
                <w:rFonts w:eastAsia="Times New Roman"/>
                <w:sz w:val="24"/>
                <w:szCs w:val="24"/>
              </w:rPr>
            </w:pPr>
            <w:r w:rsidRPr="00FA2975">
              <w:rPr>
                <w:rFonts w:eastAsia="Times New Roman"/>
                <w:sz w:val="24"/>
                <w:szCs w:val="24"/>
              </w:rPr>
              <w:lastRenderedPageBreak/>
              <w:t>Weakness (Threat)</w:t>
            </w:r>
          </w:p>
        </w:tc>
        <w:tc>
          <w:tcPr>
            <w:tcW w:w="2340" w:type="dxa"/>
            <w:tcMar>
              <w:top w:w="100" w:type="dxa"/>
              <w:left w:w="100" w:type="dxa"/>
              <w:bottom w:w="100" w:type="dxa"/>
              <w:right w:w="100" w:type="dxa"/>
            </w:tcMar>
          </w:tcPr>
          <w:p w14:paraId="3533C459"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 xml:space="preserve">Poor operational </w:t>
            </w:r>
            <w:r w:rsidRPr="00FA2975">
              <w:rPr>
                <w:rFonts w:eastAsia="Times New Roman"/>
                <w:sz w:val="24"/>
                <w:szCs w:val="24"/>
              </w:rPr>
              <w:lastRenderedPageBreak/>
              <w:t>efficiency and a reduction in sales</w:t>
            </w:r>
          </w:p>
        </w:tc>
      </w:tr>
      <w:tr w:rsidR="00160971" w:rsidRPr="00FA2975" w14:paraId="7917323E" w14:textId="77777777" w:rsidTr="00832DAF">
        <w:tc>
          <w:tcPr>
            <w:tcW w:w="2340" w:type="dxa"/>
            <w:tcMar>
              <w:top w:w="100" w:type="dxa"/>
              <w:left w:w="100" w:type="dxa"/>
              <w:bottom w:w="100" w:type="dxa"/>
              <w:right w:w="100" w:type="dxa"/>
            </w:tcMar>
          </w:tcPr>
          <w:p w14:paraId="0F776484"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lastRenderedPageBreak/>
              <w:t>Liquidity ratio</w:t>
            </w:r>
          </w:p>
        </w:tc>
        <w:tc>
          <w:tcPr>
            <w:tcW w:w="2340" w:type="dxa"/>
            <w:tcMar>
              <w:top w:w="100" w:type="dxa"/>
              <w:left w:w="100" w:type="dxa"/>
              <w:bottom w:w="100" w:type="dxa"/>
              <w:right w:w="100" w:type="dxa"/>
            </w:tcMar>
          </w:tcPr>
          <w:p w14:paraId="7257C336"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CR (2020): 1.82</w:t>
            </w:r>
          </w:p>
          <w:p w14:paraId="2BE8F5B7"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CR (2024): 1.53</w:t>
            </w:r>
          </w:p>
        </w:tc>
        <w:tc>
          <w:tcPr>
            <w:tcW w:w="2340" w:type="dxa"/>
            <w:tcMar>
              <w:top w:w="100" w:type="dxa"/>
              <w:left w:w="100" w:type="dxa"/>
              <w:bottom w:w="100" w:type="dxa"/>
              <w:right w:w="100" w:type="dxa"/>
            </w:tcMar>
          </w:tcPr>
          <w:p w14:paraId="23273424" w14:textId="77777777" w:rsidR="00160971" w:rsidRPr="00FA2975" w:rsidRDefault="00160971" w:rsidP="00832DAF">
            <w:pPr>
              <w:widowControl w:val="0"/>
              <w:spacing w:line="360" w:lineRule="auto"/>
              <w:rPr>
                <w:rFonts w:eastAsia="Times New Roman"/>
                <w:sz w:val="24"/>
                <w:szCs w:val="24"/>
              </w:rPr>
            </w:pPr>
            <w:r w:rsidRPr="00FA2975">
              <w:rPr>
                <w:rFonts w:eastAsia="Times New Roman"/>
                <w:sz w:val="24"/>
                <w:szCs w:val="24"/>
              </w:rPr>
              <w:t>Weakness (Threat)</w:t>
            </w:r>
          </w:p>
        </w:tc>
        <w:tc>
          <w:tcPr>
            <w:tcW w:w="2340" w:type="dxa"/>
            <w:tcMar>
              <w:top w:w="100" w:type="dxa"/>
              <w:left w:w="100" w:type="dxa"/>
              <w:bottom w:w="100" w:type="dxa"/>
              <w:right w:w="100" w:type="dxa"/>
            </w:tcMar>
          </w:tcPr>
          <w:p w14:paraId="32080792"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Poor short-term liquidity</w:t>
            </w:r>
          </w:p>
        </w:tc>
      </w:tr>
      <w:tr w:rsidR="00160971" w:rsidRPr="00FA2975" w14:paraId="0A8802C1" w14:textId="77777777" w:rsidTr="00832DAF">
        <w:tc>
          <w:tcPr>
            <w:tcW w:w="2340" w:type="dxa"/>
            <w:tcMar>
              <w:top w:w="100" w:type="dxa"/>
              <w:left w:w="100" w:type="dxa"/>
              <w:bottom w:w="100" w:type="dxa"/>
              <w:right w:w="100" w:type="dxa"/>
            </w:tcMar>
          </w:tcPr>
          <w:p w14:paraId="09EF7C4C"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Leverage</w:t>
            </w:r>
          </w:p>
        </w:tc>
        <w:tc>
          <w:tcPr>
            <w:tcW w:w="2340" w:type="dxa"/>
            <w:tcMar>
              <w:top w:w="100" w:type="dxa"/>
              <w:left w:w="100" w:type="dxa"/>
              <w:bottom w:w="100" w:type="dxa"/>
              <w:right w:w="100" w:type="dxa"/>
            </w:tcMar>
          </w:tcPr>
          <w:p w14:paraId="4380282E"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Debt-to-equity (2020): 0.63</w:t>
            </w:r>
          </w:p>
          <w:p w14:paraId="26924BDF" w14:textId="77777777" w:rsidR="00160971" w:rsidRPr="00FA2975" w:rsidRDefault="00160971" w:rsidP="00832DAF">
            <w:pPr>
              <w:widowControl w:val="0"/>
              <w:spacing w:line="360" w:lineRule="auto"/>
              <w:rPr>
                <w:rFonts w:eastAsia="Times New Roman"/>
                <w:sz w:val="24"/>
                <w:szCs w:val="24"/>
              </w:rPr>
            </w:pPr>
            <w:r w:rsidRPr="00FA2975">
              <w:rPr>
                <w:rFonts w:eastAsia="Times New Roman"/>
                <w:sz w:val="24"/>
                <w:szCs w:val="24"/>
              </w:rPr>
              <w:t>Debt-to-equity (2024): 1.11</w:t>
            </w:r>
          </w:p>
        </w:tc>
        <w:tc>
          <w:tcPr>
            <w:tcW w:w="2340" w:type="dxa"/>
            <w:tcMar>
              <w:top w:w="100" w:type="dxa"/>
              <w:left w:w="100" w:type="dxa"/>
              <w:bottom w:w="100" w:type="dxa"/>
              <w:right w:w="100" w:type="dxa"/>
            </w:tcMar>
          </w:tcPr>
          <w:p w14:paraId="557577B6"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Weakeness (Threat)</w:t>
            </w:r>
          </w:p>
        </w:tc>
        <w:tc>
          <w:tcPr>
            <w:tcW w:w="2340" w:type="dxa"/>
            <w:tcMar>
              <w:top w:w="100" w:type="dxa"/>
              <w:left w:w="100" w:type="dxa"/>
              <w:bottom w:w="100" w:type="dxa"/>
              <w:right w:w="100" w:type="dxa"/>
            </w:tcMar>
          </w:tcPr>
          <w:p w14:paraId="167E68D2" w14:textId="77777777" w:rsidR="00160971" w:rsidRPr="00FA2975" w:rsidRDefault="00160971" w:rsidP="00832DAF">
            <w:pPr>
              <w:widowControl w:val="0"/>
              <w:spacing w:line="360" w:lineRule="auto"/>
              <w:rPr>
                <w:rFonts w:eastAsia="Times New Roman"/>
                <w:sz w:val="24"/>
                <w:szCs w:val="24"/>
              </w:rPr>
            </w:pPr>
            <w:r w:rsidRPr="00FA2975">
              <w:rPr>
                <w:rFonts w:eastAsia="Times New Roman"/>
                <w:sz w:val="24"/>
                <w:szCs w:val="24"/>
              </w:rPr>
              <w:t>Increase in debt reliance</w:t>
            </w:r>
          </w:p>
        </w:tc>
      </w:tr>
      <w:tr w:rsidR="00160971" w:rsidRPr="00FA2975" w14:paraId="03D62B26" w14:textId="77777777" w:rsidTr="00832DAF">
        <w:tc>
          <w:tcPr>
            <w:tcW w:w="2340" w:type="dxa"/>
            <w:tcMar>
              <w:top w:w="100" w:type="dxa"/>
              <w:left w:w="100" w:type="dxa"/>
              <w:bottom w:w="100" w:type="dxa"/>
              <w:right w:w="100" w:type="dxa"/>
            </w:tcMar>
          </w:tcPr>
          <w:p w14:paraId="1EDE5E03"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Cash flow</w:t>
            </w:r>
          </w:p>
        </w:tc>
        <w:tc>
          <w:tcPr>
            <w:tcW w:w="2340" w:type="dxa"/>
            <w:tcMar>
              <w:top w:w="100" w:type="dxa"/>
              <w:left w:w="100" w:type="dxa"/>
              <w:bottom w:w="100" w:type="dxa"/>
              <w:right w:w="100" w:type="dxa"/>
            </w:tcMar>
          </w:tcPr>
          <w:p w14:paraId="53C95FE5"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Operating cash flow margin (2020): 11.94</w:t>
            </w:r>
          </w:p>
          <w:p w14:paraId="6F70C6FB" w14:textId="77777777" w:rsidR="00160971" w:rsidRPr="00FA2975" w:rsidRDefault="00160971" w:rsidP="00832DAF">
            <w:pPr>
              <w:widowControl w:val="0"/>
              <w:spacing w:line="360" w:lineRule="auto"/>
              <w:rPr>
                <w:rFonts w:eastAsia="Times New Roman"/>
                <w:sz w:val="24"/>
                <w:szCs w:val="24"/>
              </w:rPr>
            </w:pPr>
            <w:r w:rsidRPr="00FA2975">
              <w:rPr>
                <w:rFonts w:eastAsia="Times New Roman"/>
                <w:sz w:val="24"/>
                <w:szCs w:val="24"/>
              </w:rPr>
              <w:t>Operating cash flow margin (2024): 3.75</w:t>
            </w:r>
          </w:p>
        </w:tc>
        <w:tc>
          <w:tcPr>
            <w:tcW w:w="2340" w:type="dxa"/>
            <w:tcMar>
              <w:top w:w="100" w:type="dxa"/>
              <w:left w:w="100" w:type="dxa"/>
              <w:bottom w:w="100" w:type="dxa"/>
              <w:right w:w="100" w:type="dxa"/>
            </w:tcMar>
          </w:tcPr>
          <w:p w14:paraId="548E6F83" w14:textId="77777777" w:rsidR="00160971" w:rsidRPr="00FA2975" w:rsidRDefault="00160971" w:rsidP="00832DAF">
            <w:pPr>
              <w:widowControl w:val="0"/>
              <w:spacing w:line="360" w:lineRule="auto"/>
              <w:rPr>
                <w:rFonts w:eastAsia="Times New Roman"/>
                <w:sz w:val="24"/>
                <w:szCs w:val="24"/>
              </w:rPr>
            </w:pPr>
            <w:r w:rsidRPr="00FA2975">
              <w:rPr>
                <w:rFonts w:eastAsia="Times New Roman"/>
                <w:sz w:val="24"/>
                <w:szCs w:val="24"/>
              </w:rPr>
              <w:t>Weakeness (Threat) + Strength</w:t>
            </w:r>
          </w:p>
        </w:tc>
        <w:tc>
          <w:tcPr>
            <w:tcW w:w="2340" w:type="dxa"/>
            <w:tcMar>
              <w:top w:w="100" w:type="dxa"/>
              <w:left w:w="100" w:type="dxa"/>
              <w:bottom w:w="100" w:type="dxa"/>
              <w:right w:w="100" w:type="dxa"/>
            </w:tcMar>
          </w:tcPr>
          <w:p w14:paraId="7758D6D1"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 Poor sales efficiency and delay in customer payments reduced access to immediate cash</w:t>
            </w:r>
          </w:p>
          <w:p w14:paraId="26361526"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 In 2024, the organisation has shown signs of revival in cash flow generation</w:t>
            </w:r>
          </w:p>
        </w:tc>
      </w:tr>
      <w:tr w:rsidR="00160971" w:rsidRPr="00FA2975" w14:paraId="201D8846" w14:textId="77777777" w:rsidTr="00832DAF">
        <w:tc>
          <w:tcPr>
            <w:tcW w:w="2340" w:type="dxa"/>
            <w:tcMar>
              <w:top w:w="100" w:type="dxa"/>
              <w:left w:w="100" w:type="dxa"/>
              <w:bottom w:w="100" w:type="dxa"/>
              <w:right w:w="100" w:type="dxa"/>
            </w:tcMar>
          </w:tcPr>
          <w:p w14:paraId="4A420A33"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Shareholder return</w:t>
            </w:r>
          </w:p>
        </w:tc>
        <w:tc>
          <w:tcPr>
            <w:tcW w:w="2340" w:type="dxa"/>
            <w:tcMar>
              <w:top w:w="100" w:type="dxa"/>
              <w:left w:w="100" w:type="dxa"/>
              <w:bottom w:w="100" w:type="dxa"/>
              <w:right w:w="100" w:type="dxa"/>
            </w:tcMar>
          </w:tcPr>
          <w:p w14:paraId="628E259C"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ROE (2020): 0.12</w:t>
            </w:r>
          </w:p>
          <w:p w14:paraId="0245BEC6"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ROE (2024): -0.16</w:t>
            </w:r>
          </w:p>
        </w:tc>
        <w:tc>
          <w:tcPr>
            <w:tcW w:w="2340" w:type="dxa"/>
            <w:tcMar>
              <w:top w:w="100" w:type="dxa"/>
              <w:left w:w="100" w:type="dxa"/>
              <w:bottom w:w="100" w:type="dxa"/>
              <w:right w:w="100" w:type="dxa"/>
            </w:tcMar>
          </w:tcPr>
          <w:p w14:paraId="48B45106" w14:textId="77777777" w:rsidR="00160971" w:rsidRPr="00FA2975" w:rsidRDefault="00160971" w:rsidP="00832DAF">
            <w:pPr>
              <w:widowControl w:val="0"/>
              <w:spacing w:line="360" w:lineRule="auto"/>
              <w:rPr>
                <w:rFonts w:eastAsia="Times New Roman"/>
                <w:sz w:val="24"/>
                <w:szCs w:val="24"/>
              </w:rPr>
            </w:pPr>
            <w:r w:rsidRPr="00FA2975">
              <w:rPr>
                <w:rFonts w:eastAsia="Times New Roman"/>
                <w:sz w:val="24"/>
                <w:szCs w:val="24"/>
              </w:rPr>
              <w:t>Weakeness (Threat)</w:t>
            </w:r>
          </w:p>
        </w:tc>
        <w:tc>
          <w:tcPr>
            <w:tcW w:w="2340" w:type="dxa"/>
            <w:tcMar>
              <w:top w:w="100" w:type="dxa"/>
              <w:left w:w="100" w:type="dxa"/>
              <w:bottom w:w="100" w:type="dxa"/>
              <w:right w:w="100" w:type="dxa"/>
            </w:tcMar>
          </w:tcPr>
          <w:p w14:paraId="48953BA2"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A periodic decline in share value is a concern for investors</w:t>
            </w:r>
          </w:p>
        </w:tc>
      </w:tr>
    </w:tbl>
    <w:p w14:paraId="2801B7C7"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Table 1: Trends from financial statements</w:t>
      </w:r>
    </w:p>
    <w:p w14:paraId="64F418AB"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03634DFD" w14:textId="77777777" w:rsidR="00160971" w:rsidRPr="00FA2975" w:rsidRDefault="00160971" w:rsidP="00643CA2">
      <w:pPr>
        <w:pStyle w:val="Heading2"/>
      </w:pPr>
      <w:bookmarkStart w:id="5" w:name="_Toc213703059"/>
      <w:r w:rsidRPr="00FA2975">
        <w:lastRenderedPageBreak/>
        <w:t>2.4 Use of corporate failure prediction models</w:t>
      </w:r>
      <w:bookmarkEnd w:id="5"/>
    </w:p>
    <w:p w14:paraId="13B38BAD" w14:textId="77777777" w:rsidR="00160971" w:rsidRPr="00FA2975" w:rsidRDefault="00160971" w:rsidP="00160971">
      <w:pPr>
        <w:spacing w:line="360" w:lineRule="auto"/>
        <w:jc w:val="center"/>
        <w:rPr>
          <w:rFonts w:eastAsia="Times New Roman"/>
          <w:sz w:val="24"/>
          <w:szCs w:val="24"/>
        </w:rPr>
      </w:pPr>
      <w:r w:rsidRPr="00FA2975">
        <w:rPr>
          <w:rFonts w:eastAsia="Times New Roman"/>
          <w:noProof/>
          <w:sz w:val="24"/>
          <w:szCs w:val="24"/>
          <w:lang w:val="en-IN"/>
        </w:rPr>
        <w:drawing>
          <wp:inline distT="114300" distB="114300" distL="114300" distR="114300" wp14:anchorId="2C2C7533" wp14:editId="4098EA29">
            <wp:extent cx="5943600" cy="703306"/>
            <wp:effectExtent l="0" t="0" r="0" b="0"/>
            <wp:docPr id="1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943600" cy="703306"/>
                    </a:xfrm>
                    <a:prstGeom prst="rect">
                      <a:avLst/>
                    </a:prstGeom>
                    <a:ln/>
                  </pic:spPr>
                </pic:pic>
              </a:graphicData>
            </a:graphic>
          </wp:inline>
        </w:drawing>
      </w:r>
    </w:p>
    <w:p w14:paraId="6A021821"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Figure 13: Formula for calculating Altman Z-score</w:t>
      </w:r>
    </w:p>
    <w:p w14:paraId="6D64913D"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4624B68A" w14:textId="77777777" w:rsidR="00160971" w:rsidRPr="00FA2975" w:rsidRDefault="00160971" w:rsidP="00160971">
      <w:pPr>
        <w:spacing w:line="360" w:lineRule="auto"/>
        <w:jc w:val="both"/>
        <w:rPr>
          <w:rFonts w:eastAsia="Times New Roman"/>
          <w:sz w:val="24"/>
          <w:szCs w:val="24"/>
        </w:rPr>
      </w:pPr>
      <w:r w:rsidRPr="00FA2975">
        <w:rPr>
          <w:rFonts w:eastAsia="Gungsuh"/>
          <w:sz w:val="24"/>
          <w:szCs w:val="24"/>
        </w:rPr>
        <w:t>Based on the obtained values from the financial statement, WC (Working capital) = £84,203m; EBIT ≈ -£15,297m; Total Liabilities = £170,249m; Total Assets = £323,354m; Sales = £394,879m; Market Value of Equity = £153,105m and Retained Earnings (RE) = £208,431m.</w:t>
      </w:r>
    </w:p>
    <w:p w14:paraId="097B9CD6"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Following these assumptions, the Altman Z-score value is calculated. The Z-score is calculated to be 1.43. As the value is less than 1.8, the organisation is in a distress zone (Rashid, Khan and Qureshi, 2024). It further implies that an urgent restructuring is necessary to prevent financial failure. </w:t>
      </w:r>
    </w:p>
    <w:p w14:paraId="663C62E8" w14:textId="77777777" w:rsidR="00160971" w:rsidRPr="00FA2975" w:rsidRDefault="00160971" w:rsidP="00643CA2">
      <w:pPr>
        <w:pStyle w:val="Heading1"/>
      </w:pPr>
      <w:bookmarkStart w:id="6" w:name="_Toc213703060"/>
      <w:r w:rsidRPr="00FA2975">
        <w:t>3. Working Capital Management Analysis</w:t>
      </w:r>
      <w:bookmarkEnd w:id="6"/>
    </w:p>
    <w:p w14:paraId="35AB3BB8" w14:textId="77777777" w:rsidR="00160971" w:rsidRPr="00FA2975" w:rsidRDefault="00160971" w:rsidP="00643CA2">
      <w:pPr>
        <w:pStyle w:val="Heading2"/>
      </w:pPr>
      <w:bookmarkStart w:id="7" w:name="_Toc213703061"/>
      <w:r w:rsidRPr="00FA2975">
        <w:t>3.1 Assessment of Cash Operating Cycle</w:t>
      </w:r>
      <w:bookmarkEnd w:id="7"/>
    </w:p>
    <w:p w14:paraId="051EC8BB" w14:textId="77777777" w:rsidR="00160971" w:rsidRPr="00FA2975" w:rsidRDefault="00160971" w:rsidP="00160971">
      <w:pPr>
        <w:numPr>
          <w:ilvl w:val="0"/>
          <w:numId w:val="27"/>
        </w:numPr>
        <w:spacing w:line="360" w:lineRule="auto"/>
        <w:jc w:val="both"/>
        <w:rPr>
          <w:rFonts w:eastAsia="Times New Roman"/>
          <w:sz w:val="24"/>
          <w:szCs w:val="24"/>
        </w:rPr>
      </w:pPr>
      <w:r w:rsidRPr="00FA2975">
        <w:rPr>
          <w:rFonts w:eastAsia="Times New Roman"/>
          <w:sz w:val="24"/>
          <w:szCs w:val="24"/>
        </w:rPr>
        <w:t xml:space="preserve">The cash operating cycle or the cash conversion cycle evaluates the duration that the company takes to convert its inventory investment into cash flow from sales. Initially, the inventory conversion period (ICP) is calculated where the ICP for 2021, 2022, 2023 and 2024 are 108, 128, 129 and 109 days, respectively. </w:t>
      </w:r>
    </w:p>
    <w:p w14:paraId="09075AF8" w14:textId="77777777" w:rsidR="00160971" w:rsidRPr="00FA2975" w:rsidRDefault="00160971" w:rsidP="00160971">
      <w:pPr>
        <w:numPr>
          <w:ilvl w:val="0"/>
          <w:numId w:val="27"/>
        </w:numPr>
        <w:spacing w:line="360" w:lineRule="auto"/>
        <w:jc w:val="both"/>
        <w:rPr>
          <w:rFonts w:eastAsia="Times New Roman"/>
          <w:sz w:val="24"/>
          <w:szCs w:val="24"/>
        </w:rPr>
      </w:pPr>
      <w:r w:rsidRPr="00FA2975">
        <w:rPr>
          <w:rFonts w:eastAsia="Times New Roman"/>
          <w:sz w:val="24"/>
          <w:szCs w:val="24"/>
        </w:rPr>
        <w:t>Inventory days have significantly increased in 2023 and 2024 as overall inventory reduced from £140 billion to £79 billion.</w:t>
      </w:r>
    </w:p>
    <w:p w14:paraId="7A3995EF" w14:textId="77777777" w:rsidR="00160971" w:rsidRPr="00FA2975" w:rsidRDefault="00160971" w:rsidP="00160971">
      <w:pPr>
        <w:numPr>
          <w:ilvl w:val="0"/>
          <w:numId w:val="27"/>
        </w:numPr>
        <w:spacing w:line="360" w:lineRule="auto"/>
        <w:jc w:val="both"/>
        <w:rPr>
          <w:rFonts w:eastAsia="Times New Roman"/>
          <w:sz w:val="24"/>
          <w:szCs w:val="24"/>
        </w:rPr>
      </w:pPr>
      <w:r w:rsidRPr="00FA2975">
        <w:rPr>
          <w:rFonts w:eastAsia="Times New Roman"/>
          <w:sz w:val="24"/>
          <w:szCs w:val="24"/>
        </w:rPr>
        <w:t xml:space="preserve">In analysing receivable collection period (RCP), the values for 2021, 2022, 2023 and 2024 are 78, 81, 98 and 105 days. </w:t>
      </w:r>
    </w:p>
    <w:p w14:paraId="0E39FAB9" w14:textId="77777777" w:rsidR="00160971" w:rsidRPr="00FA2975" w:rsidRDefault="00160971" w:rsidP="00160971">
      <w:pPr>
        <w:numPr>
          <w:ilvl w:val="0"/>
          <w:numId w:val="27"/>
        </w:numPr>
        <w:spacing w:line="360" w:lineRule="auto"/>
        <w:jc w:val="both"/>
        <w:rPr>
          <w:rFonts w:eastAsia="Times New Roman"/>
          <w:sz w:val="24"/>
          <w:szCs w:val="24"/>
        </w:rPr>
      </w:pPr>
      <w:r w:rsidRPr="00FA2975">
        <w:rPr>
          <w:rFonts w:eastAsia="Times New Roman"/>
          <w:sz w:val="24"/>
          <w:szCs w:val="24"/>
        </w:rPr>
        <w:t xml:space="preserve">Similarly, a poor condition of receivables collection has been considered. It increased from 78 days to 105 days. Hence, weak credit control has helped customers to make delays in making payments, resulting in weaker credit control. </w:t>
      </w:r>
    </w:p>
    <w:p w14:paraId="61543949" w14:textId="77777777" w:rsidR="00160971" w:rsidRPr="00FA2975" w:rsidRDefault="00160971" w:rsidP="00160971">
      <w:pPr>
        <w:numPr>
          <w:ilvl w:val="0"/>
          <w:numId w:val="27"/>
        </w:numPr>
        <w:spacing w:line="360" w:lineRule="auto"/>
        <w:jc w:val="both"/>
        <w:rPr>
          <w:rFonts w:eastAsia="Times New Roman"/>
          <w:sz w:val="24"/>
          <w:szCs w:val="24"/>
        </w:rPr>
      </w:pPr>
      <w:r w:rsidRPr="00FA2975">
        <w:rPr>
          <w:rFonts w:eastAsia="Times New Roman"/>
          <w:sz w:val="24"/>
          <w:szCs w:val="24"/>
        </w:rPr>
        <w:lastRenderedPageBreak/>
        <w:t xml:space="preserve">Payables Deferral Period (PDP) has been calculated. In 2021, PDP was 75 days while it became 84 days in 2024. It further indicated a delay in payment to suppliers. </w:t>
      </w:r>
    </w:p>
    <w:p w14:paraId="77269A8E" w14:textId="77777777" w:rsidR="00160971" w:rsidRPr="00FA2975" w:rsidRDefault="00160971" w:rsidP="00160971">
      <w:pPr>
        <w:numPr>
          <w:ilvl w:val="0"/>
          <w:numId w:val="27"/>
        </w:numPr>
        <w:spacing w:line="360" w:lineRule="auto"/>
        <w:jc w:val="both"/>
        <w:rPr>
          <w:rFonts w:eastAsia="Times New Roman"/>
          <w:sz w:val="24"/>
          <w:szCs w:val="24"/>
        </w:rPr>
      </w:pPr>
      <w:r w:rsidRPr="00FA2975">
        <w:rPr>
          <w:rFonts w:eastAsia="Times New Roman"/>
          <w:sz w:val="24"/>
          <w:szCs w:val="24"/>
        </w:rPr>
        <w:t xml:space="preserve">Based on these results, a cash operating cycle is calculated by subtracting PDP from the sum of ICP and RCP. In 2021, 2022, 2023 and 2024, the COC were 111 days, 132 days, 154 days and 130 days, respectively. </w:t>
      </w:r>
    </w:p>
    <w:p w14:paraId="1F042F27" w14:textId="77777777" w:rsidR="00160971" w:rsidRPr="00FA2975" w:rsidRDefault="00160971" w:rsidP="00160971">
      <w:pPr>
        <w:numPr>
          <w:ilvl w:val="0"/>
          <w:numId w:val="27"/>
        </w:numPr>
        <w:spacing w:line="360" w:lineRule="auto"/>
        <w:jc w:val="both"/>
        <w:rPr>
          <w:rFonts w:eastAsia="Times New Roman"/>
          <w:sz w:val="24"/>
          <w:szCs w:val="24"/>
        </w:rPr>
      </w:pPr>
      <w:r w:rsidRPr="00FA2975">
        <w:rPr>
          <w:rFonts w:eastAsia="Times New Roman"/>
          <w:sz w:val="24"/>
          <w:szCs w:val="24"/>
        </w:rPr>
        <w:t xml:space="preserve">In interpretation, it can be said that the company needs 5 months to recover funds spent on production costs, resulting in poor business liquidity. </w:t>
      </w:r>
    </w:p>
    <w:p w14:paraId="7E919E7E" w14:textId="77777777" w:rsidR="00160971" w:rsidRPr="00FA2975" w:rsidRDefault="00160971" w:rsidP="00160971">
      <w:pPr>
        <w:numPr>
          <w:ilvl w:val="0"/>
          <w:numId w:val="27"/>
        </w:numPr>
        <w:spacing w:line="360" w:lineRule="auto"/>
        <w:jc w:val="both"/>
        <w:rPr>
          <w:rFonts w:eastAsia="Times New Roman"/>
          <w:sz w:val="24"/>
          <w:szCs w:val="24"/>
        </w:rPr>
      </w:pPr>
      <w:r w:rsidRPr="00FA2975">
        <w:rPr>
          <w:rFonts w:eastAsia="Times New Roman"/>
          <w:sz w:val="24"/>
          <w:szCs w:val="24"/>
        </w:rPr>
        <w:t xml:space="preserve">As positive changes in 2024 have been noticed, it can be a direct consequence of inventory downsizing. </w:t>
      </w:r>
    </w:p>
    <w:p w14:paraId="337A31DF" w14:textId="77777777" w:rsidR="00160971" w:rsidRPr="00FA2975" w:rsidRDefault="00160971" w:rsidP="00160971">
      <w:pPr>
        <w:numPr>
          <w:ilvl w:val="0"/>
          <w:numId w:val="27"/>
        </w:numPr>
        <w:spacing w:line="360" w:lineRule="auto"/>
        <w:jc w:val="both"/>
        <w:rPr>
          <w:rFonts w:eastAsia="Times New Roman"/>
          <w:sz w:val="24"/>
          <w:szCs w:val="24"/>
        </w:rPr>
      </w:pPr>
      <w:r w:rsidRPr="00FA2975">
        <w:rPr>
          <w:rFonts w:eastAsia="Times New Roman"/>
          <w:sz w:val="24"/>
          <w:szCs w:val="24"/>
        </w:rPr>
        <w:t xml:space="preserve">Weak credit control and customer insolvency are potential risks for the company (Aleskerova, 2022). </w:t>
      </w:r>
    </w:p>
    <w:p w14:paraId="71D819A4" w14:textId="77777777" w:rsidR="00160971" w:rsidRPr="00FA2975" w:rsidRDefault="00160971" w:rsidP="00160971">
      <w:pPr>
        <w:numPr>
          <w:ilvl w:val="0"/>
          <w:numId w:val="27"/>
        </w:numPr>
        <w:spacing w:line="360" w:lineRule="auto"/>
        <w:jc w:val="both"/>
        <w:rPr>
          <w:rFonts w:eastAsia="Times New Roman"/>
          <w:sz w:val="24"/>
          <w:szCs w:val="24"/>
        </w:rPr>
      </w:pPr>
      <w:r w:rsidRPr="00FA2975">
        <w:rPr>
          <w:rFonts w:eastAsia="Times New Roman"/>
          <w:sz w:val="24"/>
          <w:szCs w:val="24"/>
        </w:rPr>
        <w:t xml:space="preserve">Negative profitability indicated longer collection cycles and overall poor performance for the organisation due to liquidity-constrained business activities. </w:t>
      </w:r>
    </w:p>
    <w:p w14:paraId="0A5C9C6C" w14:textId="77777777" w:rsidR="00160971" w:rsidRPr="00FA2975" w:rsidRDefault="00160971" w:rsidP="00736EFB">
      <w:pPr>
        <w:pStyle w:val="Heading2"/>
      </w:pPr>
      <w:bookmarkStart w:id="8" w:name="_Toc213703062"/>
      <w:r w:rsidRPr="00FA2975">
        <w:t>3.2 Recommended Strategies</w:t>
      </w:r>
      <w:bookmarkEnd w:id="8"/>
      <w:r w:rsidRPr="00FA2975">
        <w:tab/>
      </w:r>
    </w:p>
    <w:p w14:paraId="1DE987D2"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Receivables</w:t>
      </w:r>
    </w:p>
    <w:p w14:paraId="230C39B0"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The issue of lengthening the payment collection period to 105 days can be reduced by modifying the credit policies. For example, early payment incentives can be provided to enhance the speed of converting receivables into cash. Introducing tiered credit limits is recommended to reduce the risks of allowing credit to customers. Invoice factoring can be used to enhance the security of credit provided to customers. The facility of ‘digital receivable tracking’ can be integrated into automated billing and collection systems (Bessonova </w:t>
      </w:r>
      <w:r w:rsidRPr="00FA2975">
        <w:rPr>
          <w:rFonts w:eastAsia="Times New Roman"/>
          <w:i/>
          <w:iCs/>
          <w:sz w:val="24"/>
          <w:szCs w:val="24"/>
        </w:rPr>
        <w:t>et al.,</w:t>
      </w:r>
      <w:r w:rsidRPr="00FA2975">
        <w:rPr>
          <w:rFonts w:eastAsia="Times New Roman"/>
          <w:sz w:val="24"/>
          <w:szCs w:val="24"/>
        </w:rPr>
        <w:t xml:space="preserve"> 2025). </w:t>
      </w:r>
    </w:p>
    <w:p w14:paraId="270DE9D5"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Payables</w:t>
      </w:r>
    </w:p>
    <w:p w14:paraId="5BD06280"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An increase in payable days can be addressed through negotiating structured payment terms. Implementation of supply chain financing is recommended so that collaboration with financial institutions can reduce the risks of delay in clearing payables. Early payment discount offers should be leveraged to reduce operational costs. Use of an automated payables management system can improve transparency and build long-term partnerships with suppliers. </w:t>
      </w:r>
    </w:p>
    <w:p w14:paraId="645FA556"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lastRenderedPageBreak/>
        <w:t>Inventory</w:t>
      </w:r>
    </w:p>
    <w:p w14:paraId="4456B01B"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It is recommended that real-time tracking systems reduce delays in clearing payables. AI-based demand forecasting can be leveraged to identify key areas of poor performance in introducing unsellable products into the supply chains. For example, low-margin product lines can be discontinued. It is further recommended that an ABC analysis be conducted to identify products that need frequent monitoring in their distribution to reduce days of payment collection. Just-In-Time (JIT) and Dynamic pricing can be considered for faster clearance of warehouse goods (Balkhi </w:t>
      </w:r>
      <w:r w:rsidRPr="00FA2975">
        <w:rPr>
          <w:rFonts w:eastAsia="Times New Roman"/>
          <w:i/>
          <w:iCs/>
          <w:sz w:val="24"/>
          <w:szCs w:val="24"/>
        </w:rPr>
        <w:t xml:space="preserve">et al., </w:t>
      </w:r>
      <w:r w:rsidRPr="00FA2975">
        <w:rPr>
          <w:rFonts w:eastAsia="Times New Roman"/>
          <w:sz w:val="24"/>
          <w:szCs w:val="24"/>
        </w:rPr>
        <w:t>2022).</w:t>
      </w:r>
    </w:p>
    <w:p w14:paraId="4CAEC9CF"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Cash flow</w:t>
      </w:r>
    </w:p>
    <w:p w14:paraId="6880E768"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It is recommended that a centralised cash management system be implemented for General Electronics. As multiple cash pooling arrangements are considered, an improvement in short-term cash flow can be achieved. It is necessary that the brand focuses on cash flow forecasting that can lead to the diversification of short-term funds. The use of daily cash dashboards can be preferred to improve cash flow visibility (Ivanov, 2024). An increase in working capital can be linked with managerial-level incentives to improve the generation of positive cash flow.</w:t>
      </w:r>
    </w:p>
    <w:p w14:paraId="343A7F7C" w14:textId="77777777" w:rsidR="00160971" w:rsidRPr="00FA2975" w:rsidRDefault="00160971" w:rsidP="00AA59C5">
      <w:pPr>
        <w:pStyle w:val="Heading2"/>
      </w:pPr>
      <w:bookmarkStart w:id="9" w:name="_Toc213703063"/>
      <w:r w:rsidRPr="00FA2975">
        <w:t>3.3 Comparison of Short-Term and Long-Term Financing Options</w:t>
      </w:r>
      <w:bookmarkEnd w:id="9"/>
    </w:p>
    <w:p w14:paraId="433997CE"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In the case of short-term financing (duration is less than 1 year), multiple financing options are available. For example, key instruments that can be preferred include “bank overdrafts, commercial paper, short-term bank loans, trade credit, invoice discounting and inventory financing” (Van, 2023). In explanation, it can be said that the organisation needs to follow a short-term borrowing plan to reduce the debt amount (£36.96 billion in 2024). </w:t>
      </w:r>
    </w:p>
    <w:p w14:paraId="138198EC"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At present, the current liabilities for the organisation are £158 billion and current assets of £242 billion. Use of the trade credit instrument can be preferred where suppliers can extend credit from 30 to 90 days. It can be used to preserve cash. However, the disadvantage is that the supplier relationship can be strained in case of payment defaults. On the other hand, the instrument of factoring or invoice discounting can be preferred for fixed-time borrowings (Hua </w:t>
      </w:r>
      <w:r w:rsidRPr="00FA2975">
        <w:rPr>
          <w:rFonts w:eastAsia="Times New Roman"/>
          <w:i/>
          <w:iCs/>
          <w:sz w:val="24"/>
          <w:szCs w:val="24"/>
        </w:rPr>
        <w:t xml:space="preserve">et al., </w:t>
      </w:r>
      <w:r w:rsidRPr="00FA2975">
        <w:rPr>
          <w:rFonts w:eastAsia="Times New Roman"/>
          <w:sz w:val="24"/>
          <w:szCs w:val="24"/>
        </w:rPr>
        <w:t xml:space="preserve">2022). The advantage of this option is based on the rapid conversion of receivables into immediate cash. It can improve organisational liquidity than short-term bank loans. </w:t>
      </w:r>
    </w:p>
    <w:p w14:paraId="6DD45C77"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lastRenderedPageBreak/>
        <w:t xml:space="preserve">In the case of long-term financing options, it is necessary to consider that cumulative losses have led to a reduction in the equity base from £313 billion in 2020 to £153 billion in 2024. Hence, the long-term options include “equity financing, corporate bonds, convertible bonds, long-term bank loans, venture capital and asset securitisation” (Swinkels and Markwat, 2023). The purpose of long-term financing for General Electronics is based on capital restructuring and debt consolidation. The company must focus on “long-term fixed-income securities” so that support from institutional investors can be secured in increasing structural stability (Sabu, 2024). Stabilisation of credit rating and maintaining profitability can be ensured. Equity injection can be preferred to restore the equity base and contribute to strategic asset divestiture. </w:t>
      </w:r>
    </w:p>
    <w:p w14:paraId="06EC2D0E" w14:textId="77777777" w:rsidR="00160971" w:rsidRPr="00FA2975" w:rsidRDefault="00160971" w:rsidP="00D20AC4">
      <w:pPr>
        <w:pStyle w:val="Heading1"/>
      </w:pPr>
      <w:bookmarkStart w:id="10" w:name="_Toc213703064"/>
      <w:r w:rsidRPr="00FA2975">
        <w:t>4. Strategic Financial Restructuring Plan</w:t>
      </w:r>
      <w:bookmarkEnd w:id="10"/>
      <w:r w:rsidRPr="00FA2975">
        <w:t xml:space="preserve"> </w:t>
      </w:r>
    </w:p>
    <w:p w14:paraId="2D893440" w14:textId="77777777" w:rsidR="00160971" w:rsidRPr="00FA2975" w:rsidRDefault="00160971" w:rsidP="00D20AC4">
      <w:pPr>
        <w:pStyle w:val="Heading2"/>
      </w:pPr>
      <w:bookmarkStart w:id="11" w:name="_Toc213703065"/>
      <w:r w:rsidRPr="00FA2975">
        <w:t>4.1 Recommended Options for Financial Restructuring</w:t>
      </w:r>
      <w:bookmarkEnd w:id="11"/>
    </w:p>
    <w:p w14:paraId="03A63DA4"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Strategic option 1: Factoring of receivables to improve liquidity</w:t>
      </w:r>
    </w:p>
    <w:p w14:paraId="1B976D82"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‘Factoring’ has been viewed as an option where the company has the opportunity to sell its “accounts receivable (unpaid invoices)” to a “third party” (Flores-Ureba </w:t>
      </w:r>
      <w:r w:rsidRPr="00FA2975">
        <w:rPr>
          <w:rFonts w:eastAsia="Times New Roman"/>
          <w:i/>
          <w:iCs/>
          <w:sz w:val="24"/>
          <w:szCs w:val="24"/>
        </w:rPr>
        <w:t>et al.</w:t>
      </w:r>
      <w:r w:rsidRPr="00FA2975">
        <w:rPr>
          <w:rFonts w:eastAsia="Times New Roman"/>
          <w:sz w:val="24"/>
          <w:szCs w:val="24"/>
        </w:rPr>
        <w:t>, 2023). It is aimed to receive immediate cash and mitigate its issues of cash crunch. A factoring of receivables can be justified as the company is experiencing a significant delay in collecting receivables. A 60% drop in liquidity reserves can further justify selecting this strategic option in developing a restructuring plan. The organisation is expected to create a “factor for 25% of receivables portfolio” (~28.5 billion). It is also expected that a 5% discount fee will be levied during the transaction. Hence, the arrangement can allow General Electronics to gain access to £27 billion.</w:t>
      </w:r>
    </w:p>
    <w:p w14:paraId="1B50DF28"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Apart from that, the management has to check the credibility of partners before forming a partnership deal with “factoring institutions”. It is necessary that a non-recourse agreement be signed. It can provide a benefit to the company by transferring debt risk to the factoring company. Targeting “long-outstanding accounts” can be preferred for factoring so that the organisation can enhance its efficiency of cash recovery (Mayer </w:t>
      </w:r>
      <w:r w:rsidRPr="00FA2975">
        <w:rPr>
          <w:rFonts w:eastAsia="Times New Roman"/>
          <w:i/>
          <w:iCs/>
          <w:sz w:val="24"/>
          <w:szCs w:val="24"/>
        </w:rPr>
        <w:t>et al.</w:t>
      </w:r>
      <w:r w:rsidRPr="00FA2975">
        <w:rPr>
          <w:rFonts w:eastAsia="Times New Roman"/>
          <w:sz w:val="24"/>
          <w:szCs w:val="24"/>
        </w:rPr>
        <w:t xml:space="preserve">, 2023). Liquidity boost and working capital optimisation can be ensured.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60971" w:rsidRPr="00FA2975" w14:paraId="38C81726" w14:textId="77777777" w:rsidTr="00832DAF">
        <w:tc>
          <w:tcPr>
            <w:tcW w:w="3120" w:type="dxa"/>
            <w:tcMar>
              <w:top w:w="100" w:type="dxa"/>
              <w:left w:w="100" w:type="dxa"/>
              <w:bottom w:w="100" w:type="dxa"/>
              <w:right w:w="100" w:type="dxa"/>
            </w:tcMar>
          </w:tcPr>
          <w:p w14:paraId="088DCD96" w14:textId="77777777" w:rsidR="00160971" w:rsidRPr="00FA2975" w:rsidRDefault="00160971" w:rsidP="00832DAF">
            <w:pPr>
              <w:widowControl w:val="0"/>
              <w:pBdr>
                <w:top w:val="nil"/>
                <w:left w:val="nil"/>
                <w:bottom w:val="nil"/>
                <w:right w:val="nil"/>
                <w:between w:val="nil"/>
              </w:pBdr>
              <w:spacing w:line="360" w:lineRule="auto"/>
              <w:jc w:val="center"/>
              <w:rPr>
                <w:rFonts w:eastAsia="Times New Roman"/>
                <w:b/>
                <w:bCs/>
                <w:sz w:val="24"/>
                <w:szCs w:val="24"/>
              </w:rPr>
            </w:pPr>
            <w:r w:rsidRPr="00FA2975">
              <w:rPr>
                <w:rFonts w:eastAsia="Times New Roman"/>
                <w:b/>
                <w:bCs/>
                <w:sz w:val="24"/>
                <w:szCs w:val="24"/>
              </w:rPr>
              <w:lastRenderedPageBreak/>
              <w:t>Financial metric</w:t>
            </w:r>
          </w:p>
        </w:tc>
        <w:tc>
          <w:tcPr>
            <w:tcW w:w="3120" w:type="dxa"/>
            <w:tcMar>
              <w:top w:w="100" w:type="dxa"/>
              <w:left w:w="100" w:type="dxa"/>
              <w:bottom w:w="100" w:type="dxa"/>
              <w:right w:w="100" w:type="dxa"/>
            </w:tcMar>
          </w:tcPr>
          <w:p w14:paraId="4314B4FB" w14:textId="77777777" w:rsidR="00160971" w:rsidRPr="00FA2975" w:rsidRDefault="00160971" w:rsidP="00832DAF">
            <w:pPr>
              <w:widowControl w:val="0"/>
              <w:pBdr>
                <w:top w:val="nil"/>
                <w:left w:val="nil"/>
                <w:bottom w:val="nil"/>
                <w:right w:val="nil"/>
                <w:between w:val="nil"/>
              </w:pBdr>
              <w:spacing w:line="360" w:lineRule="auto"/>
              <w:jc w:val="center"/>
              <w:rPr>
                <w:rFonts w:eastAsia="Times New Roman"/>
                <w:b/>
                <w:bCs/>
                <w:sz w:val="24"/>
                <w:szCs w:val="24"/>
              </w:rPr>
            </w:pPr>
            <w:r w:rsidRPr="00FA2975">
              <w:rPr>
                <w:rFonts w:eastAsia="Times New Roman"/>
                <w:b/>
                <w:bCs/>
                <w:sz w:val="24"/>
                <w:szCs w:val="24"/>
              </w:rPr>
              <w:t>Present condition</w:t>
            </w:r>
          </w:p>
        </w:tc>
        <w:tc>
          <w:tcPr>
            <w:tcW w:w="3120" w:type="dxa"/>
            <w:tcMar>
              <w:top w:w="100" w:type="dxa"/>
              <w:left w:w="100" w:type="dxa"/>
              <w:bottom w:w="100" w:type="dxa"/>
              <w:right w:w="100" w:type="dxa"/>
            </w:tcMar>
          </w:tcPr>
          <w:p w14:paraId="0C6FD196" w14:textId="77777777" w:rsidR="00160971" w:rsidRPr="00FA2975" w:rsidRDefault="00160971" w:rsidP="00832DAF">
            <w:pPr>
              <w:widowControl w:val="0"/>
              <w:pBdr>
                <w:top w:val="nil"/>
                <w:left w:val="nil"/>
                <w:bottom w:val="nil"/>
                <w:right w:val="nil"/>
                <w:between w:val="nil"/>
              </w:pBdr>
              <w:spacing w:line="360" w:lineRule="auto"/>
              <w:jc w:val="center"/>
              <w:rPr>
                <w:rFonts w:eastAsia="Times New Roman"/>
                <w:b/>
                <w:bCs/>
                <w:sz w:val="24"/>
                <w:szCs w:val="24"/>
              </w:rPr>
            </w:pPr>
            <w:r w:rsidRPr="00FA2975">
              <w:rPr>
                <w:rFonts w:eastAsia="Times New Roman"/>
                <w:b/>
                <w:bCs/>
                <w:sz w:val="24"/>
                <w:szCs w:val="24"/>
              </w:rPr>
              <w:t>Post-factoring condition (Projected)</w:t>
            </w:r>
          </w:p>
        </w:tc>
      </w:tr>
      <w:tr w:rsidR="00160971" w:rsidRPr="00FA2975" w14:paraId="4786F317" w14:textId="77777777" w:rsidTr="00832DAF">
        <w:tc>
          <w:tcPr>
            <w:tcW w:w="3120" w:type="dxa"/>
            <w:tcMar>
              <w:top w:w="100" w:type="dxa"/>
              <w:left w:w="100" w:type="dxa"/>
              <w:bottom w:w="100" w:type="dxa"/>
              <w:right w:w="100" w:type="dxa"/>
            </w:tcMar>
          </w:tcPr>
          <w:p w14:paraId="6F2CD45C"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Cash reserve (£ million)</w:t>
            </w:r>
          </w:p>
        </w:tc>
        <w:tc>
          <w:tcPr>
            <w:tcW w:w="3120" w:type="dxa"/>
            <w:tcMar>
              <w:top w:w="100" w:type="dxa"/>
              <w:left w:w="100" w:type="dxa"/>
              <w:bottom w:w="100" w:type="dxa"/>
              <w:right w:w="100" w:type="dxa"/>
            </w:tcMar>
          </w:tcPr>
          <w:p w14:paraId="25DBB92C"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26,783</w:t>
            </w:r>
          </w:p>
        </w:tc>
        <w:tc>
          <w:tcPr>
            <w:tcW w:w="3120" w:type="dxa"/>
            <w:tcMar>
              <w:top w:w="100" w:type="dxa"/>
              <w:left w:w="100" w:type="dxa"/>
              <w:bottom w:w="100" w:type="dxa"/>
              <w:right w:w="100" w:type="dxa"/>
            </w:tcMar>
          </w:tcPr>
          <w:p w14:paraId="795B8840"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53,000</w:t>
            </w:r>
          </w:p>
        </w:tc>
      </w:tr>
      <w:tr w:rsidR="00160971" w:rsidRPr="00FA2975" w14:paraId="1FC05900" w14:textId="77777777" w:rsidTr="00832DAF">
        <w:tc>
          <w:tcPr>
            <w:tcW w:w="3120" w:type="dxa"/>
            <w:tcMar>
              <w:top w:w="100" w:type="dxa"/>
              <w:left w:w="100" w:type="dxa"/>
              <w:bottom w:w="100" w:type="dxa"/>
              <w:right w:w="100" w:type="dxa"/>
            </w:tcMar>
          </w:tcPr>
          <w:p w14:paraId="1F288C4E"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Receivable Days</w:t>
            </w:r>
          </w:p>
        </w:tc>
        <w:tc>
          <w:tcPr>
            <w:tcW w:w="3120" w:type="dxa"/>
            <w:tcMar>
              <w:top w:w="100" w:type="dxa"/>
              <w:left w:w="100" w:type="dxa"/>
              <w:bottom w:w="100" w:type="dxa"/>
              <w:right w:w="100" w:type="dxa"/>
            </w:tcMar>
          </w:tcPr>
          <w:p w14:paraId="719B42BB"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105 days</w:t>
            </w:r>
          </w:p>
        </w:tc>
        <w:tc>
          <w:tcPr>
            <w:tcW w:w="3120" w:type="dxa"/>
            <w:tcMar>
              <w:top w:w="100" w:type="dxa"/>
              <w:left w:w="100" w:type="dxa"/>
              <w:bottom w:w="100" w:type="dxa"/>
              <w:right w:w="100" w:type="dxa"/>
            </w:tcMar>
          </w:tcPr>
          <w:p w14:paraId="6C5BFB30"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75 days</w:t>
            </w:r>
          </w:p>
        </w:tc>
      </w:tr>
      <w:tr w:rsidR="00160971" w:rsidRPr="00FA2975" w14:paraId="18FBB128" w14:textId="77777777" w:rsidTr="00832DAF">
        <w:tc>
          <w:tcPr>
            <w:tcW w:w="3120" w:type="dxa"/>
            <w:tcMar>
              <w:top w:w="100" w:type="dxa"/>
              <w:left w:w="100" w:type="dxa"/>
              <w:bottom w:w="100" w:type="dxa"/>
              <w:right w:w="100" w:type="dxa"/>
            </w:tcMar>
          </w:tcPr>
          <w:p w14:paraId="31231284" w14:textId="77777777" w:rsidR="00160971" w:rsidRPr="00FA2975" w:rsidRDefault="00160971" w:rsidP="00832DAF">
            <w:pPr>
              <w:widowControl w:val="0"/>
              <w:spacing w:line="360" w:lineRule="auto"/>
              <w:rPr>
                <w:rFonts w:eastAsia="Times New Roman"/>
                <w:sz w:val="24"/>
                <w:szCs w:val="24"/>
              </w:rPr>
            </w:pPr>
            <w:r w:rsidRPr="00FA2975">
              <w:rPr>
                <w:rFonts w:eastAsia="Times New Roman"/>
                <w:sz w:val="24"/>
                <w:szCs w:val="24"/>
              </w:rPr>
              <w:t>Current Ratio</w:t>
            </w:r>
          </w:p>
        </w:tc>
        <w:tc>
          <w:tcPr>
            <w:tcW w:w="3120" w:type="dxa"/>
            <w:tcMar>
              <w:top w:w="100" w:type="dxa"/>
              <w:left w:w="100" w:type="dxa"/>
              <w:bottom w:w="100" w:type="dxa"/>
              <w:right w:w="100" w:type="dxa"/>
            </w:tcMar>
          </w:tcPr>
          <w:p w14:paraId="298A30AA"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1.53</w:t>
            </w:r>
          </w:p>
        </w:tc>
        <w:tc>
          <w:tcPr>
            <w:tcW w:w="3120" w:type="dxa"/>
            <w:tcMar>
              <w:top w:w="100" w:type="dxa"/>
              <w:left w:w="100" w:type="dxa"/>
              <w:bottom w:w="100" w:type="dxa"/>
              <w:right w:w="100" w:type="dxa"/>
            </w:tcMar>
          </w:tcPr>
          <w:p w14:paraId="3579B403"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1.93 (approx.)</w:t>
            </w:r>
          </w:p>
        </w:tc>
      </w:tr>
      <w:tr w:rsidR="00160971" w:rsidRPr="00FA2975" w14:paraId="42A2091C" w14:textId="77777777" w:rsidTr="00832DAF">
        <w:tc>
          <w:tcPr>
            <w:tcW w:w="3120" w:type="dxa"/>
            <w:tcMar>
              <w:top w:w="100" w:type="dxa"/>
              <w:left w:w="100" w:type="dxa"/>
              <w:bottom w:w="100" w:type="dxa"/>
              <w:right w:w="100" w:type="dxa"/>
            </w:tcMar>
          </w:tcPr>
          <w:p w14:paraId="0AC80BC0" w14:textId="77777777" w:rsidR="00160971" w:rsidRPr="00FA2975" w:rsidRDefault="00160971" w:rsidP="00832DAF">
            <w:pPr>
              <w:widowControl w:val="0"/>
              <w:spacing w:line="360" w:lineRule="auto"/>
              <w:rPr>
                <w:rFonts w:eastAsia="Times New Roman"/>
                <w:sz w:val="24"/>
                <w:szCs w:val="24"/>
              </w:rPr>
            </w:pPr>
            <w:r w:rsidRPr="00FA2975">
              <w:rPr>
                <w:rFonts w:eastAsia="Times New Roman"/>
                <w:sz w:val="24"/>
                <w:szCs w:val="24"/>
              </w:rPr>
              <w:t>Operating cash flow (£ million)</w:t>
            </w:r>
          </w:p>
        </w:tc>
        <w:tc>
          <w:tcPr>
            <w:tcW w:w="3120" w:type="dxa"/>
            <w:tcMar>
              <w:top w:w="100" w:type="dxa"/>
              <w:left w:w="100" w:type="dxa"/>
              <w:bottom w:w="100" w:type="dxa"/>
              <w:right w:w="100" w:type="dxa"/>
            </w:tcMar>
          </w:tcPr>
          <w:p w14:paraId="37776B6A"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14,822</w:t>
            </w:r>
          </w:p>
        </w:tc>
        <w:tc>
          <w:tcPr>
            <w:tcW w:w="3120" w:type="dxa"/>
            <w:tcMar>
              <w:top w:w="100" w:type="dxa"/>
              <w:left w:w="100" w:type="dxa"/>
              <w:bottom w:w="100" w:type="dxa"/>
              <w:right w:w="100" w:type="dxa"/>
            </w:tcMar>
          </w:tcPr>
          <w:p w14:paraId="7B6090DB" w14:textId="77777777" w:rsidR="00160971" w:rsidRPr="00FA2975" w:rsidRDefault="00160971" w:rsidP="00832DAF">
            <w:pPr>
              <w:widowControl w:val="0"/>
              <w:pBdr>
                <w:top w:val="nil"/>
                <w:left w:val="nil"/>
                <w:bottom w:val="nil"/>
                <w:right w:val="nil"/>
                <w:between w:val="nil"/>
              </w:pBdr>
              <w:spacing w:line="360" w:lineRule="auto"/>
              <w:rPr>
                <w:rFonts w:eastAsia="Times New Roman"/>
                <w:sz w:val="24"/>
                <w:szCs w:val="24"/>
              </w:rPr>
            </w:pPr>
            <w:r w:rsidRPr="00FA2975">
              <w:rPr>
                <w:rFonts w:eastAsia="Times New Roman"/>
                <w:sz w:val="24"/>
                <w:szCs w:val="24"/>
              </w:rPr>
              <w:t>35,000 (approx.)</w:t>
            </w:r>
          </w:p>
        </w:tc>
      </w:tr>
    </w:tbl>
    <w:p w14:paraId="5D445235"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Table 2: Expected outcomes of the strategic option in the restructuring plan</w:t>
      </w:r>
    </w:p>
    <w:p w14:paraId="2112AFB2"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Self-developed)</w:t>
      </w:r>
    </w:p>
    <w:p w14:paraId="64EAFD7A"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Strategic option 2: Equity injection for financial turnaround</w:t>
      </w:r>
    </w:p>
    <w:p w14:paraId="260B2BE8"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The long-term analysis of the financial position of the company shows debt financing and a concerning fall (51% drop) in shareholder equity. It has also been noticed that a negative “interest coverage ratio” is a concerning situation for the company. It has allowed the scope of adopting equity injection so that operating losses can be managed (Xiong </w:t>
      </w:r>
      <w:r w:rsidRPr="00FA2975">
        <w:rPr>
          <w:rFonts w:eastAsia="Times New Roman"/>
          <w:i/>
          <w:iCs/>
          <w:sz w:val="24"/>
          <w:szCs w:val="24"/>
        </w:rPr>
        <w:t>et al.,</w:t>
      </w:r>
      <w:r w:rsidRPr="00FA2975">
        <w:rPr>
          <w:rFonts w:eastAsia="Times New Roman"/>
          <w:sz w:val="24"/>
          <w:szCs w:val="24"/>
        </w:rPr>
        <w:t xml:space="preserve"> 2022). The consideration of equity injection can restore investor confidence. In elaboration, it can be said that a £35 billion “rights issue” can be considered. Nearly 50% of the allocated amount (e.g., £20 billion) has to be distributed among existing shareholders with the benefits of discounts. It can be viewed as a step to address the short-term credit that has been piling up for General Electronics. </w:t>
      </w:r>
    </w:p>
    <w:p w14:paraId="15A01D0E" w14:textId="77777777" w:rsidR="00160971" w:rsidRPr="00FA2975" w:rsidRDefault="000F725C" w:rsidP="00160971">
      <w:pPr>
        <w:spacing w:line="360" w:lineRule="auto"/>
        <w:jc w:val="center"/>
        <w:rPr>
          <w:rFonts w:eastAsia="Times New Roman"/>
          <w:sz w:val="24"/>
          <w:szCs w:val="24"/>
        </w:rPr>
      </w:pPr>
      <w:r>
        <w:rPr>
          <w:noProof/>
          <w:lang w:val="en-IN"/>
        </w:rPr>
        <w:lastRenderedPageBreak/>
        <w:drawing>
          <wp:inline distT="0" distB="0" distL="0" distR="0" wp14:anchorId="455C0F6B" wp14:editId="77C8649E">
            <wp:extent cx="5943600" cy="3054350"/>
            <wp:effectExtent l="0" t="0" r="0" b="12700"/>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A875749"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Figure 14: Earnings Per Share</w:t>
      </w:r>
    </w:p>
    <w:p w14:paraId="752C6402"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Referred to Appendix 1)</w:t>
      </w:r>
    </w:p>
    <w:p w14:paraId="43058E6C"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Apart from that, £8 billion will be invested to make changes in product innovation so that AI-based tools can be used to improve the outcome of digital transformation. Use of digital tools can be preferred to build dashboards that can effectively track credit for the organisation. Data-driven decision-making and AI-based forecasts can further add to the refinement of credit policies (Celestin and Mishra, 2025). Finally, the remaining £7 billion can be used to replenish cash reserves. It can be used as an emergency cash reserve that can improve the financial stability of the organisation. </w:t>
      </w:r>
    </w:p>
    <w:p w14:paraId="47359C13" w14:textId="77777777" w:rsidR="00160971" w:rsidRPr="00FA2975" w:rsidRDefault="00160971" w:rsidP="004F3875">
      <w:pPr>
        <w:pStyle w:val="Heading2"/>
      </w:pPr>
      <w:bookmarkStart w:id="12" w:name="_Toc213703066"/>
      <w:r w:rsidRPr="00FA2975">
        <w:t>4.2 Impact on Debt Structure, Shareholder Value and Operational Flexibility</w:t>
      </w:r>
      <w:bookmarkEnd w:id="12"/>
    </w:p>
    <w:p w14:paraId="6EB172BF"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Debt structure</w:t>
      </w:r>
    </w:p>
    <w:p w14:paraId="288BEE2B"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Following the recommendation of factoring, General Electronics will not be increasing its debt value. No further expensive short-term borrowing arrangement has to be made while following the ‘factor’ as the instrument. It can be viewed as an effective temporary measure to reduce short-term liabilities of the firm. The impact of following the financing method can lead to a shift from “debt-driven financing” to “equity-driven financing” (Dighe, 2023). As leverage is lowered with the new financial arrangements, creditworthiness and </w:t>
      </w:r>
      <w:r w:rsidRPr="00FA2975">
        <w:rPr>
          <w:rFonts w:eastAsia="Times New Roman"/>
          <w:sz w:val="24"/>
          <w:szCs w:val="24"/>
        </w:rPr>
        <w:lastRenderedPageBreak/>
        <w:t xml:space="preserve">Altman Z-score for the firm are further increased. Factoring also creates a scope for improving long-term insolvency and contributes to sustainable growth financing. </w:t>
      </w:r>
    </w:p>
    <w:p w14:paraId="1B3CA6F0" w14:textId="77777777" w:rsidR="00160971" w:rsidRPr="00FA2975" w:rsidRDefault="000F725C" w:rsidP="00160971">
      <w:pPr>
        <w:spacing w:line="360" w:lineRule="auto"/>
        <w:jc w:val="center"/>
        <w:rPr>
          <w:rFonts w:eastAsia="Times New Roman"/>
          <w:sz w:val="24"/>
          <w:szCs w:val="24"/>
        </w:rPr>
      </w:pPr>
      <w:r>
        <w:rPr>
          <w:noProof/>
          <w:lang w:val="en-IN"/>
        </w:rPr>
        <w:drawing>
          <wp:inline distT="0" distB="0" distL="0" distR="0" wp14:anchorId="5DC8FF0D" wp14:editId="02ED8718">
            <wp:extent cx="5943600" cy="2903220"/>
            <wp:effectExtent l="0" t="0" r="0" b="11430"/>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0DD0B53" w14:textId="77777777" w:rsidR="00160971" w:rsidRPr="00FA2975" w:rsidRDefault="00160971" w:rsidP="00160971">
      <w:pPr>
        <w:spacing w:line="360" w:lineRule="auto"/>
        <w:jc w:val="center"/>
        <w:rPr>
          <w:rFonts w:eastAsia="Times New Roman"/>
          <w:b/>
          <w:bCs/>
          <w:sz w:val="24"/>
          <w:szCs w:val="24"/>
        </w:rPr>
      </w:pPr>
      <w:r w:rsidRPr="00FA2975">
        <w:rPr>
          <w:rFonts w:eastAsia="Times New Roman"/>
          <w:b/>
          <w:bCs/>
          <w:sz w:val="24"/>
          <w:szCs w:val="24"/>
        </w:rPr>
        <w:t>Figure 15: Debt-to-equity ratio</w:t>
      </w:r>
    </w:p>
    <w:p w14:paraId="3B08233A" w14:textId="77777777" w:rsidR="00160971" w:rsidRPr="00FA2975" w:rsidRDefault="00160971" w:rsidP="00160971">
      <w:pPr>
        <w:spacing w:line="360" w:lineRule="auto"/>
        <w:jc w:val="center"/>
        <w:rPr>
          <w:rFonts w:eastAsia="Times New Roman"/>
          <w:sz w:val="24"/>
          <w:szCs w:val="24"/>
        </w:rPr>
      </w:pPr>
      <w:r w:rsidRPr="00FA2975">
        <w:rPr>
          <w:rFonts w:eastAsia="Times New Roman"/>
          <w:sz w:val="24"/>
          <w:szCs w:val="24"/>
        </w:rPr>
        <w:t>(Source: Referred to Appendix 1)</w:t>
      </w:r>
    </w:p>
    <w:p w14:paraId="423C4B20"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Shareholder value</w:t>
      </w:r>
    </w:p>
    <w:p w14:paraId="1E1AF4E0"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The shareholder value has deteriorated due to cumulative losses between 2021 and 2024. Factoring and equity injection can reduce bankruptcy risk and increase the trust of investors and shareholders in General Electronics. From a long-term perspective, strengthening of balance sheet will be achieved along with reducing the cost of equity. The changes in the financial restructuring process can lead to ensuring a 2% NPM recovery, which can compound in the long run. Along with sustainable growth, the valuation of General Electronics will be increased as more than 100 billion pounds can be added in terms of market capitalisation. </w:t>
      </w:r>
    </w:p>
    <w:p w14:paraId="0B30FE95"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Operational flexibility</w:t>
      </w:r>
    </w:p>
    <w:p w14:paraId="71A35F5C"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Factoring has a scope of improving supplier relationships due to improved scope of timely supplier payments. It has been further noticed that cash flow predictability can be achieved due to the inclusion of factoring as a financial instrument. As the cash conversion cycle shortens, the organisation can have greater access to cash (Wahyudin </w:t>
      </w:r>
      <w:r w:rsidRPr="00FA2975">
        <w:rPr>
          <w:rFonts w:eastAsia="Times New Roman"/>
          <w:i/>
          <w:iCs/>
          <w:sz w:val="24"/>
          <w:szCs w:val="24"/>
        </w:rPr>
        <w:t>et al.</w:t>
      </w:r>
      <w:r w:rsidRPr="00FA2975">
        <w:rPr>
          <w:rFonts w:eastAsia="Times New Roman"/>
          <w:sz w:val="24"/>
          <w:szCs w:val="24"/>
        </w:rPr>
        <w:t xml:space="preserve">, 2024). Moreover, equity injection can further restore investment capacity while </w:t>
      </w:r>
      <w:r w:rsidRPr="00FA2975">
        <w:rPr>
          <w:rFonts w:eastAsia="Times New Roman"/>
          <w:sz w:val="24"/>
          <w:szCs w:val="24"/>
        </w:rPr>
        <w:lastRenderedPageBreak/>
        <w:t xml:space="preserve">improving the credit rating for General Electronics. The opportunity of an equity buffer can help the organisation develop resilience against macroeconomic factors in the market. </w:t>
      </w:r>
    </w:p>
    <w:p w14:paraId="238E4655" w14:textId="77777777" w:rsidR="00160971" w:rsidRPr="00FA2975" w:rsidRDefault="00160971" w:rsidP="005037FE">
      <w:pPr>
        <w:pStyle w:val="Heading2"/>
      </w:pPr>
      <w:bookmarkStart w:id="13" w:name="_Toc213703067"/>
      <w:r w:rsidRPr="00FA2975">
        <w:t>4.3 International and Ethical Considerations</w:t>
      </w:r>
      <w:bookmarkEnd w:id="13"/>
    </w:p>
    <w:p w14:paraId="242CF2BD"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Tax liabilities</w:t>
      </w:r>
    </w:p>
    <w:p w14:paraId="6B68F78D"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As the organisation has shown high liabilities (170 million pounds), it also includes deferred tax liabilities. For example, the use of factoring can improve develop company’s sources for tax-deductible income. In terms of equity injection, restructuring subsidiaries can lead to better optimisation of tax structures for General Electronics. It can lead to the implementation of “advanced pricing agreements” to comply with regulatory protocols (Babalola </w:t>
      </w:r>
      <w:r w:rsidRPr="00FA2975">
        <w:rPr>
          <w:rFonts w:eastAsia="Times New Roman"/>
          <w:i/>
          <w:iCs/>
          <w:sz w:val="24"/>
          <w:szCs w:val="24"/>
        </w:rPr>
        <w:t>et al.</w:t>
      </w:r>
      <w:r w:rsidRPr="00FA2975">
        <w:rPr>
          <w:rFonts w:eastAsia="Times New Roman"/>
          <w:sz w:val="24"/>
          <w:szCs w:val="24"/>
        </w:rPr>
        <w:t xml:space="preserve">, 2021). </w:t>
      </w:r>
    </w:p>
    <w:p w14:paraId="34EDD396"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Inflationary risk</w:t>
      </w:r>
    </w:p>
    <w:p w14:paraId="22DAE29B"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In 2024, the UK, the Eurozone and the Asia-Pacific regions have recorded an inflation of 3-5%. Higher rates of inflation can lead to offsetting inflationary liquidity strain to improve purchasing power. It has been found that the organisation can opt for “inflation-protected financing” to protect investment from interest shocks and inflation.</w:t>
      </w:r>
    </w:p>
    <w:p w14:paraId="4234283A"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CSR</w:t>
      </w:r>
    </w:p>
    <w:p w14:paraId="65F823B1" w14:textId="77777777" w:rsidR="00160971" w:rsidRPr="00FA2975" w:rsidRDefault="00160971" w:rsidP="00160971">
      <w:pPr>
        <w:spacing w:line="360" w:lineRule="auto"/>
        <w:jc w:val="both"/>
        <w:rPr>
          <w:rFonts w:eastAsia="Times New Roman"/>
          <w:sz w:val="24"/>
          <w:szCs w:val="24"/>
        </w:rPr>
      </w:pPr>
      <w:r w:rsidRPr="00FA2975">
        <w:rPr>
          <w:rFonts w:eastAsia="Times New Roman"/>
          <w:sz w:val="24"/>
          <w:szCs w:val="24"/>
        </w:rPr>
        <w:t xml:space="preserve">Labour practice and transparency in financial governance mechanisms can help the organisation fulfil its commitment to sustainable finance. Equity injection can be viewed as an instrument associated with ESG performance. Based on the “Global Reporting Initiative”, sustainable reporting norms have been followed (Friske </w:t>
      </w:r>
      <w:r w:rsidRPr="00FA2975">
        <w:rPr>
          <w:rFonts w:eastAsia="Times New Roman"/>
          <w:i/>
          <w:iCs/>
          <w:sz w:val="24"/>
          <w:szCs w:val="24"/>
        </w:rPr>
        <w:t>et al.,</w:t>
      </w:r>
      <w:r w:rsidRPr="00FA2975">
        <w:rPr>
          <w:rFonts w:eastAsia="Times New Roman"/>
          <w:sz w:val="24"/>
          <w:szCs w:val="24"/>
        </w:rPr>
        <w:t xml:space="preserve"> 2023). </w:t>
      </w:r>
    </w:p>
    <w:p w14:paraId="7B7E2958" w14:textId="77777777" w:rsidR="00160971" w:rsidRPr="00FA2975" w:rsidRDefault="00160971" w:rsidP="00160971">
      <w:pPr>
        <w:spacing w:line="360" w:lineRule="auto"/>
        <w:jc w:val="both"/>
        <w:rPr>
          <w:rFonts w:eastAsia="Times New Roman"/>
          <w:b/>
          <w:bCs/>
          <w:i/>
          <w:iCs/>
          <w:sz w:val="24"/>
          <w:szCs w:val="24"/>
        </w:rPr>
      </w:pPr>
      <w:r w:rsidRPr="00FA2975">
        <w:rPr>
          <w:rFonts w:eastAsia="Times New Roman"/>
          <w:b/>
          <w:bCs/>
          <w:i/>
          <w:iCs/>
          <w:sz w:val="24"/>
          <w:szCs w:val="24"/>
        </w:rPr>
        <w:t>Currency Risk</w:t>
      </w:r>
    </w:p>
    <w:p w14:paraId="32051253" w14:textId="77777777" w:rsidR="00160971" w:rsidRPr="00160971" w:rsidRDefault="00160971" w:rsidP="00160971">
      <w:pPr>
        <w:spacing w:line="360" w:lineRule="auto"/>
        <w:jc w:val="both"/>
        <w:rPr>
          <w:rFonts w:eastAsia="Times New Roman"/>
          <w:sz w:val="24"/>
          <w:szCs w:val="24"/>
        </w:rPr>
      </w:pPr>
      <w:r w:rsidRPr="00FA2975">
        <w:rPr>
          <w:rFonts w:eastAsia="Times New Roman"/>
          <w:sz w:val="24"/>
          <w:szCs w:val="24"/>
        </w:rPr>
        <w:t xml:space="preserve">The arrangement has allowed scope for mitigating “foreign currency-denominated liabilities” (Fu </w:t>
      </w:r>
      <w:r w:rsidRPr="00FA2975">
        <w:rPr>
          <w:rFonts w:eastAsia="Times New Roman"/>
          <w:i/>
          <w:iCs/>
          <w:sz w:val="24"/>
          <w:szCs w:val="24"/>
        </w:rPr>
        <w:t>et al.</w:t>
      </w:r>
      <w:r w:rsidRPr="00FA2975">
        <w:rPr>
          <w:rFonts w:eastAsia="Times New Roman"/>
          <w:sz w:val="24"/>
          <w:szCs w:val="24"/>
        </w:rPr>
        <w:t xml:space="preserve">, 2024). The process may act as a “natural currency hedge” against economic volatility across geographic regions. Use of an AI-assisted forecast can further improve suggestions for cash flow generation. </w:t>
      </w:r>
      <w:r>
        <w:rPr>
          <w:color w:val="000000" w:themeColor="text1"/>
        </w:rPr>
        <w:br w:type="page"/>
      </w:r>
    </w:p>
    <w:p w14:paraId="079CCFA6" w14:textId="77777777" w:rsidR="00FA51B8" w:rsidRPr="001626AD" w:rsidRDefault="00056198" w:rsidP="00643CA2">
      <w:pPr>
        <w:pStyle w:val="Heading1"/>
      </w:pPr>
      <w:bookmarkStart w:id="14" w:name="_Toc213703068"/>
      <w:r w:rsidRPr="001626AD">
        <w:lastRenderedPageBreak/>
        <w:t xml:space="preserve">5. Investment Appraisal and Capital </w:t>
      </w:r>
      <w:r w:rsidRPr="00643CA2">
        <w:t>Budgeting</w:t>
      </w:r>
      <w:bookmarkEnd w:id="14"/>
      <w:r w:rsidRPr="001626AD">
        <w:t xml:space="preserve"> </w:t>
      </w:r>
    </w:p>
    <w:p w14:paraId="25D6D073" w14:textId="77777777" w:rsidR="00FA51B8" w:rsidRPr="001626AD" w:rsidRDefault="00056198" w:rsidP="00643CA2">
      <w:pPr>
        <w:pStyle w:val="Heading2"/>
      </w:pPr>
      <w:bookmarkStart w:id="15" w:name="_Toc213703069"/>
      <w:r w:rsidRPr="001626AD">
        <w:t xml:space="preserve">5.1 Evaluation of Three Proposed Investment </w:t>
      </w:r>
      <w:r w:rsidRPr="00643CA2">
        <w:t>Projects</w:t>
      </w:r>
      <w:bookmarkEnd w:id="15"/>
    </w:p>
    <w:p w14:paraId="3D0787A5" w14:textId="77777777" w:rsidR="00FA51B8" w:rsidRPr="001626AD" w:rsidRDefault="00056198">
      <w:pPr>
        <w:spacing w:line="360" w:lineRule="auto"/>
        <w:jc w:val="both"/>
        <w:rPr>
          <w:b/>
          <w:bCs/>
          <w:color w:val="000000" w:themeColor="text1"/>
          <w:sz w:val="24"/>
          <w:szCs w:val="24"/>
          <w:u w:val="single"/>
        </w:rPr>
      </w:pPr>
      <w:r w:rsidRPr="001626AD">
        <w:rPr>
          <w:b/>
          <w:bCs/>
          <w:color w:val="000000" w:themeColor="text1"/>
          <w:sz w:val="24"/>
          <w:szCs w:val="24"/>
          <w:u w:val="single"/>
        </w:rPr>
        <w:t>Payback period (PBP)</w:t>
      </w:r>
    </w:p>
    <w:p w14:paraId="64EBA3CC" w14:textId="77777777" w:rsidR="00FA51B8" w:rsidRPr="001626AD" w:rsidRDefault="00056198">
      <w:pPr>
        <w:numPr>
          <w:ilvl w:val="0"/>
          <w:numId w:val="1"/>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According to Dai </w:t>
      </w:r>
      <w:r w:rsidRPr="001626AD">
        <w:rPr>
          <w:i/>
          <w:iCs/>
          <w:color w:val="000000" w:themeColor="text1"/>
          <w:sz w:val="24"/>
          <w:szCs w:val="24"/>
        </w:rPr>
        <w:t>et al</w:t>
      </w:r>
      <w:r w:rsidRPr="001626AD">
        <w:rPr>
          <w:color w:val="000000" w:themeColor="text1"/>
          <w:sz w:val="24"/>
          <w:szCs w:val="24"/>
        </w:rPr>
        <w:t xml:space="preserve">., (2022), the PBP measures the required time for investments to recover the initial cost structure from the “cumulative cash flow”. </w:t>
      </w:r>
    </w:p>
    <w:p w14:paraId="3EF7C7AA" w14:textId="77777777" w:rsidR="00FA51B8" w:rsidRPr="001626AD" w:rsidRDefault="00056198">
      <w:pPr>
        <w:numPr>
          <w:ilvl w:val="0"/>
          <w:numId w:val="1"/>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PBP is calculated by, </w:t>
      </w:r>
    </w:p>
    <w:p w14:paraId="42B39694" w14:textId="77777777" w:rsidR="00FA51B8" w:rsidRPr="001626AD" w:rsidRDefault="00056198">
      <w:pPr>
        <w:spacing w:line="360" w:lineRule="auto"/>
        <w:jc w:val="center"/>
        <w:rPr>
          <w:color w:val="000000" w:themeColor="text1"/>
          <w:sz w:val="24"/>
          <w:szCs w:val="24"/>
        </w:rPr>
      </w:pPr>
      <w:r w:rsidRPr="001626AD">
        <w:rPr>
          <w:noProof/>
          <w:color w:val="000000" w:themeColor="text1"/>
          <w:sz w:val="24"/>
          <w:szCs w:val="24"/>
          <w:lang w:val="en-IN"/>
        </w:rPr>
        <w:drawing>
          <wp:inline distT="114300" distB="114300" distL="114300" distR="114300" wp14:anchorId="6D645060" wp14:editId="3C6C569C">
            <wp:extent cx="5581650" cy="876300"/>
            <wp:effectExtent l="25400" t="25400" r="25400" b="254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5581650" cy="876300"/>
                    </a:xfrm>
                    <a:prstGeom prst="rect">
                      <a:avLst/>
                    </a:prstGeom>
                    <a:ln w="25400">
                      <a:solidFill>
                        <a:srgbClr val="000000"/>
                      </a:solidFill>
                      <a:prstDash val="solid"/>
                    </a:ln>
                  </pic:spPr>
                </pic:pic>
              </a:graphicData>
            </a:graphic>
          </wp:inline>
        </w:drawing>
      </w:r>
      <w:r w:rsidRPr="001626AD">
        <w:rPr>
          <w:color w:val="000000" w:themeColor="text1"/>
          <w:sz w:val="24"/>
          <w:szCs w:val="24"/>
        </w:rPr>
        <w:t>`</w:t>
      </w:r>
    </w:p>
    <w:p w14:paraId="7EA49317"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 xml:space="preserve">“Project A” </w:t>
      </w:r>
    </w:p>
    <w:p w14:paraId="0AABC5B5" w14:textId="77777777" w:rsidR="00FA51B8" w:rsidRPr="001626AD" w:rsidRDefault="00056198">
      <w:pPr>
        <w:numPr>
          <w:ilvl w:val="0"/>
          <w:numId w:val="12"/>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This project has a total investment of £40 million initially, and the “cumulative cash inflows” are identified as £36 million at the end of Year 3.</w:t>
      </w:r>
    </w:p>
    <w:p w14:paraId="7ACC570A" w14:textId="77777777" w:rsidR="00FA51B8" w:rsidRPr="001626AD" w:rsidRDefault="00056198">
      <w:pPr>
        <w:numPr>
          <w:ilvl w:val="0"/>
          <w:numId w:val="12"/>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The remaining amount, such as £4 million, can be recovered at the beginning of Year 4 and highlights a total PBP of 3 years and 4.8 months.</w:t>
      </w:r>
    </w:p>
    <w:p w14:paraId="0C3413DF" w14:textId="77777777" w:rsidR="00FA51B8" w:rsidRPr="001626AD" w:rsidRDefault="00056198">
      <w:pPr>
        <w:numPr>
          <w:ilvl w:val="0"/>
          <w:numId w:val="12"/>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short time of the recovery reflected good liquidity and adequate capital turnover, hence, having enough financial stability. </w:t>
      </w:r>
    </w:p>
    <w:p w14:paraId="44EB0197"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 xml:space="preserve">“Project B” </w:t>
      </w:r>
    </w:p>
    <w:p w14:paraId="06A8E4D0" w14:textId="77777777" w:rsidR="00FA51B8" w:rsidRPr="001626AD" w:rsidRDefault="00056198">
      <w:pPr>
        <w:numPr>
          <w:ilvl w:val="0"/>
          <w:numId w:val="14"/>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An initial investment of £30 million has been found out for this project, with the “annual cash inflows” of £6 million.</w:t>
      </w:r>
    </w:p>
    <w:p w14:paraId="185EA2B5" w14:textId="77777777" w:rsidR="00FA51B8" w:rsidRPr="001626AD" w:rsidRDefault="00056198">
      <w:pPr>
        <w:numPr>
          <w:ilvl w:val="0"/>
          <w:numId w:val="14"/>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The PBP has been identified as 5 years here.</w:t>
      </w:r>
    </w:p>
    <w:p w14:paraId="0194B480" w14:textId="77777777" w:rsidR="00FA51B8" w:rsidRPr="001626AD" w:rsidRDefault="00056198">
      <w:pPr>
        <w:numPr>
          <w:ilvl w:val="0"/>
          <w:numId w:val="14"/>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Recovery seemed to be quite slow for the capital, hence, it has the weaker liquidity. </w:t>
      </w:r>
    </w:p>
    <w:p w14:paraId="40DD5590"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 xml:space="preserve">“Project C” </w:t>
      </w:r>
    </w:p>
    <w:p w14:paraId="06283E99" w14:textId="77777777" w:rsidR="00FA51B8" w:rsidRPr="001626AD" w:rsidRDefault="00056198">
      <w:pPr>
        <w:numPr>
          <w:ilvl w:val="0"/>
          <w:numId w:val="15"/>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The initial capital was £50 million for this project.</w:t>
      </w:r>
    </w:p>
    <w:p w14:paraId="50F624E2" w14:textId="77777777" w:rsidR="00FA51B8" w:rsidRPr="001626AD" w:rsidRDefault="00056198">
      <w:pPr>
        <w:numPr>
          <w:ilvl w:val="0"/>
          <w:numId w:val="15"/>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An additional “cumulative investment” of £35 million is expected by Year 3.</w:t>
      </w:r>
    </w:p>
    <w:p w14:paraId="0DF1DFE0" w14:textId="77777777" w:rsidR="00FA51B8" w:rsidRPr="001626AD" w:rsidRDefault="00056198">
      <w:pPr>
        <w:numPr>
          <w:ilvl w:val="0"/>
          <w:numId w:val="15"/>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The PBP is observed as 3 years and 7 months for this project.</w:t>
      </w:r>
    </w:p>
    <w:p w14:paraId="13264BD3" w14:textId="77777777" w:rsidR="00FA51B8" w:rsidRPr="001626AD" w:rsidRDefault="00056198">
      <w:pPr>
        <w:numPr>
          <w:ilvl w:val="0"/>
          <w:numId w:val="15"/>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indicates an effective liquidity position with the perception of better future growth. </w:t>
      </w:r>
    </w:p>
    <w:p w14:paraId="3F37A103" w14:textId="77777777" w:rsidR="00FA51B8" w:rsidRPr="001626AD" w:rsidRDefault="00056198">
      <w:pPr>
        <w:spacing w:line="360" w:lineRule="auto"/>
        <w:jc w:val="both"/>
        <w:rPr>
          <w:b/>
          <w:bCs/>
          <w:color w:val="000000" w:themeColor="text1"/>
          <w:sz w:val="24"/>
          <w:szCs w:val="24"/>
          <w:u w:val="single"/>
        </w:rPr>
      </w:pPr>
      <w:r w:rsidRPr="001626AD">
        <w:rPr>
          <w:b/>
          <w:bCs/>
          <w:color w:val="000000" w:themeColor="text1"/>
          <w:sz w:val="24"/>
          <w:szCs w:val="24"/>
          <w:u w:val="single"/>
        </w:rPr>
        <w:t>Accounting Rate of Return (ARR)</w:t>
      </w:r>
    </w:p>
    <w:p w14:paraId="5428D53E" w14:textId="77777777" w:rsidR="00FA51B8" w:rsidRPr="001626AD" w:rsidRDefault="00FA51B8">
      <w:pPr>
        <w:spacing w:line="360" w:lineRule="auto"/>
        <w:jc w:val="both"/>
        <w:rPr>
          <w:color w:val="000000" w:themeColor="text1"/>
          <w:sz w:val="24"/>
          <w:szCs w:val="24"/>
        </w:rPr>
      </w:pPr>
    </w:p>
    <w:p w14:paraId="3D898D9B" w14:textId="77777777" w:rsidR="00FA51B8" w:rsidRPr="001626AD" w:rsidRDefault="00056198">
      <w:pPr>
        <w:numPr>
          <w:ilvl w:val="0"/>
          <w:numId w:val="16"/>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lastRenderedPageBreak/>
        <w:t xml:space="preserve">From the viewpoint of Nukala and Prasada Rao (2021), APR is the “average net income” developed from investments as the percentage of their “average book value”. </w:t>
      </w:r>
    </w:p>
    <w:p w14:paraId="610A443B" w14:textId="77777777" w:rsidR="00FA51B8" w:rsidRPr="001626AD" w:rsidRDefault="00056198">
      <w:pPr>
        <w:numPr>
          <w:ilvl w:val="0"/>
          <w:numId w:val="16"/>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is calculated by, </w:t>
      </w:r>
    </w:p>
    <w:p w14:paraId="61E86BDD" w14:textId="77777777" w:rsidR="00FA51B8" w:rsidRPr="001626AD" w:rsidRDefault="00056198">
      <w:pPr>
        <w:spacing w:line="360" w:lineRule="auto"/>
        <w:jc w:val="center"/>
        <w:rPr>
          <w:b/>
          <w:bCs/>
          <w:color w:val="000000" w:themeColor="text1"/>
          <w:sz w:val="24"/>
          <w:szCs w:val="24"/>
        </w:rPr>
      </w:pPr>
      <w:r w:rsidRPr="001626AD">
        <w:rPr>
          <w:b/>
          <w:bCs/>
          <w:noProof/>
          <w:color w:val="000000" w:themeColor="text1"/>
          <w:sz w:val="24"/>
          <w:szCs w:val="24"/>
          <w:lang w:val="en-IN"/>
        </w:rPr>
        <w:drawing>
          <wp:inline distT="114300" distB="114300" distL="114300" distR="114300" wp14:anchorId="23436016" wp14:editId="6AC9F56B">
            <wp:extent cx="4019550" cy="714375"/>
            <wp:effectExtent l="25400" t="25400" r="25400" b="254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4"/>
                    <a:srcRect/>
                    <a:stretch>
                      <a:fillRect/>
                    </a:stretch>
                  </pic:blipFill>
                  <pic:spPr>
                    <a:xfrm>
                      <a:off x="0" y="0"/>
                      <a:ext cx="4019550" cy="714375"/>
                    </a:xfrm>
                    <a:prstGeom prst="rect">
                      <a:avLst/>
                    </a:prstGeom>
                    <a:ln w="25400">
                      <a:solidFill>
                        <a:srgbClr val="000000"/>
                      </a:solidFill>
                      <a:prstDash val="solid"/>
                    </a:ln>
                  </pic:spPr>
                </pic:pic>
              </a:graphicData>
            </a:graphic>
          </wp:inline>
        </w:drawing>
      </w:r>
    </w:p>
    <w:p w14:paraId="2C7EF4B9"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“Project A”</w:t>
      </w:r>
    </w:p>
    <w:p w14:paraId="1D7F2537" w14:textId="77777777" w:rsidR="00FA51B8" w:rsidRPr="001626AD" w:rsidRDefault="00056198">
      <w:pPr>
        <w:numPr>
          <w:ilvl w:val="0"/>
          <w:numId w:val="17"/>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project highlighted an ARR of 27% on the invested capital. </w:t>
      </w:r>
    </w:p>
    <w:p w14:paraId="31C377D0" w14:textId="77777777" w:rsidR="00FA51B8" w:rsidRPr="001626AD" w:rsidRDefault="00056198">
      <w:pPr>
        <w:numPr>
          <w:ilvl w:val="0"/>
          <w:numId w:val="17"/>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indicates the scope of high profitability within the project, along with the proper usage of invested funds. </w:t>
      </w:r>
    </w:p>
    <w:p w14:paraId="32D82F52"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 xml:space="preserve">“Project B” </w:t>
      </w:r>
    </w:p>
    <w:p w14:paraId="2A9C1E94" w14:textId="77777777" w:rsidR="00FA51B8" w:rsidRPr="001626AD" w:rsidRDefault="00056198">
      <w:pPr>
        <w:numPr>
          <w:ilvl w:val="0"/>
          <w:numId w:val="18"/>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A total of £30 million was invested, which generated the “annual cash inflows” of £6 million over 5 years. </w:t>
      </w:r>
    </w:p>
    <w:p w14:paraId="424DD9AD" w14:textId="77777777" w:rsidR="00FA51B8" w:rsidRPr="001626AD" w:rsidRDefault="00056198">
      <w:pPr>
        <w:numPr>
          <w:ilvl w:val="0"/>
          <w:numId w:val="18"/>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ARR has been identified as 20%, showcasing a moderate profitability level. </w:t>
      </w:r>
    </w:p>
    <w:p w14:paraId="3FA48762" w14:textId="77777777" w:rsidR="00FA51B8" w:rsidRPr="001626AD" w:rsidRDefault="00056198">
      <w:pPr>
        <w:numPr>
          <w:ilvl w:val="0"/>
          <w:numId w:val="18"/>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From this perception, it is clear enough that the project has financial stability but restricted growth, as well as lower returns. </w:t>
      </w:r>
    </w:p>
    <w:p w14:paraId="25EA83A9"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 xml:space="preserve">“Project C” </w:t>
      </w:r>
    </w:p>
    <w:p w14:paraId="30C9A1B1" w14:textId="77777777" w:rsidR="00FA51B8" w:rsidRPr="001626AD" w:rsidRDefault="00056198">
      <w:pPr>
        <w:numPr>
          <w:ilvl w:val="0"/>
          <w:numId w:val="19"/>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This project has an initial investment of £50 million for generating a total return of £75 million within 5 years.</w:t>
      </w:r>
    </w:p>
    <w:p w14:paraId="424CDF17" w14:textId="77777777" w:rsidR="00FA51B8" w:rsidRPr="001626AD" w:rsidRDefault="00056198">
      <w:pPr>
        <w:numPr>
          <w:ilvl w:val="0"/>
          <w:numId w:val="19"/>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ARR is observed as 30%, the highest among all projects. </w:t>
      </w:r>
    </w:p>
    <w:p w14:paraId="1A173C64" w14:textId="77777777" w:rsidR="00FA51B8" w:rsidRPr="001626AD" w:rsidRDefault="00056198">
      <w:pPr>
        <w:numPr>
          <w:ilvl w:val="0"/>
          <w:numId w:val="19"/>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indicates the greater profitability along with the proper use of the invested capital. </w:t>
      </w:r>
    </w:p>
    <w:p w14:paraId="0874834D" w14:textId="77777777" w:rsidR="00FA51B8" w:rsidRPr="001626AD" w:rsidRDefault="00056198">
      <w:pPr>
        <w:numPr>
          <w:ilvl w:val="0"/>
          <w:numId w:val="19"/>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As an impact, there is a possibility to increase shareholder value eventually. </w:t>
      </w:r>
    </w:p>
    <w:p w14:paraId="78DDD292" w14:textId="77777777" w:rsidR="00FA51B8" w:rsidRPr="001626AD" w:rsidRDefault="00056198">
      <w:pPr>
        <w:spacing w:line="360" w:lineRule="auto"/>
        <w:jc w:val="both"/>
        <w:rPr>
          <w:b/>
          <w:bCs/>
          <w:color w:val="000000" w:themeColor="text1"/>
          <w:sz w:val="24"/>
          <w:szCs w:val="24"/>
          <w:u w:val="single"/>
        </w:rPr>
      </w:pPr>
      <w:r w:rsidRPr="001626AD">
        <w:rPr>
          <w:b/>
          <w:bCs/>
          <w:color w:val="000000" w:themeColor="text1"/>
          <w:sz w:val="24"/>
          <w:szCs w:val="24"/>
          <w:u w:val="single"/>
        </w:rPr>
        <w:t>Net Present Value (NPV)</w:t>
      </w:r>
    </w:p>
    <w:p w14:paraId="70E434AE" w14:textId="77777777" w:rsidR="00FA51B8" w:rsidRPr="001626AD" w:rsidRDefault="00056198">
      <w:pPr>
        <w:numPr>
          <w:ilvl w:val="0"/>
          <w:numId w:val="20"/>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As stated by Wangchuk (2022), NPV mainly evaluates the profitability areas by making comparisons between the present value of “project cash inflows and outflows”. </w:t>
      </w:r>
    </w:p>
    <w:p w14:paraId="7DC5EAF9" w14:textId="77777777" w:rsidR="00FA51B8" w:rsidRPr="001626AD" w:rsidRDefault="00056198">
      <w:pPr>
        <w:numPr>
          <w:ilvl w:val="0"/>
          <w:numId w:val="20"/>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is calculated by, </w:t>
      </w:r>
    </w:p>
    <w:p w14:paraId="2CD444B9" w14:textId="77777777" w:rsidR="00FA51B8" w:rsidRPr="001626AD" w:rsidRDefault="00FA51B8">
      <w:pPr>
        <w:spacing w:line="360" w:lineRule="auto"/>
        <w:jc w:val="both"/>
        <w:rPr>
          <w:color w:val="000000" w:themeColor="text1"/>
          <w:sz w:val="24"/>
          <w:szCs w:val="24"/>
        </w:rPr>
      </w:pPr>
    </w:p>
    <w:p w14:paraId="665D4732" w14:textId="77777777" w:rsidR="00FA51B8" w:rsidRPr="001626AD" w:rsidRDefault="00056198">
      <w:pPr>
        <w:spacing w:line="360" w:lineRule="auto"/>
        <w:jc w:val="center"/>
        <w:rPr>
          <w:color w:val="000000" w:themeColor="text1"/>
          <w:sz w:val="24"/>
          <w:szCs w:val="24"/>
        </w:rPr>
      </w:pPr>
      <w:r w:rsidRPr="001626AD">
        <w:rPr>
          <w:noProof/>
          <w:color w:val="000000" w:themeColor="text1"/>
          <w:sz w:val="24"/>
          <w:szCs w:val="24"/>
          <w:lang w:val="en-IN"/>
        </w:rPr>
        <w:lastRenderedPageBreak/>
        <w:drawing>
          <wp:inline distT="114300" distB="114300" distL="114300" distR="114300" wp14:anchorId="60D90A5F" wp14:editId="016FCC23">
            <wp:extent cx="3076575" cy="2943225"/>
            <wp:effectExtent l="25400" t="25400" r="25400" b="254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5"/>
                    <a:srcRect/>
                    <a:stretch>
                      <a:fillRect/>
                    </a:stretch>
                  </pic:blipFill>
                  <pic:spPr>
                    <a:xfrm>
                      <a:off x="0" y="0"/>
                      <a:ext cx="3076575" cy="2943225"/>
                    </a:xfrm>
                    <a:prstGeom prst="rect">
                      <a:avLst/>
                    </a:prstGeom>
                    <a:ln w="25400">
                      <a:solidFill>
                        <a:srgbClr val="000000"/>
                      </a:solidFill>
                      <a:prstDash val="solid"/>
                    </a:ln>
                  </pic:spPr>
                </pic:pic>
              </a:graphicData>
            </a:graphic>
          </wp:inline>
        </w:drawing>
      </w:r>
    </w:p>
    <w:p w14:paraId="238128C6"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“Project A”</w:t>
      </w:r>
    </w:p>
    <w:p w14:paraId="2D060514" w14:textId="77777777" w:rsidR="00FA51B8" w:rsidRPr="001626AD" w:rsidRDefault="00056198">
      <w:pPr>
        <w:numPr>
          <w:ilvl w:val="0"/>
          <w:numId w:val="2"/>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This project has a positive NPV with a value of £1.31 million.</w:t>
      </w:r>
    </w:p>
    <w:p w14:paraId="5AFD9F3D" w14:textId="77777777" w:rsidR="00FA51B8" w:rsidRPr="001626AD" w:rsidRDefault="00056198">
      <w:pPr>
        <w:numPr>
          <w:ilvl w:val="0"/>
          <w:numId w:val="2"/>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NPV is calculated by using the “10% discount rate”. </w:t>
      </w:r>
    </w:p>
    <w:p w14:paraId="4ED2D23B" w14:textId="77777777" w:rsidR="00FA51B8" w:rsidRPr="001626AD" w:rsidRDefault="00056198">
      <w:pPr>
        <w:numPr>
          <w:ilvl w:val="0"/>
          <w:numId w:val="2"/>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indicates that “project cash inflows” surpass the initial investment eventually. </w:t>
      </w:r>
    </w:p>
    <w:p w14:paraId="08D810EE" w14:textId="77777777" w:rsidR="00FA51B8" w:rsidRPr="001626AD" w:rsidRDefault="00056198">
      <w:pPr>
        <w:numPr>
          <w:ilvl w:val="0"/>
          <w:numId w:val="2"/>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NPV seems to be modest here, which reflects value creation and supports the objective of the firm to strengthen its financial stability. </w:t>
      </w:r>
    </w:p>
    <w:p w14:paraId="640E38B9" w14:textId="77777777" w:rsidR="00FA51B8" w:rsidRPr="001626AD" w:rsidRDefault="00056198">
      <w:pPr>
        <w:numPr>
          <w:ilvl w:val="0"/>
          <w:numId w:val="2"/>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The consistent cash flow of the project in the early years enriches predictability, which is quite crucial for an organisation to recover from liquidity challenges.</w:t>
      </w:r>
    </w:p>
    <w:p w14:paraId="10A30F3D" w14:textId="77777777" w:rsidR="00FA51B8" w:rsidRPr="001626AD" w:rsidRDefault="00056198">
      <w:pPr>
        <w:numPr>
          <w:ilvl w:val="0"/>
          <w:numId w:val="2"/>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Overall, the positive NPV of the project confirms that it will eventually contribute to the incremental wealth of the shareholders, although its smaller surplus compared with “project C” suggests the “lower return investment opportunity”. </w:t>
      </w:r>
    </w:p>
    <w:p w14:paraId="5A8C5E91"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“Project B”</w:t>
      </w:r>
    </w:p>
    <w:p w14:paraId="5614BE7C" w14:textId="77777777" w:rsidR="00FA51B8" w:rsidRPr="001626AD" w:rsidRDefault="00056198">
      <w:pPr>
        <w:numPr>
          <w:ilvl w:val="0"/>
          <w:numId w:val="4"/>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project has developed a negative NPV of nearly £7.27 million at the 10% discount rate, indicating that the present value inflows of the project are quite insufficient for recovering its “£30 million investment”. </w:t>
      </w:r>
    </w:p>
    <w:p w14:paraId="74DC84C5" w14:textId="77777777" w:rsidR="00FA51B8" w:rsidRPr="001626AD" w:rsidRDefault="00056198">
      <w:pPr>
        <w:numPr>
          <w:ilvl w:val="0"/>
          <w:numId w:val="4"/>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negative result also signified the value destruction and the internal return below the “cost of capital”. </w:t>
      </w:r>
    </w:p>
    <w:p w14:paraId="4ADE5EB8" w14:textId="77777777" w:rsidR="00FA51B8" w:rsidRPr="001626AD" w:rsidRDefault="00056198">
      <w:pPr>
        <w:numPr>
          <w:ilvl w:val="0"/>
          <w:numId w:val="4"/>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Although these inflows reduce volatility and fail to generate the proper returns related to the associated risk, along with a financing burden. For an organisation </w:t>
      </w:r>
      <w:r w:rsidRPr="001626AD">
        <w:rPr>
          <w:color w:val="000000" w:themeColor="text1"/>
          <w:sz w:val="24"/>
          <w:szCs w:val="24"/>
        </w:rPr>
        <w:lastRenderedPageBreak/>
        <w:t xml:space="preserve">that is already facing such a decline in profitability levels and limited liquidity, such investments can intensify the financial pressure even more. </w:t>
      </w:r>
    </w:p>
    <w:p w14:paraId="4FE49B13"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 xml:space="preserve">“Project C” </w:t>
      </w:r>
    </w:p>
    <w:p w14:paraId="101E06C4" w14:textId="77777777" w:rsidR="00FA51B8" w:rsidRPr="001626AD" w:rsidRDefault="00056198">
      <w:pPr>
        <w:numPr>
          <w:ilvl w:val="0"/>
          <w:numId w:val="5"/>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project showcased the strong financial performance with the positive NPV of approximately. £4.2 million. </w:t>
      </w:r>
    </w:p>
    <w:p w14:paraId="6AF63F07" w14:textId="77777777" w:rsidR="00FA51B8" w:rsidRPr="001626AD" w:rsidRDefault="00056198">
      <w:pPr>
        <w:numPr>
          <w:ilvl w:val="0"/>
          <w:numId w:val="5"/>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result indicated that the project can deliver high returns exceeding the 10% discount rate and will facilitate shareholder wealth. </w:t>
      </w:r>
    </w:p>
    <w:p w14:paraId="03DCE7BB" w14:textId="77777777" w:rsidR="00FA51B8" w:rsidRPr="001626AD" w:rsidRDefault="00056198">
      <w:pPr>
        <w:numPr>
          <w:ilvl w:val="0"/>
          <w:numId w:val="5"/>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“Project C” not only develops the highest NPV but also offers the greater scalability along with long-term profitability. </w:t>
      </w:r>
    </w:p>
    <w:p w14:paraId="4CB2B1E5" w14:textId="77777777" w:rsidR="00FA51B8" w:rsidRPr="001626AD" w:rsidRDefault="00056198">
      <w:pPr>
        <w:spacing w:line="360" w:lineRule="auto"/>
        <w:jc w:val="both"/>
        <w:rPr>
          <w:b/>
          <w:bCs/>
          <w:color w:val="000000" w:themeColor="text1"/>
          <w:sz w:val="24"/>
          <w:szCs w:val="24"/>
          <w:u w:val="single"/>
        </w:rPr>
      </w:pPr>
      <w:r w:rsidRPr="001626AD">
        <w:rPr>
          <w:b/>
          <w:bCs/>
          <w:color w:val="000000" w:themeColor="text1"/>
          <w:sz w:val="24"/>
          <w:szCs w:val="24"/>
          <w:u w:val="single"/>
        </w:rPr>
        <w:t>Profitability Index (PI)</w:t>
      </w:r>
    </w:p>
    <w:p w14:paraId="7E5F8A89" w14:textId="77777777" w:rsidR="00FA51B8" w:rsidRPr="001626AD" w:rsidRDefault="00056198">
      <w:pPr>
        <w:numPr>
          <w:ilvl w:val="0"/>
          <w:numId w:val="6"/>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PI measures the proposed cost of a project along with its benefits by dividing the “project capital inflows” by the cost of the investment (Di Fraia </w:t>
      </w:r>
      <w:r w:rsidRPr="001626AD">
        <w:rPr>
          <w:i/>
          <w:iCs/>
          <w:color w:val="000000" w:themeColor="text1"/>
          <w:sz w:val="24"/>
          <w:szCs w:val="24"/>
        </w:rPr>
        <w:t>et al</w:t>
      </w:r>
      <w:r w:rsidRPr="001626AD">
        <w:rPr>
          <w:color w:val="000000" w:themeColor="text1"/>
          <w:sz w:val="24"/>
          <w:szCs w:val="24"/>
        </w:rPr>
        <w:t xml:space="preserve">., 2023). </w:t>
      </w:r>
    </w:p>
    <w:p w14:paraId="32529CA3" w14:textId="77777777" w:rsidR="00FA51B8" w:rsidRPr="001626AD" w:rsidRDefault="00056198">
      <w:pPr>
        <w:numPr>
          <w:ilvl w:val="0"/>
          <w:numId w:val="6"/>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formula to calculate PI is, </w:t>
      </w:r>
    </w:p>
    <w:p w14:paraId="264FDE3A" w14:textId="77777777" w:rsidR="00FA51B8" w:rsidRPr="001626AD" w:rsidRDefault="00056198">
      <w:pPr>
        <w:spacing w:line="360" w:lineRule="auto"/>
        <w:jc w:val="center"/>
        <w:rPr>
          <w:b/>
          <w:bCs/>
          <w:color w:val="000000" w:themeColor="text1"/>
          <w:sz w:val="24"/>
          <w:szCs w:val="24"/>
        </w:rPr>
      </w:pPr>
      <w:r w:rsidRPr="001626AD">
        <w:rPr>
          <w:b/>
          <w:bCs/>
          <w:noProof/>
          <w:color w:val="000000" w:themeColor="text1"/>
          <w:sz w:val="24"/>
          <w:szCs w:val="24"/>
          <w:lang w:val="en-IN"/>
        </w:rPr>
        <w:drawing>
          <wp:inline distT="114300" distB="114300" distL="114300" distR="114300" wp14:anchorId="38F7043A" wp14:editId="7769F0AC">
            <wp:extent cx="5410200" cy="762000"/>
            <wp:effectExtent l="25400" t="25400" r="25400" b="254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5410200" cy="762000"/>
                    </a:xfrm>
                    <a:prstGeom prst="rect">
                      <a:avLst/>
                    </a:prstGeom>
                    <a:ln w="25400">
                      <a:solidFill>
                        <a:srgbClr val="000000"/>
                      </a:solidFill>
                      <a:prstDash val="solid"/>
                    </a:ln>
                  </pic:spPr>
                </pic:pic>
              </a:graphicData>
            </a:graphic>
          </wp:inline>
        </w:drawing>
      </w:r>
    </w:p>
    <w:p w14:paraId="610D15B5"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“Project A”</w:t>
      </w:r>
    </w:p>
    <w:p w14:paraId="4E06BB43" w14:textId="77777777" w:rsidR="00FA51B8" w:rsidRPr="001626AD" w:rsidRDefault="00056198">
      <w:pPr>
        <w:numPr>
          <w:ilvl w:val="0"/>
          <w:numId w:val="7"/>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PI for this project has been identified as 1.03, showcasing that every pound that was invested is expected to generate “£1.03 in present-value inflows”. </w:t>
      </w:r>
    </w:p>
    <w:p w14:paraId="734AD280" w14:textId="77777777" w:rsidR="00FA51B8" w:rsidRPr="001626AD" w:rsidRDefault="00056198">
      <w:pPr>
        <w:numPr>
          <w:ilvl w:val="0"/>
          <w:numId w:val="7"/>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A PI value above 1 mostly confirms that the project is capable of adding value, although the return margin is limited. </w:t>
      </w:r>
    </w:p>
    <w:p w14:paraId="187A7E8D" w14:textId="77777777" w:rsidR="00FA51B8" w:rsidRPr="001626AD" w:rsidRDefault="00056198">
      <w:pPr>
        <w:numPr>
          <w:ilvl w:val="0"/>
          <w:numId w:val="7"/>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Even in the low margin, the project is acceptable by keeping focus on the cautious financial position of the firm. </w:t>
      </w:r>
    </w:p>
    <w:p w14:paraId="2E55990D" w14:textId="77777777" w:rsidR="00FA51B8" w:rsidRPr="001626AD" w:rsidRDefault="00056198">
      <w:pPr>
        <w:numPr>
          <w:ilvl w:val="0"/>
          <w:numId w:val="7"/>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Hence, it can be stated that “Project A” mainly represents a safe as well as an “incremental investment opportunity” that strongly supports the “gradual capital recovery”.</w:t>
      </w:r>
    </w:p>
    <w:p w14:paraId="24DD598C"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 xml:space="preserve">“Project B” </w:t>
      </w:r>
    </w:p>
    <w:p w14:paraId="5AC110D2" w14:textId="77777777" w:rsidR="00FA51B8" w:rsidRPr="001626AD" w:rsidRDefault="00056198">
      <w:pPr>
        <w:numPr>
          <w:ilvl w:val="0"/>
          <w:numId w:val="8"/>
        </w:numPr>
        <w:pBdr>
          <w:top w:val="nil"/>
          <w:left w:val="nil"/>
          <w:bottom w:val="nil"/>
          <w:right w:val="nil"/>
          <w:between w:val="nil"/>
        </w:pBdr>
        <w:spacing w:line="360" w:lineRule="auto"/>
        <w:jc w:val="both"/>
        <w:rPr>
          <w:b/>
          <w:bCs/>
          <w:color w:val="000000" w:themeColor="text1"/>
          <w:sz w:val="24"/>
          <w:szCs w:val="24"/>
        </w:rPr>
      </w:pPr>
      <w:r w:rsidRPr="001626AD">
        <w:rPr>
          <w:color w:val="000000" w:themeColor="text1"/>
          <w:sz w:val="24"/>
          <w:szCs w:val="24"/>
        </w:rPr>
        <w:t xml:space="preserve">This project records the profitability index of 0.76, indicating that the project can generate 76 pence only for each “£1 invested in present-value terms”. </w:t>
      </w:r>
    </w:p>
    <w:p w14:paraId="3BAF34A3" w14:textId="77777777" w:rsidR="00FA51B8" w:rsidRPr="001626AD" w:rsidRDefault="00056198">
      <w:pPr>
        <w:numPr>
          <w:ilvl w:val="0"/>
          <w:numId w:val="8"/>
        </w:numPr>
        <w:pBdr>
          <w:top w:val="nil"/>
          <w:left w:val="nil"/>
          <w:bottom w:val="nil"/>
          <w:right w:val="nil"/>
          <w:between w:val="nil"/>
        </w:pBdr>
        <w:spacing w:line="360" w:lineRule="auto"/>
        <w:jc w:val="both"/>
        <w:rPr>
          <w:b/>
          <w:bCs/>
          <w:color w:val="000000" w:themeColor="text1"/>
          <w:sz w:val="24"/>
          <w:szCs w:val="24"/>
        </w:rPr>
      </w:pPr>
      <w:r w:rsidRPr="001626AD">
        <w:rPr>
          <w:color w:val="000000" w:themeColor="text1"/>
          <w:sz w:val="24"/>
          <w:szCs w:val="24"/>
        </w:rPr>
        <w:t xml:space="preserve">This highlights financial inefficiency as well as the sub-optimal use of the capital resources. </w:t>
      </w:r>
    </w:p>
    <w:p w14:paraId="4B831DB7" w14:textId="77777777" w:rsidR="00FA51B8" w:rsidRPr="001626AD" w:rsidRDefault="00056198">
      <w:pPr>
        <w:numPr>
          <w:ilvl w:val="0"/>
          <w:numId w:val="8"/>
        </w:numPr>
        <w:pBdr>
          <w:top w:val="nil"/>
          <w:left w:val="nil"/>
          <w:bottom w:val="nil"/>
          <w:right w:val="nil"/>
          <w:between w:val="nil"/>
        </w:pBdr>
        <w:spacing w:line="360" w:lineRule="auto"/>
        <w:jc w:val="both"/>
        <w:rPr>
          <w:b/>
          <w:bCs/>
          <w:color w:val="000000" w:themeColor="text1"/>
          <w:sz w:val="24"/>
          <w:szCs w:val="24"/>
        </w:rPr>
      </w:pPr>
      <w:r w:rsidRPr="001626AD">
        <w:rPr>
          <w:color w:val="000000" w:themeColor="text1"/>
          <w:sz w:val="24"/>
          <w:szCs w:val="24"/>
        </w:rPr>
        <w:lastRenderedPageBreak/>
        <w:t xml:space="preserve">Under the capital rationing, an index can disqualify the project automatically as it falls below the threshold of one. </w:t>
      </w:r>
    </w:p>
    <w:p w14:paraId="0017E0C8" w14:textId="77777777" w:rsidR="00FA51B8" w:rsidRPr="001626AD" w:rsidRDefault="00056198">
      <w:pPr>
        <w:numPr>
          <w:ilvl w:val="0"/>
          <w:numId w:val="8"/>
        </w:numPr>
        <w:pBdr>
          <w:top w:val="nil"/>
          <w:left w:val="nil"/>
          <w:bottom w:val="nil"/>
          <w:right w:val="nil"/>
          <w:between w:val="nil"/>
        </w:pBdr>
        <w:spacing w:line="360" w:lineRule="auto"/>
        <w:jc w:val="both"/>
        <w:rPr>
          <w:b/>
          <w:bCs/>
          <w:color w:val="000000" w:themeColor="text1"/>
          <w:sz w:val="24"/>
          <w:szCs w:val="24"/>
        </w:rPr>
      </w:pPr>
      <w:r w:rsidRPr="001626AD">
        <w:rPr>
          <w:color w:val="000000" w:themeColor="text1"/>
          <w:sz w:val="24"/>
          <w:szCs w:val="24"/>
        </w:rPr>
        <w:t xml:space="preserve">Hence, it can be stated that “Project B” failed for generating the appropriate “returns to justify investment”. Therefore, pursuing this project can erode the value of shareholders and further weaken the liquidity. </w:t>
      </w:r>
    </w:p>
    <w:p w14:paraId="2F171054"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“Project C”</w:t>
      </w:r>
    </w:p>
    <w:p w14:paraId="22DA3EC9" w14:textId="77777777" w:rsidR="00FA51B8" w:rsidRPr="001626AD" w:rsidRDefault="00056198">
      <w:pPr>
        <w:numPr>
          <w:ilvl w:val="0"/>
          <w:numId w:val="3"/>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showcased a PI of 1.08, which is the highest among the three projects. This aspect highlights that each pound that is invested is expected to generate £1.08 within discounted inflows. </w:t>
      </w:r>
    </w:p>
    <w:p w14:paraId="29A76516" w14:textId="77777777" w:rsidR="00FA51B8" w:rsidRPr="001626AD" w:rsidRDefault="00056198">
      <w:pPr>
        <w:numPr>
          <w:ilvl w:val="0"/>
          <w:numId w:val="3"/>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also demonstrated the efficient use of available capital. </w:t>
      </w:r>
    </w:p>
    <w:p w14:paraId="15DDBC16" w14:textId="77777777" w:rsidR="00FA51B8" w:rsidRPr="001626AD" w:rsidRDefault="00056198">
      <w:pPr>
        <w:numPr>
          <w:ilvl w:val="0"/>
          <w:numId w:val="3"/>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existence of such high PI indicates the capability of the project for generating certain values even with a limited budget. </w:t>
      </w:r>
    </w:p>
    <w:p w14:paraId="76854938" w14:textId="77777777" w:rsidR="00FA51B8" w:rsidRPr="001626AD" w:rsidRDefault="00056198">
      <w:pPr>
        <w:numPr>
          <w:ilvl w:val="0"/>
          <w:numId w:val="3"/>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It indicates not only sound financial performance but also significant strategic growth potential as future cash inflows increase. </w:t>
      </w:r>
    </w:p>
    <w:p w14:paraId="7256D025" w14:textId="77777777" w:rsidR="00FA51B8" w:rsidRPr="001626AD" w:rsidRDefault="00056198">
      <w:pPr>
        <w:spacing w:line="360" w:lineRule="auto"/>
        <w:jc w:val="both"/>
        <w:rPr>
          <w:b/>
          <w:bCs/>
          <w:color w:val="000000" w:themeColor="text1"/>
          <w:sz w:val="24"/>
          <w:szCs w:val="24"/>
          <w:u w:val="single"/>
        </w:rPr>
      </w:pPr>
      <w:r w:rsidRPr="001626AD">
        <w:rPr>
          <w:b/>
          <w:bCs/>
          <w:color w:val="000000" w:themeColor="text1"/>
          <w:sz w:val="24"/>
          <w:szCs w:val="24"/>
          <w:u w:val="single"/>
        </w:rPr>
        <w:t>Internal Rate of Return (IRR)</w:t>
      </w:r>
    </w:p>
    <w:p w14:paraId="077BFD60" w14:textId="77777777" w:rsidR="00FA51B8" w:rsidRPr="001626AD" w:rsidRDefault="00056198">
      <w:pPr>
        <w:numPr>
          <w:ilvl w:val="0"/>
          <w:numId w:val="9"/>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IRR defines the “annualized rate of return” a project or a particular investment is expected to generate (Hazen and Magni, 2021). The higher IRR value signals a more attractive investment eventually. </w:t>
      </w:r>
    </w:p>
    <w:p w14:paraId="3AB40EF0" w14:textId="77777777" w:rsidR="00FA51B8" w:rsidRPr="001626AD" w:rsidRDefault="00056198">
      <w:pPr>
        <w:numPr>
          <w:ilvl w:val="0"/>
          <w:numId w:val="9"/>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The formula to calculate IRR is,</w:t>
      </w:r>
    </w:p>
    <w:p w14:paraId="28ADD678" w14:textId="77777777" w:rsidR="00FA51B8" w:rsidRPr="001626AD" w:rsidRDefault="00056198">
      <w:pPr>
        <w:spacing w:line="360" w:lineRule="auto"/>
        <w:jc w:val="center"/>
        <w:rPr>
          <w:color w:val="000000" w:themeColor="text1"/>
          <w:sz w:val="24"/>
          <w:szCs w:val="24"/>
        </w:rPr>
      </w:pPr>
      <w:r w:rsidRPr="001626AD">
        <w:rPr>
          <w:noProof/>
          <w:color w:val="000000" w:themeColor="text1"/>
          <w:sz w:val="24"/>
          <w:szCs w:val="24"/>
          <w:lang w:val="en-IN"/>
        </w:rPr>
        <w:drawing>
          <wp:inline distT="114300" distB="114300" distL="114300" distR="114300" wp14:anchorId="3642E65A" wp14:editId="3F8BEBE1">
            <wp:extent cx="4900613" cy="3014406"/>
            <wp:effectExtent l="25400" t="25400" r="25400" b="2540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7"/>
                    <a:srcRect/>
                    <a:stretch>
                      <a:fillRect/>
                    </a:stretch>
                  </pic:blipFill>
                  <pic:spPr>
                    <a:xfrm>
                      <a:off x="0" y="0"/>
                      <a:ext cx="4900613" cy="3014406"/>
                    </a:xfrm>
                    <a:prstGeom prst="rect">
                      <a:avLst/>
                    </a:prstGeom>
                    <a:ln w="25400">
                      <a:solidFill>
                        <a:srgbClr val="000000"/>
                      </a:solidFill>
                      <a:prstDash val="solid"/>
                    </a:ln>
                  </pic:spPr>
                </pic:pic>
              </a:graphicData>
            </a:graphic>
          </wp:inline>
        </w:drawing>
      </w:r>
    </w:p>
    <w:p w14:paraId="300985CC"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lastRenderedPageBreak/>
        <w:t>“Project A”</w:t>
      </w:r>
    </w:p>
    <w:p w14:paraId="785EB288" w14:textId="77777777" w:rsidR="00FA51B8" w:rsidRPr="001626AD" w:rsidRDefault="00056198">
      <w:pPr>
        <w:numPr>
          <w:ilvl w:val="0"/>
          <w:numId w:val="10"/>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IRR for “Project A” has been identified as 6% which falls below the 10% “cost of capital”. </w:t>
      </w:r>
    </w:p>
    <w:p w14:paraId="63F3F9EC" w14:textId="77777777" w:rsidR="00FA51B8" w:rsidRPr="001626AD" w:rsidRDefault="00056198">
      <w:pPr>
        <w:numPr>
          <w:ilvl w:val="0"/>
          <w:numId w:val="10"/>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The project yields a positive NPV but a lower IRR, and this indicates that although the project can recover its investment, it does not properly generate the incremental returns for justifying the prioritization.</w:t>
      </w:r>
    </w:p>
    <w:p w14:paraId="21C7CFF1" w14:textId="77777777" w:rsidR="00FA51B8" w:rsidRPr="001626AD" w:rsidRDefault="00056198">
      <w:pPr>
        <w:numPr>
          <w:ilvl w:val="0"/>
          <w:numId w:val="10"/>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 However, the stability and predictable inflows of the project can still make this acceptable in the low-risk portfolio. </w:t>
      </w:r>
    </w:p>
    <w:p w14:paraId="09811809"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“Project B”</w:t>
      </w:r>
    </w:p>
    <w:p w14:paraId="3883CFB0" w14:textId="77777777" w:rsidR="00FA51B8" w:rsidRPr="001626AD" w:rsidRDefault="00056198">
      <w:pPr>
        <w:numPr>
          <w:ilvl w:val="0"/>
          <w:numId w:val="11"/>
        </w:numPr>
        <w:pBdr>
          <w:top w:val="nil"/>
          <w:left w:val="nil"/>
          <w:bottom w:val="nil"/>
          <w:right w:val="nil"/>
          <w:between w:val="nil"/>
        </w:pBdr>
        <w:spacing w:line="360" w:lineRule="auto"/>
        <w:jc w:val="both"/>
        <w:rPr>
          <w:b/>
          <w:bCs/>
          <w:color w:val="000000" w:themeColor="text1"/>
          <w:sz w:val="24"/>
          <w:szCs w:val="24"/>
        </w:rPr>
      </w:pPr>
      <w:r w:rsidRPr="001626AD">
        <w:rPr>
          <w:color w:val="000000" w:themeColor="text1"/>
          <w:sz w:val="24"/>
          <w:szCs w:val="24"/>
        </w:rPr>
        <w:t xml:space="preserve">This project reported the negative IRR of -8%, indicating that its “discounted cash inflows” cannot be able to offset its initial investment. </w:t>
      </w:r>
    </w:p>
    <w:p w14:paraId="33C3522E" w14:textId="77777777" w:rsidR="00FA51B8" w:rsidRPr="001626AD" w:rsidRDefault="00056198">
      <w:pPr>
        <w:numPr>
          <w:ilvl w:val="0"/>
          <w:numId w:val="11"/>
        </w:numPr>
        <w:pBdr>
          <w:top w:val="nil"/>
          <w:left w:val="nil"/>
          <w:bottom w:val="nil"/>
          <w:right w:val="nil"/>
          <w:between w:val="nil"/>
        </w:pBdr>
        <w:spacing w:line="360" w:lineRule="auto"/>
        <w:jc w:val="both"/>
        <w:rPr>
          <w:b/>
          <w:bCs/>
          <w:color w:val="000000" w:themeColor="text1"/>
          <w:sz w:val="24"/>
          <w:szCs w:val="24"/>
        </w:rPr>
      </w:pPr>
      <w:r w:rsidRPr="001626AD">
        <w:rPr>
          <w:color w:val="000000" w:themeColor="text1"/>
          <w:sz w:val="24"/>
          <w:szCs w:val="24"/>
        </w:rPr>
        <w:t xml:space="preserve">Such a return profile can worsen the present fragile financial position of the firm, such as operating losses and constrained liquidity. </w:t>
      </w:r>
    </w:p>
    <w:p w14:paraId="67346DE0" w14:textId="77777777" w:rsidR="00FA51B8" w:rsidRPr="001626AD" w:rsidRDefault="00056198">
      <w:pPr>
        <w:numPr>
          <w:ilvl w:val="0"/>
          <w:numId w:val="11"/>
        </w:numPr>
        <w:pBdr>
          <w:top w:val="nil"/>
          <w:left w:val="nil"/>
          <w:bottom w:val="nil"/>
          <w:right w:val="nil"/>
          <w:between w:val="nil"/>
        </w:pBdr>
        <w:spacing w:line="360" w:lineRule="auto"/>
        <w:jc w:val="both"/>
        <w:rPr>
          <w:b/>
          <w:bCs/>
          <w:color w:val="000000" w:themeColor="text1"/>
          <w:sz w:val="24"/>
          <w:szCs w:val="24"/>
        </w:rPr>
      </w:pPr>
      <w:r w:rsidRPr="001626AD">
        <w:rPr>
          <w:color w:val="000000" w:themeColor="text1"/>
          <w:sz w:val="24"/>
          <w:szCs w:val="24"/>
        </w:rPr>
        <w:t xml:space="preserve">For an organisation seeking profitable investment, an IRR value below 0 indicates unviable performance and hence, this project must be excluded from consideration. </w:t>
      </w:r>
    </w:p>
    <w:p w14:paraId="616808EF" w14:textId="77777777" w:rsidR="00FA51B8" w:rsidRPr="001626AD" w:rsidRDefault="00056198">
      <w:pPr>
        <w:spacing w:line="360" w:lineRule="auto"/>
        <w:jc w:val="both"/>
        <w:rPr>
          <w:b/>
          <w:bCs/>
          <w:color w:val="000000" w:themeColor="text1"/>
          <w:sz w:val="24"/>
          <w:szCs w:val="24"/>
        </w:rPr>
      </w:pPr>
      <w:r w:rsidRPr="001626AD">
        <w:rPr>
          <w:b/>
          <w:bCs/>
          <w:color w:val="000000" w:themeColor="text1"/>
          <w:sz w:val="24"/>
          <w:szCs w:val="24"/>
        </w:rPr>
        <w:t>“Project C”</w:t>
      </w:r>
    </w:p>
    <w:p w14:paraId="6F2B9B81" w14:textId="77777777" w:rsidR="00FA51B8" w:rsidRPr="001626AD" w:rsidRDefault="00056198">
      <w:pPr>
        <w:numPr>
          <w:ilvl w:val="0"/>
          <w:numId w:val="13"/>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The IRR for “project C” has been estimated at 6% which is below the “10% discounted rate,” whereas supported by the positive NPV and the highest measures of profitability. </w:t>
      </w:r>
    </w:p>
    <w:p w14:paraId="76F9862B" w14:textId="77777777" w:rsidR="00FA51B8" w:rsidRPr="001626AD" w:rsidRDefault="00056198">
      <w:pPr>
        <w:numPr>
          <w:ilvl w:val="0"/>
          <w:numId w:val="13"/>
        </w:numPr>
        <w:pBdr>
          <w:top w:val="nil"/>
          <w:left w:val="nil"/>
          <w:bottom w:val="nil"/>
          <w:right w:val="nil"/>
          <w:between w:val="nil"/>
        </w:pBdr>
        <w:spacing w:line="360" w:lineRule="auto"/>
        <w:jc w:val="both"/>
        <w:rPr>
          <w:color w:val="000000" w:themeColor="text1"/>
          <w:sz w:val="24"/>
          <w:szCs w:val="24"/>
        </w:rPr>
      </w:pPr>
      <w:r w:rsidRPr="001626AD">
        <w:rPr>
          <w:color w:val="000000" w:themeColor="text1"/>
          <w:sz w:val="24"/>
          <w:szCs w:val="24"/>
        </w:rPr>
        <w:t xml:space="preserve">This indicates that although the “rate of return” is under the target slightly, the scale and timing related to inflows can be compensated through value creation as well as future growth potential. </w:t>
      </w:r>
    </w:p>
    <w:p w14:paraId="5D9D0572" w14:textId="77777777" w:rsidR="00FA51B8" w:rsidRPr="001626AD" w:rsidRDefault="00056198" w:rsidP="00643CA2">
      <w:pPr>
        <w:pStyle w:val="Heading2"/>
      </w:pPr>
      <w:bookmarkStart w:id="16" w:name="_Toc213703070"/>
      <w:r w:rsidRPr="001626AD">
        <w:t>5.2 Final Investment Recommendation and Justification</w:t>
      </w:r>
      <w:bookmarkEnd w:id="16"/>
      <w:r w:rsidRPr="001626AD">
        <w:t xml:space="preserve"> </w:t>
      </w:r>
    </w:p>
    <w:p w14:paraId="6BE6E0EB" w14:textId="77777777" w:rsidR="00FA51B8" w:rsidRPr="001626AD" w:rsidRDefault="00056198">
      <w:pPr>
        <w:spacing w:line="360" w:lineRule="auto"/>
        <w:jc w:val="both"/>
        <w:rPr>
          <w:color w:val="000000" w:themeColor="text1"/>
          <w:sz w:val="24"/>
          <w:szCs w:val="24"/>
        </w:rPr>
      </w:pPr>
      <w:bookmarkStart w:id="17" w:name="_heading=h.7s4gxkx7lt3m" w:colFirst="0" w:colLast="0"/>
      <w:bookmarkEnd w:id="17"/>
      <w:r w:rsidRPr="001626AD">
        <w:rPr>
          <w:color w:val="000000" w:themeColor="text1"/>
          <w:sz w:val="24"/>
          <w:szCs w:val="24"/>
        </w:rPr>
        <w:t xml:space="preserve">Under the “capital rationing constraint” of £60 million, “project C” has been identified as the most suitable choice regarding investment. This project is able to deliver the highest values of NPV, ARR (30%), and a profitability index of 1.08, highlighting the superior value creation along with the efficient utilisation of the capital. The project inflows will also increase over time, which showcases the strong growth potential with the manageable “cash flow volatility”. However, the “project A” showcases the quicker payback, but its </w:t>
      </w:r>
      <w:r w:rsidRPr="001626AD">
        <w:rPr>
          <w:color w:val="000000" w:themeColor="text1"/>
          <w:sz w:val="24"/>
          <w:szCs w:val="24"/>
        </w:rPr>
        <w:lastRenderedPageBreak/>
        <w:t xml:space="preserve">returns have been identified as comparatively modest. “Project B” must be rejected due to the weak profitability, along with the limited benefits associated with the liquidity. By keeping focus on the recent financial performance of GE, it can be stated that there is a need for such investment that eventually maximizes the long-term returns, and along with this, maintenance of the sustainable cash recovery is crucial. “Project C” must align these priorities by supporting the profitability along with operational turnaround.  </w:t>
      </w:r>
    </w:p>
    <w:p w14:paraId="134F96E7" w14:textId="77777777" w:rsidR="00FA51B8" w:rsidRPr="001626AD" w:rsidRDefault="00056198" w:rsidP="00643CA2">
      <w:pPr>
        <w:pStyle w:val="Heading1"/>
      </w:pPr>
      <w:bookmarkStart w:id="18" w:name="_Toc213703071"/>
      <w:r w:rsidRPr="001626AD">
        <w:t>Conclusion</w:t>
      </w:r>
      <w:bookmarkEnd w:id="18"/>
      <w:r w:rsidRPr="001626AD">
        <w:t xml:space="preserve"> </w:t>
      </w:r>
    </w:p>
    <w:p w14:paraId="6F5CD563" w14:textId="77777777" w:rsidR="00FA51B8" w:rsidRPr="001626AD" w:rsidRDefault="00056198">
      <w:pPr>
        <w:spacing w:line="360" w:lineRule="auto"/>
        <w:jc w:val="both"/>
        <w:rPr>
          <w:color w:val="000000" w:themeColor="text1"/>
          <w:sz w:val="24"/>
          <w:szCs w:val="24"/>
        </w:rPr>
      </w:pPr>
      <w:r w:rsidRPr="001626AD">
        <w:rPr>
          <w:color w:val="000000" w:themeColor="text1"/>
          <w:sz w:val="24"/>
          <w:szCs w:val="24"/>
        </w:rPr>
        <w:t xml:space="preserve">Above all, it can be concluded that GE is facing losses at present with the negative values of shareholders and the growth “debt-to-equity ratio”. Financial restructuring seemed to be highly essential for the firm, along with improving the area of liquidity. Among all investment projects, “Project C” has been identified as the most effective one as well. </w:t>
      </w:r>
    </w:p>
    <w:p w14:paraId="57731D04" w14:textId="77777777" w:rsidR="00DD2E86" w:rsidRDefault="00DD2E86">
      <w:pPr>
        <w:rPr>
          <w:b/>
          <w:bCs/>
          <w:color w:val="000000" w:themeColor="text1"/>
          <w:sz w:val="24"/>
          <w:szCs w:val="24"/>
        </w:rPr>
      </w:pPr>
      <w:r>
        <w:rPr>
          <w:color w:val="000000" w:themeColor="text1"/>
        </w:rPr>
        <w:br w:type="page"/>
      </w:r>
    </w:p>
    <w:p w14:paraId="762D0B93" w14:textId="77777777" w:rsidR="00FA51B8" w:rsidRPr="001626AD" w:rsidRDefault="00056198" w:rsidP="00643CA2">
      <w:pPr>
        <w:pStyle w:val="Heading1"/>
      </w:pPr>
      <w:bookmarkStart w:id="19" w:name="_Toc213703072"/>
      <w:r w:rsidRPr="001626AD">
        <w:lastRenderedPageBreak/>
        <w:t>References</w:t>
      </w:r>
      <w:bookmarkEnd w:id="19"/>
      <w:r w:rsidRPr="001626AD">
        <w:t xml:space="preserve"> </w:t>
      </w:r>
    </w:p>
    <w:p w14:paraId="39220089"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Aleskerova , Y. (2022). </w:t>
      </w:r>
      <w:r w:rsidRPr="009C3176">
        <w:rPr>
          <w:i/>
          <w:iCs/>
          <w:color w:val="000000" w:themeColor="text1"/>
          <w:sz w:val="24"/>
          <w:szCs w:val="24"/>
          <w:lang w:val="en-IN"/>
        </w:rPr>
        <w:t>Management of the credit process in Ukraine</w:t>
      </w:r>
      <w:r w:rsidRPr="009C3176">
        <w:rPr>
          <w:color w:val="000000" w:themeColor="text1"/>
          <w:sz w:val="24"/>
          <w:szCs w:val="24"/>
          <w:lang w:val="en-IN"/>
        </w:rPr>
        <w:t>. [online] Traditional and innovative approaches to scientific research: theory, methodology, practice: Scientific monograph. Riga, Latvia: Baltija Publishing, 2022. Р. 562-580. Available at: http://vsau.vin.ua/repository/card.php?lang=en&amp;id=31758 [Accessed 10 Nov. 2025].</w:t>
      </w:r>
    </w:p>
    <w:p w14:paraId="687B649B"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Babalola, F.I., Kokogho, E., Odio, P.E., Adeyanju, M.O. and Nwokediegwu, Z.S. (2021). The evolution of corporate governance frameworks: Conceptual models for enhancing financial performance. </w:t>
      </w:r>
      <w:r w:rsidRPr="009C3176">
        <w:rPr>
          <w:i/>
          <w:iCs/>
          <w:color w:val="000000" w:themeColor="text1"/>
          <w:sz w:val="24"/>
          <w:szCs w:val="24"/>
          <w:lang w:val="en-IN"/>
        </w:rPr>
        <w:t>International Journal of Multidisciplinary Research and Growth Evaluation</w:t>
      </w:r>
      <w:r w:rsidRPr="009C3176">
        <w:rPr>
          <w:color w:val="000000" w:themeColor="text1"/>
          <w:sz w:val="24"/>
          <w:szCs w:val="24"/>
          <w:lang w:val="en-IN"/>
        </w:rPr>
        <w:t>, [online] 1(1), pp.589–596. doi:https://doi.org/10.54660/.ijmrge.2021.2.1-589-596.</w:t>
      </w:r>
    </w:p>
    <w:p w14:paraId="60CF6A2B"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Balkhi, B., Alshahrani, A. and Khan, A. (2022). Just-in-Time Approach in Healthcare Inventory Management: Does It Really Work? </w:t>
      </w:r>
      <w:r w:rsidRPr="009C3176">
        <w:rPr>
          <w:i/>
          <w:iCs/>
          <w:color w:val="000000" w:themeColor="text1"/>
          <w:sz w:val="24"/>
          <w:szCs w:val="24"/>
          <w:lang w:val="en-IN"/>
        </w:rPr>
        <w:t>Saudi Pharmaceutical Journal</w:t>
      </w:r>
      <w:r w:rsidRPr="009C3176">
        <w:rPr>
          <w:color w:val="000000" w:themeColor="text1"/>
          <w:sz w:val="24"/>
          <w:szCs w:val="24"/>
          <w:lang w:val="en-IN"/>
        </w:rPr>
        <w:t>, 30(12), pp.1830–1835. doi:https://doi.org/10.1016/j.jsps.2022.10.013.</w:t>
      </w:r>
    </w:p>
    <w:p w14:paraId="1028E7FD"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Bessonova, A., Bessonova, S. and Shevchenko, A. (2025). OPTIMIZATION OF RECEIVABLES OF AN ENTERPRISE AS A TOOL FOR STRENGTHENING FINANCIAL EFFICIENCY. </w:t>
      </w:r>
      <w:r w:rsidRPr="009C3176">
        <w:rPr>
          <w:i/>
          <w:iCs/>
          <w:color w:val="000000" w:themeColor="text1"/>
          <w:sz w:val="24"/>
          <w:szCs w:val="24"/>
          <w:lang w:val="en-IN"/>
        </w:rPr>
        <w:t>Економіка розвитку систем</w:t>
      </w:r>
      <w:r w:rsidRPr="009C3176">
        <w:rPr>
          <w:color w:val="000000" w:themeColor="text1"/>
          <w:sz w:val="24"/>
          <w:szCs w:val="24"/>
          <w:lang w:val="en-IN"/>
        </w:rPr>
        <w:t>, [online] 6(2), pp.146–150. doi:https://doi.org/10.32782/2707-8019/2024-2-20.</w:t>
      </w:r>
    </w:p>
    <w:p w14:paraId="0C588BC3"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Broby, D. (2021). Financial Technology and the Future of Banking. </w:t>
      </w:r>
      <w:r w:rsidRPr="009C3176">
        <w:rPr>
          <w:i/>
          <w:iCs/>
          <w:color w:val="000000" w:themeColor="text1"/>
          <w:sz w:val="24"/>
          <w:szCs w:val="24"/>
          <w:lang w:val="en-IN"/>
        </w:rPr>
        <w:t>Financial Innovation</w:t>
      </w:r>
      <w:r w:rsidRPr="009C3176">
        <w:rPr>
          <w:color w:val="000000" w:themeColor="text1"/>
          <w:sz w:val="24"/>
          <w:szCs w:val="24"/>
          <w:lang w:val="en-IN"/>
        </w:rPr>
        <w:t>, [online] 7(1), p.23. Available at: https://link.springer.com/article/10.1186/s40854-021-00264-y.</w:t>
      </w:r>
    </w:p>
    <w:p w14:paraId="3BF669D1"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Budiyanta, W.A. (2021). A Literature Review of Net Profit Margin. </w:t>
      </w:r>
      <w:r w:rsidRPr="009C3176">
        <w:rPr>
          <w:i/>
          <w:iCs/>
          <w:color w:val="000000" w:themeColor="text1"/>
          <w:sz w:val="24"/>
          <w:szCs w:val="24"/>
          <w:lang w:val="en-IN"/>
        </w:rPr>
        <w:t>Social Science Studies</w:t>
      </w:r>
      <w:r w:rsidRPr="009C3176">
        <w:rPr>
          <w:color w:val="000000" w:themeColor="text1"/>
          <w:sz w:val="24"/>
          <w:szCs w:val="24"/>
          <w:lang w:val="en-IN"/>
        </w:rPr>
        <w:t>, 1(2), pp.115–128. doi:https://doi.org/10.47153/sss12.2262021.</w:t>
      </w:r>
    </w:p>
    <w:p w14:paraId="774656AE"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Celestin, M. and Mishra, A.K. (2025). AI-Driven Financial Analytics: Enhancing Forecast Accuracy, Risk Management, and Decision-Making in Corporate Finance. </w:t>
      </w:r>
      <w:r w:rsidRPr="009C3176">
        <w:rPr>
          <w:i/>
          <w:iCs/>
          <w:color w:val="000000" w:themeColor="text1"/>
          <w:sz w:val="24"/>
          <w:szCs w:val="24"/>
          <w:lang w:val="en-IN"/>
        </w:rPr>
        <w:t>Janajyoti journal .</w:t>
      </w:r>
      <w:r w:rsidRPr="009C3176">
        <w:rPr>
          <w:color w:val="000000" w:themeColor="text1"/>
          <w:sz w:val="24"/>
          <w:szCs w:val="24"/>
          <w:lang w:val="en-IN"/>
        </w:rPr>
        <w:t>, 3(1), pp.1–27. doi:https://doi.org/10.3126/jj.v3i1.83284.</w:t>
      </w:r>
    </w:p>
    <w:p w14:paraId="607856A8"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Choudhary, M.A. and Limodio, N. (2021). Liquidity Risk and Long-Term Finance: Evidence from a Natural Experiment. </w:t>
      </w:r>
      <w:r w:rsidRPr="009C3176">
        <w:rPr>
          <w:i/>
          <w:iCs/>
          <w:color w:val="000000" w:themeColor="text1"/>
          <w:sz w:val="24"/>
          <w:szCs w:val="24"/>
          <w:lang w:val="en-IN"/>
        </w:rPr>
        <w:t>The Review of Economic Studies</w:t>
      </w:r>
      <w:r w:rsidRPr="009C3176">
        <w:rPr>
          <w:color w:val="000000" w:themeColor="text1"/>
          <w:sz w:val="24"/>
          <w:szCs w:val="24"/>
          <w:lang w:val="en-IN"/>
        </w:rPr>
        <w:t>, 89(3), p.23. doi:https://doi.org/10.1093/restud/rdab065.</w:t>
      </w:r>
    </w:p>
    <w:p w14:paraId="03A15835" w14:textId="77777777" w:rsidR="009C3176" w:rsidRPr="009C3176" w:rsidRDefault="009C3176">
      <w:pPr>
        <w:spacing w:line="360" w:lineRule="auto"/>
        <w:jc w:val="both"/>
        <w:rPr>
          <w:color w:val="000000" w:themeColor="text1"/>
          <w:sz w:val="24"/>
          <w:szCs w:val="24"/>
        </w:rPr>
      </w:pPr>
      <w:r w:rsidRPr="009C3176">
        <w:rPr>
          <w:color w:val="000000" w:themeColor="text1"/>
          <w:sz w:val="24"/>
          <w:szCs w:val="24"/>
        </w:rPr>
        <w:t>Dai, H., Li, N., Wang, Y. and Zhao, X., (2022), March. The analysis of three main investment criteria: NPV IRR and payback period. In </w:t>
      </w:r>
      <w:r w:rsidRPr="009C3176">
        <w:rPr>
          <w:i/>
          <w:iCs/>
          <w:color w:val="000000" w:themeColor="text1"/>
          <w:sz w:val="24"/>
          <w:szCs w:val="24"/>
        </w:rPr>
        <w:t xml:space="preserve">2022 7th International Conference </w:t>
      </w:r>
      <w:r w:rsidRPr="009C3176">
        <w:rPr>
          <w:i/>
          <w:iCs/>
          <w:color w:val="000000" w:themeColor="text1"/>
          <w:sz w:val="24"/>
          <w:szCs w:val="24"/>
        </w:rPr>
        <w:lastRenderedPageBreak/>
        <w:t>on Financial Innovation and Economic Development (ICFIED 2022)</w:t>
      </w:r>
      <w:r w:rsidRPr="009C3176">
        <w:rPr>
          <w:color w:val="000000" w:themeColor="text1"/>
          <w:sz w:val="24"/>
          <w:szCs w:val="24"/>
        </w:rPr>
        <w:t xml:space="preserve"> (pp. 185-189). Atlantis Press. </w:t>
      </w:r>
      <w:hyperlink r:id="rId28">
        <w:r w:rsidRPr="009C3176">
          <w:rPr>
            <w:color w:val="000000" w:themeColor="text1"/>
            <w:sz w:val="24"/>
            <w:szCs w:val="24"/>
            <w:u w:val="single"/>
          </w:rPr>
          <w:t>https://www.atlantis-press.com/article/125971510.pdf</w:t>
        </w:r>
      </w:hyperlink>
    </w:p>
    <w:p w14:paraId="5FC18F51" w14:textId="77777777" w:rsidR="009C3176" w:rsidRPr="009C3176" w:rsidRDefault="009C3176">
      <w:pPr>
        <w:spacing w:line="360" w:lineRule="auto"/>
        <w:jc w:val="both"/>
        <w:rPr>
          <w:color w:val="000000" w:themeColor="text1"/>
          <w:sz w:val="24"/>
          <w:szCs w:val="24"/>
        </w:rPr>
      </w:pPr>
      <w:r w:rsidRPr="009C3176">
        <w:rPr>
          <w:color w:val="000000" w:themeColor="text1"/>
          <w:sz w:val="24"/>
          <w:szCs w:val="24"/>
        </w:rPr>
        <w:t>Di Fraia, S., Shah, M. and Vanoli, L., (2023). A biomass-based polygeneration system for a historical building: A techno-economic and environmental analysis. </w:t>
      </w:r>
      <w:r w:rsidRPr="009C3176">
        <w:rPr>
          <w:i/>
          <w:iCs/>
          <w:color w:val="000000" w:themeColor="text1"/>
          <w:sz w:val="24"/>
          <w:szCs w:val="24"/>
        </w:rPr>
        <w:t>Energy Conversion and Management</w:t>
      </w:r>
      <w:r w:rsidRPr="009C3176">
        <w:rPr>
          <w:color w:val="000000" w:themeColor="text1"/>
          <w:sz w:val="24"/>
          <w:szCs w:val="24"/>
        </w:rPr>
        <w:t>, </w:t>
      </w:r>
      <w:r w:rsidRPr="009C3176">
        <w:rPr>
          <w:i/>
          <w:iCs/>
          <w:color w:val="000000" w:themeColor="text1"/>
          <w:sz w:val="24"/>
          <w:szCs w:val="24"/>
        </w:rPr>
        <w:t>291</w:t>
      </w:r>
      <w:r w:rsidRPr="009C3176">
        <w:rPr>
          <w:color w:val="000000" w:themeColor="text1"/>
          <w:sz w:val="24"/>
          <w:szCs w:val="24"/>
        </w:rPr>
        <w:t xml:space="preserve">, p.117336. </w:t>
      </w:r>
      <w:hyperlink r:id="rId29">
        <w:r w:rsidRPr="009C3176">
          <w:rPr>
            <w:color w:val="000000" w:themeColor="text1"/>
            <w:sz w:val="24"/>
            <w:szCs w:val="24"/>
            <w:u w:val="single"/>
          </w:rPr>
          <w:t>https://www.sciencedirect.com/science/article/pii/S0196890423006829</w:t>
        </w:r>
      </w:hyperlink>
    </w:p>
    <w:p w14:paraId="1FA3FAC2"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Dighe, V. (2023). Equity-driven Revenue Cycle (ERC) - Initiating the Experiment. </w:t>
      </w:r>
      <w:r w:rsidRPr="009C3176">
        <w:rPr>
          <w:i/>
          <w:iCs/>
          <w:color w:val="000000" w:themeColor="text1"/>
          <w:sz w:val="24"/>
          <w:szCs w:val="24"/>
          <w:lang w:val="en-IN"/>
        </w:rPr>
        <w:t>SSRN Electronic Journal</w:t>
      </w:r>
      <w:r w:rsidRPr="009C3176">
        <w:rPr>
          <w:color w:val="000000" w:themeColor="text1"/>
          <w:sz w:val="24"/>
          <w:szCs w:val="24"/>
          <w:lang w:val="en-IN"/>
        </w:rPr>
        <w:t>. doi:https://doi.org/10.2139/ssrn.4653252.</w:t>
      </w:r>
    </w:p>
    <w:p w14:paraId="70D7A044"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Eryatna, E.N., Eltivia, N. and Handayawati, K.U. (2021). The Effect of Cash Turnover, Receivable Turnover, and Inventory Turnover Towards Profitability of Consumer Goods Companies in Indonesia. </w:t>
      </w:r>
      <w:r w:rsidRPr="009C3176">
        <w:rPr>
          <w:i/>
          <w:iCs/>
          <w:color w:val="000000" w:themeColor="text1"/>
          <w:sz w:val="24"/>
          <w:szCs w:val="24"/>
          <w:lang w:val="en-IN"/>
        </w:rPr>
        <w:t>Proceedings of 2nd Annual Management, Business and Economic Conference (AMBEC 2020)</w:t>
      </w:r>
      <w:r w:rsidRPr="009C3176">
        <w:rPr>
          <w:color w:val="000000" w:themeColor="text1"/>
          <w:sz w:val="24"/>
          <w:szCs w:val="24"/>
          <w:lang w:val="en-IN"/>
        </w:rPr>
        <w:t>, 183. doi:https://doi.org/10.2991/aebmr.k.210717.039.</w:t>
      </w:r>
    </w:p>
    <w:p w14:paraId="1B2C4EF6"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Flores-Ureba, S., Plaza-Casado, P., Ángel, M. and Gómez-Ortega, A. (2023). Factoring, Leasing and Confirming for Entrepreneurs. </w:t>
      </w:r>
      <w:r w:rsidRPr="009C3176">
        <w:rPr>
          <w:i/>
          <w:iCs/>
          <w:color w:val="000000" w:themeColor="text1"/>
          <w:sz w:val="24"/>
          <w:szCs w:val="24"/>
          <w:lang w:val="en-IN"/>
        </w:rPr>
        <w:t>Contributions to finance and accounting</w:t>
      </w:r>
      <w:r w:rsidRPr="009C3176">
        <w:rPr>
          <w:color w:val="000000" w:themeColor="text1"/>
          <w:sz w:val="24"/>
          <w:szCs w:val="24"/>
          <w:lang w:val="en-IN"/>
        </w:rPr>
        <w:t>, pp.39–53. doi:https://doi.org/10.1007/978-3-031-33994-3_4.</w:t>
      </w:r>
    </w:p>
    <w:p w14:paraId="0DDDE965"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Friske, W., Nikolov, A.N. and Morgan, T. (2023). Making the grade: An analysis of sustainability reporting standards and Global Reporting Initiative adherence ratings. </w:t>
      </w:r>
      <w:r w:rsidRPr="009C3176">
        <w:rPr>
          <w:i/>
          <w:iCs/>
          <w:color w:val="000000" w:themeColor="text1"/>
          <w:sz w:val="24"/>
          <w:szCs w:val="24"/>
          <w:lang w:val="en-IN"/>
        </w:rPr>
        <w:t>Corporate Social Responsibility and Environmental Management</w:t>
      </w:r>
      <w:r w:rsidRPr="009C3176">
        <w:rPr>
          <w:color w:val="000000" w:themeColor="text1"/>
          <w:sz w:val="24"/>
          <w:szCs w:val="24"/>
          <w:lang w:val="en-IN"/>
        </w:rPr>
        <w:t>, p.23. doi:https://doi.org/10.1002/csr.2686.</w:t>
      </w:r>
    </w:p>
    <w:p w14:paraId="154F79BF"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Fu, Y., Du, J. and Wang, Y. (2024). Hedging FX Exposure Risk by Foreign Currency-denominated Debt and Derivatives: Evidence from Chinese Listed Companies. </w:t>
      </w:r>
      <w:r w:rsidRPr="009C3176">
        <w:rPr>
          <w:i/>
          <w:iCs/>
          <w:color w:val="000000" w:themeColor="text1"/>
          <w:sz w:val="24"/>
          <w:szCs w:val="24"/>
          <w:lang w:val="en-IN"/>
        </w:rPr>
        <w:t>Journal of Statistics and Economics</w:t>
      </w:r>
      <w:r w:rsidRPr="009C3176">
        <w:rPr>
          <w:color w:val="000000" w:themeColor="text1"/>
          <w:sz w:val="24"/>
          <w:szCs w:val="24"/>
          <w:lang w:val="en-IN"/>
        </w:rPr>
        <w:t>, 1(2), pp.94–107. doi:https://doi.org/10.62517/jse.202411215.</w:t>
      </w:r>
    </w:p>
    <w:p w14:paraId="24FE54C1" w14:textId="77777777" w:rsidR="009C3176" w:rsidRPr="009C3176" w:rsidRDefault="009C3176">
      <w:pPr>
        <w:spacing w:line="360" w:lineRule="auto"/>
        <w:jc w:val="both"/>
        <w:rPr>
          <w:color w:val="000000" w:themeColor="text1"/>
          <w:sz w:val="24"/>
          <w:szCs w:val="24"/>
          <w:u w:val="single"/>
        </w:rPr>
      </w:pPr>
      <w:r w:rsidRPr="009C3176">
        <w:rPr>
          <w:color w:val="000000" w:themeColor="text1"/>
          <w:sz w:val="24"/>
          <w:szCs w:val="24"/>
        </w:rPr>
        <w:t>Hazen, G. and Magni, C.A., (2021). Average internal rate of return for risky projects. </w:t>
      </w:r>
      <w:r w:rsidRPr="009C3176">
        <w:rPr>
          <w:i/>
          <w:iCs/>
          <w:color w:val="000000" w:themeColor="text1"/>
          <w:sz w:val="24"/>
          <w:szCs w:val="24"/>
        </w:rPr>
        <w:t>The Engineering Economist</w:t>
      </w:r>
      <w:r w:rsidRPr="009C3176">
        <w:rPr>
          <w:color w:val="000000" w:themeColor="text1"/>
          <w:sz w:val="24"/>
          <w:szCs w:val="24"/>
        </w:rPr>
        <w:t>, </w:t>
      </w:r>
      <w:r w:rsidRPr="009C3176">
        <w:rPr>
          <w:i/>
          <w:iCs/>
          <w:color w:val="000000" w:themeColor="text1"/>
          <w:sz w:val="24"/>
          <w:szCs w:val="24"/>
        </w:rPr>
        <w:t>66</w:t>
      </w:r>
      <w:r w:rsidRPr="009C3176">
        <w:rPr>
          <w:color w:val="000000" w:themeColor="text1"/>
          <w:sz w:val="24"/>
          <w:szCs w:val="24"/>
        </w:rPr>
        <w:t xml:space="preserve">(2), pp.90-120. </w:t>
      </w:r>
      <w:hyperlink r:id="rId30">
        <w:r w:rsidRPr="009C3176">
          <w:rPr>
            <w:color w:val="000000" w:themeColor="text1"/>
            <w:sz w:val="24"/>
            <w:szCs w:val="24"/>
            <w:u w:val="single"/>
          </w:rPr>
          <w:t>https://papers.ssrn.com/sol3/Delivery.cfm?abstractid=3791520</w:t>
        </w:r>
      </w:hyperlink>
    </w:p>
    <w:p w14:paraId="4C0624B6"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Herison, R., Sahabuddin, R., Azis, M. and Azis, F. (2022). The Effect of Working Capital Turnover, Accounts Receivable Turnover and Inventory Turnover on Profitability Levels on the Indonesia Stock. </w:t>
      </w:r>
      <w:r w:rsidRPr="009C3176">
        <w:rPr>
          <w:i/>
          <w:iCs/>
          <w:color w:val="000000" w:themeColor="text1"/>
          <w:sz w:val="24"/>
          <w:szCs w:val="24"/>
          <w:lang w:val="en-IN"/>
        </w:rPr>
        <w:t>PSYCHOLOGY AND EDUCATION</w:t>
      </w:r>
      <w:r w:rsidRPr="009C3176">
        <w:rPr>
          <w:color w:val="000000" w:themeColor="text1"/>
          <w:sz w:val="24"/>
          <w:szCs w:val="24"/>
          <w:lang w:val="en-IN"/>
        </w:rPr>
        <w:t xml:space="preserve">, [online] 59(1), pp.385–396. </w:t>
      </w:r>
      <w:r w:rsidRPr="009C3176">
        <w:rPr>
          <w:color w:val="000000" w:themeColor="text1"/>
          <w:sz w:val="24"/>
          <w:szCs w:val="24"/>
          <w:lang w:val="en-IN"/>
        </w:rPr>
        <w:lastRenderedPageBreak/>
        <w:t>Available at: http://eprints.unm.ac.id/30153/1/The_Effect_of_Working_Capital_Turnover_A.pdf.</w:t>
      </w:r>
    </w:p>
    <w:p w14:paraId="22BB4797"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Hua, S., Xiaoye, Y. and Yuanfang, S. (2022). Dynamic Discounting Program of Supply Chain Finance Based on a Financial Information Matching Platform. </w:t>
      </w:r>
      <w:r w:rsidRPr="009C3176">
        <w:rPr>
          <w:i/>
          <w:iCs/>
          <w:color w:val="000000" w:themeColor="text1"/>
          <w:sz w:val="24"/>
          <w:szCs w:val="24"/>
          <w:lang w:val="en-IN"/>
        </w:rPr>
        <w:t>Annals of Operations Research</w:t>
      </w:r>
      <w:r w:rsidRPr="009C3176">
        <w:rPr>
          <w:color w:val="000000" w:themeColor="text1"/>
          <w:sz w:val="24"/>
          <w:szCs w:val="24"/>
          <w:lang w:val="en-IN"/>
        </w:rPr>
        <w:t>, 331. doi:https://doi.org/10.1007/s10479-022-04549-y.</w:t>
      </w:r>
    </w:p>
    <w:p w14:paraId="05B62DCC"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Ivanov, D. (2024). Cash flow dynamics in the supply chain during and after disruptions. </w:t>
      </w:r>
      <w:r w:rsidRPr="009C3176">
        <w:rPr>
          <w:i/>
          <w:iCs/>
          <w:color w:val="000000" w:themeColor="text1"/>
          <w:sz w:val="24"/>
          <w:szCs w:val="24"/>
          <w:lang w:val="en-IN"/>
        </w:rPr>
        <w:t>Transportation research. Part E, Logistics and transportation review</w:t>
      </w:r>
      <w:r w:rsidRPr="009C3176">
        <w:rPr>
          <w:color w:val="000000" w:themeColor="text1"/>
          <w:sz w:val="24"/>
          <w:szCs w:val="24"/>
          <w:lang w:val="en-IN"/>
        </w:rPr>
        <w:t>, [online] 185, pp.103526–103526. doi:https://doi.org/10.1016/j.tre.2024.103526.</w:t>
      </w:r>
    </w:p>
    <w:p w14:paraId="39079897"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Jackson, A.B. (2021). Financial statement analysis: a review and current issues. </w:t>
      </w:r>
      <w:r w:rsidRPr="009C3176">
        <w:rPr>
          <w:i/>
          <w:iCs/>
          <w:color w:val="000000" w:themeColor="text1"/>
          <w:sz w:val="24"/>
          <w:szCs w:val="24"/>
          <w:lang w:val="en-IN"/>
        </w:rPr>
        <w:t>China Finance Review International</w:t>
      </w:r>
      <w:r w:rsidRPr="009C3176">
        <w:rPr>
          <w:color w:val="000000" w:themeColor="text1"/>
          <w:sz w:val="24"/>
          <w:szCs w:val="24"/>
          <w:lang w:val="en-IN"/>
        </w:rPr>
        <w:t>, [online] 12(1), pp.1–19. doi:https://doi.org/10.1108/cfri-10-2021-0208.</w:t>
      </w:r>
    </w:p>
    <w:p w14:paraId="7375BC82"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Karimi, M., Karami, R., Basirat, M. and Salehi, A.K. (2023). Value of financial flexibility and quantitative aspects of net working capital: Evidence from Tehran Stock Exchange. </w:t>
      </w:r>
      <w:r w:rsidRPr="009C3176">
        <w:rPr>
          <w:i/>
          <w:iCs/>
          <w:color w:val="000000" w:themeColor="text1"/>
          <w:sz w:val="24"/>
          <w:szCs w:val="24"/>
          <w:lang w:val="en-IN"/>
        </w:rPr>
        <w:t>International Journal of Nonlinear Analysis and Applications</w:t>
      </w:r>
      <w:r w:rsidRPr="009C3176">
        <w:rPr>
          <w:color w:val="000000" w:themeColor="text1"/>
          <w:sz w:val="24"/>
          <w:szCs w:val="24"/>
          <w:lang w:val="en-IN"/>
        </w:rPr>
        <w:t>, [online] 14(11), pp.207–217. doi:https://doi.org/10.22075/ijnaa.2022.27721.3690.</w:t>
      </w:r>
    </w:p>
    <w:p w14:paraId="06CDB766"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Lalithchandra, B. and Rajendhiran, N. (2021). Liquidity Ratio: An Important Financial Metrics. </w:t>
      </w:r>
      <w:r w:rsidRPr="009C3176">
        <w:rPr>
          <w:i/>
          <w:iCs/>
          <w:color w:val="000000" w:themeColor="text1"/>
          <w:sz w:val="24"/>
          <w:szCs w:val="24"/>
          <w:lang w:val="en-IN"/>
        </w:rPr>
        <w:t>Turkish Journal of Computer and Mathematics Education</w:t>
      </w:r>
      <w:r w:rsidRPr="009C3176">
        <w:rPr>
          <w:color w:val="000000" w:themeColor="text1"/>
          <w:sz w:val="24"/>
          <w:szCs w:val="24"/>
          <w:lang w:val="en-IN"/>
        </w:rPr>
        <w:t>, [online] 12(2), pp.1113–1114. Available at: https://pdfs.semanticscholar.org/ede5/dc76432ee0669d67aa2ea4a36923001a8a69.pdf.</w:t>
      </w:r>
    </w:p>
    <w:p w14:paraId="1D017463"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Mahendra, P.W. (2023). The Effect of Leverage, Profitability, Earnings Per Share, and Price Earning Ratio on Dividend Policy Ratio. </w:t>
      </w:r>
      <w:r w:rsidRPr="009C3176">
        <w:rPr>
          <w:i/>
          <w:iCs/>
          <w:color w:val="000000" w:themeColor="text1"/>
          <w:sz w:val="24"/>
          <w:szCs w:val="24"/>
          <w:lang w:val="en-IN"/>
        </w:rPr>
        <w:t>Journal of Management and Business Insight</w:t>
      </w:r>
      <w:r w:rsidRPr="009C3176">
        <w:rPr>
          <w:color w:val="000000" w:themeColor="text1"/>
          <w:sz w:val="24"/>
          <w:szCs w:val="24"/>
          <w:lang w:val="en-IN"/>
        </w:rPr>
        <w:t>, 1(1), pp.86–96. doi:https://doi.org/10.12928/jombi.v1i1.570.</w:t>
      </w:r>
    </w:p>
    <w:p w14:paraId="5BDAB382"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Mao, R. (2023). Verify the Relationship Between a Company’s Earning per Share, Return on Equity, Return on Asset, Sales Growth, Price to Earning Ratio, Current Ratio, Gross Profit Margin, Quick Ratio, Asset Turnover and Its Stock Price. </w:t>
      </w:r>
      <w:r w:rsidRPr="009C3176">
        <w:rPr>
          <w:i/>
          <w:iCs/>
          <w:color w:val="000000" w:themeColor="text1"/>
          <w:sz w:val="24"/>
          <w:szCs w:val="24"/>
          <w:lang w:val="en-IN"/>
        </w:rPr>
        <w:t>SHS Web of Conferences</w:t>
      </w:r>
      <w:r w:rsidRPr="009C3176">
        <w:rPr>
          <w:color w:val="000000" w:themeColor="text1"/>
          <w:sz w:val="24"/>
          <w:szCs w:val="24"/>
          <w:lang w:val="en-IN"/>
        </w:rPr>
        <w:t>, 163, p.03003. doi:https://doi.org/10.1051/shsconf/202316303003.</w:t>
      </w:r>
    </w:p>
    <w:p w14:paraId="70256F3F"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Mayer, J.H., Lischke, L., Quick, R. and Kalden, F. (2023). When Cash Is King—An Accounts Receivables App Accommodating Different Use Situations. </w:t>
      </w:r>
      <w:r w:rsidRPr="009C3176">
        <w:rPr>
          <w:i/>
          <w:iCs/>
          <w:color w:val="000000" w:themeColor="text1"/>
          <w:sz w:val="24"/>
          <w:szCs w:val="24"/>
          <w:lang w:val="en-IN"/>
        </w:rPr>
        <w:t>Journal of Information Systems</w:t>
      </w:r>
      <w:r w:rsidRPr="009C3176">
        <w:rPr>
          <w:color w:val="000000" w:themeColor="text1"/>
          <w:sz w:val="24"/>
          <w:szCs w:val="24"/>
          <w:lang w:val="en-IN"/>
        </w:rPr>
        <w:t>, 37(2), pp.101–122. doi:https://doi.org/10.2308/isys-2022-022.</w:t>
      </w:r>
    </w:p>
    <w:p w14:paraId="6729A8BD" w14:textId="77777777" w:rsidR="009C3176" w:rsidRPr="009C3176" w:rsidRDefault="009C3176">
      <w:pPr>
        <w:spacing w:line="360" w:lineRule="auto"/>
        <w:jc w:val="both"/>
        <w:rPr>
          <w:color w:val="000000" w:themeColor="text1"/>
          <w:sz w:val="24"/>
          <w:szCs w:val="24"/>
        </w:rPr>
      </w:pPr>
      <w:r w:rsidRPr="009C3176">
        <w:rPr>
          <w:color w:val="000000" w:themeColor="text1"/>
          <w:sz w:val="24"/>
          <w:szCs w:val="24"/>
        </w:rPr>
        <w:t>Nukala, V.B. and Prasada Rao, S.S., (2021). Role of debt-to-equity ratio in project investment valuation, assessing risk and return in capital markets. </w:t>
      </w:r>
      <w:r w:rsidRPr="009C3176">
        <w:rPr>
          <w:i/>
          <w:iCs/>
          <w:color w:val="000000" w:themeColor="text1"/>
          <w:sz w:val="24"/>
          <w:szCs w:val="24"/>
        </w:rPr>
        <w:t xml:space="preserve">Future Business </w:t>
      </w:r>
      <w:r w:rsidRPr="009C3176">
        <w:rPr>
          <w:i/>
          <w:iCs/>
          <w:color w:val="000000" w:themeColor="text1"/>
          <w:sz w:val="24"/>
          <w:szCs w:val="24"/>
        </w:rPr>
        <w:lastRenderedPageBreak/>
        <w:t>Journal</w:t>
      </w:r>
      <w:r w:rsidRPr="009C3176">
        <w:rPr>
          <w:color w:val="000000" w:themeColor="text1"/>
          <w:sz w:val="24"/>
          <w:szCs w:val="24"/>
        </w:rPr>
        <w:t>, </w:t>
      </w:r>
      <w:r w:rsidRPr="009C3176">
        <w:rPr>
          <w:i/>
          <w:iCs/>
          <w:color w:val="000000" w:themeColor="text1"/>
          <w:sz w:val="24"/>
          <w:szCs w:val="24"/>
        </w:rPr>
        <w:t>7</w:t>
      </w:r>
      <w:r w:rsidRPr="009C3176">
        <w:rPr>
          <w:color w:val="000000" w:themeColor="text1"/>
          <w:sz w:val="24"/>
          <w:szCs w:val="24"/>
        </w:rPr>
        <w:t xml:space="preserve">(1), p.13. </w:t>
      </w:r>
      <w:hyperlink r:id="rId31">
        <w:r w:rsidRPr="009C3176">
          <w:rPr>
            <w:color w:val="000000" w:themeColor="text1"/>
            <w:sz w:val="24"/>
            <w:szCs w:val="24"/>
            <w:u w:val="single"/>
          </w:rPr>
          <w:t>https://link.springer.com/content/pdf/10.1186/s43093-021-00058-9.pdf</w:t>
        </w:r>
      </w:hyperlink>
    </w:p>
    <w:p w14:paraId="443B4762"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Purwaka, A.J., Qadri, R.A. and Arfiansyah, Z. (2022). Cost Of Capital, Corporate Tax Plannings, And Corporate Social Responsibility Disclosure. </w:t>
      </w:r>
      <w:r w:rsidRPr="009C3176">
        <w:rPr>
          <w:i/>
          <w:iCs/>
          <w:color w:val="000000" w:themeColor="text1"/>
          <w:sz w:val="24"/>
          <w:szCs w:val="24"/>
          <w:lang w:val="en-IN"/>
        </w:rPr>
        <w:t>Jurnal Akuntansi</w:t>
      </w:r>
      <w:r w:rsidRPr="009C3176">
        <w:rPr>
          <w:color w:val="000000" w:themeColor="text1"/>
          <w:sz w:val="24"/>
          <w:szCs w:val="24"/>
          <w:lang w:val="en-IN"/>
        </w:rPr>
        <w:t>, 26(1), p.1. doi:https://doi.org/10.24912/ja.v26i1.814.</w:t>
      </w:r>
    </w:p>
    <w:p w14:paraId="312E4395"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Rashid, F., Khan, R.A. and Qureshi, I.H. (2024). A Comprehensive Review of the Altman Z-Score Model Across Industries. </w:t>
      </w:r>
      <w:r w:rsidRPr="009C3176">
        <w:rPr>
          <w:i/>
          <w:iCs/>
          <w:color w:val="000000" w:themeColor="text1"/>
          <w:sz w:val="24"/>
          <w:szCs w:val="24"/>
          <w:lang w:val="en-IN"/>
        </w:rPr>
        <w:t>SSRN Electronic Journal</w:t>
      </w:r>
      <w:r w:rsidRPr="009C3176">
        <w:rPr>
          <w:color w:val="000000" w:themeColor="text1"/>
          <w:sz w:val="24"/>
          <w:szCs w:val="24"/>
          <w:lang w:val="en-IN"/>
        </w:rPr>
        <w:t>. doi:https://doi.org/10.2139/ssrn.5044057.</w:t>
      </w:r>
    </w:p>
    <w:p w14:paraId="56E381D2"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Sabu, M.D. (2024). RISK MANAGEMENT STRATEGIES IN FIXED INCOME SECURITIES. </w:t>
      </w:r>
      <w:r w:rsidRPr="009C3176">
        <w:rPr>
          <w:i/>
          <w:iCs/>
          <w:color w:val="000000" w:themeColor="text1"/>
          <w:sz w:val="24"/>
          <w:szCs w:val="24"/>
          <w:lang w:val="en-IN"/>
        </w:rPr>
        <w:t>SSRN Electronic Journal</w:t>
      </w:r>
      <w:r w:rsidRPr="009C3176">
        <w:rPr>
          <w:color w:val="000000" w:themeColor="text1"/>
          <w:sz w:val="24"/>
          <w:szCs w:val="24"/>
          <w:lang w:val="en-IN"/>
        </w:rPr>
        <w:t>, p.23. doi:https://doi.org/10.2139/ssrn.4845590.</w:t>
      </w:r>
    </w:p>
    <w:p w14:paraId="70F83532"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Susilawati, D., Shavab, F.A. and Mustika, M. (2022). The Effect of Debt to Equity Ratio and Current Ratio on Return on Assets. </w:t>
      </w:r>
      <w:r w:rsidRPr="009C3176">
        <w:rPr>
          <w:i/>
          <w:iCs/>
          <w:color w:val="000000" w:themeColor="text1"/>
          <w:sz w:val="24"/>
          <w:szCs w:val="24"/>
          <w:lang w:val="en-IN"/>
        </w:rPr>
        <w:t>Journal of Applied Business, Taxation and Economics Research</w:t>
      </w:r>
      <w:r w:rsidRPr="009C3176">
        <w:rPr>
          <w:color w:val="000000" w:themeColor="text1"/>
          <w:sz w:val="24"/>
          <w:szCs w:val="24"/>
          <w:lang w:val="en-IN"/>
        </w:rPr>
        <w:t>, 1(4), pp.325–337. doi:https://doi.org/10.54408/jabter.v1i4.61.</w:t>
      </w:r>
    </w:p>
    <w:p w14:paraId="7D1DAC2E"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Swinkels, L. and Markwat, T. (2023). Corporate carbon emissions data for equity and bond portfolios. </w:t>
      </w:r>
      <w:r w:rsidRPr="009C3176">
        <w:rPr>
          <w:i/>
          <w:iCs/>
          <w:color w:val="000000" w:themeColor="text1"/>
          <w:sz w:val="24"/>
          <w:szCs w:val="24"/>
          <w:lang w:val="en-IN"/>
        </w:rPr>
        <w:t>Managerial finance</w:t>
      </w:r>
      <w:r w:rsidRPr="009C3176">
        <w:rPr>
          <w:color w:val="000000" w:themeColor="text1"/>
          <w:sz w:val="24"/>
          <w:szCs w:val="24"/>
          <w:lang w:val="en-IN"/>
        </w:rPr>
        <w:t>, 50(1), pp.118–139. doi:https://doi.org/10.1108/mf-02-2023-0077.</w:t>
      </w:r>
    </w:p>
    <w:p w14:paraId="76636C00"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Van, I.A. (2023). A study of trade credit: Best practices for managing accounts receivable. </w:t>
      </w:r>
      <w:r w:rsidRPr="009C3176">
        <w:rPr>
          <w:i/>
          <w:iCs/>
          <w:color w:val="000000" w:themeColor="text1"/>
          <w:sz w:val="24"/>
          <w:szCs w:val="24"/>
          <w:lang w:val="en-IN"/>
        </w:rPr>
        <w:t>International Journal of Accounting Research</w:t>
      </w:r>
      <w:r w:rsidRPr="009C3176">
        <w:rPr>
          <w:color w:val="000000" w:themeColor="text1"/>
          <w:sz w:val="24"/>
          <w:szCs w:val="24"/>
          <w:lang w:val="en-IN"/>
        </w:rPr>
        <w:t>, [online] 8(2), pp.53–58. Available at: https://j.arabianjbmr.com/index.php/ijar/article/view/1195.</w:t>
      </w:r>
    </w:p>
    <w:p w14:paraId="5F332F9D"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Wahyudin, M., Widiyanti, M., Andriana, I. and Isnurhadi, I. (2024). Capital Structure: Capital Buffer, Return On Equity, Capital Adequacy Ratio In Go-Public Banking In Indonesia. </w:t>
      </w:r>
      <w:r w:rsidRPr="009C3176">
        <w:rPr>
          <w:i/>
          <w:iCs/>
          <w:color w:val="000000" w:themeColor="text1"/>
          <w:sz w:val="24"/>
          <w:szCs w:val="24"/>
          <w:lang w:val="en-IN"/>
        </w:rPr>
        <w:t>Asian Journal of Engineering, Social and Health</w:t>
      </w:r>
      <w:r w:rsidRPr="009C3176">
        <w:rPr>
          <w:color w:val="000000" w:themeColor="text1"/>
          <w:sz w:val="24"/>
          <w:szCs w:val="24"/>
          <w:lang w:val="en-IN"/>
        </w:rPr>
        <w:t>, [online] 3(1), pp.76–85. doi:https://doi.org/10.46799/ajesh.v3i1.218.</w:t>
      </w:r>
    </w:p>
    <w:p w14:paraId="49B67E5D" w14:textId="77777777" w:rsidR="009C3176" w:rsidRPr="009C3176" w:rsidRDefault="009C3176">
      <w:pPr>
        <w:spacing w:line="360" w:lineRule="auto"/>
        <w:jc w:val="both"/>
        <w:rPr>
          <w:color w:val="000000" w:themeColor="text1"/>
          <w:sz w:val="24"/>
          <w:szCs w:val="24"/>
        </w:rPr>
      </w:pPr>
      <w:r w:rsidRPr="009C3176">
        <w:rPr>
          <w:color w:val="000000" w:themeColor="text1"/>
          <w:sz w:val="24"/>
          <w:szCs w:val="24"/>
        </w:rPr>
        <w:t>Wangchuk, P., (2022). Application of depreciation net present value and internal rate of return in engineering projects a brief literature review. </w:t>
      </w:r>
      <w:r w:rsidRPr="009C3176">
        <w:rPr>
          <w:i/>
          <w:iCs/>
          <w:color w:val="000000" w:themeColor="text1"/>
          <w:sz w:val="24"/>
          <w:szCs w:val="24"/>
        </w:rPr>
        <w:t>Journal of Applied Engineering, Technology and Management</w:t>
      </w:r>
      <w:r w:rsidRPr="009C3176">
        <w:rPr>
          <w:color w:val="000000" w:themeColor="text1"/>
          <w:sz w:val="24"/>
          <w:szCs w:val="24"/>
        </w:rPr>
        <w:t>, </w:t>
      </w:r>
      <w:r w:rsidRPr="009C3176">
        <w:rPr>
          <w:i/>
          <w:iCs/>
          <w:color w:val="000000" w:themeColor="text1"/>
          <w:sz w:val="24"/>
          <w:szCs w:val="24"/>
        </w:rPr>
        <w:t>2</w:t>
      </w:r>
      <w:r w:rsidRPr="009C3176">
        <w:rPr>
          <w:color w:val="000000" w:themeColor="text1"/>
          <w:sz w:val="24"/>
          <w:szCs w:val="24"/>
        </w:rPr>
        <w:t xml:space="preserve">(1), pp.25-30. </w:t>
      </w:r>
      <w:hyperlink r:id="rId32">
        <w:r w:rsidRPr="009C3176">
          <w:rPr>
            <w:color w:val="000000" w:themeColor="text1"/>
            <w:sz w:val="24"/>
            <w:szCs w:val="24"/>
            <w:u w:val="single"/>
          </w:rPr>
          <w:t>http://103.133.217.142/index.php/jaetm/article/download/55/26</w:t>
        </w:r>
      </w:hyperlink>
    </w:p>
    <w:p w14:paraId="791A97F0"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t xml:space="preserve">Widiasmara, A., Kusherawati, A., Cahyaningati, R. and Paramita, R.W.D. (2022). The Effect of Current Ratio, Debt to Equity Ratio, Return On Assets, and Net Profit Margin on Profit Growth. </w:t>
      </w:r>
      <w:r w:rsidRPr="009C3176">
        <w:rPr>
          <w:i/>
          <w:iCs/>
          <w:color w:val="000000" w:themeColor="text1"/>
          <w:sz w:val="24"/>
          <w:szCs w:val="24"/>
          <w:lang w:val="en-IN"/>
        </w:rPr>
        <w:t>Assets : Jurnal Ilmiah Ilmu Akuntansi, Keuangan dan Pajak</w:t>
      </w:r>
      <w:r w:rsidRPr="009C3176">
        <w:rPr>
          <w:color w:val="000000" w:themeColor="text1"/>
          <w:sz w:val="24"/>
          <w:szCs w:val="24"/>
          <w:lang w:val="en-IN"/>
        </w:rPr>
        <w:t>, [online] 6(1), pp.8–15. doi:https://doi.org/10.30741/assets.v6i1.831.</w:t>
      </w:r>
    </w:p>
    <w:p w14:paraId="0C43D072" w14:textId="77777777" w:rsidR="009C3176" w:rsidRPr="009C3176" w:rsidRDefault="009C3176" w:rsidP="009C3176">
      <w:pPr>
        <w:spacing w:line="360" w:lineRule="auto"/>
        <w:jc w:val="both"/>
        <w:rPr>
          <w:color w:val="000000" w:themeColor="text1"/>
          <w:sz w:val="24"/>
          <w:szCs w:val="24"/>
          <w:lang w:val="en-IN"/>
        </w:rPr>
      </w:pPr>
      <w:r w:rsidRPr="009C3176">
        <w:rPr>
          <w:color w:val="000000" w:themeColor="text1"/>
          <w:sz w:val="24"/>
          <w:szCs w:val="24"/>
          <w:lang w:val="en-IN"/>
        </w:rPr>
        <w:lastRenderedPageBreak/>
        <w:t xml:space="preserve">Xiong, H., Liu, T. and Wang, Z. (2022). Financial effect of long-term policy equity injection: evidence from special construction funds in China. </w:t>
      </w:r>
      <w:r w:rsidRPr="009C3176">
        <w:rPr>
          <w:i/>
          <w:iCs/>
          <w:color w:val="000000" w:themeColor="text1"/>
          <w:sz w:val="24"/>
          <w:szCs w:val="24"/>
          <w:lang w:val="en-IN"/>
        </w:rPr>
        <w:t>Applied Economics</w:t>
      </w:r>
      <w:r w:rsidRPr="009C3176">
        <w:rPr>
          <w:color w:val="000000" w:themeColor="text1"/>
          <w:sz w:val="24"/>
          <w:szCs w:val="24"/>
          <w:lang w:val="en-IN"/>
        </w:rPr>
        <w:t>, 55(19), pp.2129–2145. doi:https://doi.org/10.1080/00036846.2022.2102128.</w:t>
      </w:r>
    </w:p>
    <w:p w14:paraId="20A05B71" w14:textId="77777777" w:rsidR="009C3176" w:rsidRPr="001626AD" w:rsidRDefault="009C3176">
      <w:pPr>
        <w:spacing w:line="360" w:lineRule="auto"/>
        <w:jc w:val="both"/>
        <w:rPr>
          <w:color w:val="000000" w:themeColor="text1"/>
          <w:sz w:val="24"/>
          <w:szCs w:val="24"/>
        </w:rPr>
      </w:pPr>
    </w:p>
    <w:p w14:paraId="42E0B01A" w14:textId="77777777" w:rsidR="00FA51B8" w:rsidRPr="001626AD" w:rsidRDefault="00056198">
      <w:pPr>
        <w:rPr>
          <w:color w:val="000000" w:themeColor="text1"/>
          <w:sz w:val="24"/>
          <w:szCs w:val="24"/>
        </w:rPr>
      </w:pPr>
      <w:r w:rsidRPr="001626AD">
        <w:rPr>
          <w:color w:val="000000" w:themeColor="text1"/>
        </w:rPr>
        <w:br w:type="page"/>
      </w:r>
    </w:p>
    <w:p w14:paraId="40D0BC2C" w14:textId="77777777" w:rsidR="00FA51B8" w:rsidRPr="001626AD" w:rsidRDefault="00056198" w:rsidP="00643CA2">
      <w:pPr>
        <w:pStyle w:val="Heading1"/>
      </w:pPr>
      <w:bookmarkStart w:id="20" w:name="_Toc213703073"/>
      <w:r w:rsidRPr="001626AD">
        <w:lastRenderedPageBreak/>
        <w:t>Appendices</w:t>
      </w:r>
      <w:bookmarkEnd w:id="20"/>
      <w:r w:rsidRPr="001626AD">
        <w:t xml:space="preserve"> </w:t>
      </w:r>
    </w:p>
    <w:p w14:paraId="22CFBEF3" w14:textId="77777777" w:rsidR="002457FC" w:rsidRDefault="002457FC" w:rsidP="002457FC">
      <w:pPr>
        <w:pStyle w:val="Heading2"/>
      </w:pPr>
      <w:bookmarkStart w:id="21" w:name="_Toc213703074"/>
      <w:r>
        <w:t>Appendix 1: Ratio analysis</w:t>
      </w:r>
      <w:bookmarkEnd w:id="21"/>
    </w:p>
    <w:tbl>
      <w:tblPr>
        <w:tblW w:w="5000" w:type="pct"/>
        <w:tblLook w:val="04A0" w:firstRow="1" w:lastRow="0" w:firstColumn="1" w:lastColumn="0" w:noHBand="0" w:noVBand="1"/>
      </w:tblPr>
      <w:tblGrid>
        <w:gridCol w:w="3556"/>
        <w:gridCol w:w="1158"/>
        <w:gridCol w:w="1159"/>
        <w:gridCol w:w="1159"/>
        <w:gridCol w:w="1159"/>
        <w:gridCol w:w="1159"/>
      </w:tblGrid>
      <w:tr w:rsidR="00C83E18" w:rsidRPr="00C83E18" w14:paraId="3FA292E7" w14:textId="77777777" w:rsidTr="00C83E18">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vAlign w:val="bottom"/>
            <w:hideMark/>
          </w:tcPr>
          <w:p w14:paraId="16DD3763"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Profitabilitty ratio</w:t>
            </w:r>
          </w:p>
        </w:tc>
      </w:tr>
      <w:tr w:rsidR="00C83E18" w:rsidRPr="00C83E18" w14:paraId="709ACB7E" w14:textId="77777777" w:rsidTr="00C83E18">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vAlign w:val="bottom"/>
            <w:hideMark/>
          </w:tcPr>
          <w:p w14:paraId="5AEA7BC3"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Net profit margin</w:t>
            </w:r>
          </w:p>
        </w:tc>
      </w:tr>
      <w:tr w:rsidR="00C83E18" w:rsidRPr="00C83E18" w14:paraId="457370E2" w14:textId="77777777" w:rsidTr="00C83E18">
        <w:trPr>
          <w:trHeight w:val="312"/>
        </w:trPr>
        <w:tc>
          <w:tcPr>
            <w:tcW w:w="1902" w:type="pct"/>
            <w:tcBorders>
              <w:top w:val="nil"/>
              <w:left w:val="single" w:sz="4" w:space="0" w:color="000000"/>
              <w:bottom w:val="single" w:sz="4" w:space="0" w:color="000000"/>
              <w:right w:val="single" w:sz="4" w:space="0" w:color="000000"/>
            </w:tcBorders>
            <w:noWrap/>
            <w:vAlign w:val="bottom"/>
            <w:hideMark/>
          </w:tcPr>
          <w:p w14:paraId="7D7D90F0"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Particulars</w:t>
            </w:r>
          </w:p>
        </w:tc>
        <w:tc>
          <w:tcPr>
            <w:tcW w:w="619" w:type="pct"/>
            <w:tcBorders>
              <w:top w:val="nil"/>
              <w:left w:val="nil"/>
              <w:bottom w:val="single" w:sz="4" w:space="0" w:color="000000"/>
              <w:right w:val="single" w:sz="4" w:space="0" w:color="000000"/>
            </w:tcBorders>
            <w:noWrap/>
            <w:vAlign w:val="bottom"/>
            <w:hideMark/>
          </w:tcPr>
          <w:p w14:paraId="552E443E"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2020 (Million)</w:t>
            </w:r>
          </w:p>
        </w:tc>
        <w:tc>
          <w:tcPr>
            <w:tcW w:w="620" w:type="pct"/>
            <w:tcBorders>
              <w:top w:val="nil"/>
              <w:left w:val="nil"/>
              <w:bottom w:val="single" w:sz="4" w:space="0" w:color="000000"/>
              <w:right w:val="single" w:sz="4" w:space="0" w:color="000000"/>
            </w:tcBorders>
            <w:noWrap/>
            <w:vAlign w:val="bottom"/>
            <w:hideMark/>
          </w:tcPr>
          <w:p w14:paraId="6AFCDE81"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2021 (Million)</w:t>
            </w:r>
          </w:p>
        </w:tc>
        <w:tc>
          <w:tcPr>
            <w:tcW w:w="620" w:type="pct"/>
            <w:tcBorders>
              <w:top w:val="nil"/>
              <w:left w:val="nil"/>
              <w:bottom w:val="single" w:sz="4" w:space="0" w:color="000000"/>
              <w:right w:val="single" w:sz="4" w:space="0" w:color="000000"/>
            </w:tcBorders>
            <w:noWrap/>
            <w:vAlign w:val="bottom"/>
            <w:hideMark/>
          </w:tcPr>
          <w:p w14:paraId="01F0EEDB"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2022 (Million)</w:t>
            </w:r>
          </w:p>
        </w:tc>
        <w:tc>
          <w:tcPr>
            <w:tcW w:w="620" w:type="pct"/>
            <w:tcBorders>
              <w:top w:val="nil"/>
              <w:left w:val="nil"/>
              <w:bottom w:val="single" w:sz="4" w:space="0" w:color="000000"/>
              <w:right w:val="single" w:sz="4" w:space="0" w:color="000000"/>
            </w:tcBorders>
            <w:noWrap/>
            <w:vAlign w:val="bottom"/>
            <w:hideMark/>
          </w:tcPr>
          <w:p w14:paraId="130801EE"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2023 (Million)</w:t>
            </w:r>
          </w:p>
        </w:tc>
        <w:tc>
          <w:tcPr>
            <w:tcW w:w="620" w:type="pct"/>
            <w:tcBorders>
              <w:top w:val="nil"/>
              <w:left w:val="nil"/>
              <w:bottom w:val="single" w:sz="4" w:space="0" w:color="000000"/>
              <w:right w:val="single" w:sz="4" w:space="0" w:color="000000"/>
            </w:tcBorders>
            <w:noWrap/>
            <w:vAlign w:val="bottom"/>
            <w:hideMark/>
          </w:tcPr>
          <w:p w14:paraId="353ECE0C"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2024 (Million)</w:t>
            </w:r>
          </w:p>
        </w:tc>
      </w:tr>
      <w:tr w:rsidR="00C83E18" w:rsidRPr="00C83E18" w14:paraId="3B3FC9F0" w14:textId="77777777" w:rsidTr="00C83E18">
        <w:trPr>
          <w:trHeight w:val="312"/>
        </w:trPr>
        <w:tc>
          <w:tcPr>
            <w:tcW w:w="1902" w:type="pct"/>
            <w:tcBorders>
              <w:top w:val="nil"/>
              <w:left w:val="single" w:sz="4" w:space="0" w:color="000000"/>
              <w:bottom w:val="single" w:sz="4" w:space="0" w:color="000000"/>
              <w:right w:val="single" w:sz="4" w:space="0" w:color="000000"/>
            </w:tcBorders>
            <w:noWrap/>
            <w:vAlign w:val="bottom"/>
            <w:hideMark/>
          </w:tcPr>
          <w:p w14:paraId="78BE75B9" w14:textId="77777777" w:rsidR="00C83E18" w:rsidRPr="00C83E18" w:rsidRDefault="00C83E18" w:rsidP="00C83E18">
            <w:pPr>
              <w:spacing w:line="240" w:lineRule="auto"/>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Net income</w:t>
            </w:r>
          </w:p>
        </w:tc>
        <w:tc>
          <w:tcPr>
            <w:tcW w:w="619" w:type="pct"/>
            <w:tcBorders>
              <w:top w:val="nil"/>
              <w:left w:val="nil"/>
              <w:bottom w:val="single" w:sz="4" w:space="0" w:color="000000"/>
              <w:right w:val="single" w:sz="4" w:space="0" w:color="000000"/>
            </w:tcBorders>
            <w:noWrap/>
            <w:vAlign w:val="bottom"/>
            <w:hideMark/>
          </w:tcPr>
          <w:p w14:paraId="3DB7426D"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38578</w:t>
            </w:r>
          </w:p>
        </w:tc>
        <w:tc>
          <w:tcPr>
            <w:tcW w:w="620" w:type="pct"/>
            <w:tcBorders>
              <w:top w:val="nil"/>
              <w:left w:val="nil"/>
              <w:bottom w:val="single" w:sz="4" w:space="0" w:color="000000"/>
              <w:right w:val="single" w:sz="4" w:space="0" w:color="000000"/>
            </w:tcBorders>
            <w:noWrap/>
            <w:vAlign w:val="bottom"/>
            <w:hideMark/>
          </w:tcPr>
          <w:p w14:paraId="3A7C3221"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5301</w:t>
            </w:r>
          </w:p>
        </w:tc>
        <w:tc>
          <w:tcPr>
            <w:tcW w:w="620" w:type="pct"/>
            <w:tcBorders>
              <w:top w:val="nil"/>
              <w:left w:val="nil"/>
              <w:bottom w:val="single" w:sz="4" w:space="0" w:color="000000"/>
              <w:right w:val="single" w:sz="4" w:space="0" w:color="000000"/>
            </w:tcBorders>
            <w:noWrap/>
            <w:vAlign w:val="bottom"/>
            <w:hideMark/>
          </w:tcPr>
          <w:p w14:paraId="499BF05B"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407</w:t>
            </w:r>
          </w:p>
        </w:tc>
        <w:tc>
          <w:tcPr>
            <w:tcW w:w="620" w:type="pct"/>
            <w:tcBorders>
              <w:top w:val="nil"/>
              <w:left w:val="nil"/>
              <w:bottom w:val="single" w:sz="4" w:space="0" w:color="000000"/>
              <w:right w:val="single" w:sz="4" w:space="0" w:color="000000"/>
            </w:tcBorders>
            <w:noWrap/>
            <w:vAlign w:val="bottom"/>
            <w:hideMark/>
          </w:tcPr>
          <w:p w14:paraId="7E60C120"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-98238</w:t>
            </w:r>
          </w:p>
        </w:tc>
        <w:tc>
          <w:tcPr>
            <w:tcW w:w="620" w:type="pct"/>
            <w:tcBorders>
              <w:top w:val="nil"/>
              <w:left w:val="nil"/>
              <w:bottom w:val="single" w:sz="4" w:space="0" w:color="000000"/>
              <w:right w:val="single" w:sz="4" w:space="0" w:color="000000"/>
            </w:tcBorders>
            <w:noWrap/>
            <w:vAlign w:val="bottom"/>
            <w:hideMark/>
          </w:tcPr>
          <w:p w14:paraId="60DDE24F"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-24029</w:t>
            </w:r>
          </w:p>
        </w:tc>
      </w:tr>
      <w:tr w:rsidR="00C83E18" w:rsidRPr="00C83E18" w14:paraId="6C34B915" w14:textId="77777777" w:rsidTr="00C83E18">
        <w:trPr>
          <w:trHeight w:val="312"/>
        </w:trPr>
        <w:tc>
          <w:tcPr>
            <w:tcW w:w="1902" w:type="pct"/>
            <w:tcBorders>
              <w:top w:val="nil"/>
              <w:left w:val="single" w:sz="4" w:space="0" w:color="000000"/>
              <w:bottom w:val="single" w:sz="4" w:space="0" w:color="000000"/>
              <w:right w:val="single" w:sz="4" w:space="0" w:color="000000"/>
            </w:tcBorders>
            <w:noWrap/>
            <w:vAlign w:val="bottom"/>
            <w:hideMark/>
          </w:tcPr>
          <w:p w14:paraId="1932E2D8" w14:textId="77777777" w:rsidR="00C83E18" w:rsidRPr="00C83E18" w:rsidRDefault="00C83E18" w:rsidP="00C83E18">
            <w:pPr>
              <w:spacing w:line="240" w:lineRule="auto"/>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Net sales</w:t>
            </w:r>
          </w:p>
        </w:tc>
        <w:tc>
          <w:tcPr>
            <w:tcW w:w="619" w:type="pct"/>
            <w:tcBorders>
              <w:top w:val="nil"/>
              <w:left w:val="nil"/>
              <w:bottom w:val="single" w:sz="4" w:space="0" w:color="000000"/>
              <w:right w:val="single" w:sz="4" w:space="0" w:color="000000"/>
            </w:tcBorders>
            <w:noWrap/>
            <w:vAlign w:val="bottom"/>
            <w:hideMark/>
          </w:tcPr>
          <w:p w14:paraId="50352619"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614680</w:t>
            </w:r>
          </w:p>
        </w:tc>
        <w:tc>
          <w:tcPr>
            <w:tcW w:w="620" w:type="pct"/>
            <w:tcBorders>
              <w:top w:val="nil"/>
              <w:left w:val="nil"/>
              <w:bottom w:val="single" w:sz="4" w:space="0" w:color="000000"/>
              <w:right w:val="single" w:sz="4" w:space="0" w:color="000000"/>
            </w:tcBorders>
            <w:noWrap/>
            <w:vAlign w:val="bottom"/>
            <w:hideMark/>
          </w:tcPr>
          <w:p w14:paraId="22037EAD"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601602</w:t>
            </w:r>
          </w:p>
        </w:tc>
        <w:tc>
          <w:tcPr>
            <w:tcW w:w="620" w:type="pct"/>
            <w:tcBorders>
              <w:top w:val="nil"/>
              <w:left w:val="nil"/>
              <w:bottom w:val="single" w:sz="4" w:space="0" w:color="000000"/>
              <w:right w:val="single" w:sz="4" w:space="0" w:color="000000"/>
            </w:tcBorders>
            <w:noWrap/>
            <w:vAlign w:val="bottom"/>
            <w:hideMark/>
          </w:tcPr>
          <w:p w14:paraId="7B1F7468"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542751</w:t>
            </w:r>
          </w:p>
        </w:tc>
        <w:tc>
          <w:tcPr>
            <w:tcW w:w="620" w:type="pct"/>
            <w:tcBorders>
              <w:top w:val="nil"/>
              <w:left w:val="nil"/>
              <w:bottom w:val="single" w:sz="4" w:space="0" w:color="000000"/>
              <w:right w:val="single" w:sz="4" w:space="0" w:color="000000"/>
            </w:tcBorders>
            <w:noWrap/>
            <w:vAlign w:val="bottom"/>
            <w:hideMark/>
          </w:tcPr>
          <w:p w14:paraId="00C1B784"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420457</w:t>
            </w:r>
          </w:p>
        </w:tc>
        <w:tc>
          <w:tcPr>
            <w:tcW w:w="620" w:type="pct"/>
            <w:tcBorders>
              <w:top w:val="nil"/>
              <w:left w:val="nil"/>
              <w:bottom w:val="single" w:sz="4" w:space="0" w:color="000000"/>
              <w:right w:val="single" w:sz="4" w:space="0" w:color="000000"/>
            </w:tcBorders>
            <w:noWrap/>
            <w:vAlign w:val="bottom"/>
            <w:hideMark/>
          </w:tcPr>
          <w:p w14:paraId="22A9EEA3"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394879</w:t>
            </w:r>
          </w:p>
        </w:tc>
      </w:tr>
      <w:tr w:rsidR="00C83E18" w:rsidRPr="00C83E18" w14:paraId="74E6D0B2" w14:textId="77777777" w:rsidTr="00C83E18">
        <w:trPr>
          <w:trHeight w:val="312"/>
        </w:trPr>
        <w:tc>
          <w:tcPr>
            <w:tcW w:w="1902" w:type="pct"/>
            <w:tcBorders>
              <w:top w:val="nil"/>
              <w:left w:val="single" w:sz="4" w:space="0" w:color="000000"/>
              <w:bottom w:val="single" w:sz="4" w:space="0" w:color="000000"/>
              <w:right w:val="single" w:sz="4" w:space="0" w:color="000000"/>
            </w:tcBorders>
            <w:noWrap/>
            <w:vAlign w:val="bottom"/>
            <w:hideMark/>
          </w:tcPr>
          <w:p w14:paraId="3DAD461D" w14:textId="77777777" w:rsidR="00C83E18" w:rsidRPr="00C83E18" w:rsidRDefault="00C83E18" w:rsidP="00C83E18">
            <w:pPr>
              <w:spacing w:line="240" w:lineRule="auto"/>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Net profit margin = (Net income  / Net sales) * 100</w:t>
            </w:r>
          </w:p>
        </w:tc>
        <w:tc>
          <w:tcPr>
            <w:tcW w:w="619" w:type="pct"/>
            <w:tcBorders>
              <w:top w:val="nil"/>
              <w:left w:val="nil"/>
              <w:bottom w:val="single" w:sz="4" w:space="0" w:color="000000"/>
              <w:right w:val="single" w:sz="4" w:space="0" w:color="000000"/>
            </w:tcBorders>
            <w:noWrap/>
            <w:vAlign w:val="bottom"/>
            <w:hideMark/>
          </w:tcPr>
          <w:p w14:paraId="3B67A2EC"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6.28</w:t>
            </w:r>
          </w:p>
        </w:tc>
        <w:tc>
          <w:tcPr>
            <w:tcW w:w="620" w:type="pct"/>
            <w:tcBorders>
              <w:top w:val="nil"/>
              <w:left w:val="nil"/>
              <w:bottom w:val="single" w:sz="4" w:space="0" w:color="000000"/>
              <w:right w:val="single" w:sz="4" w:space="0" w:color="000000"/>
            </w:tcBorders>
            <w:noWrap/>
            <w:vAlign w:val="bottom"/>
            <w:hideMark/>
          </w:tcPr>
          <w:p w14:paraId="11E21027"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0.88</w:t>
            </w:r>
          </w:p>
        </w:tc>
        <w:tc>
          <w:tcPr>
            <w:tcW w:w="620" w:type="pct"/>
            <w:tcBorders>
              <w:top w:val="nil"/>
              <w:left w:val="nil"/>
              <w:bottom w:val="single" w:sz="4" w:space="0" w:color="000000"/>
              <w:right w:val="single" w:sz="4" w:space="0" w:color="000000"/>
            </w:tcBorders>
            <w:noWrap/>
            <w:vAlign w:val="bottom"/>
            <w:hideMark/>
          </w:tcPr>
          <w:p w14:paraId="28926888"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0.07</w:t>
            </w:r>
          </w:p>
        </w:tc>
        <w:tc>
          <w:tcPr>
            <w:tcW w:w="620" w:type="pct"/>
            <w:tcBorders>
              <w:top w:val="nil"/>
              <w:left w:val="nil"/>
              <w:bottom w:val="single" w:sz="4" w:space="0" w:color="000000"/>
              <w:right w:val="single" w:sz="4" w:space="0" w:color="000000"/>
            </w:tcBorders>
            <w:noWrap/>
            <w:vAlign w:val="bottom"/>
            <w:hideMark/>
          </w:tcPr>
          <w:p w14:paraId="13C1045F"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-23.36</w:t>
            </w:r>
          </w:p>
        </w:tc>
        <w:tc>
          <w:tcPr>
            <w:tcW w:w="620" w:type="pct"/>
            <w:tcBorders>
              <w:top w:val="nil"/>
              <w:left w:val="nil"/>
              <w:bottom w:val="single" w:sz="4" w:space="0" w:color="000000"/>
              <w:right w:val="single" w:sz="4" w:space="0" w:color="000000"/>
            </w:tcBorders>
            <w:noWrap/>
            <w:vAlign w:val="bottom"/>
            <w:hideMark/>
          </w:tcPr>
          <w:p w14:paraId="6ED1779E"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-6.09</w:t>
            </w:r>
          </w:p>
        </w:tc>
      </w:tr>
    </w:tbl>
    <w:p w14:paraId="55E136DF" w14:textId="77777777" w:rsidR="002457FC" w:rsidRDefault="00C83E18" w:rsidP="00C83E18">
      <w:r>
        <w:rPr>
          <w:noProof/>
          <w:lang w:val="en-IN"/>
        </w:rPr>
        <w:drawing>
          <wp:inline distT="0" distB="0" distL="0" distR="0" wp14:anchorId="75E4E0C4" wp14:editId="688FAAB9">
            <wp:extent cx="5943600" cy="3134360"/>
            <wp:effectExtent l="0" t="0" r="0" b="889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C02ECBE" w14:textId="77777777" w:rsidR="00E129CD" w:rsidRDefault="00E129CD" w:rsidP="00C83E18">
      <w:r w:rsidRPr="00FA2975">
        <w:rPr>
          <w:rFonts w:eastAsia="Times New Roman"/>
          <w:noProof/>
          <w:sz w:val="24"/>
          <w:szCs w:val="24"/>
          <w:lang w:val="en-IN"/>
        </w:rPr>
        <w:drawing>
          <wp:inline distT="114300" distB="114300" distL="114300" distR="114300" wp14:anchorId="6A956E38" wp14:editId="01B25395">
            <wp:extent cx="5935980" cy="971550"/>
            <wp:effectExtent l="0" t="0" r="7620" b="0"/>
            <wp:docPr id="5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a:stretch>
                      <a:fillRect/>
                    </a:stretch>
                  </pic:blipFill>
                  <pic:spPr>
                    <a:xfrm>
                      <a:off x="0" y="0"/>
                      <a:ext cx="5935980" cy="971550"/>
                    </a:xfrm>
                    <a:prstGeom prst="rect">
                      <a:avLst/>
                    </a:prstGeom>
                    <a:ln/>
                  </pic:spPr>
                </pic:pic>
              </a:graphicData>
            </a:graphic>
          </wp:inline>
        </w:drawing>
      </w:r>
    </w:p>
    <w:tbl>
      <w:tblPr>
        <w:tblW w:w="5000" w:type="pct"/>
        <w:tblLook w:val="04A0" w:firstRow="1" w:lastRow="0" w:firstColumn="1" w:lastColumn="0" w:noHBand="0" w:noVBand="1"/>
      </w:tblPr>
      <w:tblGrid>
        <w:gridCol w:w="3986"/>
        <w:gridCol w:w="1072"/>
        <w:gridCol w:w="1073"/>
        <w:gridCol w:w="1073"/>
        <w:gridCol w:w="1073"/>
        <w:gridCol w:w="1073"/>
      </w:tblGrid>
      <w:tr w:rsidR="00C83E18" w:rsidRPr="00C83E18" w14:paraId="7488359A" w14:textId="77777777" w:rsidTr="00C83E18">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vAlign w:val="bottom"/>
            <w:hideMark/>
          </w:tcPr>
          <w:p w14:paraId="574105CC"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Profitabilitty ratio</w:t>
            </w:r>
          </w:p>
        </w:tc>
      </w:tr>
      <w:tr w:rsidR="00C83E18" w:rsidRPr="00C83E18" w14:paraId="6B244561" w14:textId="77777777" w:rsidTr="00C83E18">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vAlign w:val="bottom"/>
            <w:hideMark/>
          </w:tcPr>
          <w:p w14:paraId="287D54A0"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Operarting profit margin</w:t>
            </w:r>
          </w:p>
        </w:tc>
      </w:tr>
      <w:tr w:rsidR="00C83E18" w:rsidRPr="00C83E18" w14:paraId="3F2D9E8D" w14:textId="77777777" w:rsidTr="00C83E18">
        <w:trPr>
          <w:trHeight w:val="312"/>
        </w:trPr>
        <w:tc>
          <w:tcPr>
            <w:tcW w:w="2321" w:type="pct"/>
            <w:tcBorders>
              <w:top w:val="nil"/>
              <w:left w:val="single" w:sz="4" w:space="0" w:color="000000"/>
              <w:bottom w:val="single" w:sz="4" w:space="0" w:color="000000"/>
              <w:right w:val="single" w:sz="4" w:space="0" w:color="000000"/>
            </w:tcBorders>
            <w:noWrap/>
            <w:vAlign w:val="bottom"/>
            <w:hideMark/>
          </w:tcPr>
          <w:p w14:paraId="69869079"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Particulars</w:t>
            </w:r>
          </w:p>
        </w:tc>
        <w:tc>
          <w:tcPr>
            <w:tcW w:w="536" w:type="pct"/>
            <w:tcBorders>
              <w:top w:val="nil"/>
              <w:left w:val="nil"/>
              <w:bottom w:val="single" w:sz="4" w:space="0" w:color="000000"/>
              <w:right w:val="single" w:sz="4" w:space="0" w:color="000000"/>
            </w:tcBorders>
            <w:noWrap/>
            <w:vAlign w:val="bottom"/>
            <w:hideMark/>
          </w:tcPr>
          <w:p w14:paraId="6A616412"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2020 (Million)</w:t>
            </w:r>
          </w:p>
        </w:tc>
        <w:tc>
          <w:tcPr>
            <w:tcW w:w="536" w:type="pct"/>
            <w:tcBorders>
              <w:top w:val="nil"/>
              <w:left w:val="nil"/>
              <w:bottom w:val="single" w:sz="4" w:space="0" w:color="000000"/>
              <w:right w:val="single" w:sz="4" w:space="0" w:color="000000"/>
            </w:tcBorders>
            <w:noWrap/>
            <w:vAlign w:val="bottom"/>
            <w:hideMark/>
          </w:tcPr>
          <w:p w14:paraId="3548F8E1"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2021 (Million)</w:t>
            </w:r>
          </w:p>
        </w:tc>
        <w:tc>
          <w:tcPr>
            <w:tcW w:w="536" w:type="pct"/>
            <w:tcBorders>
              <w:top w:val="nil"/>
              <w:left w:val="nil"/>
              <w:bottom w:val="single" w:sz="4" w:space="0" w:color="000000"/>
              <w:right w:val="single" w:sz="4" w:space="0" w:color="000000"/>
            </w:tcBorders>
            <w:noWrap/>
            <w:vAlign w:val="bottom"/>
            <w:hideMark/>
          </w:tcPr>
          <w:p w14:paraId="4B80B09F"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2022 (Million)</w:t>
            </w:r>
          </w:p>
        </w:tc>
        <w:tc>
          <w:tcPr>
            <w:tcW w:w="536" w:type="pct"/>
            <w:tcBorders>
              <w:top w:val="nil"/>
              <w:left w:val="nil"/>
              <w:bottom w:val="single" w:sz="4" w:space="0" w:color="000000"/>
              <w:right w:val="single" w:sz="4" w:space="0" w:color="000000"/>
            </w:tcBorders>
            <w:noWrap/>
            <w:vAlign w:val="bottom"/>
            <w:hideMark/>
          </w:tcPr>
          <w:p w14:paraId="23049848"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2023 (Million)</w:t>
            </w:r>
          </w:p>
        </w:tc>
        <w:tc>
          <w:tcPr>
            <w:tcW w:w="536" w:type="pct"/>
            <w:tcBorders>
              <w:top w:val="nil"/>
              <w:left w:val="nil"/>
              <w:bottom w:val="single" w:sz="4" w:space="0" w:color="000000"/>
              <w:right w:val="single" w:sz="4" w:space="0" w:color="000000"/>
            </w:tcBorders>
            <w:noWrap/>
            <w:vAlign w:val="bottom"/>
            <w:hideMark/>
          </w:tcPr>
          <w:p w14:paraId="0252D7CE"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2024 (Million)</w:t>
            </w:r>
          </w:p>
        </w:tc>
      </w:tr>
      <w:tr w:rsidR="00C83E18" w:rsidRPr="00C83E18" w14:paraId="28BD3F65" w14:textId="77777777" w:rsidTr="00C83E18">
        <w:trPr>
          <w:trHeight w:val="312"/>
        </w:trPr>
        <w:tc>
          <w:tcPr>
            <w:tcW w:w="2321" w:type="pct"/>
            <w:tcBorders>
              <w:top w:val="nil"/>
              <w:left w:val="single" w:sz="4" w:space="0" w:color="000000"/>
              <w:bottom w:val="single" w:sz="4" w:space="0" w:color="000000"/>
              <w:right w:val="single" w:sz="4" w:space="0" w:color="000000"/>
            </w:tcBorders>
            <w:noWrap/>
            <w:vAlign w:val="bottom"/>
            <w:hideMark/>
          </w:tcPr>
          <w:p w14:paraId="54286137" w14:textId="77777777" w:rsidR="00C83E18" w:rsidRPr="00C83E18" w:rsidRDefault="00C83E18" w:rsidP="00C83E18">
            <w:pPr>
              <w:spacing w:line="240" w:lineRule="auto"/>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Operating profit</w:t>
            </w:r>
          </w:p>
        </w:tc>
        <w:tc>
          <w:tcPr>
            <w:tcW w:w="536" w:type="pct"/>
            <w:tcBorders>
              <w:top w:val="nil"/>
              <w:left w:val="nil"/>
              <w:bottom w:val="single" w:sz="4" w:space="0" w:color="000000"/>
              <w:right w:val="single" w:sz="4" w:space="0" w:color="000000"/>
            </w:tcBorders>
            <w:noWrap/>
            <w:vAlign w:val="bottom"/>
            <w:hideMark/>
          </w:tcPr>
          <w:p w14:paraId="2C264B3B"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37267</w:t>
            </w:r>
          </w:p>
        </w:tc>
        <w:tc>
          <w:tcPr>
            <w:tcW w:w="536" w:type="pct"/>
            <w:tcBorders>
              <w:top w:val="nil"/>
              <w:left w:val="nil"/>
              <w:bottom w:val="single" w:sz="4" w:space="0" w:color="000000"/>
              <w:right w:val="single" w:sz="4" w:space="0" w:color="000000"/>
            </w:tcBorders>
            <w:noWrap/>
            <w:vAlign w:val="bottom"/>
            <w:hideMark/>
          </w:tcPr>
          <w:p w14:paraId="5420DE84"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23253</w:t>
            </w:r>
          </w:p>
        </w:tc>
        <w:tc>
          <w:tcPr>
            <w:tcW w:w="536" w:type="pct"/>
            <w:tcBorders>
              <w:top w:val="nil"/>
              <w:left w:val="nil"/>
              <w:bottom w:val="single" w:sz="4" w:space="0" w:color="000000"/>
              <w:right w:val="single" w:sz="4" w:space="0" w:color="000000"/>
            </w:tcBorders>
            <w:noWrap/>
            <w:vAlign w:val="bottom"/>
            <w:hideMark/>
          </w:tcPr>
          <w:p w14:paraId="0C053DC1"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14548</w:t>
            </w:r>
          </w:p>
        </w:tc>
        <w:tc>
          <w:tcPr>
            <w:tcW w:w="536" w:type="pct"/>
            <w:tcBorders>
              <w:top w:val="nil"/>
              <w:left w:val="nil"/>
              <w:bottom w:val="single" w:sz="4" w:space="0" w:color="000000"/>
              <w:right w:val="single" w:sz="4" w:space="0" w:color="000000"/>
            </w:tcBorders>
            <w:noWrap/>
            <w:vAlign w:val="bottom"/>
            <w:hideMark/>
          </w:tcPr>
          <w:p w14:paraId="401ED9BF"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-85301</w:t>
            </w:r>
          </w:p>
        </w:tc>
        <w:tc>
          <w:tcPr>
            <w:tcW w:w="536" w:type="pct"/>
            <w:tcBorders>
              <w:top w:val="nil"/>
              <w:left w:val="nil"/>
              <w:bottom w:val="single" w:sz="4" w:space="0" w:color="000000"/>
              <w:right w:val="single" w:sz="4" w:space="0" w:color="000000"/>
            </w:tcBorders>
            <w:noWrap/>
            <w:vAlign w:val="bottom"/>
            <w:hideMark/>
          </w:tcPr>
          <w:p w14:paraId="7A945CE9"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-15297</w:t>
            </w:r>
          </w:p>
        </w:tc>
      </w:tr>
      <w:tr w:rsidR="00C83E18" w:rsidRPr="00C83E18" w14:paraId="0A060653" w14:textId="77777777" w:rsidTr="00C83E18">
        <w:trPr>
          <w:trHeight w:val="312"/>
        </w:trPr>
        <w:tc>
          <w:tcPr>
            <w:tcW w:w="2321" w:type="pct"/>
            <w:tcBorders>
              <w:top w:val="nil"/>
              <w:left w:val="single" w:sz="4" w:space="0" w:color="000000"/>
              <w:bottom w:val="single" w:sz="4" w:space="0" w:color="000000"/>
              <w:right w:val="single" w:sz="4" w:space="0" w:color="000000"/>
            </w:tcBorders>
            <w:noWrap/>
            <w:vAlign w:val="bottom"/>
            <w:hideMark/>
          </w:tcPr>
          <w:p w14:paraId="7F35DD21" w14:textId="77777777" w:rsidR="00C83E18" w:rsidRPr="00C83E18" w:rsidRDefault="00C83E18" w:rsidP="00C83E18">
            <w:pPr>
              <w:spacing w:line="240" w:lineRule="auto"/>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Net sales</w:t>
            </w:r>
          </w:p>
        </w:tc>
        <w:tc>
          <w:tcPr>
            <w:tcW w:w="536" w:type="pct"/>
            <w:tcBorders>
              <w:top w:val="nil"/>
              <w:left w:val="nil"/>
              <w:bottom w:val="single" w:sz="4" w:space="0" w:color="000000"/>
              <w:right w:val="single" w:sz="4" w:space="0" w:color="000000"/>
            </w:tcBorders>
            <w:noWrap/>
            <w:vAlign w:val="bottom"/>
            <w:hideMark/>
          </w:tcPr>
          <w:p w14:paraId="50713A37"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614680</w:t>
            </w:r>
          </w:p>
        </w:tc>
        <w:tc>
          <w:tcPr>
            <w:tcW w:w="536" w:type="pct"/>
            <w:tcBorders>
              <w:top w:val="nil"/>
              <w:left w:val="nil"/>
              <w:bottom w:val="single" w:sz="4" w:space="0" w:color="000000"/>
              <w:right w:val="single" w:sz="4" w:space="0" w:color="000000"/>
            </w:tcBorders>
            <w:noWrap/>
            <w:vAlign w:val="bottom"/>
            <w:hideMark/>
          </w:tcPr>
          <w:p w14:paraId="22D33A4E"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601602</w:t>
            </w:r>
          </w:p>
        </w:tc>
        <w:tc>
          <w:tcPr>
            <w:tcW w:w="536" w:type="pct"/>
            <w:tcBorders>
              <w:top w:val="nil"/>
              <w:left w:val="nil"/>
              <w:bottom w:val="single" w:sz="4" w:space="0" w:color="000000"/>
              <w:right w:val="single" w:sz="4" w:space="0" w:color="000000"/>
            </w:tcBorders>
            <w:noWrap/>
            <w:vAlign w:val="bottom"/>
            <w:hideMark/>
          </w:tcPr>
          <w:p w14:paraId="1C709283"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542751</w:t>
            </w:r>
          </w:p>
        </w:tc>
        <w:tc>
          <w:tcPr>
            <w:tcW w:w="536" w:type="pct"/>
            <w:tcBorders>
              <w:top w:val="nil"/>
              <w:left w:val="nil"/>
              <w:bottom w:val="single" w:sz="4" w:space="0" w:color="000000"/>
              <w:right w:val="single" w:sz="4" w:space="0" w:color="000000"/>
            </w:tcBorders>
            <w:noWrap/>
            <w:vAlign w:val="bottom"/>
            <w:hideMark/>
          </w:tcPr>
          <w:p w14:paraId="25B16CB4"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420457</w:t>
            </w:r>
          </w:p>
        </w:tc>
        <w:tc>
          <w:tcPr>
            <w:tcW w:w="536" w:type="pct"/>
            <w:tcBorders>
              <w:top w:val="nil"/>
              <w:left w:val="nil"/>
              <w:bottom w:val="single" w:sz="4" w:space="0" w:color="000000"/>
              <w:right w:val="single" w:sz="4" w:space="0" w:color="000000"/>
            </w:tcBorders>
            <w:noWrap/>
            <w:vAlign w:val="bottom"/>
            <w:hideMark/>
          </w:tcPr>
          <w:p w14:paraId="22A40950" w14:textId="77777777" w:rsidR="00C83E18" w:rsidRPr="00C83E18" w:rsidRDefault="00C83E18" w:rsidP="00C83E18">
            <w:pPr>
              <w:spacing w:line="240" w:lineRule="auto"/>
              <w:jc w:val="center"/>
              <w:rPr>
                <w:rFonts w:ascii="Times New Roman" w:eastAsia="Times New Roman" w:hAnsi="Times New Roman" w:cs="Times New Roman"/>
                <w:color w:val="000000"/>
                <w:sz w:val="24"/>
                <w:szCs w:val="24"/>
                <w:lang w:val="en-IN"/>
              </w:rPr>
            </w:pPr>
            <w:r w:rsidRPr="00C83E18">
              <w:rPr>
                <w:rFonts w:ascii="Times New Roman" w:eastAsia="Times New Roman" w:hAnsi="Times New Roman" w:cs="Times New Roman"/>
                <w:color w:val="000000"/>
                <w:sz w:val="24"/>
                <w:szCs w:val="24"/>
                <w:lang w:val="en-IN"/>
              </w:rPr>
              <w:t>394879</w:t>
            </w:r>
          </w:p>
        </w:tc>
      </w:tr>
      <w:tr w:rsidR="00C83E18" w:rsidRPr="00C83E18" w14:paraId="7E30A063" w14:textId="77777777" w:rsidTr="00C83E18">
        <w:trPr>
          <w:trHeight w:val="312"/>
        </w:trPr>
        <w:tc>
          <w:tcPr>
            <w:tcW w:w="2321" w:type="pct"/>
            <w:tcBorders>
              <w:top w:val="nil"/>
              <w:left w:val="single" w:sz="4" w:space="0" w:color="000000"/>
              <w:bottom w:val="single" w:sz="4" w:space="0" w:color="000000"/>
              <w:right w:val="single" w:sz="4" w:space="0" w:color="000000"/>
            </w:tcBorders>
            <w:noWrap/>
            <w:vAlign w:val="bottom"/>
            <w:hideMark/>
          </w:tcPr>
          <w:p w14:paraId="242D63D6" w14:textId="77777777" w:rsidR="00C83E18" w:rsidRPr="00C83E18" w:rsidRDefault="00C83E18" w:rsidP="00C83E18">
            <w:pPr>
              <w:spacing w:line="240" w:lineRule="auto"/>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lastRenderedPageBreak/>
              <w:t>Operating profit margin = (Operating profit  / Net sales) * 100</w:t>
            </w:r>
          </w:p>
        </w:tc>
        <w:tc>
          <w:tcPr>
            <w:tcW w:w="536" w:type="pct"/>
            <w:tcBorders>
              <w:top w:val="nil"/>
              <w:left w:val="nil"/>
              <w:bottom w:val="single" w:sz="4" w:space="0" w:color="000000"/>
              <w:right w:val="single" w:sz="4" w:space="0" w:color="000000"/>
            </w:tcBorders>
            <w:noWrap/>
            <w:vAlign w:val="bottom"/>
            <w:hideMark/>
          </w:tcPr>
          <w:p w14:paraId="7C5BDFBB"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6.06</w:t>
            </w:r>
          </w:p>
        </w:tc>
        <w:tc>
          <w:tcPr>
            <w:tcW w:w="536" w:type="pct"/>
            <w:tcBorders>
              <w:top w:val="nil"/>
              <w:left w:val="nil"/>
              <w:bottom w:val="single" w:sz="4" w:space="0" w:color="000000"/>
              <w:right w:val="single" w:sz="4" w:space="0" w:color="000000"/>
            </w:tcBorders>
            <w:noWrap/>
            <w:vAlign w:val="bottom"/>
            <w:hideMark/>
          </w:tcPr>
          <w:p w14:paraId="6BA304B6"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3.87</w:t>
            </w:r>
          </w:p>
        </w:tc>
        <w:tc>
          <w:tcPr>
            <w:tcW w:w="536" w:type="pct"/>
            <w:tcBorders>
              <w:top w:val="nil"/>
              <w:left w:val="nil"/>
              <w:bottom w:val="single" w:sz="4" w:space="0" w:color="000000"/>
              <w:right w:val="single" w:sz="4" w:space="0" w:color="000000"/>
            </w:tcBorders>
            <w:noWrap/>
            <w:vAlign w:val="bottom"/>
            <w:hideMark/>
          </w:tcPr>
          <w:p w14:paraId="67F8BD04"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2.68</w:t>
            </w:r>
          </w:p>
        </w:tc>
        <w:tc>
          <w:tcPr>
            <w:tcW w:w="536" w:type="pct"/>
            <w:tcBorders>
              <w:top w:val="nil"/>
              <w:left w:val="nil"/>
              <w:bottom w:val="single" w:sz="4" w:space="0" w:color="000000"/>
              <w:right w:val="single" w:sz="4" w:space="0" w:color="000000"/>
            </w:tcBorders>
            <w:noWrap/>
            <w:vAlign w:val="bottom"/>
            <w:hideMark/>
          </w:tcPr>
          <w:p w14:paraId="4C7828E1"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-20.29</w:t>
            </w:r>
          </w:p>
        </w:tc>
        <w:tc>
          <w:tcPr>
            <w:tcW w:w="536" w:type="pct"/>
            <w:tcBorders>
              <w:top w:val="nil"/>
              <w:left w:val="nil"/>
              <w:bottom w:val="single" w:sz="4" w:space="0" w:color="000000"/>
              <w:right w:val="single" w:sz="4" w:space="0" w:color="000000"/>
            </w:tcBorders>
            <w:noWrap/>
            <w:vAlign w:val="bottom"/>
            <w:hideMark/>
          </w:tcPr>
          <w:p w14:paraId="38C52531" w14:textId="77777777" w:rsidR="00C83E18" w:rsidRPr="00C83E18" w:rsidRDefault="00C83E18" w:rsidP="00C83E18">
            <w:pPr>
              <w:spacing w:line="240" w:lineRule="auto"/>
              <w:jc w:val="center"/>
              <w:rPr>
                <w:rFonts w:ascii="Times New Roman" w:eastAsia="Times New Roman" w:hAnsi="Times New Roman" w:cs="Times New Roman"/>
                <w:b/>
                <w:bCs/>
                <w:color w:val="000000"/>
                <w:sz w:val="24"/>
                <w:szCs w:val="24"/>
                <w:lang w:val="en-IN"/>
              </w:rPr>
            </w:pPr>
            <w:r w:rsidRPr="00C83E18">
              <w:rPr>
                <w:rFonts w:ascii="Times New Roman" w:eastAsia="Times New Roman" w:hAnsi="Times New Roman" w:cs="Times New Roman"/>
                <w:b/>
                <w:bCs/>
                <w:color w:val="000000"/>
                <w:sz w:val="24"/>
                <w:szCs w:val="24"/>
                <w:lang w:val="en-IN"/>
              </w:rPr>
              <w:t>-3.87</w:t>
            </w:r>
          </w:p>
        </w:tc>
      </w:tr>
    </w:tbl>
    <w:p w14:paraId="2A860322" w14:textId="77777777" w:rsidR="00C83E18" w:rsidRDefault="00C83E18" w:rsidP="00C83E18"/>
    <w:p w14:paraId="7232EAEB" w14:textId="77777777" w:rsidR="00C83E18" w:rsidRDefault="00A13555" w:rsidP="00C83E18">
      <w:r>
        <w:rPr>
          <w:noProof/>
          <w:lang w:val="en-IN"/>
        </w:rPr>
        <w:drawing>
          <wp:inline distT="0" distB="0" distL="0" distR="0" wp14:anchorId="313D2A8F" wp14:editId="129688F8">
            <wp:extent cx="5928360" cy="3044190"/>
            <wp:effectExtent l="0" t="0" r="15240" b="3810"/>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266B22B9" w14:textId="77777777" w:rsidR="00A60069" w:rsidRDefault="00A60069" w:rsidP="00C83E18">
      <w:r w:rsidRPr="00FA2975">
        <w:rPr>
          <w:rFonts w:eastAsia="Times New Roman"/>
          <w:noProof/>
          <w:sz w:val="24"/>
          <w:szCs w:val="24"/>
          <w:lang w:val="en-IN"/>
        </w:rPr>
        <w:drawing>
          <wp:inline distT="114300" distB="114300" distL="114300" distR="114300" wp14:anchorId="3411547B" wp14:editId="17E2C9FA">
            <wp:extent cx="5951220" cy="758825"/>
            <wp:effectExtent l="0" t="0" r="0" b="3175"/>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6"/>
                    <a:srcRect/>
                    <a:stretch>
                      <a:fillRect/>
                    </a:stretch>
                  </pic:blipFill>
                  <pic:spPr>
                    <a:xfrm>
                      <a:off x="0" y="0"/>
                      <a:ext cx="5954970" cy="759303"/>
                    </a:xfrm>
                    <a:prstGeom prst="rect">
                      <a:avLst/>
                    </a:prstGeom>
                    <a:ln/>
                  </pic:spPr>
                </pic:pic>
              </a:graphicData>
            </a:graphic>
          </wp:inline>
        </w:drawing>
      </w:r>
    </w:p>
    <w:p w14:paraId="771FD5AA" w14:textId="77777777" w:rsidR="00A13555" w:rsidRDefault="00A13555"/>
    <w:tbl>
      <w:tblPr>
        <w:tblW w:w="5000" w:type="pct"/>
        <w:tblCellMar>
          <w:left w:w="0" w:type="dxa"/>
          <w:right w:w="0" w:type="dxa"/>
        </w:tblCellMar>
        <w:tblLook w:val="04A0" w:firstRow="1" w:lastRow="0" w:firstColumn="1" w:lastColumn="0" w:noHBand="0" w:noVBand="1"/>
      </w:tblPr>
      <w:tblGrid>
        <w:gridCol w:w="3809"/>
        <w:gridCol w:w="1109"/>
        <w:gridCol w:w="1108"/>
        <w:gridCol w:w="1108"/>
        <w:gridCol w:w="1108"/>
        <w:gridCol w:w="1108"/>
      </w:tblGrid>
      <w:tr w:rsidR="00A13555" w14:paraId="220A7990" w14:textId="77777777" w:rsidTr="00A13555">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1B54DF62" w14:textId="77777777" w:rsidR="00A13555" w:rsidRDefault="00A13555">
            <w:pPr>
              <w:jc w:val="center"/>
              <w:rPr>
                <w:b/>
                <w:bCs/>
                <w:color w:val="000000"/>
              </w:rPr>
            </w:pPr>
            <w:r>
              <w:rPr>
                <w:b/>
                <w:bCs/>
                <w:color w:val="000000"/>
              </w:rPr>
              <w:t>Liquidity ratio</w:t>
            </w:r>
          </w:p>
        </w:tc>
      </w:tr>
      <w:tr w:rsidR="00A13555" w14:paraId="49CB0226" w14:textId="77777777" w:rsidTr="00A13555">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06E63D51" w14:textId="77777777" w:rsidR="00A13555" w:rsidRDefault="00A13555">
            <w:pPr>
              <w:jc w:val="center"/>
              <w:rPr>
                <w:b/>
                <w:bCs/>
                <w:color w:val="000000"/>
              </w:rPr>
            </w:pPr>
            <w:r>
              <w:rPr>
                <w:b/>
                <w:bCs/>
                <w:color w:val="000000"/>
              </w:rPr>
              <w:t>Current ratio</w:t>
            </w:r>
          </w:p>
        </w:tc>
      </w:tr>
      <w:tr w:rsidR="00A13555" w14:paraId="00B9F7AE" w14:textId="77777777" w:rsidTr="00A13555">
        <w:trPr>
          <w:trHeight w:val="312"/>
        </w:trPr>
        <w:tc>
          <w:tcPr>
            <w:tcW w:w="2041"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0C1E4EB7" w14:textId="77777777" w:rsidR="00A13555" w:rsidRDefault="00A13555">
            <w:pPr>
              <w:jc w:val="center"/>
              <w:rPr>
                <w:b/>
                <w:bCs/>
                <w:color w:val="000000"/>
              </w:rPr>
            </w:pPr>
            <w:r>
              <w:rPr>
                <w:b/>
                <w:bCs/>
                <w:color w:val="000000"/>
              </w:rPr>
              <w:t>Particulars</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1BE6CF8" w14:textId="77777777" w:rsidR="00A13555" w:rsidRDefault="00A13555">
            <w:pPr>
              <w:jc w:val="center"/>
              <w:rPr>
                <w:b/>
                <w:bCs/>
                <w:color w:val="000000"/>
              </w:rPr>
            </w:pPr>
            <w:r>
              <w:rPr>
                <w:b/>
                <w:bCs/>
                <w:color w:val="000000"/>
              </w:rPr>
              <w:t>2020 (Million)</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1671933" w14:textId="77777777" w:rsidR="00A13555" w:rsidRDefault="00A13555">
            <w:pPr>
              <w:jc w:val="center"/>
              <w:rPr>
                <w:b/>
                <w:bCs/>
                <w:color w:val="000000"/>
              </w:rPr>
            </w:pPr>
            <w:r>
              <w:rPr>
                <w:b/>
                <w:bCs/>
                <w:color w:val="000000"/>
              </w:rPr>
              <w:t>2021 (Million)</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B3E685C" w14:textId="77777777" w:rsidR="00A13555" w:rsidRDefault="00A13555">
            <w:pPr>
              <w:jc w:val="center"/>
              <w:rPr>
                <w:b/>
                <w:bCs/>
                <w:color w:val="000000"/>
              </w:rPr>
            </w:pPr>
            <w:r>
              <w:rPr>
                <w:b/>
                <w:bCs/>
                <w:color w:val="000000"/>
              </w:rPr>
              <w:t>2022 (Million)</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436700D" w14:textId="77777777" w:rsidR="00A13555" w:rsidRDefault="00A13555">
            <w:pPr>
              <w:jc w:val="center"/>
              <w:rPr>
                <w:b/>
                <w:bCs/>
                <w:color w:val="000000"/>
              </w:rPr>
            </w:pPr>
            <w:r>
              <w:rPr>
                <w:b/>
                <w:bCs/>
                <w:color w:val="000000"/>
              </w:rPr>
              <w:t>2023 (Million)</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7757944" w14:textId="77777777" w:rsidR="00A13555" w:rsidRDefault="00A13555">
            <w:pPr>
              <w:jc w:val="center"/>
              <w:rPr>
                <w:b/>
                <w:bCs/>
                <w:color w:val="000000"/>
              </w:rPr>
            </w:pPr>
            <w:r>
              <w:rPr>
                <w:b/>
                <w:bCs/>
                <w:color w:val="000000"/>
              </w:rPr>
              <w:t>2024 (Million)</w:t>
            </w:r>
          </w:p>
        </w:tc>
      </w:tr>
      <w:tr w:rsidR="00A13555" w14:paraId="0AE1AAB6" w14:textId="77777777" w:rsidTr="00A13555">
        <w:trPr>
          <w:trHeight w:val="312"/>
        </w:trPr>
        <w:tc>
          <w:tcPr>
            <w:tcW w:w="2041"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795F76BE" w14:textId="77777777" w:rsidR="00A13555" w:rsidRDefault="00A13555">
            <w:pPr>
              <w:rPr>
                <w:color w:val="000000"/>
              </w:rPr>
            </w:pPr>
            <w:r>
              <w:rPr>
                <w:color w:val="000000"/>
              </w:rPr>
              <w:t>Current asset</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E5B617E" w14:textId="77777777" w:rsidR="00A13555" w:rsidRDefault="00A13555">
            <w:pPr>
              <w:jc w:val="center"/>
              <w:rPr>
                <w:color w:val="000000"/>
              </w:rPr>
            </w:pPr>
            <w:r>
              <w:rPr>
                <w:color w:val="000000"/>
              </w:rPr>
              <w:t>326,843</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2B7F790" w14:textId="77777777" w:rsidR="00A13555" w:rsidRDefault="00A13555">
            <w:pPr>
              <w:jc w:val="center"/>
              <w:rPr>
                <w:color w:val="000000"/>
              </w:rPr>
            </w:pPr>
            <w:r>
              <w:rPr>
                <w:color w:val="000000"/>
              </w:rPr>
              <w:t>337,146</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6A13285" w14:textId="77777777" w:rsidR="00A13555" w:rsidRDefault="00A13555">
            <w:pPr>
              <w:jc w:val="center"/>
              <w:rPr>
                <w:color w:val="000000"/>
              </w:rPr>
            </w:pPr>
            <w:r>
              <w:rPr>
                <w:color w:val="000000"/>
              </w:rPr>
              <w:t>338,040</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11BDEAD" w14:textId="77777777" w:rsidR="00A13555" w:rsidRDefault="00A13555">
            <w:pPr>
              <w:jc w:val="center"/>
              <w:rPr>
                <w:color w:val="000000"/>
              </w:rPr>
            </w:pPr>
            <w:r>
              <w:rPr>
                <w:color w:val="000000"/>
              </w:rPr>
              <w:t>258,851</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53A5BD3" w14:textId="77777777" w:rsidR="00A13555" w:rsidRDefault="00A13555">
            <w:pPr>
              <w:jc w:val="center"/>
              <w:rPr>
                <w:color w:val="000000"/>
              </w:rPr>
            </w:pPr>
            <w:r>
              <w:rPr>
                <w:color w:val="000000"/>
              </w:rPr>
              <w:t>242,494</w:t>
            </w:r>
          </w:p>
        </w:tc>
      </w:tr>
      <w:tr w:rsidR="00A13555" w14:paraId="1307A69A" w14:textId="77777777" w:rsidTr="00A13555">
        <w:trPr>
          <w:trHeight w:val="312"/>
        </w:trPr>
        <w:tc>
          <w:tcPr>
            <w:tcW w:w="2041"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0E5EC1AA" w14:textId="77777777" w:rsidR="00A13555" w:rsidRDefault="00A13555">
            <w:pPr>
              <w:rPr>
                <w:color w:val="000000"/>
              </w:rPr>
            </w:pPr>
            <w:r>
              <w:rPr>
                <w:color w:val="000000"/>
              </w:rPr>
              <w:t>Current liability</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4385D6A" w14:textId="77777777" w:rsidR="00A13555" w:rsidRDefault="00A13555">
            <w:pPr>
              <w:jc w:val="center"/>
              <w:rPr>
                <w:color w:val="000000"/>
              </w:rPr>
            </w:pPr>
            <w:r>
              <w:rPr>
                <w:color w:val="000000"/>
              </w:rPr>
              <w:t>179,510</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164905C" w14:textId="77777777" w:rsidR="00A13555" w:rsidRDefault="00A13555">
            <w:pPr>
              <w:jc w:val="center"/>
              <w:rPr>
                <w:color w:val="000000"/>
              </w:rPr>
            </w:pPr>
            <w:r>
              <w:rPr>
                <w:color w:val="000000"/>
              </w:rPr>
              <w:t>216,787</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A0305FE" w14:textId="77777777" w:rsidR="00A13555" w:rsidRDefault="00A13555">
            <w:pPr>
              <w:jc w:val="center"/>
              <w:rPr>
                <w:color w:val="000000"/>
              </w:rPr>
            </w:pPr>
            <w:r>
              <w:rPr>
                <w:color w:val="000000"/>
              </w:rPr>
              <w:t>216,473</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109C2AF" w14:textId="77777777" w:rsidR="00A13555" w:rsidRDefault="00A13555">
            <w:pPr>
              <w:jc w:val="center"/>
              <w:rPr>
                <w:color w:val="000000"/>
              </w:rPr>
            </w:pPr>
            <w:r>
              <w:rPr>
                <w:color w:val="000000"/>
              </w:rPr>
              <w:t>161,148</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E7E6C25" w14:textId="77777777" w:rsidR="00A13555" w:rsidRDefault="00A13555">
            <w:pPr>
              <w:jc w:val="center"/>
              <w:rPr>
                <w:color w:val="000000"/>
              </w:rPr>
            </w:pPr>
            <w:r>
              <w:rPr>
                <w:color w:val="000000"/>
              </w:rPr>
              <w:t>158,291</w:t>
            </w:r>
          </w:p>
        </w:tc>
      </w:tr>
      <w:tr w:rsidR="00A13555" w14:paraId="41AE95DA" w14:textId="77777777" w:rsidTr="00A13555">
        <w:trPr>
          <w:trHeight w:val="312"/>
        </w:trPr>
        <w:tc>
          <w:tcPr>
            <w:tcW w:w="2041"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278F2FA6" w14:textId="77777777" w:rsidR="00A13555" w:rsidRDefault="00A13555">
            <w:pPr>
              <w:rPr>
                <w:b/>
                <w:bCs/>
                <w:color w:val="000000"/>
              </w:rPr>
            </w:pPr>
            <w:r>
              <w:rPr>
                <w:b/>
                <w:bCs/>
                <w:color w:val="000000"/>
              </w:rPr>
              <w:t>Current ratio = (Current asset / Curret Liability)</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B23B4A5" w14:textId="77777777" w:rsidR="00A13555" w:rsidRDefault="00A13555">
            <w:pPr>
              <w:jc w:val="center"/>
              <w:rPr>
                <w:b/>
                <w:bCs/>
                <w:color w:val="000000"/>
              </w:rPr>
            </w:pPr>
            <w:r>
              <w:rPr>
                <w:b/>
                <w:bCs/>
                <w:color w:val="000000"/>
              </w:rPr>
              <w:t>1.82</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3D5E067" w14:textId="77777777" w:rsidR="00A13555" w:rsidRDefault="00A13555">
            <w:pPr>
              <w:jc w:val="center"/>
              <w:rPr>
                <w:b/>
                <w:bCs/>
                <w:color w:val="000000"/>
              </w:rPr>
            </w:pPr>
            <w:r>
              <w:rPr>
                <w:b/>
                <w:bCs/>
                <w:color w:val="000000"/>
              </w:rPr>
              <w:t>1.56</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F0EADAE" w14:textId="77777777" w:rsidR="00A13555" w:rsidRDefault="00A13555">
            <w:pPr>
              <w:jc w:val="center"/>
              <w:rPr>
                <w:b/>
                <w:bCs/>
                <w:color w:val="000000"/>
              </w:rPr>
            </w:pPr>
            <w:r>
              <w:rPr>
                <w:b/>
                <w:bCs/>
                <w:color w:val="000000"/>
              </w:rPr>
              <w:t>1.56</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129B305" w14:textId="77777777" w:rsidR="00A13555" w:rsidRDefault="00A13555">
            <w:pPr>
              <w:jc w:val="center"/>
              <w:rPr>
                <w:b/>
                <w:bCs/>
                <w:color w:val="000000"/>
              </w:rPr>
            </w:pPr>
            <w:r>
              <w:rPr>
                <w:b/>
                <w:bCs/>
                <w:color w:val="000000"/>
              </w:rPr>
              <w:t>1.61</w:t>
            </w:r>
          </w:p>
        </w:tc>
        <w:tc>
          <w:tcPr>
            <w:tcW w:w="592"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7C5933F" w14:textId="77777777" w:rsidR="00A13555" w:rsidRDefault="00A13555">
            <w:pPr>
              <w:jc w:val="center"/>
              <w:rPr>
                <w:b/>
                <w:bCs/>
                <w:color w:val="000000"/>
              </w:rPr>
            </w:pPr>
            <w:r>
              <w:rPr>
                <w:b/>
                <w:bCs/>
                <w:color w:val="000000"/>
              </w:rPr>
              <w:t>1.53</w:t>
            </w:r>
          </w:p>
        </w:tc>
      </w:tr>
    </w:tbl>
    <w:p w14:paraId="61B7AE5A" w14:textId="77777777" w:rsidR="00A13555" w:rsidRDefault="00A13555">
      <w:r>
        <w:lastRenderedPageBreak/>
        <w:t xml:space="preserve"> </w:t>
      </w:r>
      <w:r>
        <w:rPr>
          <w:noProof/>
          <w:lang w:val="en-IN"/>
        </w:rPr>
        <w:drawing>
          <wp:inline distT="0" distB="0" distL="0" distR="0" wp14:anchorId="726B46BF" wp14:editId="1885FFCE">
            <wp:extent cx="5943600" cy="2599690"/>
            <wp:effectExtent l="0" t="0" r="0" b="10160"/>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r>
        <w:t xml:space="preserve"> </w:t>
      </w:r>
    </w:p>
    <w:p w14:paraId="5EA88A96" w14:textId="77777777" w:rsidR="00AD2724" w:rsidRDefault="00AD2724">
      <w:r w:rsidRPr="00FA2975">
        <w:rPr>
          <w:rFonts w:eastAsia="Times New Roman"/>
          <w:noProof/>
          <w:sz w:val="24"/>
          <w:szCs w:val="24"/>
          <w:lang w:val="en-IN"/>
        </w:rPr>
        <w:drawing>
          <wp:inline distT="114300" distB="114300" distL="114300" distR="114300" wp14:anchorId="67B34365" wp14:editId="632D776B">
            <wp:extent cx="5951220" cy="81915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8"/>
                    <a:srcRect/>
                    <a:stretch>
                      <a:fillRect/>
                    </a:stretch>
                  </pic:blipFill>
                  <pic:spPr>
                    <a:xfrm>
                      <a:off x="0" y="0"/>
                      <a:ext cx="5951220" cy="819150"/>
                    </a:xfrm>
                    <a:prstGeom prst="rect">
                      <a:avLst/>
                    </a:prstGeom>
                    <a:ln/>
                  </pic:spPr>
                </pic:pic>
              </a:graphicData>
            </a:graphic>
          </wp:inline>
        </w:drawing>
      </w:r>
    </w:p>
    <w:tbl>
      <w:tblPr>
        <w:tblW w:w="5000" w:type="pct"/>
        <w:tblCellMar>
          <w:left w:w="0" w:type="dxa"/>
          <w:right w:w="0" w:type="dxa"/>
        </w:tblCellMar>
        <w:tblLook w:val="04A0" w:firstRow="1" w:lastRow="0" w:firstColumn="1" w:lastColumn="0" w:noHBand="0" w:noVBand="1"/>
      </w:tblPr>
      <w:tblGrid>
        <w:gridCol w:w="4394"/>
        <w:gridCol w:w="992"/>
        <w:gridCol w:w="991"/>
        <w:gridCol w:w="991"/>
        <w:gridCol w:w="991"/>
        <w:gridCol w:w="991"/>
      </w:tblGrid>
      <w:tr w:rsidR="00A13555" w14:paraId="6BFC4848" w14:textId="77777777" w:rsidTr="00A13555">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02D978CF" w14:textId="77777777" w:rsidR="00A13555" w:rsidRDefault="00A13555">
            <w:pPr>
              <w:jc w:val="center"/>
              <w:rPr>
                <w:b/>
                <w:bCs/>
                <w:color w:val="000000"/>
              </w:rPr>
            </w:pPr>
            <w:r>
              <w:rPr>
                <w:b/>
                <w:bCs/>
                <w:color w:val="000000"/>
              </w:rPr>
              <w:t>Liquidity ratio</w:t>
            </w:r>
          </w:p>
        </w:tc>
      </w:tr>
      <w:tr w:rsidR="00A13555" w14:paraId="39C46108" w14:textId="77777777" w:rsidTr="00A13555">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486DDD02" w14:textId="77777777" w:rsidR="00A13555" w:rsidRDefault="00A13555">
            <w:pPr>
              <w:jc w:val="center"/>
              <w:rPr>
                <w:b/>
                <w:bCs/>
                <w:color w:val="000000"/>
              </w:rPr>
            </w:pPr>
            <w:r>
              <w:rPr>
                <w:b/>
                <w:bCs/>
                <w:color w:val="000000"/>
              </w:rPr>
              <w:t>Quick ratio</w:t>
            </w:r>
          </w:p>
        </w:tc>
      </w:tr>
      <w:tr w:rsidR="00A13555" w14:paraId="551A0838" w14:textId="77777777" w:rsidTr="00A13555">
        <w:trPr>
          <w:trHeight w:val="312"/>
        </w:trPr>
        <w:tc>
          <w:tcPr>
            <w:tcW w:w="2359"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3DCB3870" w14:textId="77777777" w:rsidR="00A13555" w:rsidRDefault="00A13555">
            <w:pPr>
              <w:jc w:val="center"/>
              <w:rPr>
                <w:b/>
                <w:bCs/>
                <w:color w:val="000000"/>
              </w:rPr>
            </w:pPr>
            <w:r>
              <w:rPr>
                <w:b/>
                <w:bCs/>
                <w:color w:val="000000"/>
              </w:rPr>
              <w:t>Particulars</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840F3EF" w14:textId="77777777" w:rsidR="00A13555" w:rsidRDefault="00A13555">
            <w:pPr>
              <w:jc w:val="center"/>
              <w:rPr>
                <w:b/>
                <w:bCs/>
                <w:color w:val="000000"/>
              </w:rPr>
            </w:pPr>
            <w:r>
              <w:rPr>
                <w:b/>
                <w:bCs/>
                <w:color w:val="000000"/>
              </w:rPr>
              <w:t>2020 (Million)</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EDAEA19" w14:textId="77777777" w:rsidR="00A13555" w:rsidRDefault="00A13555">
            <w:pPr>
              <w:jc w:val="center"/>
              <w:rPr>
                <w:b/>
                <w:bCs/>
                <w:color w:val="000000"/>
              </w:rPr>
            </w:pPr>
            <w:r>
              <w:rPr>
                <w:b/>
                <w:bCs/>
                <w:color w:val="000000"/>
              </w:rPr>
              <w:t>2021 (Million)</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F53857E" w14:textId="77777777" w:rsidR="00A13555" w:rsidRDefault="00A13555">
            <w:pPr>
              <w:jc w:val="center"/>
              <w:rPr>
                <w:b/>
                <w:bCs/>
                <w:color w:val="000000"/>
              </w:rPr>
            </w:pPr>
            <w:r>
              <w:rPr>
                <w:b/>
                <w:bCs/>
                <w:color w:val="000000"/>
              </w:rPr>
              <w:t>2022 (Million)</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2350664" w14:textId="77777777" w:rsidR="00A13555" w:rsidRDefault="00A13555">
            <w:pPr>
              <w:jc w:val="center"/>
              <w:rPr>
                <w:b/>
                <w:bCs/>
                <w:color w:val="000000"/>
              </w:rPr>
            </w:pPr>
            <w:r>
              <w:rPr>
                <w:b/>
                <w:bCs/>
                <w:color w:val="000000"/>
              </w:rPr>
              <w:t>2023 (Million)</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7431F71" w14:textId="77777777" w:rsidR="00A13555" w:rsidRDefault="00A13555">
            <w:pPr>
              <w:jc w:val="center"/>
              <w:rPr>
                <w:b/>
                <w:bCs/>
                <w:color w:val="000000"/>
              </w:rPr>
            </w:pPr>
            <w:r>
              <w:rPr>
                <w:b/>
                <w:bCs/>
                <w:color w:val="000000"/>
              </w:rPr>
              <w:t>2024 (Million)</w:t>
            </w:r>
          </w:p>
        </w:tc>
      </w:tr>
      <w:tr w:rsidR="00A13555" w14:paraId="76BE69E0" w14:textId="77777777" w:rsidTr="00A13555">
        <w:trPr>
          <w:trHeight w:val="312"/>
        </w:trPr>
        <w:tc>
          <w:tcPr>
            <w:tcW w:w="2359"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62BA21D6" w14:textId="77777777" w:rsidR="00A13555" w:rsidRDefault="00A13555">
            <w:pPr>
              <w:rPr>
                <w:color w:val="000000"/>
              </w:rPr>
            </w:pPr>
            <w:r>
              <w:rPr>
                <w:color w:val="000000"/>
              </w:rPr>
              <w:t>Current asset</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9B0F240" w14:textId="77777777" w:rsidR="00A13555" w:rsidRDefault="00A13555">
            <w:pPr>
              <w:jc w:val="center"/>
              <w:rPr>
                <w:color w:val="000000"/>
              </w:rPr>
            </w:pPr>
            <w:r>
              <w:rPr>
                <w:color w:val="000000"/>
              </w:rPr>
              <w:t>326,843</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44A3D1E" w14:textId="77777777" w:rsidR="00A13555" w:rsidRDefault="00A13555">
            <w:pPr>
              <w:jc w:val="center"/>
              <w:rPr>
                <w:color w:val="000000"/>
              </w:rPr>
            </w:pPr>
            <w:r>
              <w:rPr>
                <w:color w:val="000000"/>
              </w:rPr>
              <w:t>337,146</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F1786C3" w14:textId="77777777" w:rsidR="00A13555" w:rsidRDefault="00A13555">
            <w:pPr>
              <w:jc w:val="center"/>
              <w:rPr>
                <w:color w:val="000000"/>
              </w:rPr>
            </w:pPr>
            <w:r>
              <w:rPr>
                <w:color w:val="000000"/>
              </w:rPr>
              <w:t>338,040</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49998AA" w14:textId="77777777" w:rsidR="00A13555" w:rsidRDefault="00A13555">
            <w:pPr>
              <w:jc w:val="center"/>
              <w:rPr>
                <w:color w:val="000000"/>
              </w:rPr>
            </w:pPr>
            <w:r>
              <w:rPr>
                <w:color w:val="000000"/>
              </w:rPr>
              <w:t>258,851</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382A9F1" w14:textId="77777777" w:rsidR="00A13555" w:rsidRDefault="00A13555">
            <w:pPr>
              <w:jc w:val="center"/>
              <w:rPr>
                <w:color w:val="000000"/>
              </w:rPr>
            </w:pPr>
            <w:r>
              <w:rPr>
                <w:color w:val="000000"/>
              </w:rPr>
              <w:t>242,494</w:t>
            </w:r>
          </w:p>
        </w:tc>
      </w:tr>
      <w:tr w:rsidR="00A13555" w14:paraId="6DDE471F" w14:textId="77777777" w:rsidTr="00A13555">
        <w:trPr>
          <w:trHeight w:val="312"/>
        </w:trPr>
        <w:tc>
          <w:tcPr>
            <w:tcW w:w="2359"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01F0A2CD" w14:textId="77777777" w:rsidR="00A13555" w:rsidRDefault="00A13555">
            <w:pPr>
              <w:rPr>
                <w:color w:val="000000"/>
              </w:rPr>
            </w:pPr>
            <w:r>
              <w:rPr>
                <w:color w:val="000000"/>
              </w:rPr>
              <w:t>Current liability</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7A23FA8" w14:textId="77777777" w:rsidR="00A13555" w:rsidRDefault="00A13555">
            <w:pPr>
              <w:jc w:val="center"/>
              <w:rPr>
                <w:color w:val="000000"/>
              </w:rPr>
            </w:pPr>
            <w:r>
              <w:rPr>
                <w:color w:val="000000"/>
              </w:rPr>
              <w:t>179,510</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670D7D0" w14:textId="77777777" w:rsidR="00A13555" w:rsidRDefault="00A13555">
            <w:pPr>
              <w:jc w:val="center"/>
              <w:rPr>
                <w:color w:val="000000"/>
              </w:rPr>
            </w:pPr>
            <w:r>
              <w:rPr>
                <w:color w:val="000000"/>
              </w:rPr>
              <w:t>216,787</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21437D8" w14:textId="77777777" w:rsidR="00A13555" w:rsidRDefault="00A13555">
            <w:pPr>
              <w:jc w:val="center"/>
              <w:rPr>
                <w:color w:val="000000"/>
              </w:rPr>
            </w:pPr>
            <w:r>
              <w:rPr>
                <w:color w:val="000000"/>
              </w:rPr>
              <w:t>216,473</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CAF3CC0" w14:textId="77777777" w:rsidR="00A13555" w:rsidRDefault="00A13555">
            <w:pPr>
              <w:jc w:val="center"/>
              <w:rPr>
                <w:color w:val="000000"/>
              </w:rPr>
            </w:pPr>
            <w:r>
              <w:rPr>
                <w:color w:val="000000"/>
              </w:rPr>
              <w:t>161,148</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9BA5F14" w14:textId="77777777" w:rsidR="00A13555" w:rsidRDefault="00A13555">
            <w:pPr>
              <w:jc w:val="center"/>
              <w:rPr>
                <w:color w:val="000000"/>
              </w:rPr>
            </w:pPr>
            <w:r>
              <w:rPr>
                <w:color w:val="000000"/>
              </w:rPr>
              <w:t>158,291</w:t>
            </w:r>
          </w:p>
        </w:tc>
      </w:tr>
      <w:tr w:rsidR="00A13555" w14:paraId="53C173F7" w14:textId="77777777" w:rsidTr="00A13555">
        <w:trPr>
          <w:trHeight w:val="312"/>
        </w:trPr>
        <w:tc>
          <w:tcPr>
            <w:tcW w:w="2359"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035B6DB2" w14:textId="77777777" w:rsidR="00A13555" w:rsidRDefault="00A13555">
            <w:pPr>
              <w:rPr>
                <w:color w:val="000000"/>
              </w:rPr>
            </w:pPr>
            <w:r>
              <w:rPr>
                <w:color w:val="000000"/>
              </w:rPr>
              <w:t>Inventory</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58BFBD6" w14:textId="77777777" w:rsidR="00A13555" w:rsidRDefault="00A13555">
            <w:pPr>
              <w:jc w:val="center"/>
              <w:rPr>
                <w:color w:val="000000"/>
              </w:rPr>
            </w:pPr>
            <w:r>
              <w:rPr>
                <w:color w:val="000000"/>
              </w:rPr>
              <w:t>120430</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6492718" w14:textId="77777777" w:rsidR="00A13555" w:rsidRDefault="00A13555">
            <w:pPr>
              <w:jc w:val="center"/>
              <w:rPr>
                <w:color w:val="000000"/>
              </w:rPr>
            </w:pPr>
            <w:r>
              <w:rPr>
                <w:color w:val="000000"/>
              </w:rPr>
              <w:t>134469</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F6DA233" w14:textId="77777777" w:rsidR="00A13555" w:rsidRDefault="00A13555">
            <w:pPr>
              <w:jc w:val="center"/>
              <w:rPr>
                <w:color w:val="000000"/>
              </w:rPr>
            </w:pPr>
            <w:r>
              <w:rPr>
                <w:color w:val="000000"/>
              </w:rPr>
              <w:t>140181</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BF4809B" w14:textId="77777777" w:rsidR="00A13555" w:rsidRDefault="00A13555">
            <w:pPr>
              <w:jc w:val="center"/>
              <w:rPr>
                <w:color w:val="000000"/>
              </w:rPr>
            </w:pPr>
            <w:r>
              <w:rPr>
                <w:color w:val="000000"/>
              </w:rPr>
              <w:t>88273</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DF67A5F" w14:textId="77777777" w:rsidR="00A13555" w:rsidRDefault="00A13555">
            <w:pPr>
              <w:jc w:val="center"/>
              <w:rPr>
                <w:color w:val="000000"/>
              </w:rPr>
            </w:pPr>
            <w:r>
              <w:rPr>
                <w:color w:val="000000"/>
              </w:rPr>
              <w:t>79355</w:t>
            </w:r>
          </w:p>
        </w:tc>
      </w:tr>
      <w:tr w:rsidR="00A13555" w14:paraId="718215BD" w14:textId="77777777" w:rsidTr="00A13555">
        <w:trPr>
          <w:trHeight w:val="312"/>
        </w:trPr>
        <w:tc>
          <w:tcPr>
            <w:tcW w:w="2359"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3F8AA252" w14:textId="77777777" w:rsidR="00A13555" w:rsidRDefault="00A13555">
            <w:pPr>
              <w:rPr>
                <w:b/>
                <w:bCs/>
                <w:color w:val="000000"/>
              </w:rPr>
            </w:pPr>
            <w:r>
              <w:rPr>
                <w:b/>
                <w:bCs/>
                <w:color w:val="000000"/>
              </w:rPr>
              <w:t>Quick ratio = (Current assets - Inventory) / Current Liabilities</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4820A97" w14:textId="77777777" w:rsidR="00A13555" w:rsidRDefault="00A13555">
            <w:pPr>
              <w:jc w:val="center"/>
              <w:rPr>
                <w:b/>
                <w:bCs/>
                <w:color w:val="000000"/>
              </w:rPr>
            </w:pPr>
            <w:r>
              <w:rPr>
                <w:b/>
                <w:bCs/>
                <w:color w:val="000000"/>
              </w:rPr>
              <w:t>1.15</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BDD24C9" w14:textId="77777777" w:rsidR="00A13555" w:rsidRDefault="00A13555">
            <w:pPr>
              <w:jc w:val="center"/>
              <w:rPr>
                <w:b/>
                <w:bCs/>
                <w:color w:val="000000"/>
              </w:rPr>
            </w:pPr>
            <w:r>
              <w:rPr>
                <w:b/>
                <w:bCs/>
                <w:color w:val="000000"/>
              </w:rPr>
              <w:t>0.93</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DD91C5E" w14:textId="77777777" w:rsidR="00A13555" w:rsidRDefault="00A13555">
            <w:pPr>
              <w:jc w:val="center"/>
              <w:rPr>
                <w:b/>
                <w:bCs/>
                <w:color w:val="000000"/>
              </w:rPr>
            </w:pPr>
            <w:r>
              <w:rPr>
                <w:b/>
                <w:bCs/>
                <w:color w:val="000000"/>
              </w:rPr>
              <w:t>0.91</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D222AD4" w14:textId="77777777" w:rsidR="00A13555" w:rsidRDefault="00A13555">
            <w:pPr>
              <w:jc w:val="center"/>
              <w:rPr>
                <w:b/>
                <w:bCs/>
                <w:color w:val="000000"/>
              </w:rPr>
            </w:pPr>
            <w:r>
              <w:rPr>
                <w:b/>
                <w:bCs/>
                <w:color w:val="000000"/>
              </w:rPr>
              <w:t>1.06</w:t>
            </w:r>
          </w:p>
        </w:tc>
        <w:tc>
          <w:tcPr>
            <w:tcW w:w="528"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2D1B10C" w14:textId="77777777" w:rsidR="00A13555" w:rsidRDefault="00A13555">
            <w:pPr>
              <w:jc w:val="center"/>
              <w:rPr>
                <w:b/>
                <w:bCs/>
                <w:color w:val="000000"/>
              </w:rPr>
            </w:pPr>
            <w:r>
              <w:rPr>
                <w:b/>
                <w:bCs/>
                <w:color w:val="000000"/>
              </w:rPr>
              <w:t>1.03</w:t>
            </w:r>
          </w:p>
        </w:tc>
      </w:tr>
    </w:tbl>
    <w:p w14:paraId="2688E195" w14:textId="77777777" w:rsidR="00A13555" w:rsidRDefault="00A13555">
      <w:r>
        <w:lastRenderedPageBreak/>
        <w:t xml:space="preserve"> </w:t>
      </w:r>
      <w:r>
        <w:rPr>
          <w:noProof/>
          <w:lang w:val="en-IN"/>
        </w:rPr>
        <w:drawing>
          <wp:inline distT="0" distB="0" distL="0" distR="0" wp14:anchorId="624B3C21" wp14:editId="7B4EAC48">
            <wp:extent cx="5943600" cy="2865120"/>
            <wp:effectExtent l="0" t="0" r="0" b="11430"/>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r>
        <w:t xml:space="preserve"> </w:t>
      </w:r>
    </w:p>
    <w:p w14:paraId="6C42D696" w14:textId="77777777" w:rsidR="00AD2724" w:rsidRDefault="00AD2724">
      <w:r w:rsidRPr="00FA2975">
        <w:rPr>
          <w:rFonts w:eastAsia="Times New Roman"/>
          <w:noProof/>
          <w:sz w:val="24"/>
          <w:szCs w:val="24"/>
          <w:lang w:val="en-IN"/>
        </w:rPr>
        <w:drawing>
          <wp:inline distT="114300" distB="114300" distL="114300" distR="114300" wp14:anchorId="14342E62" wp14:editId="30E4328E">
            <wp:extent cx="5966460" cy="795655"/>
            <wp:effectExtent l="0" t="0" r="0" b="444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0"/>
                    <a:srcRect/>
                    <a:stretch>
                      <a:fillRect/>
                    </a:stretch>
                  </pic:blipFill>
                  <pic:spPr>
                    <a:xfrm>
                      <a:off x="0" y="0"/>
                      <a:ext cx="5969370" cy="796043"/>
                    </a:xfrm>
                    <a:prstGeom prst="rect">
                      <a:avLst/>
                    </a:prstGeom>
                    <a:ln/>
                  </pic:spPr>
                </pic:pic>
              </a:graphicData>
            </a:graphic>
          </wp:inline>
        </w:drawing>
      </w:r>
    </w:p>
    <w:tbl>
      <w:tblPr>
        <w:tblW w:w="5000" w:type="pct"/>
        <w:tblCellMar>
          <w:left w:w="0" w:type="dxa"/>
          <w:right w:w="0" w:type="dxa"/>
        </w:tblCellMar>
        <w:tblLook w:val="04A0" w:firstRow="1" w:lastRow="0" w:firstColumn="1" w:lastColumn="0" w:noHBand="0" w:noVBand="1"/>
      </w:tblPr>
      <w:tblGrid>
        <w:gridCol w:w="3980"/>
        <w:gridCol w:w="1074"/>
        <w:gridCol w:w="1074"/>
        <w:gridCol w:w="1074"/>
        <w:gridCol w:w="1074"/>
        <w:gridCol w:w="1074"/>
      </w:tblGrid>
      <w:tr w:rsidR="00A13555" w14:paraId="3A0F9F7C" w14:textId="77777777" w:rsidTr="005F3860">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5B2F20F1" w14:textId="77777777" w:rsidR="00A13555" w:rsidRDefault="00A13555">
            <w:pPr>
              <w:jc w:val="center"/>
              <w:rPr>
                <w:b/>
                <w:bCs/>
                <w:color w:val="000000"/>
              </w:rPr>
            </w:pPr>
            <w:r>
              <w:rPr>
                <w:b/>
                <w:bCs/>
                <w:color w:val="000000"/>
              </w:rPr>
              <w:t>Efficiency ratio</w:t>
            </w:r>
          </w:p>
        </w:tc>
      </w:tr>
      <w:tr w:rsidR="00A13555" w14:paraId="5C27EA94" w14:textId="77777777" w:rsidTr="005F3860">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04661B09" w14:textId="77777777" w:rsidR="00A13555" w:rsidRDefault="00A13555">
            <w:pPr>
              <w:jc w:val="center"/>
              <w:rPr>
                <w:b/>
                <w:bCs/>
                <w:color w:val="000000"/>
              </w:rPr>
            </w:pPr>
            <w:r>
              <w:rPr>
                <w:b/>
                <w:bCs/>
                <w:color w:val="000000"/>
              </w:rPr>
              <w:t>Inventory turnover ratio</w:t>
            </w:r>
          </w:p>
        </w:tc>
      </w:tr>
      <w:tr w:rsidR="00A13555" w14:paraId="2F291219" w14:textId="77777777" w:rsidTr="005F3860">
        <w:trPr>
          <w:trHeight w:val="312"/>
        </w:trPr>
        <w:tc>
          <w:tcPr>
            <w:tcW w:w="2136"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025F2675" w14:textId="77777777" w:rsidR="00A13555" w:rsidRDefault="00A13555">
            <w:pPr>
              <w:jc w:val="center"/>
              <w:rPr>
                <w:b/>
                <w:bCs/>
                <w:color w:val="000000"/>
              </w:rPr>
            </w:pPr>
            <w:r>
              <w:rPr>
                <w:b/>
                <w:bCs/>
                <w:color w:val="000000"/>
              </w:rPr>
              <w:t>Particulars</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752FF31" w14:textId="77777777" w:rsidR="00A13555" w:rsidRDefault="00A13555">
            <w:pPr>
              <w:jc w:val="center"/>
              <w:rPr>
                <w:b/>
                <w:bCs/>
                <w:color w:val="000000"/>
              </w:rPr>
            </w:pPr>
            <w:r>
              <w:rPr>
                <w:b/>
                <w:bCs/>
                <w:color w:val="000000"/>
              </w:rPr>
              <w:t>2020 (Million)</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614C67B" w14:textId="77777777" w:rsidR="00A13555" w:rsidRDefault="00A13555">
            <w:pPr>
              <w:jc w:val="center"/>
              <w:rPr>
                <w:b/>
                <w:bCs/>
                <w:color w:val="000000"/>
              </w:rPr>
            </w:pPr>
            <w:r>
              <w:rPr>
                <w:b/>
                <w:bCs/>
                <w:color w:val="000000"/>
              </w:rPr>
              <w:t>2021 (Million)</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60F38B2" w14:textId="77777777" w:rsidR="00A13555" w:rsidRDefault="00A13555">
            <w:pPr>
              <w:jc w:val="center"/>
              <w:rPr>
                <w:b/>
                <w:bCs/>
                <w:color w:val="000000"/>
              </w:rPr>
            </w:pPr>
            <w:r>
              <w:rPr>
                <w:b/>
                <w:bCs/>
                <w:color w:val="000000"/>
              </w:rPr>
              <w:t>2022 (Million)</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0FEE09A" w14:textId="77777777" w:rsidR="00A13555" w:rsidRDefault="00A13555">
            <w:pPr>
              <w:jc w:val="center"/>
              <w:rPr>
                <w:b/>
                <w:bCs/>
                <w:color w:val="000000"/>
              </w:rPr>
            </w:pPr>
            <w:r>
              <w:rPr>
                <w:b/>
                <w:bCs/>
                <w:color w:val="000000"/>
              </w:rPr>
              <w:t>2023 (Million)</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CFB48EA" w14:textId="77777777" w:rsidR="00A13555" w:rsidRDefault="00A13555">
            <w:pPr>
              <w:jc w:val="center"/>
              <w:rPr>
                <w:b/>
                <w:bCs/>
                <w:color w:val="000000"/>
              </w:rPr>
            </w:pPr>
            <w:r>
              <w:rPr>
                <w:b/>
                <w:bCs/>
                <w:color w:val="000000"/>
              </w:rPr>
              <w:t>2024 (Million)</w:t>
            </w:r>
          </w:p>
        </w:tc>
      </w:tr>
      <w:tr w:rsidR="00A13555" w14:paraId="124958DF" w14:textId="77777777" w:rsidTr="005F3860">
        <w:trPr>
          <w:trHeight w:val="312"/>
        </w:trPr>
        <w:tc>
          <w:tcPr>
            <w:tcW w:w="2136"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55A821CC" w14:textId="77777777" w:rsidR="00A13555" w:rsidRDefault="00A13555">
            <w:pPr>
              <w:rPr>
                <w:color w:val="000000"/>
              </w:rPr>
            </w:pPr>
            <w:r>
              <w:rPr>
                <w:color w:val="000000"/>
              </w:rPr>
              <w:t>Cost of sales</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E256B59" w14:textId="77777777" w:rsidR="00A13555" w:rsidRDefault="00A13555">
            <w:pPr>
              <w:jc w:val="center"/>
              <w:rPr>
                <w:color w:val="000000"/>
              </w:rPr>
            </w:pPr>
            <w:r>
              <w:rPr>
                <w:color w:val="000000"/>
              </w:rPr>
              <w:t>438,424</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C93FFCF" w14:textId="77777777" w:rsidR="00A13555" w:rsidRDefault="00A13555">
            <w:pPr>
              <w:jc w:val="center"/>
              <w:rPr>
                <w:color w:val="000000"/>
              </w:rPr>
            </w:pPr>
            <w:r>
              <w:rPr>
                <w:color w:val="000000"/>
              </w:rPr>
              <w:t>428,586</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4C9972C" w14:textId="77777777" w:rsidR="00A13555" w:rsidRDefault="00A13555">
            <w:pPr>
              <w:jc w:val="center"/>
              <w:rPr>
                <w:color w:val="000000"/>
              </w:rPr>
            </w:pPr>
            <w:r>
              <w:rPr>
                <w:color w:val="000000"/>
              </w:rPr>
              <w:t>390,459</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4B926E9" w14:textId="77777777" w:rsidR="00A13555" w:rsidRDefault="00A13555">
            <w:pPr>
              <w:jc w:val="center"/>
              <w:rPr>
                <w:color w:val="000000"/>
              </w:rPr>
            </w:pPr>
            <w:r>
              <w:rPr>
                <w:color w:val="000000"/>
              </w:rPr>
              <w:t>322,897</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E168DC4" w14:textId="77777777" w:rsidR="00A13555" w:rsidRDefault="00A13555">
            <w:pPr>
              <w:jc w:val="center"/>
              <w:rPr>
                <w:color w:val="000000"/>
              </w:rPr>
            </w:pPr>
            <w:r>
              <w:rPr>
                <w:color w:val="000000"/>
              </w:rPr>
              <w:t>280,885</w:t>
            </w:r>
          </w:p>
        </w:tc>
      </w:tr>
      <w:tr w:rsidR="00A13555" w14:paraId="4814F725" w14:textId="77777777" w:rsidTr="005F3860">
        <w:trPr>
          <w:trHeight w:val="312"/>
        </w:trPr>
        <w:tc>
          <w:tcPr>
            <w:tcW w:w="2136"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22E30D20" w14:textId="77777777" w:rsidR="00A13555" w:rsidRDefault="00A13555">
            <w:pPr>
              <w:rPr>
                <w:color w:val="000000"/>
              </w:rPr>
            </w:pPr>
            <w:r>
              <w:rPr>
                <w:color w:val="000000"/>
              </w:rPr>
              <w:t>Inventory</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B7B3B3F" w14:textId="77777777" w:rsidR="00A13555" w:rsidRDefault="00A13555">
            <w:pPr>
              <w:jc w:val="center"/>
              <w:rPr>
                <w:color w:val="000000"/>
              </w:rPr>
            </w:pPr>
            <w:r>
              <w:rPr>
                <w:color w:val="000000"/>
              </w:rPr>
              <w:t>120430</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19CC9B0" w14:textId="77777777" w:rsidR="00A13555" w:rsidRDefault="00A13555">
            <w:pPr>
              <w:jc w:val="center"/>
              <w:rPr>
                <w:color w:val="000000"/>
              </w:rPr>
            </w:pPr>
            <w:r>
              <w:rPr>
                <w:color w:val="000000"/>
              </w:rPr>
              <w:t>134469</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6F22AB2" w14:textId="77777777" w:rsidR="00A13555" w:rsidRDefault="00A13555">
            <w:pPr>
              <w:jc w:val="center"/>
              <w:rPr>
                <w:color w:val="000000"/>
              </w:rPr>
            </w:pPr>
            <w:r>
              <w:rPr>
                <w:color w:val="000000"/>
              </w:rPr>
              <w:t>140181</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35CCCA1" w14:textId="77777777" w:rsidR="00A13555" w:rsidRDefault="00A13555">
            <w:pPr>
              <w:jc w:val="center"/>
              <w:rPr>
                <w:color w:val="000000"/>
              </w:rPr>
            </w:pPr>
            <w:r>
              <w:rPr>
                <w:color w:val="000000"/>
              </w:rPr>
              <w:t>88273</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A22E76D" w14:textId="77777777" w:rsidR="00A13555" w:rsidRDefault="00A13555">
            <w:pPr>
              <w:jc w:val="center"/>
              <w:rPr>
                <w:color w:val="000000"/>
              </w:rPr>
            </w:pPr>
            <w:r>
              <w:rPr>
                <w:color w:val="000000"/>
              </w:rPr>
              <w:t>79355</w:t>
            </w:r>
          </w:p>
        </w:tc>
      </w:tr>
      <w:tr w:rsidR="00A13555" w14:paraId="54FCC1D0" w14:textId="77777777" w:rsidTr="005F3860">
        <w:trPr>
          <w:trHeight w:val="312"/>
        </w:trPr>
        <w:tc>
          <w:tcPr>
            <w:tcW w:w="2136"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675A2945" w14:textId="77777777" w:rsidR="00A13555" w:rsidRDefault="00A13555">
            <w:pPr>
              <w:rPr>
                <w:b/>
                <w:bCs/>
                <w:color w:val="000000"/>
              </w:rPr>
            </w:pPr>
            <w:r>
              <w:rPr>
                <w:b/>
                <w:bCs/>
                <w:color w:val="000000"/>
              </w:rPr>
              <w:t>Inventory turnover ratio = Cost of sales / Inventory</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8EE2C50" w14:textId="77777777" w:rsidR="00A13555" w:rsidRDefault="00A13555">
            <w:pPr>
              <w:jc w:val="center"/>
              <w:rPr>
                <w:b/>
                <w:bCs/>
                <w:color w:val="000000"/>
              </w:rPr>
            </w:pPr>
            <w:r>
              <w:rPr>
                <w:b/>
                <w:bCs/>
                <w:color w:val="000000"/>
              </w:rPr>
              <w:t>3.64</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426B049" w14:textId="77777777" w:rsidR="00A13555" w:rsidRDefault="00A13555">
            <w:pPr>
              <w:jc w:val="center"/>
              <w:rPr>
                <w:b/>
                <w:bCs/>
                <w:color w:val="000000"/>
              </w:rPr>
            </w:pPr>
            <w:r>
              <w:rPr>
                <w:b/>
                <w:bCs/>
                <w:color w:val="000000"/>
              </w:rPr>
              <w:t>3.19</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B45B557" w14:textId="77777777" w:rsidR="00A13555" w:rsidRDefault="00A13555">
            <w:pPr>
              <w:jc w:val="center"/>
              <w:rPr>
                <w:b/>
                <w:bCs/>
                <w:color w:val="000000"/>
              </w:rPr>
            </w:pPr>
            <w:r>
              <w:rPr>
                <w:b/>
                <w:bCs/>
                <w:color w:val="000000"/>
              </w:rPr>
              <w:t>2.79</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C4A95C2" w14:textId="77777777" w:rsidR="00A13555" w:rsidRDefault="00A13555">
            <w:pPr>
              <w:jc w:val="center"/>
              <w:rPr>
                <w:b/>
                <w:bCs/>
                <w:color w:val="000000"/>
              </w:rPr>
            </w:pPr>
            <w:r>
              <w:rPr>
                <w:b/>
                <w:bCs/>
                <w:color w:val="000000"/>
              </w:rPr>
              <w:t>3.66</w:t>
            </w:r>
          </w:p>
        </w:tc>
        <w:tc>
          <w:tcPr>
            <w:tcW w:w="573"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460146F" w14:textId="77777777" w:rsidR="00A13555" w:rsidRDefault="00A13555">
            <w:pPr>
              <w:jc w:val="center"/>
              <w:rPr>
                <w:b/>
                <w:bCs/>
                <w:color w:val="000000"/>
              </w:rPr>
            </w:pPr>
            <w:r>
              <w:rPr>
                <w:b/>
                <w:bCs/>
                <w:color w:val="000000"/>
              </w:rPr>
              <w:t>3.54</w:t>
            </w:r>
          </w:p>
        </w:tc>
      </w:tr>
    </w:tbl>
    <w:p w14:paraId="7FA41A15" w14:textId="77777777" w:rsidR="005F3860" w:rsidRDefault="00A13555">
      <w:r>
        <w:lastRenderedPageBreak/>
        <w:t xml:space="preserve"> </w:t>
      </w:r>
      <w:r w:rsidR="005F3860">
        <w:rPr>
          <w:noProof/>
          <w:lang w:val="en-IN"/>
        </w:rPr>
        <w:drawing>
          <wp:inline distT="0" distB="0" distL="0" distR="0" wp14:anchorId="3D7439F8" wp14:editId="2EE0A467">
            <wp:extent cx="5943600" cy="2787015"/>
            <wp:effectExtent l="0" t="0" r="0" b="13335"/>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r w:rsidR="005F3860">
        <w:t xml:space="preserve"> </w:t>
      </w:r>
    </w:p>
    <w:p w14:paraId="55898972" w14:textId="77777777" w:rsidR="003D70B9" w:rsidRDefault="003D70B9">
      <w:r w:rsidRPr="00FA2975">
        <w:rPr>
          <w:rFonts w:eastAsia="Times New Roman"/>
          <w:noProof/>
          <w:sz w:val="24"/>
          <w:szCs w:val="24"/>
          <w:lang w:val="en-IN"/>
        </w:rPr>
        <w:drawing>
          <wp:inline distT="114300" distB="114300" distL="114300" distR="114300" wp14:anchorId="7B0FDDEE" wp14:editId="2AC1DD7C">
            <wp:extent cx="5966460" cy="88138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2"/>
                    <a:srcRect/>
                    <a:stretch>
                      <a:fillRect/>
                    </a:stretch>
                  </pic:blipFill>
                  <pic:spPr>
                    <a:xfrm>
                      <a:off x="0" y="0"/>
                      <a:ext cx="5969107" cy="881771"/>
                    </a:xfrm>
                    <a:prstGeom prst="rect">
                      <a:avLst/>
                    </a:prstGeom>
                    <a:ln/>
                  </pic:spPr>
                </pic:pic>
              </a:graphicData>
            </a:graphic>
          </wp:inline>
        </w:drawing>
      </w:r>
    </w:p>
    <w:tbl>
      <w:tblPr>
        <w:tblW w:w="5000" w:type="pct"/>
        <w:tblCellMar>
          <w:left w:w="0" w:type="dxa"/>
          <w:right w:w="0" w:type="dxa"/>
        </w:tblCellMar>
        <w:tblLook w:val="04A0" w:firstRow="1" w:lastRow="0" w:firstColumn="1" w:lastColumn="0" w:noHBand="0" w:noVBand="1"/>
      </w:tblPr>
      <w:tblGrid>
        <w:gridCol w:w="4295"/>
        <w:gridCol w:w="1011"/>
        <w:gridCol w:w="1011"/>
        <w:gridCol w:w="1011"/>
        <w:gridCol w:w="1011"/>
        <w:gridCol w:w="1011"/>
      </w:tblGrid>
      <w:tr w:rsidR="005F3860" w14:paraId="501378FA" w14:textId="77777777" w:rsidTr="005F3860">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186AB0F5" w14:textId="77777777" w:rsidR="005F3860" w:rsidRDefault="005F3860">
            <w:pPr>
              <w:jc w:val="center"/>
              <w:rPr>
                <w:b/>
                <w:bCs/>
                <w:color w:val="000000"/>
              </w:rPr>
            </w:pPr>
            <w:r>
              <w:rPr>
                <w:b/>
                <w:bCs/>
                <w:color w:val="000000"/>
              </w:rPr>
              <w:t>Efficiency ratio</w:t>
            </w:r>
          </w:p>
        </w:tc>
      </w:tr>
      <w:tr w:rsidR="005F3860" w14:paraId="398ABFF3" w14:textId="77777777" w:rsidTr="005F3860">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1614DDB9" w14:textId="77777777" w:rsidR="005F3860" w:rsidRDefault="005F3860">
            <w:pPr>
              <w:jc w:val="center"/>
              <w:rPr>
                <w:b/>
                <w:bCs/>
                <w:color w:val="000000"/>
              </w:rPr>
            </w:pPr>
            <w:r>
              <w:rPr>
                <w:b/>
                <w:bCs/>
                <w:color w:val="000000"/>
              </w:rPr>
              <w:t>Receivable turnover ratio</w:t>
            </w:r>
          </w:p>
        </w:tc>
      </w:tr>
      <w:tr w:rsidR="005F3860" w14:paraId="6A488018" w14:textId="77777777" w:rsidTr="005F3860">
        <w:trPr>
          <w:trHeight w:val="312"/>
        </w:trPr>
        <w:tc>
          <w:tcPr>
            <w:tcW w:w="2305"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1AF29A88" w14:textId="77777777" w:rsidR="005F3860" w:rsidRDefault="005F3860">
            <w:pPr>
              <w:jc w:val="center"/>
              <w:rPr>
                <w:b/>
                <w:bCs/>
                <w:color w:val="000000"/>
              </w:rPr>
            </w:pPr>
            <w:r>
              <w:rPr>
                <w:b/>
                <w:bCs/>
                <w:color w:val="000000"/>
              </w:rPr>
              <w:t>Particulars</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81F114B" w14:textId="77777777" w:rsidR="005F3860" w:rsidRDefault="005F3860">
            <w:pPr>
              <w:jc w:val="center"/>
              <w:rPr>
                <w:b/>
                <w:bCs/>
                <w:color w:val="000000"/>
              </w:rPr>
            </w:pPr>
            <w:r>
              <w:rPr>
                <w:b/>
                <w:bCs/>
                <w:color w:val="000000"/>
              </w:rPr>
              <w:t>2020 (Million)</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AE76BCD" w14:textId="77777777" w:rsidR="005F3860" w:rsidRDefault="005F3860">
            <w:pPr>
              <w:jc w:val="center"/>
              <w:rPr>
                <w:b/>
                <w:bCs/>
                <w:color w:val="000000"/>
              </w:rPr>
            </w:pPr>
            <w:r>
              <w:rPr>
                <w:b/>
                <w:bCs/>
                <w:color w:val="000000"/>
              </w:rPr>
              <w:t>2021 (Million)</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B1F4D1E" w14:textId="77777777" w:rsidR="005F3860" w:rsidRDefault="005F3860">
            <w:pPr>
              <w:jc w:val="center"/>
              <w:rPr>
                <w:b/>
                <w:bCs/>
                <w:color w:val="000000"/>
              </w:rPr>
            </w:pPr>
            <w:r>
              <w:rPr>
                <w:b/>
                <w:bCs/>
                <w:color w:val="000000"/>
              </w:rPr>
              <w:t>2022 (Million)</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ADE7A33" w14:textId="77777777" w:rsidR="005F3860" w:rsidRDefault="005F3860">
            <w:pPr>
              <w:jc w:val="center"/>
              <w:rPr>
                <w:b/>
                <w:bCs/>
                <w:color w:val="000000"/>
              </w:rPr>
            </w:pPr>
            <w:r>
              <w:rPr>
                <w:b/>
                <w:bCs/>
                <w:color w:val="000000"/>
              </w:rPr>
              <w:t>2023 (Million)</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402CB92" w14:textId="77777777" w:rsidR="005F3860" w:rsidRDefault="005F3860">
            <w:pPr>
              <w:jc w:val="center"/>
              <w:rPr>
                <w:b/>
                <w:bCs/>
                <w:color w:val="000000"/>
              </w:rPr>
            </w:pPr>
            <w:r>
              <w:rPr>
                <w:b/>
                <w:bCs/>
                <w:color w:val="000000"/>
              </w:rPr>
              <w:t>2024 (Million)</w:t>
            </w:r>
          </w:p>
        </w:tc>
      </w:tr>
      <w:tr w:rsidR="005F3860" w14:paraId="3F168C6D" w14:textId="77777777" w:rsidTr="005F3860">
        <w:trPr>
          <w:trHeight w:val="312"/>
        </w:trPr>
        <w:tc>
          <w:tcPr>
            <w:tcW w:w="2305"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7A6713AC" w14:textId="77777777" w:rsidR="005F3860" w:rsidRDefault="005F3860">
            <w:pPr>
              <w:rPr>
                <w:color w:val="000000"/>
              </w:rPr>
            </w:pPr>
            <w:r>
              <w:rPr>
                <w:color w:val="000000"/>
              </w:rPr>
              <w:t>Net sales</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F6AB075" w14:textId="77777777" w:rsidR="005F3860" w:rsidRDefault="005F3860">
            <w:pPr>
              <w:jc w:val="center"/>
              <w:rPr>
                <w:color w:val="000000"/>
              </w:rPr>
            </w:pPr>
            <w:r>
              <w:rPr>
                <w:color w:val="000000"/>
              </w:rPr>
              <w:t>614,680</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B0065D4" w14:textId="77777777" w:rsidR="005F3860" w:rsidRDefault="005F3860">
            <w:pPr>
              <w:jc w:val="center"/>
              <w:rPr>
                <w:color w:val="000000"/>
              </w:rPr>
            </w:pPr>
            <w:r>
              <w:rPr>
                <w:color w:val="000000"/>
              </w:rPr>
              <w:t>601,602</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94F2A03" w14:textId="77777777" w:rsidR="005F3860" w:rsidRDefault="005F3860">
            <w:pPr>
              <w:jc w:val="center"/>
              <w:rPr>
                <w:color w:val="000000"/>
              </w:rPr>
            </w:pPr>
            <w:r>
              <w:rPr>
                <w:color w:val="000000"/>
              </w:rPr>
              <w:t>542,751</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D0BB78A" w14:textId="77777777" w:rsidR="005F3860" w:rsidRDefault="005F3860">
            <w:pPr>
              <w:jc w:val="center"/>
              <w:rPr>
                <w:color w:val="000000"/>
              </w:rPr>
            </w:pPr>
            <w:r>
              <w:rPr>
                <w:color w:val="000000"/>
              </w:rPr>
              <w:t>420,457</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58D0C1C" w14:textId="77777777" w:rsidR="005F3860" w:rsidRDefault="005F3860">
            <w:pPr>
              <w:jc w:val="center"/>
              <w:rPr>
                <w:color w:val="000000"/>
              </w:rPr>
            </w:pPr>
            <w:r>
              <w:rPr>
                <w:color w:val="000000"/>
              </w:rPr>
              <w:t>394,879</w:t>
            </w:r>
          </w:p>
        </w:tc>
      </w:tr>
      <w:tr w:rsidR="005F3860" w14:paraId="6B82FBA3" w14:textId="77777777" w:rsidTr="005F3860">
        <w:trPr>
          <w:trHeight w:val="312"/>
        </w:trPr>
        <w:tc>
          <w:tcPr>
            <w:tcW w:w="2305"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5F160DFC" w14:textId="77777777" w:rsidR="005F3860" w:rsidRDefault="005F3860">
            <w:pPr>
              <w:rPr>
                <w:color w:val="000000"/>
              </w:rPr>
            </w:pPr>
            <w:r>
              <w:rPr>
                <w:color w:val="000000"/>
              </w:rPr>
              <w:t>Account receivable</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C2354F6" w14:textId="77777777" w:rsidR="005F3860" w:rsidRDefault="005F3860">
            <w:pPr>
              <w:jc w:val="center"/>
              <w:rPr>
                <w:color w:val="000000"/>
              </w:rPr>
            </w:pPr>
            <w:r>
              <w:rPr>
                <w:color w:val="000000"/>
              </w:rPr>
              <w:t>129433</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27F4819" w14:textId="77777777" w:rsidR="005F3860" w:rsidRDefault="005F3860">
            <w:pPr>
              <w:jc w:val="center"/>
              <w:rPr>
                <w:color w:val="000000"/>
              </w:rPr>
            </w:pPr>
            <w:r>
              <w:rPr>
                <w:color w:val="000000"/>
              </w:rPr>
              <w:t>129215</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7FD9BC3" w14:textId="77777777" w:rsidR="005F3860" w:rsidRDefault="005F3860">
            <w:pPr>
              <w:jc w:val="center"/>
              <w:rPr>
                <w:color w:val="000000"/>
              </w:rPr>
            </w:pPr>
            <w:r>
              <w:rPr>
                <w:color w:val="000000"/>
              </w:rPr>
              <w:t>112346</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74D2F8E" w14:textId="77777777" w:rsidR="005F3860" w:rsidRDefault="005F3860">
            <w:pPr>
              <w:jc w:val="center"/>
              <w:rPr>
                <w:color w:val="000000"/>
              </w:rPr>
            </w:pPr>
            <w:r>
              <w:rPr>
                <w:color w:val="000000"/>
              </w:rPr>
              <w:t>112596</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7261867" w14:textId="77777777" w:rsidR="005F3860" w:rsidRDefault="005F3860">
            <w:pPr>
              <w:jc w:val="center"/>
              <w:rPr>
                <w:color w:val="000000"/>
              </w:rPr>
            </w:pPr>
            <w:r>
              <w:rPr>
                <w:color w:val="000000"/>
              </w:rPr>
              <w:t>114182</w:t>
            </w:r>
          </w:p>
        </w:tc>
      </w:tr>
      <w:tr w:rsidR="005F3860" w14:paraId="0527A963" w14:textId="77777777" w:rsidTr="005F3860">
        <w:trPr>
          <w:trHeight w:val="312"/>
        </w:trPr>
        <w:tc>
          <w:tcPr>
            <w:tcW w:w="2305"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1AFC7C5A" w14:textId="77777777" w:rsidR="005F3860" w:rsidRDefault="005F3860">
            <w:pPr>
              <w:rPr>
                <w:b/>
                <w:bCs/>
                <w:color w:val="000000"/>
              </w:rPr>
            </w:pPr>
            <w:r>
              <w:rPr>
                <w:b/>
                <w:bCs/>
                <w:color w:val="000000"/>
              </w:rPr>
              <w:t>Receivable turnover ratio = Net sales / Account receivable</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33B3DF8" w14:textId="77777777" w:rsidR="005F3860" w:rsidRDefault="005F3860">
            <w:pPr>
              <w:jc w:val="center"/>
              <w:rPr>
                <w:b/>
                <w:bCs/>
                <w:color w:val="000000"/>
              </w:rPr>
            </w:pPr>
            <w:r>
              <w:rPr>
                <w:b/>
                <w:bCs/>
                <w:color w:val="000000"/>
              </w:rPr>
              <w:t>4.75</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2C5328D" w14:textId="77777777" w:rsidR="005F3860" w:rsidRDefault="005F3860">
            <w:pPr>
              <w:jc w:val="center"/>
              <w:rPr>
                <w:b/>
                <w:bCs/>
                <w:color w:val="000000"/>
              </w:rPr>
            </w:pPr>
            <w:r>
              <w:rPr>
                <w:b/>
                <w:bCs/>
                <w:color w:val="000000"/>
              </w:rPr>
              <w:t>4.66</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23134CD" w14:textId="77777777" w:rsidR="005F3860" w:rsidRDefault="005F3860">
            <w:pPr>
              <w:jc w:val="center"/>
              <w:rPr>
                <w:b/>
                <w:bCs/>
                <w:color w:val="000000"/>
              </w:rPr>
            </w:pPr>
            <w:r>
              <w:rPr>
                <w:b/>
                <w:bCs/>
                <w:color w:val="000000"/>
              </w:rPr>
              <w:t>4.83</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4C34D68" w14:textId="77777777" w:rsidR="005F3860" w:rsidRDefault="005F3860">
            <w:pPr>
              <w:jc w:val="center"/>
              <w:rPr>
                <w:b/>
                <w:bCs/>
                <w:color w:val="000000"/>
              </w:rPr>
            </w:pPr>
            <w:r>
              <w:rPr>
                <w:b/>
                <w:bCs/>
                <w:color w:val="000000"/>
              </w:rPr>
              <w:t>3.73</w:t>
            </w:r>
          </w:p>
        </w:tc>
        <w:tc>
          <w:tcPr>
            <w:tcW w:w="5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37D3358" w14:textId="77777777" w:rsidR="005F3860" w:rsidRDefault="005F3860">
            <w:pPr>
              <w:jc w:val="center"/>
              <w:rPr>
                <w:b/>
                <w:bCs/>
                <w:color w:val="000000"/>
              </w:rPr>
            </w:pPr>
            <w:r>
              <w:rPr>
                <w:b/>
                <w:bCs/>
                <w:color w:val="000000"/>
              </w:rPr>
              <w:t>3.46</w:t>
            </w:r>
          </w:p>
        </w:tc>
      </w:tr>
    </w:tbl>
    <w:p w14:paraId="5D99FC73" w14:textId="77777777" w:rsidR="005F3860" w:rsidRDefault="005F3860">
      <w:r>
        <w:lastRenderedPageBreak/>
        <w:t xml:space="preserve"> </w:t>
      </w:r>
      <w:r>
        <w:rPr>
          <w:noProof/>
          <w:lang w:val="en-IN"/>
        </w:rPr>
        <w:drawing>
          <wp:inline distT="0" distB="0" distL="0" distR="0" wp14:anchorId="6A5AB8C8" wp14:editId="356FCF96">
            <wp:extent cx="5806440" cy="2952750"/>
            <wp:effectExtent l="0" t="0" r="3810" b="0"/>
            <wp:docPr id="52"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r>
        <w:t xml:space="preserve"> </w:t>
      </w:r>
    </w:p>
    <w:p w14:paraId="7776BE89" w14:textId="77777777" w:rsidR="00C5016C" w:rsidRDefault="00C5016C">
      <w:r w:rsidRPr="00FA2975">
        <w:rPr>
          <w:rFonts w:eastAsia="Times New Roman"/>
          <w:noProof/>
          <w:sz w:val="24"/>
          <w:szCs w:val="24"/>
          <w:lang w:val="en-IN"/>
        </w:rPr>
        <w:drawing>
          <wp:inline distT="114300" distB="114300" distL="114300" distR="114300" wp14:anchorId="1D7B7BCB" wp14:editId="2548ED78">
            <wp:extent cx="5852160" cy="869315"/>
            <wp:effectExtent l="0" t="0" r="0" b="6985"/>
            <wp:docPr id="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4"/>
                    <a:srcRect/>
                    <a:stretch>
                      <a:fillRect/>
                    </a:stretch>
                  </pic:blipFill>
                  <pic:spPr>
                    <a:xfrm>
                      <a:off x="0" y="0"/>
                      <a:ext cx="5853567" cy="869524"/>
                    </a:xfrm>
                    <a:prstGeom prst="rect">
                      <a:avLst/>
                    </a:prstGeom>
                    <a:ln/>
                  </pic:spPr>
                </pic:pic>
              </a:graphicData>
            </a:graphic>
          </wp:inline>
        </w:drawing>
      </w:r>
    </w:p>
    <w:tbl>
      <w:tblPr>
        <w:tblW w:w="5000" w:type="pct"/>
        <w:tblCellMar>
          <w:left w:w="0" w:type="dxa"/>
          <w:right w:w="0" w:type="dxa"/>
        </w:tblCellMar>
        <w:tblLook w:val="04A0" w:firstRow="1" w:lastRow="0" w:firstColumn="1" w:lastColumn="0" w:noHBand="0" w:noVBand="1"/>
      </w:tblPr>
      <w:tblGrid>
        <w:gridCol w:w="4340"/>
        <w:gridCol w:w="1002"/>
        <w:gridCol w:w="1002"/>
        <w:gridCol w:w="1002"/>
        <w:gridCol w:w="1002"/>
        <w:gridCol w:w="1002"/>
      </w:tblGrid>
      <w:tr w:rsidR="005F3860" w14:paraId="2858C1BA" w14:textId="77777777" w:rsidTr="005F3860">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21788A27" w14:textId="77777777" w:rsidR="005F3860" w:rsidRDefault="005F3860">
            <w:pPr>
              <w:jc w:val="center"/>
              <w:rPr>
                <w:b/>
                <w:bCs/>
                <w:color w:val="000000"/>
              </w:rPr>
            </w:pPr>
            <w:r>
              <w:rPr>
                <w:b/>
                <w:bCs/>
                <w:color w:val="000000"/>
              </w:rPr>
              <w:t>Gearing ratio</w:t>
            </w:r>
          </w:p>
        </w:tc>
      </w:tr>
      <w:tr w:rsidR="005F3860" w14:paraId="34798F20" w14:textId="77777777" w:rsidTr="005F3860">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700CC1F4" w14:textId="77777777" w:rsidR="005F3860" w:rsidRDefault="005F3860">
            <w:pPr>
              <w:jc w:val="center"/>
              <w:rPr>
                <w:b/>
                <w:bCs/>
                <w:color w:val="000000"/>
              </w:rPr>
            </w:pPr>
            <w:r>
              <w:rPr>
                <w:b/>
                <w:bCs/>
                <w:color w:val="000000"/>
              </w:rPr>
              <w:t>Debt to equity ratio</w:t>
            </w:r>
          </w:p>
        </w:tc>
      </w:tr>
      <w:tr w:rsidR="005F3860" w14:paraId="5917B996" w14:textId="77777777" w:rsidTr="005F3860">
        <w:trPr>
          <w:trHeight w:val="312"/>
        </w:trPr>
        <w:tc>
          <w:tcPr>
            <w:tcW w:w="2329"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36747E3D" w14:textId="77777777" w:rsidR="005F3860" w:rsidRDefault="005F3860">
            <w:pPr>
              <w:jc w:val="center"/>
              <w:rPr>
                <w:b/>
                <w:bCs/>
                <w:color w:val="000000"/>
              </w:rPr>
            </w:pPr>
            <w:r>
              <w:rPr>
                <w:b/>
                <w:bCs/>
                <w:color w:val="000000"/>
              </w:rPr>
              <w:t>Particulars</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E1BCC2B" w14:textId="77777777" w:rsidR="005F3860" w:rsidRDefault="005F3860">
            <w:pPr>
              <w:jc w:val="center"/>
              <w:rPr>
                <w:b/>
                <w:bCs/>
                <w:color w:val="000000"/>
              </w:rPr>
            </w:pPr>
            <w:r>
              <w:rPr>
                <w:b/>
                <w:bCs/>
                <w:color w:val="000000"/>
              </w:rPr>
              <w:t>2020 (Million)</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B745792" w14:textId="77777777" w:rsidR="005F3860" w:rsidRDefault="005F3860">
            <w:pPr>
              <w:jc w:val="center"/>
              <w:rPr>
                <w:b/>
                <w:bCs/>
                <w:color w:val="000000"/>
              </w:rPr>
            </w:pPr>
            <w:r>
              <w:rPr>
                <w:b/>
                <w:bCs/>
                <w:color w:val="000000"/>
              </w:rPr>
              <w:t>2021 (Million)</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95086F5" w14:textId="77777777" w:rsidR="005F3860" w:rsidRDefault="005F3860">
            <w:pPr>
              <w:jc w:val="center"/>
              <w:rPr>
                <w:b/>
                <w:bCs/>
                <w:color w:val="000000"/>
              </w:rPr>
            </w:pPr>
            <w:r>
              <w:rPr>
                <w:b/>
                <w:bCs/>
                <w:color w:val="000000"/>
              </w:rPr>
              <w:t>2022 (Million)</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15635DA" w14:textId="77777777" w:rsidR="005F3860" w:rsidRDefault="005F3860">
            <w:pPr>
              <w:jc w:val="center"/>
              <w:rPr>
                <w:b/>
                <w:bCs/>
                <w:color w:val="000000"/>
              </w:rPr>
            </w:pPr>
            <w:r>
              <w:rPr>
                <w:b/>
                <w:bCs/>
                <w:color w:val="000000"/>
              </w:rPr>
              <w:t>2023 (Million)</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35CC5A9" w14:textId="77777777" w:rsidR="005F3860" w:rsidRDefault="005F3860">
            <w:pPr>
              <w:jc w:val="center"/>
              <w:rPr>
                <w:b/>
                <w:bCs/>
                <w:color w:val="000000"/>
              </w:rPr>
            </w:pPr>
            <w:r>
              <w:rPr>
                <w:b/>
                <w:bCs/>
                <w:color w:val="000000"/>
              </w:rPr>
              <w:t>2024 (Million)</w:t>
            </w:r>
          </w:p>
        </w:tc>
      </w:tr>
      <w:tr w:rsidR="005F3860" w14:paraId="6BF9163E" w14:textId="77777777" w:rsidTr="005F3860">
        <w:trPr>
          <w:trHeight w:val="312"/>
        </w:trPr>
        <w:tc>
          <w:tcPr>
            <w:tcW w:w="2329"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7E379D7C" w14:textId="77777777" w:rsidR="005F3860" w:rsidRDefault="005F3860">
            <w:pPr>
              <w:rPr>
                <w:color w:val="000000"/>
              </w:rPr>
            </w:pPr>
            <w:r>
              <w:rPr>
                <w:color w:val="000000"/>
              </w:rPr>
              <w:t>Total Liabilities</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6A190C3" w14:textId="77777777" w:rsidR="005F3860" w:rsidRDefault="005F3860">
            <w:pPr>
              <w:jc w:val="center"/>
              <w:rPr>
                <w:color w:val="000000"/>
              </w:rPr>
            </w:pPr>
            <w:r>
              <w:rPr>
                <w:color w:val="000000"/>
              </w:rPr>
              <w:t>196,989</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F3B6646" w14:textId="77777777" w:rsidR="005F3860" w:rsidRDefault="005F3860">
            <w:pPr>
              <w:jc w:val="center"/>
              <w:rPr>
                <w:color w:val="000000"/>
              </w:rPr>
            </w:pPr>
            <w:r>
              <w:rPr>
                <w:color w:val="000000"/>
              </w:rPr>
              <w:t>234,399</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4CF78AD" w14:textId="77777777" w:rsidR="005F3860" w:rsidRDefault="005F3860">
            <w:pPr>
              <w:jc w:val="center"/>
              <w:rPr>
                <w:color w:val="000000"/>
              </w:rPr>
            </w:pPr>
            <w:r>
              <w:rPr>
                <w:color w:val="000000"/>
              </w:rPr>
              <w:t>235,757</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6555865" w14:textId="77777777" w:rsidR="005F3860" w:rsidRDefault="005F3860">
            <w:pPr>
              <w:jc w:val="center"/>
              <w:rPr>
                <w:color w:val="000000"/>
              </w:rPr>
            </w:pPr>
            <w:r>
              <w:rPr>
                <w:color w:val="000000"/>
              </w:rPr>
              <w:t>176,952</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32CE27A" w14:textId="77777777" w:rsidR="005F3860" w:rsidRDefault="005F3860">
            <w:pPr>
              <w:jc w:val="center"/>
              <w:rPr>
                <w:color w:val="000000"/>
              </w:rPr>
            </w:pPr>
            <w:r>
              <w:rPr>
                <w:color w:val="000000"/>
              </w:rPr>
              <w:t>170,249</w:t>
            </w:r>
          </w:p>
        </w:tc>
      </w:tr>
      <w:tr w:rsidR="005F3860" w14:paraId="027F77DE" w14:textId="77777777" w:rsidTr="005F3860">
        <w:trPr>
          <w:trHeight w:val="312"/>
        </w:trPr>
        <w:tc>
          <w:tcPr>
            <w:tcW w:w="2329"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4DD74402" w14:textId="77777777" w:rsidR="005F3860" w:rsidRDefault="005F3860">
            <w:pPr>
              <w:rPr>
                <w:color w:val="000000"/>
              </w:rPr>
            </w:pPr>
            <w:r>
              <w:rPr>
                <w:color w:val="000000"/>
              </w:rPr>
              <w:t>Shareholders Equity</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658D877" w14:textId="77777777" w:rsidR="005F3860" w:rsidRDefault="005F3860">
            <w:pPr>
              <w:jc w:val="center"/>
              <w:rPr>
                <w:color w:val="000000"/>
              </w:rPr>
            </w:pPr>
            <w:r>
              <w:rPr>
                <w:color w:val="000000"/>
              </w:rPr>
              <w:t>313301</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97541F8" w14:textId="77777777" w:rsidR="005F3860" w:rsidRDefault="005F3860">
            <w:pPr>
              <w:jc w:val="center"/>
              <w:rPr>
                <w:color w:val="000000"/>
              </w:rPr>
            </w:pPr>
            <w:r>
              <w:rPr>
                <w:color w:val="000000"/>
              </w:rPr>
              <w:t>275949</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270A0C9" w14:textId="77777777" w:rsidR="005F3860" w:rsidRDefault="005F3860">
            <w:pPr>
              <w:jc w:val="center"/>
              <w:rPr>
                <w:color w:val="000000"/>
              </w:rPr>
            </w:pPr>
            <w:r>
              <w:rPr>
                <w:color w:val="000000"/>
              </w:rPr>
              <w:t>268406</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5D502C2" w14:textId="77777777" w:rsidR="005F3860" w:rsidRDefault="005F3860">
            <w:pPr>
              <w:jc w:val="center"/>
              <w:rPr>
                <w:color w:val="000000"/>
              </w:rPr>
            </w:pPr>
            <w:r>
              <w:rPr>
                <w:color w:val="000000"/>
              </w:rPr>
              <w:t>178920</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7D787BE" w14:textId="77777777" w:rsidR="005F3860" w:rsidRDefault="005F3860">
            <w:pPr>
              <w:jc w:val="center"/>
              <w:rPr>
                <w:color w:val="000000"/>
              </w:rPr>
            </w:pPr>
            <w:r>
              <w:rPr>
                <w:color w:val="000000"/>
              </w:rPr>
              <w:t>153105</w:t>
            </w:r>
          </w:p>
        </w:tc>
      </w:tr>
      <w:tr w:rsidR="005F3860" w14:paraId="679C9580" w14:textId="77777777" w:rsidTr="005F3860">
        <w:trPr>
          <w:trHeight w:val="312"/>
        </w:trPr>
        <w:tc>
          <w:tcPr>
            <w:tcW w:w="2329"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6F262C14" w14:textId="77777777" w:rsidR="005F3860" w:rsidRDefault="005F3860">
            <w:pPr>
              <w:rPr>
                <w:b/>
                <w:bCs/>
                <w:color w:val="000000"/>
              </w:rPr>
            </w:pPr>
            <w:r>
              <w:rPr>
                <w:b/>
                <w:bCs/>
                <w:color w:val="000000"/>
              </w:rPr>
              <w:t>Debt to equity ratio = Total Liabilities / Shareholders Equity</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675F075" w14:textId="77777777" w:rsidR="005F3860" w:rsidRDefault="005F3860">
            <w:pPr>
              <w:jc w:val="center"/>
              <w:rPr>
                <w:b/>
                <w:bCs/>
                <w:color w:val="000000"/>
              </w:rPr>
            </w:pPr>
            <w:r>
              <w:rPr>
                <w:b/>
                <w:bCs/>
                <w:color w:val="000000"/>
              </w:rPr>
              <w:t>0.63</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596865B" w14:textId="77777777" w:rsidR="005F3860" w:rsidRDefault="005F3860">
            <w:pPr>
              <w:jc w:val="center"/>
              <w:rPr>
                <w:b/>
                <w:bCs/>
                <w:color w:val="000000"/>
              </w:rPr>
            </w:pPr>
            <w:r>
              <w:rPr>
                <w:b/>
                <w:bCs/>
                <w:color w:val="000000"/>
              </w:rPr>
              <w:t>0.85</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AAD2055" w14:textId="77777777" w:rsidR="005F3860" w:rsidRDefault="005F3860">
            <w:pPr>
              <w:jc w:val="center"/>
              <w:rPr>
                <w:b/>
                <w:bCs/>
                <w:color w:val="000000"/>
              </w:rPr>
            </w:pPr>
            <w:r>
              <w:rPr>
                <w:b/>
                <w:bCs/>
                <w:color w:val="000000"/>
              </w:rPr>
              <w:t>0.88</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EBE3D75" w14:textId="77777777" w:rsidR="005F3860" w:rsidRDefault="005F3860">
            <w:pPr>
              <w:jc w:val="center"/>
              <w:rPr>
                <w:b/>
                <w:bCs/>
                <w:color w:val="000000"/>
              </w:rPr>
            </w:pPr>
            <w:r>
              <w:rPr>
                <w:b/>
                <w:bCs/>
                <w:color w:val="000000"/>
              </w:rPr>
              <w:t>0.99</w:t>
            </w:r>
          </w:p>
        </w:tc>
        <w:tc>
          <w:tcPr>
            <w:tcW w:w="534"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348B6E1" w14:textId="77777777" w:rsidR="005F3860" w:rsidRDefault="005F3860">
            <w:pPr>
              <w:jc w:val="center"/>
              <w:rPr>
                <w:b/>
                <w:bCs/>
                <w:color w:val="000000"/>
              </w:rPr>
            </w:pPr>
            <w:r>
              <w:rPr>
                <w:b/>
                <w:bCs/>
                <w:color w:val="000000"/>
              </w:rPr>
              <w:t>1.11</w:t>
            </w:r>
          </w:p>
        </w:tc>
      </w:tr>
    </w:tbl>
    <w:p w14:paraId="7D203F71" w14:textId="77777777" w:rsidR="005F3860" w:rsidRDefault="005F3860">
      <w:r>
        <w:t xml:space="preserve"> </w:t>
      </w:r>
      <w:r>
        <w:rPr>
          <w:noProof/>
          <w:lang w:val="en-IN"/>
        </w:rPr>
        <w:drawing>
          <wp:inline distT="0" distB="0" distL="0" distR="0" wp14:anchorId="79CADC72" wp14:editId="76780908">
            <wp:extent cx="5943600" cy="2419350"/>
            <wp:effectExtent l="0" t="0" r="0" b="0"/>
            <wp:docPr id="53" name="Chart 53"/>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r>
        <w:t xml:space="preserve"> </w:t>
      </w:r>
    </w:p>
    <w:p w14:paraId="592EBA20" w14:textId="77777777" w:rsidR="00075C0F" w:rsidRDefault="00075C0F">
      <w:r w:rsidRPr="00FA2975">
        <w:rPr>
          <w:rFonts w:eastAsia="Times New Roman"/>
          <w:noProof/>
          <w:sz w:val="24"/>
          <w:szCs w:val="24"/>
          <w:lang w:val="en-IN"/>
        </w:rPr>
        <w:lastRenderedPageBreak/>
        <w:drawing>
          <wp:inline distT="114300" distB="114300" distL="114300" distR="114300" wp14:anchorId="75FF6F6A" wp14:editId="63622AEB">
            <wp:extent cx="5905500" cy="78105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6"/>
                    <a:srcRect/>
                    <a:stretch>
                      <a:fillRect/>
                    </a:stretch>
                  </pic:blipFill>
                  <pic:spPr>
                    <a:xfrm>
                      <a:off x="0" y="0"/>
                      <a:ext cx="5905500" cy="781050"/>
                    </a:xfrm>
                    <a:prstGeom prst="rect">
                      <a:avLst/>
                    </a:prstGeom>
                    <a:ln/>
                  </pic:spPr>
                </pic:pic>
              </a:graphicData>
            </a:graphic>
          </wp:inline>
        </w:drawing>
      </w:r>
    </w:p>
    <w:tbl>
      <w:tblPr>
        <w:tblW w:w="5000" w:type="pct"/>
        <w:tblCellMar>
          <w:left w:w="0" w:type="dxa"/>
          <w:right w:w="0" w:type="dxa"/>
        </w:tblCellMar>
        <w:tblLook w:val="04A0" w:firstRow="1" w:lastRow="0" w:firstColumn="1" w:lastColumn="0" w:noHBand="0" w:noVBand="1"/>
      </w:tblPr>
      <w:tblGrid>
        <w:gridCol w:w="4420"/>
        <w:gridCol w:w="986"/>
        <w:gridCol w:w="986"/>
        <w:gridCol w:w="986"/>
        <w:gridCol w:w="986"/>
        <w:gridCol w:w="986"/>
      </w:tblGrid>
      <w:tr w:rsidR="005F3860" w14:paraId="5BC24DFC" w14:textId="77777777" w:rsidTr="005F3860">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70A74300" w14:textId="77777777" w:rsidR="005F3860" w:rsidRDefault="005F3860">
            <w:pPr>
              <w:jc w:val="center"/>
              <w:rPr>
                <w:b/>
                <w:bCs/>
                <w:color w:val="000000"/>
              </w:rPr>
            </w:pPr>
            <w:r>
              <w:rPr>
                <w:b/>
                <w:bCs/>
                <w:color w:val="000000"/>
              </w:rPr>
              <w:t>Gearing ratio</w:t>
            </w:r>
          </w:p>
        </w:tc>
      </w:tr>
      <w:tr w:rsidR="005F3860" w14:paraId="73C38826" w14:textId="77777777" w:rsidTr="005F3860">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4836A778" w14:textId="77777777" w:rsidR="005F3860" w:rsidRDefault="005F3860">
            <w:pPr>
              <w:jc w:val="center"/>
              <w:rPr>
                <w:b/>
                <w:bCs/>
                <w:color w:val="000000"/>
              </w:rPr>
            </w:pPr>
            <w:r>
              <w:rPr>
                <w:b/>
                <w:bCs/>
                <w:color w:val="000000"/>
              </w:rPr>
              <w:t>Interest coverage ratio</w:t>
            </w:r>
          </w:p>
        </w:tc>
      </w:tr>
      <w:tr w:rsidR="005F3860" w14:paraId="27D0CD80" w14:textId="77777777" w:rsidTr="005F3860">
        <w:trPr>
          <w:trHeight w:val="312"/>
        </w:trPr>
        <w:tc>
          <w:tcPr>
            <w:tcW w:w="2373"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2F4B06AD" w14:textId="77777777" w:rsidR="005F3860" w:rsidRDefault="005F3860">
            <w:pPr>
              <w:jc w:val="center"/>
              <w:rPr>
                <w:b/>
                <w:bCs/>
                <w:color w:val="000000"/>
              </w:rPr>
            </w:pPr>
            <w:r>
              <w:rPr>
                <w:b/>
                <w:bCs/>
                <w:color w:val="000000"/>
              </w:rPr>
              <w:t>Particulars</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C4BF1D6" w14:textId="77777777" w:rsidR="005F3860" w:rsidRDefault="005F3860">
            <w:pPr>
              <w:jc w:val="center"/>
              <w:rPr>
                <w:b/>
                <w:bCs/>
                <w:color w:val="000000"/>
              </w:rPr>
            </w:pPr>
            <w:r>
              <w:rPr>
                <w:b/>
                <w:bCs/>
                <w:color w:val="000000"/>
              </w:rPr>
              <w:t>2020 (Million)</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8899A86" w14:textId="77777777" w:rsidR="005F3860" w:rsidRDefault="005F3860">
            <w:pPr>
              <w:jc w:val="center"/>
              <w:rPr>
                <w:b/>
                <w:bCs/>
                <w:color w:val="000000"/>
              </w:rPr>
            </w:pPr>
            <w:r>
              <w:rPr>
                <w:b/>
                <w:bCs/>
                <w:color w:val="000000"/>
              </w:rPr>
              <w:t>2021 (Million)</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1F9E338" w14:textId="77777777" w:rsidR="005F3860" w:rsidRDefault="005F3860">
            <w:pPr>
              <w:jc w:val="center"/>
              <w:rPr>
                <w:b/>
                <w:bCs/>
                <w:color w:val="000000"/>
              </w:rPr>
            </w:pPr>
            <w:r>
              <w:rPr>
                <w:b/>
                <w:bCs/>
                <w:color w:val="000000"/>
              </w:rPr>
              <w:t>2022 (Million)</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A8E9B55" w14:textId="77777777" w:rsidR="005F3860" w:rsidRDefault="005F3860">
            <w:pPr>
              <w:jc w:val="center"/>
              <w:rPr>
                <w:b/>
                <w:bCs/>
                <w:color w:val="000000"/>
              </w:rPr>
            </w:pPr>
            <w:r>
              <w:rPr>
                <w:b/>
                <w:bCs/>
                <w:color w:val="000000"/>
              </w:rPr>
              <w:t>2023 (Million)</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BE9EA5E" w14:textId="77777777" w:rsidR="005F3860" w:rsidRDefault="005F3860">
            <w:pPr>
              <w:jc w:val="center"/>
              <w:rPr>
                <w:b/>
                <w:bCs/>
                <w:color w:val="000000"/>
              </w:rPr>
            </w:pPr>
            <w:r>
              <w:rPr>
                <w:b/>
                <w:bCs/>
                <w:color w:val="000000"/>
              </w:rPr>
              <w:t>2024 (Million)</w:t>
            </w:r>
          </w:p>
        </w:tc>
      </w:tr>
      <w:tr w:rsidR="005F3860" w14:paraId="516F249C" w14:textId="77777777" w:rsidTr="005F3860">
        <w:trPr>
          <w:trHeight w:val="312"/>
        </w:trPr>
        <w:tc>
          <w:tcPr>
            <w:tcW w:w="2373"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10686791" w14:textId="77777777" w:rsidR="005F3860" w:rsidRDefault="005F3860">
            <w:pPr>
              <w:rPr>
                <w:color w:val="000000"/>
              </w:rPr>
            </w:pPr>
            <w:r>
              <w:rPr>
                <w:color w:val="000000"/>
              </w:rPr>
              <w:t>Operating income</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059E4C5" w14:textId="77777777" w:rsidR="005F3860" w:rsidRDefault="005F3860">
            <w:pPr>
              <w:jc w:val="center"/>
              <w:rPr>
                <w:color w:val="000000"/>
              </w:rPr>
            </w:pPr>
            <w:r>
              <w:rPr>
                <w:color w:val="000000"/>
              </w:rPr>
              <w:t>37,267</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3AA0ACB" w14:textId="77777777" w:rsidR="005F3860" w:rsidRDefault="005F3860">
            <w:pPr>
              <w:jc w:val="center"/>
              <w:rPr>
                <w:color w:val="000000"/>
              </w:rPr>
            </w:pPr>
            <w:r>
              <w:rPr>
                <w:color w:val="000000"/>
              </w:rPr>
              <w:t>23,253</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D6CF48D" w14:textId="77777777" w:rsidR="005F3860" w:rsidRDefault="005F3860">
            <w:pPr>
              <w:jc w:val="center"/>
              <w:rPr>
                <w:color w:val="000000"/>
              </w:rPr>
            </w:pPr>
            <w:r>
              <w:rPr>
                <w:color w:val="000000"/>
              </w:rPr>
              <w:t>14,548</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7EE80CB" w14:textId="77777777" w:rsidR="005F3860" w:rsidRDefault="005F3860">
            <w:pPr>
              <w:jc w:val="center"/>
              <w:rPr>
                <w:color w:val="000000"/>
              </w:rPr>
            </w:pPr>
            <w:r>
              <w:rPr>
                <w:color w:val="000000"/>
              </w:rPr>
              <w:t>-85,301</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3CFAEBC" w14:textId="77777777" w:rsidR="005F3860" w:rsidRDefault="005F3860">
            <w:pPr>
              <w:jc w:val="center"/>
              <w:rPr>
                <w:color w:val="000000"/>
              </w:rPr>
            </w:pPr>
            <w:r>
              <w:rPr>
                <w:color w:val="000000"/>
              </w:rPr>
              <w:t>-15,297</w:t>
            </w:r>
          </w:p>
        </w:tc>
      </w:tr>
      <w:tr w:rsidR="005F3860" w14:paraId="652B3950" w14:textId="77777777" w:rsidTr="005F3860">
        <w:trPr>
          <w:trHeight w:val="312"/>
        </w:trPr>
        <w:tc>
          <w:tcPr>
            <w:tcW w:w="2373"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2FDC44FF" w14:textId="77777777" w:rsidR="005F3860" w:rsidRDefault="005F3860">
            <w:pPr>
              <w:rPr>
                <w:color w:val="000000"/>
              </w:rPr>
            </w:pPr>
            <w:r>
              <w:rPr>
                <w:color w:val="000000"/>
              </w:rPr>
              <w:t>Interest expense</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04FB9B0" w14:textId="77777777" w:rsidR="005F3860" w:rsidRDefault="005F3860">
            <w:pPr>
              <w:jc w:val="center"/>
              <w:rPr>
                <w:color w:val="000000"/>
              </w:rPr>
            </w:pPr>
            <w:r>
              <w:rPr>
                <w:color w:val="000000"/>
              </w:rPr>
              <w:t>1422</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D93609D" w14:textId="77777777" w:rsidR="005F3860" w:rsidRDefault="005F3860">
            <w:pPr>
              <w:jc w:val="center"/>
              <w:rPr>
                <w:color w:val="000000"/>
              </w:rPr>
            </w:pPr>
            <w:r>
              <w:rPr>
                <w:color w:val="000000"/>
              </w:rPr>
              <w:t>566</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9EE5269" w14:textId="77777777" w:rsidR="005F3860" w:rsidRDefault="005F3860">
            <w:pPr>
              <w:jc w:val="center"/>
              <w:rPr>
                <w:color w:val="000000"/>
              </w:rPr>
            </w:pPr>
            <w:r>
              <w:rPr>
                <w:color w:val="000000"/>
              </w:rPr>
              <w:t>2200</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6DC44DC" w14:textId="77777777" w:rsidR="005F3860" w:rsidRDefault="005F3860">
            <w:pPr>
              <w:jc w:val="center"/>
              <w:rPr>
                <w:color w:val="000000"/>
              </w:rPr>
            </w:pPr>
            <w:r>
              <w:rPr>
                <w:color w:val="000000"/>
              </w:rPr>
              <w:t>4332</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B4A8709" w14:textId="77777777" w:rsidR="005F3860" w:rsidRDefault="005F3860">
            <w:pPr>
              <w:jc w:val="center"/>
              <w:rPr>
                <w:color w:val="000000"/>
              </w:rPr>
            </w:pPr>
            <w:r>
              <w:rPr>
                <w:color w:val="000000"/>
              </w:rPr>
              <w:t>3361</w:t>
            </w:r>
          </w:p>
        </w:tc>
      </w:tr>
      <w:tr w:rsidR="005F3860" w14:paraId="032CAB10" w14:textId="77777777" w:rsidTr="005F3860">
        <w:trPr>
          <w:trHeight w:val="312"/>
        </w:trPr>
        <w:tc>
          <w:tcPr>
            <w:tcW w:w="2373"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4642921F" w14:textId="77777777" w:rsidR="005F3860" w:rsidRDefault="005F3860">
            <w:pPr>
              <w:rPr>
                <w:b/>
                <w:bCs/>
                <w:color w:val="000000"/>
              </w:rPr>
            </w:pPr>
            <w:r>
              <w:rPr>
                <w:b/>
                <w:bCs/>
                <w:color w:val="000000"/>
              </w:rPr>
              <w:t>Interest coverage ratio = Operating income / Interest expense</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2EC83DC" w14:textId="77777777" w:rsidR="005F3860" w:rsidRDefault="005F3860">
            <w:pPr>
              <w:jc w:val="center"/>
              <w:rPr>
                <w:b/>
                <w:bCs/>
                <w:color w:val="000000"/>
              </w:rPr>
            </w:pPr>
            <w:r>
              <w:rPr>
                <w:b/>
                <w:bCs/>
                <w:color w:val="000000"/>
              </w:rPr>
              <w:t>26.21</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68B452B" w14:textId="77777777" w:rsidR="005F3860" w:rsidRDefault="005F3860">
            <w:pPr>
              <w:jc w:val="center"/>
              <w:rPr>
                <w:b/>
                <w:bCs/>
                <w:color w:val="000000"/>
              </w:rPr>
            </w:pPr>
            <w:r>
              <w:rPr>
                <w:b/>
                <w:bCs/>
                <w:color w:val="000000"/>
              </w:rPr>
              <w:t>41.08</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7E96FF1" w14:textId="77777777" w:rsidR="005F3860" w:rsidRDefault="005F3860">
            <w:pPr>
              <w:jc w:val="center"/>
              <w:rPr>
                <w:b/>
                <w:bCs/>
                <w:color w:val="000000"/>
              </w:rPr>
            </w:pPr>
            <w:r>
              <w:rPr>
                <w:b/>
                <w:bCs/>
                <w:color w:val="000000"/>
              </w:rPr>
              <w:t>6.61</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17861EC" w14:textId="77777777" w:rsidR="005F3860" w:rsidRDefault="005F3860">
            <w:pPr>
              <w:jc w:val="center"/>
              <w:rPr>
                <w:b/>
                <w:bCs/>
                <w:color w:val="000000"/>
              </w:rPr>
            </w:pPr>
            <w:r>
              <w:rPr>
                <w:b/>
                <w:bCs/>
                <w:color w:val="000000"/>
              </w:rPr>
              <w:t>-19.69</w:t>
            </w:r>
          </w:p>
        </w:tc>
        <w:tc>
          <w:tcPr>
            <w:tcW w:w="52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2514765" w14:textId="77777777" w:rsidR="005F3860" w:rsidRDefault="005F3860">
            <w:pPr>
              <w:jc w:val="center"/>
              <w:rPr>
                <w:b/>
                <w:bCs/>
                <w:color w:val="000000"/>
              </w:rPr>
            </w:pPr>
            <w:r>
              <w:rPr>
                <w:b/>
                <w:bCs/>
                <w:color w:val="000000"/>
              </w:rPr>
              <w:t>-4.55</w:t>
            </w:r>
          </w:p>
        </w:tc>
      </w:tr>
    </w:tbl>
    <w:p w14:paraId="63AB3AB8" w14:textId="77777777" w:rsidR="005F3860" w:rsidRDefault="005F3860">
      <w:r>
        <w:t xml:space="preserve"> </w:t>
      </w:r>
      <w:r>
        <w:rPr>
          <w:noProof/>
          <w:lang w:val="en-IN"/>
        </w:rPr>
        <w:drawing>
          <wp:inline distT="0" distB="0" distL="0" distR="0" wp14:anchorId="48156B7D" wp14:editId="78C96662">
            <wp:extent cx="5943600" cy="2679065"/>
            <wp:effectExtent l="0" t="0" r="0" b="6985"/>
            <wp:docPr id="54" name="Chart 54"/>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r>
        <w:t xml:space="preserve"> </w:t>
      </w:r>
    </w:p>
    <w:p w14:paraId="3AF8955C" w14:textId="77777777" w:rsidR="001A5114" w:rsidRDefault="001A5114">
      <w:r w:rsidRPr="00FA2975">
        <w:rPr>
          <w:rFonts w:eastAsia="Times New Roman"/>
          <w:noProof/>
          <w:sz w:val="24"/>
          <w:szCs w:val="24"/>
          <w:lang w:val="en-IN"/>
        </w:rPr>
        <w:drawing>
          <wp:inline distT="114300" distB="114300" distL="114300" distR="114300" wp14:anchorId="6169C4D8" wp14:editId="31B18D6D">
            <wp:extent cx="5958840" cy="795655"/>
            <wp:effectExtent l="0" t="0" r="3810" b="4445"/>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8"/>
                    <a:srcRect/>
                    <a:stretch>
                      <a:fillRect/>
                    </a:stretch>
                  </pic:blipFill>
                  <pic:spPr>
                    <a:xfrm>
                      <a:off x="0" y="0"/>
                      <a:ext cx="5961746" cy="796043"/>
                    </a:xfrm>
                    <a:prstGeom prst="rect">
                      <a:avLst/>
                    </a:prstGeom>
                    <a:ln/>
                  </pic:spPr>
                </pic:pic>
              </a:graphicData>
            </a:graphic>
          </wp:inline>
        </w:drawing>
      </w:r>
    </w:p>
    <w:tbl>
      <w:tblPr>
        <w:tblW w:w="9540" w:type="dxa"/>
        <w:tblCellMar>
          <w:left w:w="0" w:type="dxa"/>
          <w:right w:w="0" w:type="dxa"/>
        </w:tblCellMar>
        <w:tblLook w:val="04A0" w:firstRow="1" w:lastRow="0" w:firstColumn="1" w:lastColumn="0" w:noHBand="0" w:noVBand="1"/>
      </w:tblPr>
      <w:tblGrid>
        <w:gridCol w:w="2111"/>
        <w:gridCol w:w="1486"/>
        <w:gridCol w:w="1486"/>
        <w:gridCol w:w="1486"/>
        <w:gridCol w:w="1486"/>
        <w:gridCol w:w="1486"/>
      </w:tblGrid>
      <w:tr w:rsidR="00DA5EA5" w14:paraId="6404C874" w14:textId="77777777" w:rsidTr="00DA5EA5">
        <w:trPr>
          <w:trHeight w:val="312"/>
        </w:trPr>
        <w:tc>
          <w:tcPr>
            <w:tcW w:w="9540" w:type="dxa"/>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6D86B619" w14:textId="77777777" w:rsidR="00DA5EA5" w:rsidRDefault="00DA5EA5">
            <w:pPr>
              <w:jc w:val="center"/>
              <w:rPr>
                <w:b/>
                <w:bCs/>
                <w:color w:val="000000"/>
              </w:rPr>
            </w:pPr>
            <w:r>
              <w:rPr>
                <w:b/>
                <w:bCs/>
                <w:color w:val="000000"/>
              </w:rPr>
              <w:t>Investment ratio</w:t>
            </w:r>
          </w:p>
        </w:tc>
      </w:tr>
      <w:tr w:rsidR="00DA5EA5" w14:paraId="3B081275" w14:textId="77777777" w:rsidTr="00DA5EA5">
        <w:trPr>
          <w:trHeight w:val="312"/>
        </w:trPr>
        <w:tc>
          <w:tcPr>
            <w:tcW w:w="0" w:type="auto"/>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268AEF39" w14:textId="77777777" w:rsidR="00DA5EA5" w:rsidRDefault="00DA5EA5">
            <w:pPr>
              <w:jc w:val="center"/>
              <w:rPr>
                <w:b/>
                <w:bCs/>
                <w:color w:val="000000"/>
              </w:rPr>
            </w:pPr>
            <w:r>
              <w:rPr>
                <w:b/>
                <w:bCs/>
                <w:color w:val="000000"/>
              </w:rPr>
              <w:t>Earning per share</w:t>
            </w:r>
          </w:p>
        </w:tc>
      </w:tr>
      <w:tr w:rsidR="00DA5EA5" w14:paraId="497192F4" w14:textId="77777777" w:rsidTr="00DA5EA5">
        <w:trPr>
          <w:trHeight w:val="312"/>
        </w:trPr>
        <w:tc>
          <w:tcPr>
            <w:tcW w:w="0" w:type="auto"/>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3FB8E78C" w14:textId="77777777" w:rsidR="00DA5EA5" w:rsidRDefault="00DA5EA5">
            <w:pPr>
              <w:jc w:val="center"/>
              <w:rPr>
                <w:b/>
                <w:bCs/>
                <w:color w:val="000000"/>
              </w:rPr>
            </w:pPr>
            <w:r>
              <w:rPr>
                <w:b/>
                <w:bCs/>
                <w:color w:val="000000"/>
              </w:rPr>
              <w:t>Particulars</w:t>
            </w:r>
          </w:p>
        </w:tc>
        <w:tc>
          <w:tcPr>
            <w:tcW w:w="0" w:type="auto"/>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397C5EB" w14:textId="77777777" w:rsidR="00DA5EA5" w:rsidRDefault="00DA5EA5">
            <w:pPr>
              <w:jc w:val="center"/>
              <w:rPr>
                <w:b/>
                <w:bCs/>
                <w:color w:val="000000"/>
              </w:rPr>
            </w:pPr>
            <w:r>
              <w:rPr>
                <w:b/>
                <w:bCs/>
                <w:color w:val="000000"/>
              </w:rPr>
              <w:t>2020 (Million)</w:t>
            </w:r>
          </w:p>
        </w:tc>
        <w:tc>
          <w:tcPr>
            <w:tcW w:w="0" w:type="auto"/>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0909CF7" w14:textId="77777777" w:rsidR="00DA5EA5" w:rsidRDefault="00DA5EA5">
            <w:pPr>
              <w:jc w:val="center"/>
              <w:rPr>
                <w:b/>
                <w:bCs/>
                <w:color w:val="000000"/>
              </w:rPr>
            </w:pPr>
            <w:r>
              <w:rPr>
                <w:b/>
                <w:bCs/>
                <w:color w:val="000000"/>
              </w:rPr>
              <w:t>2021 (Million)</w:t>
            </w:r>
          </w:p>
        </w:tc>
        <w:tc>
          <w:tcPr>
            <w:tcW w:w="0" w:type="auto"/>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6E28C58" w14:textId="77777777" w:rsidR="00DA5EA5" w:rsidRDefault="00DA5EA5">
            <w:pPr>
              <w:jc w:val="center"/>
              <w:rPr>
                <w:b/>
                <w:bCs/>
                <w:color w:val="000000"/>
              </w:rPr>
            </w:pPr>
            <w:r>
              <w:rPr>
                <w:b/>
                <w:bCs/>
                <w:color w:val="000000"/>
              </w:rPr>
              <w:t>2022 (Million)</w:t>
            </w:r>
          </w:p>
        </w:tc>
        <w:tc>
          <w:tcPr>
            <w:tcW w:w="0" w:type="auto"/>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C2ED2ED" w14:textId="77777777" w:rsidR="00DA5EA5" w:rsidRDefault="00DA5EA5">
            <w:pPr>
              <w:jc w:val="center"/>
              <w:rPr>
                <w:b/>
                <w:bCs/>
                <w:color w:val="000000"/>
              </w:rPr>
            </w:pPr>
            <w:r>
              <w:rPr>
                <w:b/>
                <w:bCs/>
                <w:color w:val="000000"/>
              </w:rPr>
              <w:t>2023 (Million)</w:t>
            </w:r>
          </w:p>
        </w:tc>
        <w:tc>
          <w:tcPr>
            <w:tcW w:w="0" w:type="auto"/>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B5EA877" w14:textId="77777777" w:rsidR="00DA5EA5" w:rsidRDefault="00DA5EA5">
            <w:pPr>
              <w:jc w:val="center"/>
              <w:rPr>
                <w:b/>
                <w:bCs/>
                <w:color w:val="000000"/>
              </w:rPr>
            </w:pPr>
            <w:r>
              <w:rPr>
                <w:b/>
                <w:bCs/>
                <w:color w:val="000000"/>
              </w:rPr>
              <w:t>2024 (Million)</w:t>
            </w:r>
          </w:p>
        </w:tc>
      </w:tr>
      <w:tr w:rsidR="00DA5EA5" w14:paraId="0F3F2AF3" w14:textId="77777777" w:rsidTr="00DA5EA5">
        <w:trPr>
          <w:trHeight w:val="312"/>
        </w:trPr>
        <w:tc>
          <w:tcPr>
            <w:tcW w:w="0" w:type="auto"/>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251F7D8C" w14:textId="77777777" w:rsidR="00DA5EA5" w:rsidRDefault="00DA5EA5">
            <w:pPr>
              <w:rPr>
                <w:b/>
                <w:bCs/>
                <w:color w:val="000000"/>
              </w:rPr>
            </w:pPr>
            <w:r>
              <w:rPr>
                <w:b/>
                <w:bCs/>
                <w:color w:val="000000"/>
              </w:rPr>
              <w:t>Earnings per share</w:t>
            </w:r>
          </w:p>
        </w:tc>
        <w:tc>
          <w:tcPr>
            <w:tcW w:w="0" w:type="auto"/>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42034B5" w14:textId="77777777" w:rsidR="00DA5EA5" w:rsidRDefault="00DA5EA5">
            <w:pPr>
              <w:jc w:val="center"/>
              <w:rPr>
                <w:b/>
                <w:bCs/>
                <w:color w:val="000000"/>
              </w:rPr>
            </w:pPr>
            <w:r>
              <w:rPr>
                <w:b/>
                <w:bCs/>
                <w:color w:val="000000"/>
              </w:rPr>
              <w:t>2.78</w:t>
            </w:r>
          </w:p>
        </w:tc>
        <w:tc>
          <w:tcPr>
            <w:tcW w:w="0" w:type="auto"/>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292DD38" w14:textId="77777777" w:rsidR="00DA5EA5" w:rsidRDefault="00DA5EA5">
            <w:pPr>
              <w:jc w:val="center"/>
              <w:rPr>
                <w:b/>
                <w:bCs/>
                <w:color w:val="000000"/>
              </w:rPr>
            </w:pPr>
            <w:r>
              <w:rPr>
                <w:b/>
                <w:bCs/>
                <w:color w:val="000000"/>
              </w:rPr>
              <w:t>0.39</w:t>
            </w:r>
          </w:p>
        </w:tc>
        <w:tc>
          <w:tcPr>
            <w:tcW w:w="0" w:type="auto"/>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73D8289" w14:textId="77777777" w:rsidR="00DA5EA5" w:rsidRDefault="00DA5EA5">
            <w:pPr>
              <w:jc w:val="center"/>
              <w:rPr>
                <w:b/>
                <w:bCs/>
                <w:color w:val="000000"/>
              </w:rPr>
            </w:pPr>
            <w:r>
              <w:rPr>
                <w:b/>
                <w:bCs/>
                <w:color w:val="000000"/>
              </w:rPr>
              <w:t>0.03</w:t>
            </w:r>
          </w:p>
        </w:tc>
        <w:tc>
          <w:tcPr>
            <w:tcW w:w="0" w:type="auto"/>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DC5AFC5" w14:textId="77777777" w:rsidR="00DA5EA5" w:rsidRDefault="00DA5EA5">
            <w:pPr>
              <w:jc w:val="center"/>
              <w:rPr>
                <w:b/>
                <w:bCs/>
                <w:color w:val="000000"/>
              </w:rPr>
            </w:pPr>
            <w:r>
              <w:rPr>
                <w:b/>
                <w:bCs/>
                <w:color w:val="000000"/>
              </w:rPr>
              <w:t>-7.64</w:t>
            </w:r>
          </w:p>
        </w:tc>
        <w:tc>
          <w:tcPr>
            <w:tcW w:w="0" w:type="auto"/>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3F4BE8D" w14:textId="77777777" w:rsidR="00DA5EA5" w:rsidRDefault="00DA5EA5">
            <w:pPr>
              <w:jc w:val="center"/>
              <w:rPr>
                <w:b/>
                <w:bCs/>
                <w:color w:val="000000"/>
              </w:rPr>
            </w:pPr>
            <w:r>
              <w:rPr>
                <w:b/>
                <w:bCs/>
                <w:color w:val="000000"/>
              </w:rPr>
              <w:t>-1.85</w:t>
            </w:r>
          </w:p>
        </w:tc>
      </w:tr>
    </w:tbl>
    <w:p w14:paraId="055F6C58" w14:textId="77777777" w:rsidR="00DA5EA5" w:rsidRDefault="00DA5EA5">
      <w:r>
        <w:lastRenderedPageBreak/>
        <w:t xml:space="preserve"> </w:t>
      </w:r>
      <w:r>
        <w:rPr>
          <w:noProof/>
          <w:lang w:val="en-IN"/>
        </w:rPr>
        <w:drawing>
          <wp:inline distT="0" distB="0" distL="0" distR="0" wp14:anchorId="038B6B37" wp14:editId="169CBD94">
            <wp:extent cx="5943600" cy="3054350"/>
            <wp:effectExtent l="0" t="0" r="0" b="12700"/>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r>
        <w:t xml:space="preserve"> </w:t>
      </w:r>
    </w:p>
    <w:p w14:paraId="38CC2B0F" w14:textId="77777777" w:rsidR="001A5114" w:rsidRDefault="001A5114">
      <w:r w:rsidRPr="00FA2975">
        <w:rPr>
          <w:rFonts w:eastAsia="Times New Roman"/>
          <w:noProof/>
          <w:sz w:val="24"/>
          <w:szCs w:val="24"/>
          <w:lang w:val="en-IN"/>
        </w:rPr>
        <w:drawing>
          <wp:inline distT="114300" distB="114300" distL="114300" distR="114300" wp14:anchorId="16218AC5" wp14:editId="1FD55D4B">
            <wp:extent cx="5974080" cy="923925"/>
            <wp:effectExtent l="0" t="0" r="7620" b="9525"/>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50"/>
                    <a:srcRect/>
                    <a:stretch>
                      <a:fillRect/>
                    </a:stretch>
                  </pic:blipFill>
                  <pic:spPr>
                    <a:xfrm>
                      <a:off x="0" y="0"/>
                      <a:ext cx="5974080" cy="923925"/>
                    </a:xfrm>
                    <a:prstGeom prst="rect">
                      <a:avLst/>
                    </a:prstGeom>
                    <a:ln/>
                  </pic:spPr>
                </pic:pic>
              </a:graphicData>
            </a:graphic>
          </wp:inline>
        </w:drawing>
      </w:r>
    </w:p>
    <w:tbl>
      <w:tblPr>
        <w:tblW w:w="5000" w:type="pct"/>
        <w:tblCellMar>
          <w:left w:w="0" w:type="dxa"/>
          <w:right w:w="0" w:type="dxa"/>
        </w:tblCellMar>
        <w:tblLook w:val="04A0" w:firstRow="1" w:lastRow="0" w:firstColumn="1" w:lastColumn="0" w:noHBand="0" w:noVBand="1"/>
      </w:tblPr>
      <w:tblGrid>
        <w:gridCol w:w="4704"/>
        <w:gridCol w:w="930"/>
        <w:gridCol w:w="929"/>
        <w:gridCol w:w="929"/>
        <w:gridCol w:w="929"/>
        <w:gridCol w:w="929"/>
      </w:tblGrid>
      <w:tr w:rsidR="00DA5EA5" w14:paraId="16008470" w14:textId="77777777" w:rsidTr="00DA5EA5">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0B9CB60B" w14:textId="77777777" w:rsidR="00DA5EA5" w:rsidRDefault="00DA5EA5">
            <w:pPr>
              <w:jc w:val="center"/>
              <w:rPr>
                <w:b/>
                <w:bCs/>
                <w:color w:val="000000"/>
              </w:rPr>
            </w:pPr>
            <w:r>
              <w:rPr>
                <w:b/>
                <w:bCs/>
                <w:color w:val="000000"/>
              </w:rPr>
              <w:t>Cash flow ratio</w:t>
            </w:r>
          </w:p>
        </w:tc>
      </w:tr>
      <w:tr w:rsidR="00DA5EA5" w14:paraId="7A433EF6" w14:textId="77777777" w:rsidTr="00DA5EA5">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2CE57842" w14:textId="77777777" w:rsidR="00DA5EA5" w:rsidRDefault="00DA5EA5">
            <w:pPr>
              <w:jc w:val="center"/>
              <w:rPr>
                <w:b/>
                <w:bCs/>
                <w:color w:val="000000"/>
              </w:rPr>
            </w:pPr>
            <w:r>
              <w:rPr>
                <w:b/>
                <w:bCs/>
                <w:color w:val="000000"/>
              </w:rPr>
              <w:t>Operating Cash Flow Margin</w:t>
            </w:r>
          </w:p>
        </w:tc>
      </w:tr>
      <w:tr w:rsidR="00DA5EA5" w14:paraId="5DC6E2EF" w14:textId="77777777" w:rsidTr="00DA5EA5">
        <w:trPr>
          <w:trHeight w:val="312"/>
        </w:trPr>
        <w:tc>
          <w:tcPr>
            <w:tcW w:w="2527"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00D34C0C" w14:textId="77777777" w:rsidR="00DA5EA5" w:rsidRDefault="00DA5EA5">
            <w:pPr>
              <w:jc w:val="center"/>
              <w:rPr>
                <w:b/>
                <w:bCs/>
                <w:color w:val="000000"/>
              </w:rPr>
            </w:pPr>
            <w:r>
              <w:rPr>
                <w:b/>
                <w:bCs/>
                <w:color w:val="000000"/>
              </w:rPr>
              <w:t>Particulars</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5191265" w14:textId="77777777" w:rsidR="00DA5EA5" w:rsidRDefault="00DA5EA5">
            <w:pPr>
              <w:jc w:val="center"/>
              <w:rPr>
                <w:b/>
                <w:bCs/>
                <w:color w:val="000000"/>
              </w:rPr>
            </w:pPr>
            <w:r>
              <w:rPr>
                <w:b/>
                <w:bCs/>
                <w:color w:val="000000"/>
              </w:rPr>
              <w:t>2020 (Million)</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DE382B5" w14:textId="77777777" w:rsidR="00DA5EA5" w:rsidRDefault="00DA5EA5">
            <w:pPr>
              <w:jc w:val="center"/>
              <w:rPr>
                <w:b/>
                <w:bCs/>
                <w:color w:val="000000"/>
              </w:rPr>
            </w:pPr>
            <w:r>
              <w:rPr>
                <w:b/>
                <w:bCs/>
                <w:color w:val="000000"/>
              </w:rPr>
              <w:t>2021 (Million)</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C1A5323" w14:textId="77777777" w:rsidR="00DA5EA5" w:rsidRDefault="00DA5EA5">
            <w:pPr>
              <w:jc w:val="center"/>
              <w:rPr>
                <w:b/>
                <w:bCs/>
                <w:color w:val="000000"/>
              </w:rPr>
            </w:pPr>
            <w:r>
              <w:rPr>
                <w:b/>
                <w:bCs/>
                <w:color w:val="000000"/>
              </w:rPr>
              <w:t>2022 (Million)</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8F44972" w14:textId="77777777" w:rsidR="00DA5EA5" w:rsidRDefault="00DA5EA5">
            <w:pPr>
              <w:jc w:val="center"/>
              <w:rPr>
                <w:b/>
                <w:bCs/>
                <w:color w:val="000000"/>
              </w:rPr>
            </w:pPr>
            <w:r>
              <w:rPr>
                <w:b/>
                <w:bCs/>
                <w:color w:val="000000"/>
              </w:rPr>
              <w:t>2023 (Million)</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EB26B30" w14:textId="77777777" w:rsidR="00DA5EA5" w:rsidRDefault="00DA5EA5">
            <w:pPr>
              <w:jc w:val="center"/>
              <w:rPr>
                <w:b/>
                <w:bCs/>
                <w:color w:val="000000"/>
              </w:rPr>
            </w:pPr>
            <w:r>
              <w:rPr>
                <w:b/>
                <w:bCs/>
                <w:color w:val="000000"/>
              </w:rPr>
              <w:t>2024 (Million)</w:t>
            </w:r>
          </w:p>
        </w:tc>
      </w:tr>
      <w:tr w:rsidR="00DA5EA5" w14:paraId="340D1BC4" w14:textId="77777777" w:rsidTr="00DA5EA5">
        <w:trPr>
          <w:trHeight w:val="312"/>
        </w:trPr>
        <w:tc>
          <w:tcPr>
            <w:tcW w:w="2527"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31FCC424" w14:textId="77777777" w:rsidR="00DA5EA5" w:rsidRDefault="00DA5EA5">
            <w:pPr>
              <w:rPr>
                <w:color w:val="000000"/>
              </w:rPr>
            </w:pPr>
            <w:r>
              <w:rPr>
                <w:color w:val="000000"/>
              </w:rPr>
              <w:t>Operating Cash Flow</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8FD6056" w14:textId="77777777" w:rsidR="00DA5EA5" w:rsidRDefault="00DA5EA5">
            <w:pPr>
              <w:jc w:val="center"/>
              <w:rPr>
                <w:color w:val="000000"/>
              </w:rPr>
            </w:pPr>
            <w:r>
              <w:rPr>
                <w:color w:val="000000"/>
              </w:rPr>
              <w:t>73,392</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B65931E" w14:textId="77777777" w:rsidR="00DA5EA5" w:rsidRDefault="00DA5EA5">
            <w:pPr>
              <w:jc w:val="center"/>
              <w:rPr>
                <w:color w:val="000000"/>
              </w:rPr>
            </w:pPr>
            <w:r>
              <w:rPr>
                <w:color w:val="000000"/>
              </w:rPr>
              <w:t>40,283</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2C9B180" w14:textId="77777777" w:rsidR="00DA5EA5" w:rsidRDefault="00DA5EA5">
            <w:pPr>
              <w:jc w:val="center"/>
              <w:rPr>
                <w:color w:val="000000"/>
              </w:rPr>
            </w:pPr>
            <w:r>
              <w:rPr>
                <w:color w:val="000000"/>
              </w:rPr>
              <w:t>10,926</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EAB5FE7" w14:textId="77777777" w:rsidR="00DA5EA5" w:rsidRDefault="00DA5EA5">
            <w:pPr>
              <w:jc w:val="center"/>
              <w:rPr>
                <w:color w:val="000000"/>
              </w:rPr>
            </w:pPr>
            <w:r>
              <w:rPr>
                <w:color w:val="000000"/>
              </w:rPr>
              <w:t>25,190</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F8B0A0B" w14:textId="77777777" w:rsidR="00DA5EA5" w:rsidRDefault="00DA5EA5">
            <w:pPr>
              <w:jc w:val="center"/>
              <w:rPr>
                <w:color w:val="000000"/>
              </w:rPr>
            </w:pPr>
            <w:r>
              <w:rPr>
                <w:color w:val="000000"/>
              </w:rPr>
              <w:t>14,822</w:t>
            </w:r>
          </w:p>
        </w:tc>
      </w:tr>
      <w:tr w:rsidR="00DA5EA5" w14:paraId="0F120149" w14:textId="77777777" w:rsidTr="00DA5EA5">
        <w:trPr>
          <w:trHeight w:val="312"/>
        </w:trPr>
        <w:tc>
          <w:tcPr>
            <w:tcW w:w="2527"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75EF0AE3" w14:textId="77777777" w:rsidR="00DA5EA5" w:rsidRDefault="00DA5EA5">
            <w:pPr>
              <w:rPr>
                <w:color w:val="000000"/>
              </w:rPr>
            </w:pPr>
            <w:r>
              <w:rPr>
                <w:color w:val="000000"/>
              </w:rPr>
              <w:t>Net sales</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E819AC0" w14:textId="77777777" w:rsidR="00DA5EA5" w:rsidRDefault="00DA5EA5">
            <w:pPr>
              <w:jc w:val="center"/>
              <w:rPr>
                <w:color w:val="000000"/>
              </w:rPr>
            </w:pPr>
            <w:r>
              <w:rPr>
                <w:color w:val="000000"/>
              </w:rPr>
              <w:t>614680</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D1AB45A" w14:textId="77777777" w:rsidR="00DA5EA5" w:rsidRDefault="00DA5EA5">
            <w:pPr>
              <w:jc w:val="center"/>
              <w:rPr>
                <w:color w:val="000000"/>
              </w:rPr>
            </w:pPr>
            <w:r>
              <w:rPr>
                <w:color w:val="000000"/>
              </w:rPr>
              <w:t>601602</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485E399" w14:textId="77777777" w:rsidR="00DA5EA5" w:rsidRDefault="00DA5EA5">
            <w:pPr>
              <w:jc w:val="center"/>
              <w:rPr>
                <w:color w:val="000000"/>
              </w:rPr>
            </w:pPr>
            <w:r>
              <w:rPr>
                <w:color w:val="000000"/>
              </w:rPr>
              <w:t>542751</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F7924A6" w14:textId="77777777" w:rsidR="00DA5EA5" w:rsidRDefault="00DA5EA5">
            <w:pPr>
              <w:jc w:val="center"/>
              <w:rPr>
                <w:color w:val="000000"/>
              </w:rPr>
            </w:pPr>
            <w:r>
              <w:rPr>
                <w:color w:val="000000"/>
              </w:rPr>
              <w:t>420457</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57FB366" w14:textId="77777777" w:rsidR="00DA5EA5" w:rsidRDefault="00DA5EA5">
            <w:pPr>
              <w:jc w:val="center"/>
              <w:rPr>
                <w:color w:val="000000"/>
              </w:rPr>
            </w:pPr>
            <w:r>
              <w:rPr>
                <w:color w:val="000000"/>
              </w:rPr>
              <w:t>394879</w:t>
            </w:r>
          </w:p>
        </w:tc>
      </w:tr>
      <w:tr w:rsidR="00DA5EA5" w14:paraId="65AB2BF1" w14:textId="77777777" w:rsidTr="00DA5EA5">
        <w:trPr>
          <w:trHeight w:val="312"/>
        </w:trPr>
        <w:tc>
          <w:tcPr>
            <w:tcW w:w="2527"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40C80DF5" w14:textId="77777777" w:rsidR="00DA5EA5" w:rsidRDefault="00DA5EA5">
            <w:pPr>
              <w:rPr>
                <w:b/>
                <w:bCs/>
                <w:color w:val="000000"/>
              </w:rPr>
            </w:pPr>
            <w:r>
              <w:rPr>
                <w:b/>
                <w:bCs/>
                <w:color w:val="000000"/>
              </w:rPr>
              <w:t>Operating Cash Flow Margin = (Operating Cash Flow /Net sales) * 100</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5CC51EF" w14:textId="77777777" w:rsidR="00DA5EA5" w:rsidRDefault="00DA5EA5">
            <w:pPr>
              <w:jc w:val="center"/>
              <w:rPr>
                <w:b/>
                <w:bCs/>
                <w:color w:val="000000"/>
              </w:rPr>
            </w:pPr>
            <w:r>
              <w:rPr>
                <w:b/>
                <w:bCs/>
                <w:color w:val="000000"/>
              </w:rPr>
              <w:t>11.94</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A70272D" w14:textId="77777777" w:rsidR="00DA5EA5" w:rsidRDefault="00DA5EA5">
            <w:pPr>
              <w:jc w:val="center"/>
              <w:rPr>
                <w:b/>
                <w:bCs/>
                <w:color w:val="000000"/>
              </w:rPr>
            </w:pPr>
            <w:r>
              <w:rPr>
                <w:b/>
                <w:bCs/>
                <w:color w:val="000000"/>
              </w:rPr>
              <w:t>6.70</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B9BABA8" w14:textId="77777777" w:rsidR="00DA5EA5" w:rsidRDefault="00DA5EA5">
            <w:pPr>
              <w:jc w:val="center"/>
              <w:rPr>
                <w:b/>
                <w:bCs/>
                <w:color w:val="000000"/>
              </w:rPr>
            </w:pPr>
            <w:r>
              <w:rPr>
                <w:b/>
                <w:bCs/>
                <w:color w:val="000000"/>
              </w:rPr>
              <w:t>2.01</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E1542B7" w14:textId="77777777" w:rsidR="00DA5EA5" w:rsidRDefault="00DA5EA5">
            <w:pPr>
              <w:jc w:val="center"/>
              <w:rPr>
                <w:b/>
                <w:bCs/>
                <w:color w:val="000000"/>
              </w:rPr>
            </w:pPr>
            <w:r>
              <w:rPr>
                <w:b/>
                <w:bCs/>
                <w:color w:val="000000"/>
              </w:rPr>
              <w:t>5.99</w:t>
            </w:r>
          </w:p>
        </w:tc>
        <w:tc>
          <w:tcPr>
            <w:tcW w:w="495"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0AD5BE5" w14:textId="77777777" w:rsidR="00DA5EA5" w:rsidRDefault="00DA5EA5">
            <w:pPr>
              <w:jc w:val="center"/>
              <w:rPr>
                <w:b/>
                <w:bCs/>
                <w:color w:val="000000"/>
              </w:rPr>
            </w:pPr>
            <w:r>
              <w:rPr>
                <w:b/>
                <w:bCs/>
                <w:color w:val="000000"/>
              </w:rPr>
              <w:t>3.75</w:t>
            </w:r>
          </w:p>
        </w:tc>
      </w:tr>
    </w:tbl>
    <w:p w14:paraId="72C1AEE3" w14:textId="77777777" w:rsidR="00DA5EA5" w:rsidRDefault="00DA5EA5">
      <w:r>
        <w:lastRenderedPageBreak/>
        <w:t xml:space="preserve"> </w:t>
      </w:r>
      <w:r>
        <w:rPr>
          <w:noProof/>
          <w:lang w:val="en-IN"/>
        </w:rPr>
        <w:drawing>
          <wp:inline distT="0" distB="0" distL="0" distR="0" wp14:anchorId="5768C2C9" wp14:editId="6905903A">
            <wp:extent cx="5943600" cy="2630170"/>
            <wp:effectExtent l="0" t="0" r="0" b="17780"/>
            <wp:docPr id="56" name="Chart 56"/>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r>
        <w:t xml:space="preserve"> </w:t>
      </w:r>
    </w:p>
    <w:p w14:paraId="0B5F41B7" w14:textId="77777777" w:rsidR="001A5114" w:rsidRDefault="00862D4C">
      <w:r w:rsidRPr="00FA2975">
        <w:rPr>
          <w:rFonts w:eastAsia="Times New Roman"/>
          <w:noProof/>
          <w:sz w:val="24"/>
          <w:szCs w:val="24"/>
          <w:lang w:val="en-IN"/>
        </w:rPr>
        <w:drawing>
          <wp:inline distT="114300" distB="114300" distL="114300" distR="114300" wp14:anchorId="157B00E7" wp14:editId="2ADE4CC0">
            <wp:extent cx="5951220" cy="1085850"/>
            <wp:effectExtent l="0" t="0" r="0" b="0"/>
            <wp:docPr id="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2"/>
                    <a:srcRect/>
                    <a:stretch>
                      <a:fillRect/>
                    </a:stretch>
                  </pic:blipFill>
                  <pic:spPr>
                    <a:xfrm>
                      <a:off x="0" y="0"/>
                      <a:ext cx="5951220" cy="1085850"/>
                    </a:xfrm>
                    <a:prstGeom prst="rect">
                      <a:avLst/>
                    </a:prstGeom>
                    <a:ln/>
                  </pic:spPr>
                </pic:pic>
              </a:graphicData>
            </a:graphic>
          </wp:inline>
        </w:drawing>
      </w:r>
    </w:p>
    <w:tbl>
      <w:tblPr>
        <w:tblW w:w="5000" w:type="pct"/>
        <w:tblCellMar>
          <w:left w:w="0" w:type="dxa"/>
          <w:right w:w="0" w:type="dxa"/>
        </w:tblCellMar>
        <w:tblLook w:val="04A0" w:firstRow="1" w:lastRow="0" w:firstColumn="1" w:lastColumn="0" w:noHBand="0" w:noVBand="1"/>
      </w:tblPr>
      <w:tblGrid>
        <w:gridCol w:w="5216"/>
        <w:gridCol w:w="826"/>
        <w:gridCol w:w="827"/>
        <w:gridCol w:w="827"/>
        <w:gridCol w:w="827"/>
        <w:gridCol w:w="827"/>
      </w:tblGrid>
      <w:tr w:rsidR="00DA5EA5" w14:paraId="2C5C9DBB" w14:textId="77777777" w:rsidTr="00DA5EA5">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6068B7B6" w14:textId="77777777" w:rsidR="00DA5EA5" w:rsidRDefault="00DA5EA5">
            <w:pPr>
              <w:jc w:val="center"/>
              <w:rPr>
                <w:b/>
                <w:bCs/>
                <w:color w:val="000000"/>
              </w:rPr>
            </w:pPr>
            <w:r>
              <w:rPr>
                <w:b/>
                <w:bCs/>
                <w:color w:val="000000"/>
              </w:rPr>
              <w:t>Cash flow ratio</w:t>
            </w:r>
          </w:p>
        </w:tc>
      </w:tr>
      <w:tr w:rsidR="00DA5EA5" w14:paraId="5EE96631" w14:textId="77777777" w:rsidTr="00DA5EA5">
        <w:trPr>
          <w:trHeight w:val="312"/>
        </w:trPr>
        <w:tc>
          <w:tcPr>
            <w:tcW w:w="5000" w:type="pct"/>
            <w:gridSpan w:val="6"/>
            <w:tcBorders>
              <w:top w:val="single" w:sz="4" w:space="0" w:color="000000"/>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781BD5E3" w14:textId="77777777" w:rsidR="00DA5EA5" w:rsidRDefault="00DA5EA5">
            <w:pPr>
              <w:jc w:val="center"/>
              <w:rPr>
                <w:b/>
                <w:bCs/>
                <w:color w:val="000000"/>
              </w:rPr>
            </w:pPr>
            <w:r>
              <w:rPr>
                <w:b/>
                <w:bCs/>
                <w:color w:val="000000"/>
              </w:rPr>
              <w:t xml:space="preserve">Free Cash Flow Margin </w:t>
            </w:r>
          </w:p>
        </w:tc>
      </w:tr>
      <w:tr w:rsidR="00DA5EA5" w14:paraId="658C8434" w14:textId="77777777" w:rsidTr="00DA5EA5">
        <w:trPr>
          <w:trHeight w:val="312"/>
        </w:trPr>
        <w:tc>
          <w:tcPr>
            <w:tcW w:w="2806"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3B02420A" w14:textId="77777777" w:rsidR="00DA5EA5" w:rsidRDefault="00DA5EA5">
            <w:pPr>
              <w:jc w:val="center"/>
              <w:rPr>
                <w:b/>
                <w:bCs/>
                <w:color w:val="000000"/>
              </w:rPr>
            </w:pPr>
            <w:r>
              <w:rPr>
                <w:b/>
                <w:bCs/>
                <w:color w:val="000000"/>
              </w:rPr>
              <w:t>Particulars</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0AC441C" w14:textId="77777777" w:rsidR="00DA5EA5" w:rsidRDefault="00DA5EA5">
            <w:pPr>
              <w:jc w:val="center"/>
              <w:rPr>
                <w:b/>
                <w:bCs/>
                <w:color w:val="000000"/>
              </w:rPr>
            </w:pPr>
            <w:r>
              <w:rPr>
                <w:b/>
                <w:bCs/>
                <w:color w:val="000000"/>
              </w:rPr>
              <w:t>2020 (Million)</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BBDD524" w14:textId="77777777" w:rsidR="00DA5EA5" w:rsidRDefault="00DA5EA5">
            <w:pPr>
              <w:jc w:val="center"/>
              <w:rPr>
                <w:b/>
                <w:bCs/>
                <w:color w:val="000000"/>
              </w:rPr>
            </w:pPr>
            <w:r>
              <w:rPr>
                <w:b/>
                <w:bCs/>
                <w:color w:val="000000"/>
              </w:rPr>
              <w:t>2021 (Million)</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CA6A04B" w14:textId="77777777" w:rsidR="00DA5EA5" w:rsidRDefault="00DA5EA5">
            <w:pPr>
              <w:jc w:val="center"/>
              <w:rPr>
                <w:b/>
                <w:bCs/>
                <w:color w:val="000000"/>
              </w:rPr>
            </w:pPr>
            <w:r>
              <w:rPr>
                <w:b/>
                <w:bCs/>
                <w:color w:val="000000"/>
              </w:rPr>
              <w:t>2022 (Million)</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2F602B66" w14:textId="77777777" w:rsidR="00DA5EA5" w:rsidRDefault="00DA5EA5">
            <w:pPr>
              <w:jc w:val="center"/>
              <w:rPr>
                <w:b/>
                <w:bCs/>
                <w:color w:val="000000"/>
              </w:rPr>
            </w:pPr>
            <w:r>
              <w:rPr>
                <w:b/>
                <w:bCs/>
                <w:color w:val="000000"/>
              </w:rPr>
              <w:t>2023 (Million)</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76DACD7" w14:textId="77777777" w:rsidR="00DA5EA5" w:rsidRDefault="00DA5EA5">
            <w:pPr>
              <w:jc w:val="center"/>
              <w:rPr>
                <w:b/>
                <w:bCs/>
                <w:color w:val="000000"/>
              </w:rPr>
            </w:pPr>
            <w:r>
              <w:rPr>
                <w:b/>
                <w:bCs/>
                <w:color w:val="000000"/>
              </w:rPr>
              <w:t>2024 (Million)</w:t>
            </w:r>
          </w:p>
        </w:tc>
      </w:tr>
      <w:tr w:rsidR="00DA5EA5" w14:paraId="31E850A9" w14:textId="77777777" w:rsidTr="00DA5EA5">
        <w:trPr>
          <w:trHeight w:val="312"/>
        </w:trPr>
        <w:tc>
          <w:tcPr>
            <w:tcW w:w="2806"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5AB89F66" w14:textId="77777777" w:rsidR="00DA5EA5" w:rsidRDefault="00DA5EA5">
            <w:pPr>
              <w:rPr>
                <w:color w:val="000000"/>
              </w:rPr>
            </w:pPr>
            <w:r>
              <w:rPr>
                <w:color w:val="000000"/>
              </w:rPr>
              <w:t>Operating Cash Flow</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7C7E418" w14:textId="77777777" w:rsidR="00DA5EA5" w:rsidRDefault="00DA5EA5">
            <w:pPr>
              <w:jc w:val="center"/>
              <w:rPr>
                <w:color w:val="000000"/>
              </w:rPr>
            </w:pPr>
            <w:r>
              <w:rPr>
                <w:color w:val="000000"/>
              </w:rPr>
              <w:t>73,392</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A8656F7" w14:textId="77777777" w:rsidR="00DA5EA5" w:rsidRDefault="00DA5EA5">
            <w:pPr>
              <w:jc w:val="center"/>
              <w:rPr>
                <w:color w:val="000000"/>
              </w:rPr>
            </w:pPr>
            <w:r>
              <w:rPr>
                <w:color w:val="000000"/>
              </w:rPr>
              <w:t>40,283</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EC33173" w14:textId="77777777" w:rsidR="00DA5EA5" w:rsidRDefault="00DA5EA5">
            <w:pPr>
              <w:jc w:val="center"/>
              <w:rPr>
                <w:color w:val="000000"/>
              </w:rPr>
            </w:pPr>
            <w:r>
              <w:rPr>
                <w:color w:val="000000"/>
              </w:rPr>
              <w:t>10,926</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14CDBF3" w14:textId="77777777" w:rsidR="00DA5EA5" w:rsidRDefault="00DA5EA5">
            <w:pPr>
              <w:jc w:val="center"/>
              <w:rPr>
                <w:color w:val="000000"/>
              </w:rPr>
            </w:pPr>
            <w:r>
              <w:rPr>
                <w:color w:val="000000"/>
              </w:rPr>
              <w:t>25,190</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3C9EC495" w14:textId="77777777" w:rsidR="00DA5EA5" w:rsidRDefault="00DA5EA5">
            <w:pPr>
              <w:jc w:val="center"/>
              <w:rPr>
                <w:color w:val="000000"/>
              </w:rPr>
            </w:pPr>
            <w:r>
              <w:rPr>
                <w:color w:val="000000"/>
              </w:rPr>
              <w:t>14,822</w:t>
            </w:r>
          </w:p>
        </w:tc>
      </w:tr>
      <w:tr w:rsidR="00DA5EA5" w14:paraId="2116B5AA" w14:textId="77777777" w:rsidTr="00DA5EA5">
        <w:trPr>
          <w:trHeight w:val="312"/>
        </w:trPr>
        <w:tc>
          <w:tcPr>
            <w:tcW w:w="2806"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386B36A4" w14:textId="77777777" w:rsidR="00DA5EA5" w:rsidRDefault="00DA5EA5">
            <w:pPr>
              <w:rPr>
                <w:color w:val="000000"/>
              </w:rPr>
            </w:pPr>
            <w:r>
              <w:rPr>
                <w:color w:val="000000"/>
              </w:rPr>
              <w:t>Capital expenditure</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41C03DA" w14:textId="77777777" w:rsidR="00DA5EA5" w:rsidRDefault="00DA5EA5">
            <w:pPr>
              <w:jc w:val="center"/>
              <w:rPr>
                <w:color w:val="000000"/>
              </w:rPr>
            </w:pPr>
            <w:r>
              <w:rPr>
                <w:color w:val="000000"/>
              </w:rPr>
              <w:t>16862</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1CC869B" w14:textId="77777777" w:rsidR="00DA5EA5" w:rsidRDefault="00DA5EA5">
            <w:pPr>
              <w:jc w:val="center"/>
              <w:rPr>
                <w:color w:val="000000"/>
              </w:rPr>
            </w:pPr>
            <w:r>
              <w:rPr>
                <w:color w:val="000000"/>
              </w:rPr>
              <w:t>12586</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E54BBED" w14:textId="77777777" w:rsidR="00DA5EA5" w:rsidRDefault="00DA5EA5">
            <w:pPr>
              <w:jc w:val="center"/>
              <w:rPr>
                <w:color w:val="000000"/>
              </w:rPr>
            </w:pPr>
            <w:r>
              <w:rPr>
                <w:color w:val="000000"/>
              </w:rPr>
              <w:t>14006</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3BA6835" w14:textId="77777777" w:rsidR="00DA5EA5" w:rsidRDefault="00DA5EA5">
            <w:pPr>
              <w:jc w:val="center"/>
              <w:rPr>
                <w:color w:val="000000"/>
              </w:rPr>
            </w:pPr>
            <w:r>
              <w:rPr>
                <w:color w:val="000000"/>
              </w:rPr>
              <w:t>8116</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13CB5C9" w14:textId="77777777" w:rsidR="00DA5EA5" w:rsidRDefault="00DA5EA5">
            <w:pPr>
              <w:jc w:val="center"/>
              <w:rPr>
                <w:color w:val="000000"/>
              </w:rPr>
            </w:pPr>
            <w:r>
              <w:rPr>
                <w:color w:val="000000"/>
              </w:rPr>
              <w:t>4572</w:t>
            </w:r>
          </w:p>
        </w:tc>
      </w:tr>
      <w:tr w:rsidR="00DA5EA5" w14:paraId="5CA7A467" w14:textId="77777777" w:rsidTr="00DA5EA5">
        <w:trPr>
          <w:trHeight w:val="312"/>
        </w:trPr>
        <w:tc>
          <w:tcPr>
            <w:tcW w:w="2806"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7F4405D5" w14:textId="77777777" w:rsidR="00DA5EA5" w:rsidRDefault="00DA5EA5">
            <w:pPr>
              <w:rPr>
                <w:color w:val="000000"/>
              </w:rPr>
            </w:pPr>
            <w:r>
              <w:rPr>
                <w:color w:val="000000"/>
              </w:rPr>
              <w:t>Net sales</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6FA0BCBA" w14:textId="77777777" w:rsidR="00DA5EA5" w:rsidRDefault="00DA5EA5">
            <w:pPr>
              <w:jc w:val="center"/>
              <w:rPr>
                <w:color w:val="000000"/>
              </w:rPr>
            </w:pPr>
            <w:r>
              <w:rPr>
                <w:color w:val="000000"/>
              </w:rPr>
              <w:t>614680</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475319F" w14:textId="77777777" w:rsidR="00DA5EA5" w:rsidRDefault="00DA5EA5">
            <w:pPr>
              <w:jc w:val="center"/>
              <w:rPr>
                <w:color w:val="000000"/>
              </w:rPr>
            </w:pPr>
            <w:r>
              <w:rPr>
                <w:color w:val="000000"/>
              </w:rPr>
              <w:t>601602</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1EFD5297" w14:textId="77777777" w:rsidR="00DA5EA5" w:rsidRDefault="00DA5EA5">
            <w:pPr>
              <w:jc w:val="center"/>
              <w:rPr>
                <w:color w:val="000000"/>
              </w:rPr>
            </w:pPr>
            <w:r>
              <w:rPr>
                <w:color w:val="000000"/>
              </w:rPr>
              <w:t>14006</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77563CAD" w14:textId="77777777" w:rsidR="00DA5EA5" w:rsidRDefault="00DA5EA5">
            <w:pPr>
              <w:jc w:val="center"/>
              <w:rPr>
                <w:color w:val="000000"/>
              </w:rPr>
            </w:pPr>
            <w:r>
              <w:rPr>
                <w:color w:val="000000"/>
              </w:rPr>
              <w:t>420457</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4262A02D" w14:textId="77777777" w:rsidR="00DA5EA5" w:rsidRDefault="00DA5EA5">
            <w:pPr>
              <w:jc w:val="center"/>
              <w:rPr>
                <w:color w:val="000000"/>
              </w:rPr>
            </w:pPr>
            <w:r>
              <w:rPr>
                <w:color w:val="000000"/>
              </w:rPr>
              <w:t>394879</w:t>
            </w:r>
          </w:p>
        </w:tc>
      </w:tr>
      <w:tr w:rsidR="00DA5EA5" w14:paraId="155EC5A6" w14:textId="77777777" w:rsidTr="00DA5EA5">
        <w:trPr>
          <w:trHeight w:val="312"/>
        </w:trPr>
        <w:tc>
          <w:tcPr>
            <w:tcW w:w="2806" w:type="pct"/>
            <w:tcBorders>
              <w:top w:val="nil"/>
              <w:left w:val="single" w:sz="4" w:space="0" w:color="000000"/>
              <w:bottom w:val="single" w:sz="4" w:space="0" w:color="000000"/>
              <w:right w:val="single" w:sz="4" w:space="0" w:color="000000"/>
            </w:tcBorders>
            <w:noWrap/>
            <w:tcMar>
              <w:top w:w="15" w:type="dxa"/>
              <w:left w:w="15" w:type="dxa"/>
              <w:bottom w:w="0" w:type="dxa"/>
              <w:right w:w="15" w:type="dxa"/>
            </w:tcMar>
            <w:vAlign w:val="bottom"/>
            <w:hideMark/>
          </w:tcPr>
          <w:p w14:paraId="265AFD41" w14:textId="77777777" w:rsidR="00DA5EA5" w:rsidRDefault="00DA5EA5">
            <w:pPr>
              <w:rPr>
                <w:b/>
                <w:bCs/>
                <w:color w:val="000000"/>
              </w:rPr>
            </w:pPr>
            <w:r>
              <w:rPr>
                <w:b/>
                <w:bCs/>
                <w:color w:val="000000"/>
              </w:rPr>
              <w:t>Free Cash Flow Margin = ((Operating Cash Flow - Capital Expenditure) / Net sales)* 100</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BB2676E" w14:textId="77777777" w:rsidR="00DA5EA5" w:rsidRDefault="00DA5EA5">
            <w:pPr>
              <w:jc w:val="center"/>
              <w:rPr>
                <w:b/>
                <w:bCs/>
                <w:color w:val="000000"/>
              </w:rPr>
            </w:pPr>
            <w:r>
              <w:rPr>
                <w:b/>
                <w:bCs/>
                <w:color w:val="000000"/>
              </w:rPr>
              <w:t>9.20</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56369F02" w14:textId="77777777" w:rsidR="00DA5EA5" w:rsidRDefault="00DA5EA5">
            <w:pPr>
              <w:jc w:val="center"/>
              <w:rPr>
                <w:b/>
                <w:bCs/>
                <w:color w:val="000000"/>
              </w:rPr>
            </w:pPr>
            <w:r>
              <w:rPr>
                <w:b/>
                <w:bCs/>
                <w:color w:val="000000"/>
              </w:rPr>
              <w:t>4.60</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87EE479" w14:textId="77777777" w:rsidR="00DA5EA5" w:rsidRDefault="00DA5EA5">
            <w:pPr>
              <w:jc w:val="center"/>
              <w:rPr>
                <w:b/>
                <w:bCs/>
                <w:color w:val="000000"/>
              </w:rPr>
            </w:pPr>
            <w:r>
              <w:rPr>
                <w:b/>
                <w:bCs/>
                <w:color w:val="000000"/>
              </w:rPr>
              <w:t>-21.99</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70FBA25" w14:textId="77777777" w:rsidR="00DA5EA5" w:rsidRDefault="00DA5EA5">
            <w:pPr>
              <w:jc w:val="center"/>
              <w:rPr>
                <w:b/>
                <w:bCs/>
                <w:color w:val="000000"/>
              </w:rPr>
            </w:pPr>
            <w:r>
              <w:rPr>
                <w:b/>
                <w:bCs/>
                <w:color w:val="000000"/>
              </w:rPr>
              <w:t>4.06</w:t>
            </w:r>
          </w:p>
        </w:tc>
        <w:tc>
          <w:tcPr>
            <w:tcW w:w="439" w:type="pct"/>
            <w:tcBorders>
              <w:top w:val="nil"/>
              <w:left w:val="nil"/>
              <w:bottom w:val="single" w:sz="4" w:space="0" w:color="000000"/>
              <w:right w:val="single" w:sz="4" w:space="0" w:color="000000"/>
            </w:tcBorders>
            <w:noWrap/>
            <w:tcMar>
              <w:top w:w="15" w:type="dxa"/>
              <w:left w:w="15" w:type="dxa"/>
              <w:bottom w:w="0" w:type="dxa"/>
              <w:right w:w="15" w:type="dxa"/>
            </w:tcMar>
            <w:vAlign w:val="bottom"/>
            <w:hideMark/>
          </w:tcPr>
          <w:p w14:paraId="0164DC29" w14:textId="77777777" w:rsidR="00DA5EA5" w:rsidRDefault="00DA5EA5">
            <w:pPr>
              <w:jc w:val="center"/>
              <w:rPr>
                <w:b/>
                <w:bCs/>
                <w:color w:val="000000"/>
              </w:rPr>
            </w:pPr>
            <w:r>
              <w:rPr>
                <w:b/>
                <w:bCs/>
                <w:color w:val="000000"/>
              </w:rPr>
              <w:t>2.60</w:t>
            </w:r>
          </w:p>
        </w:tc>
      </w:tr>
    </w:tbl>
    <w:p w14:paraId="6FD11FFC" w14:textId="77777777" w:rsidR="00BA2952" w:rsidRDefault="00DA5EA5">
      <w:r>
        <w:lastRenderedPageBreak/>
        <w:t xml:space="preserve"> </w:t>
      </w:r>
      <w:r>
        <w:rPr>
          <w:noProof/>
          <w:lang w:val="en-IN"/>
        </w:rPr>
        <w:drawing>
          <wp:inline distT="0" distB="0" distL="0" distR="0" wp14:anchorId="2D332962" wp14:editId="1EC760F5">
            <wp:extent cx="5943600" cy="2846705"/>
            <wp:effectExtent l="0" t="0" r="0" b="10795"/>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r>
        <w:t xml:space="preserve"> </w:t>
      </w:r>
    </w:p>
    <w:p w14:paraId="44C4F21B" w14:textId="77777777" w:rsidR="00862D4C" w:rsidRDefault="00862D4C">
      <w:r w:rsidRPr="00FA2975">
        <w:rPr>
          <w:rFonts w:eastAsia="Times New Roman"/>
          <w:noProof/>
          <w:sz w:val="24"/>
          <w:szCs w:val="24"/>
          <w:lang w:val="en-IN"/>
        </w:rPr>
        <w:drawing>
          <wp:inline distT="114300" distB="114300" distL="114300" distR="114300" wp14:anchorId="61DF4E00" wp14:editId="4EC03C47">
            <wp:extent cx="5943600" cy="685800"/>
            <wp:effectExtent l="0" t="0" r="0" b="0"/>
            <wp:docPr id="1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4"/>
                    <a:srcRect/>
                    <a:stretch>
                      <a:fillRect/>
                    </a:stretch>
                  </pic:blipFill>
                  <pic:spPr>
                    <a:xfrm>
                      <a:off x="0" y="0"/>
                      <a:ext cx="5943600" cy="685800"/>
                    </a:xfrm>
                    <a:prstGeom prst="rect">
                      <a:avLst/>
                    </a:prstGeom>
                    <a:ln/>
                  </pic:spPr>
                </pic:pic>
              </a:graphicData>
            </a:graphic>
          </wp:inline>
        </w:drawing>
      </w:r>
    </w:p>
    <w:p w14:paraId="5288D916" w14:textId="77777777" w:rsidR="00BA2952" w:rsidRDefault="00BA2952"/>
    <w:p w14:paraId="66FD14AE" w14:textId="77777777" w:rsidR="00F66904" w:rsidRPr="00F66904" w:rsidRDefault="002457FC" w:rsidP="00F66904">
      <w:pPr>
        <w:pStyle w:val="Heading2"/>
      </w:pPr>
      <w:r>
        <w:br w:type="page"/>
      </w:r>
    </w:p>
    <w:p w14:paraId="160F4270" w14:textId="77777777" w:rsidR="00FA51B8" w:rsidRPr="001626AD" w:rsidRDefault="00056198" w:rsidP="0003048C">
      <w:pPr>
        <w:pStyle w:val="Heading2"/>
      </w:pPr>
      <w:bookmarkStart w:id="22" w:name="_Toc213703087"/>
      <w:r w:rsidRPr="001626AD">
        <w:lastRenderedPageBreak/>
        <w:t xml:space="preserve">Appendix 2: Investment </w:t>
      </w:r>
      <w:r w:rsidRPr="0003048C">
        <w:t>analysis</w:t>
      </w:r>
      <w:bookmarkEnd w:id="22"/>
      <w:r w:rsidRPr="001626AD">
        <w:t xml:space="preserve"> </w:t>
      </w:r>
    </w:p>
    <w:p w14:paraId="62747364"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Payback Period (PBP)</w:t>
      </w:r>
    </w:p>
    <w:p w14:paraId="287B9FB7"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Project A</w:t>
      </w:r>
    </w:p>
    <w:tbl>
      <w:tblPr>
        <w:tblStyle w:val="a"/>
        <w:tblW w:w="7160" w:type="dxa"/>
        <w:jc w:val="center"/>
        <w:tblLayout w:type="fixed"/>
        <w:tblLook w:val="0400" w:firstRow="0" w:lastRow="0" w:firstColumn="0" w:lastColumn="0" w:noHBand="0" w:noVBand="1"/>
      </w:tblPr>
      <w:tblGrid>
        <w:gridCol w:w="4900"/>
        <w:gridCol w:w="2260"/>
      </w:tblGrid>
      <w:tr w:rsidR="001626AD" w:rsidRPr="001626AD" w14:paraId="215AC2EC" w14:textId="77777777">
        <w:trPr>
          <w:trHeight w:val="315"/>
          <w:jc w:val="center"/>
        </w:trPr>
        <w:tc>
          <w:tcPr>
            <w:tcW w:w="7160" w:type="dxa"/>
            <w:gridSpan w:val="2"/>
            <w:tcBorders>
              <w:top w:val="single" w:sz="4" w:space="0" w:color="000000"/>
              <w:left w:val="single" w:sz="4" w:space="0" w:color="000000"/>
              <w:bottom w:val="single" w:sz="4" w:space="0" w:color="000000"/>
              <w:right w:val="single" w:sz="4" w:space="0" w:color="000000"/>
            </w:tcBorders>
            <w:vAlign w:val="bottom"/>
          </w:tcPr>
          <w:p w14:paraId="29AB07E6"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Payback period - Project A</w:t>
            </w:r>
          </w:p>
        </w:tc>
      </w:tr>
      <w:tr w:rsidR="001626AD" w:rsidRPr="001626AD" w14:paraId="7B06ECA1"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31F48C56"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Particulars</w:t>
            </w:r>
          </w:p>
        </w:tc>
        <w:tc>
          <w:tcPr>
            <w:tcW w:w="2260" w:type="dxa"/>
            <w:tcBorders>
              <w:top w:val="nil"/>
              <w:left w:val="nil"/>
              <w:bottom w:val="single" w:sz="4" w:space="0" w:color="000000"/>
              <w:right w:val="single" w:sz="4" w:space="0" w:color="000000"/>
            </w:tcBorders>
            <w:vAlign w:val="bottom"/>
          </w:tcPr>
          <w:p w14:paraId="0DB8865A"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Amount</w:t>
            </w:r>
          </w:p>
        </w:tc>
      </w:tr>
      <w:tr w:rsidR="001626AD" w:rsidRPr="001626AD" w14:paraId="45B14977"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53B0D6B2"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Initial Capital</w:t>
            </w:r>
          </w:p>
        </w:tc>
        <w:tc>
          <w:tcPr>
            <w:tcW w:w="2260" w:type="dxa"/>
            <w:tcBorders>
              <w:top w:val="nil"/>
              <w:left w:val="nil"/>
              <w:bottom w:val="single" w:sz="4" w:space="0" w:color="000000"/>
              <w:right w:val="single" w:sz="4" w:space="0" w:color="000000"/>
            </w:tcBorders>
            <w:vAlign w:val="bottom"/>
          </w:tcPr>
          <w:p w14:paraId="42294E65"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40</w:t>
            </w:r>
          </w:p>
        </w:tc>
      </w:tr>
      <w:tr w:rsidR="001626AD" w:rsidRPr="001626AD" w14:paraId="12242FBA"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3D5C2CBA"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w:t>
            </w:r>
          </w:p>
        </w:tc>
        <w:tc>
          <w:tcPr>
            <w:tcW w:w="2260" w:type="dxa"/>
            <w:tcBorders>
              <w:top w:val="nil"/>
              <w:left w:val="nil"/>
              <w:bottom w:val="single" w:sz="4" w:space="0" w:color="000000"/>
              <w:right w:val="single" w:sz="4" w:space="0" w:color="000000"/>
            </w:tcBorders>
            <w:vAlign w:val="bottom"/>
          </w:tcPr>
          <w:p w14:paraId="142CB4E3"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£10</w:t>
            </w:r>
          </w:p>
        </w:tc>
      </w:tr>
      <w:tr w:rsidR="001626AD" w:rsidRPr="001626AD" w14:paraId="210BC4D7"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11479C15"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2</w:t>
            </w:r>
          </w:p>
        </w:tc>
        <w:tc>
          <w:tcPr>
            <w:tcW w:w="2260" w:type="dxa"/>
            <w:tcBorders>
              <w:top w:val="nil"/>
              <w:left w:val="nil"/>
              <w:bottom w:val="single" w:sz="4" w:space="0" w:color="000000"/>
              <w:right w:val="single" w:sz="4" w:space="0" w:color="000000"/>
            </w:tcBorders>
            <w:vAlign w:val="bottom"/>
          </w:tcPr>
          <w:p w14:paraId="033B9D3C"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£12</w:t>
            </w:r>
          </w:p>
        </w:tc>
      </w:tr>
      <w:tr w:rsidR="001626AD" w:rsidRPr="001626AD" w14:paraId="491B33DB"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5B8B2EDE"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3</w:t>
            </w:r>
          </w:p>
        </w:tc>
        <w:tc>
          <w:tcPr>
            <w:tcW w:w="2260" w:type="dxa"/>
            <w:tcBorders>
              <w:top w:val="nil"/>
              <w:left w:val="nil"/>
              <w:bottom w:val="single" w:sz="4" w:space="0" w:color="000000"/>
              <w:right w:val="single" w:sz="4" w:space="0" w:color="000000"/>
            </w:tcBorders>
            <w:vAlign w:val="bottom"/>
          </w:tcPr>
          <w:p w14:paraId="0591E56D"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£14</w:t>
            </w:r>
          </w:p>
        </w:tc>
      </w:tr>
      <w:tr w:rsidR="001626AD" w:rsidRPr="001626AD" w14:paraId="38FF3524"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33A1274F"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4</w:t>
            </w:r>
          </w:p>
        </w:tc>
        <w:tc>
          <w:tcPr>
            <w:tcW w:w="2260" w:type="dxa"/>
            <w:tcBorders>
              <w:top w:val="nil"/>
              <w:left w:val="nil"/>
              <w:bottom w:val="single" w:sz="4" w:space="0" w:color="000000"/>
              <w:right w:val="single" w:sz="4" w:space="0" w:color="000000"/>
            </w:tcBorders>
            <w:vAlign w:val="bottom"/>
          </w:tcPr>
          <w:p w14:paraId="486DD7DE"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10</w:t>
            </w:r>
          </w:p>
        </w:tc>
      </w:tr>
      <w:tr w:rsidR="001626AD" w:rsidRPr="001626AD" w14:paraId="56CFD748"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31A68996"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5</w:t>
            </w:r>
          </w:p>
        </w:tc>
        <w:tc>
          <w:tcPr>
            <w:tcW w:w="2260" w:type="dxa"/>
            <w:tcBorders>
              <w:top w:val="nil"/>
              <w:left w:val="nil"/>
              <w:bottom w:val="single" w:sz="4" w:space="0" w:color="000000"/>
              <w:right w:val="single" w:sz="4" w:space="0" w:color="000000"/>
            </w:tcBorders>
            <w:vAlign w:val="bottom"/>
          </w:tcPr>
          <w:p w14:paraId="5CF8FB5C"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8</w:t>
            </w:r>
          </w:p>
        </w:tc>
      </w:tr>
      <w:tr w:rsidR="001626AD" w:rsidRPr="001626AD" w14:paraId="32B2AC7F"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7E82BD58"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PBP in year</w:t>
            </w:r>
          </w:p>
        </w:tc>
        <w:tc>
          <w:tcPr>
            <w:tcW w:w="2260" w:type="dxa"/>
            <w:tcBorders>
              <w:top w:val="nil"/>
              <w:left w:val="nil"/>
              <w:bottom w:val="single" w:sz="4" w:space="0" w:color="000000"/>
              <w:right w:val="single" w:sz="4" w:space="0" w:color="000000"/>
            </w:tcBorders>
            <w:vAlign w:val="bottom"/>
          </w:tcPr>
          <w:p w14:paraId="78A6D127"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3</w:t>
            </w:r>
          </w:p>
        </w:tc>
      </w:tr>
      <w:tr w:rsidR="001626AD" w:rsidRPr="001626AD" w14:paraId="4678B507"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0B904A33"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Unrecovered cash</w:t>
            </w:r>
          </w:p>
        </w:tc>
        <w:tc>
          <w:tcPr>
            <w:tcW w:w="2260" w:type="dxa"/>
            <w:tcBorders>
              <w:top w:val="nil"/>
              <w:left w:val="nil"/>
              <w:bottom w:val="single" w:sz="4" w:space="0" w:color="000000"/>
              <w:right w:val="single" w:sz="4" w:space="0" w:color="000000"/>
            </w:tcBorders>
            <w:vAlign w:val="bottom"/>
          </w:tcPr>
          <w:p w14:paraId="397B33A3"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£4</w:t>
            </w:r>
          </w:p>
        </w:tc>
      </w:tr>
      <w:tr w:rsidR="001626AD" w:rsidRPr="001626AD" w14:paraId="477D8E26"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1FC5ABF4"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Recovery period cash flow</w:t>
            </w:r>
          </w:p>
        </w:tc>
        <w:tc>
          <w:tcPr>
            <w:tcW w:w="2260" w:type="dxa"/>
            <w:tcBorders>
              <w:top w:val="nil"/>
              <w:left w:val="nil"/>
              <w:bottom w:val="single" w:sz="4" w:space="0" w:color="000000"/>
              <w:right w:val="single" w:sz="4" w:space="0" w:color="000000"/>
            </w:tcBorders>
            <w:vAlign w:val="bottom"/>
          </w:tcPr>
          <w:p w14:paraId="7D628462"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£10</w:t>
            </w:r>
          </w:p>
        </w:tc>
      </w:tr>
      <w:tr w:rsidR="001626AD" w:rsidRPr="001626AD" w14:paraId="31CAA7CE"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36C32D09"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Project A's PBP (in months)</w:t>
            </w:r>
          </w:p>
        </w:tc>
        <w:tc>
          <w:tcPr>
            <w:tcW w:w="2260" w:type="dxa"/>
            <w:tcBorders>
              <w:top w:val="nil"/>
              <w:left w:val="nil"/>
              <w:bottom w:val="single" w:sz="4" w:space="0" w:color="000000"/>
              <w:right w:val="single" w:sz="4" w:space="0" w:color="000000"/>
            </w:tcBorders>
            <w:vAlign w:val="bottom"/>
          </w:tcPr>
          <w:p w14:paraId="78A374F4"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4.80</w:t>
            </w:r>
          </w:p>
        </w:tc>
      </w:tr>
      <w:tr w:rsidR="001626AD" w:rsidRPr="001626AD" w14:paraId="0ADB6A6F"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46946AB8"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Project A's PBP</w:t>
            </w:r>
          </w:p>
        </w:tc>
        <w:tc>
          <w:tcPr>
            <w:tcW w:w="2260" w:type="dxa"/>
            <w:tcBorders>
              <w:top w:val="nil"/>
              <w:left w:val="nil"/>
              <w:bottom w:val="single" w:sz="4" w:space="0" w:color="000000"/>
              <w:right w:val="single" w:sz="4" w:space="0" w:color="000000"/>
            </w:tcBorders>
            <w:vAlign w:val="bottom"/>
          </w:tcPr>
          <w:p w14:paraId="46CEE95D"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3 years and 4.80 months</w:t>
            </w:r>
          </w:p>
        </w:tc>
      </w:tr>
    </w:tbl>
    <w:p w14:paraId="1E8EC90B" w14:textId="77777777" w:rsidR="00FA51B8" w:rsidRPr="001626AD" w:rsidRDefault="00FA51B8">
      <w:pPr>
        <w:spacing w:line="360" w:lineRule="auto"/>
        <w:jc w:val="center"/>
        <w:rPr>
          <w:b/>
          <w:bCs/>
          <w:color w:val="000000" w:themeColor="text1"/>
          <w:sz w:val="24"/>
          <w:szCs w:val="24"/>
        </w:rPr>
      </w:pPr>
    </w:p>
    <w:p w14:paraId="66C35E9F"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 xml:space="preserve">Project B </w:t>
      </w:r>
    </w:p>
    <w:tbl>
      <w:tblPr>
        <w:tblStyle w:val="a0"/>
        <w:tblW w:w="7160" w:type="dxa"/>
        <w:jc w:val="center"/>
        <w:tblLayout w:type="fixed"/>
        <w:tblLook w:val="0400" w:firstRow="0" w:lastRow="0" w:firstColumn="0" w:lastColumn="0" w:noHBand="0" w:noVBand="1"/>
      </w:tblPr>
      <w:tblGrid>
        <w:gridCol w:w="4900"/>
        <w:gridCol w:w="2260"/>
      </w:tblGrid>
      <w:tr w:rsidR="001626AD" w:rsidRPr="001626AD" w14:paraId="77CCE2A8" w14:textId="77777777">
        <w:trPr>
          <w:trHeight w:val="315"/>
          <w:jc w:val="center"/>
        </w:trPr>
        <w:tc>
          <w:tcPr>
            <w:tcW w:w="7160" w:type="dxa"/>
            <w:gridSpan w:val="2"/>
            <w:tcBorders>
              <w:top w:val="single" w:sz="4" w:space="0" w:color="000000"/>
              <w:left w:val="single" w:sz="4" w:space="0" w:color="000000"/>
              <w:bottom w:val="single" w:sz="4" w:space="0" w:color="000000"/>
              <w:right w:val="single" w:sz="4" w:space="0" w:color="000000"/>
            </w:tcBorders>
            <w:vAlign w:val="bottom"/>
          </w:tcPr>
          <w:p w14:paraId="7011D95E"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Payback period - Project B</w:t>
            </w:r>
          </w:p>
        </w:tc>
      </w:tr>
      <w:tr w:rsidR="001626AD" w:rsidRPr="001626AD" w14:paraId="67EF1699"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0A203C73"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Particulars</w:t>
            </w:r>
          </w:p>
        </w:tc>
        <w:tc>
          <w:tcPr>
            <w:tcW w:w="2260" w:type="dxa"/>
            <w:tcBorders>
              <w:top w:val="nil"/>
              <w:left w:val="nil"/>
              <w:bottom w:val="single" w:sz="4" w:space="0" w:color="000000"/>
              <w:right w:val="single" w:sz="4" w:space="0" w:color="000000"/>
            </w:tcBorders>
            <w:vAlign w:val="bottom"/>
          </w:tcPr>
          <w:p w14:paraId="11BBAD2B"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Amount</w:t>
            </w:r>
          </w:p>
        </w:tc>
      </w:tr>
      <w:tr w:rsidR="001626AD" w:rsidRPr="001626AD" w14:paraId="65712C64"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5A42CC77"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Initial Capital</w:t>
            </w:r>
          </w:p>
        </w:tc>
        <w:tc>
          <w:tcPr>
            <w:tcW w:w="2260" w:type="dxa"/>
            <w:tcBorders>
              <w:top w:val="nil"/>
              <w:left w:val="nil"/>
              <w:bottom w:val="single" w:sz="4" w:space="0" w:color="000000"/>
              <w:right w:val="single" w:sz="4" w:space="0" w:color="000000"/>
            </w:tcBorders>
            <w:vAlign w:val="bottom"/>
          </w:tcPr>
          <w:p w14:paraId="4FAAC5C0"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30</w:t>
            </w:r>
          </w:p>
        </w:tc>
      </w:tr>
      <w:tr w:rsidR="001626AD" w:rsidRPr="001626AD" w14:paraId="271C9B32"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41C0E9C5"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w:t>
            </w:r>
          </w:p>
        </w:tc>
        <w:tc>
          <w:tcPr>
            <w:tcW w:w="2260" w:type="dxa"/>
            <w:tcBorders>
              <w:top w:val="nil"/>
              <w:left w:val="nil"/>
              <w:bottom w:val="single" w:sz="4" w:space="0" w:color="000000"/>
              <w:right w:val="single" w:sz="4" w:space="0" w:color="000000"/>
            </w:tcBorders>
            <w:vAlign w:val="bottom"/>
          </w:tcPr>
          <w:p w14:paraId="20D5048F"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£6</w:t>
            </w:r>
          </w:p>
        </w:tc>
      </w:tr>
      <w:tr w:rsidR="001626AD" w:rsidRPr="001626AD" w14:paraId="31446E58"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0F7A9E51"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2</w:t>
            </w:r>
          </w:p>
        </w:tc>
        <w:tc>
          <w:tcPr>
            <w:tcW w:w="2260" w:type="dxa"/>
            <w:tcBorders>
              <w:top w:val="nil"/>
              <w:left w:val="nil"/>
              <w:bottom w:val="single" w:sz="4" w:space="0" w:color="000000"/>
              <w:right w:val="single" w:sz="4" w:space="0" w:color="000000"/>
            </w:tcBorders>
            <w:vAlign w:val="bottom"/>
          </w:tcPr>
          <w:p w14:paraId="6E183209"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£6</w:t>
            </w:r>
          </w:p>
        </w:tc>
      </w:tr>
      <w:tr w:rsidR="001626AD" w:rsidRPr="001626AD" w14:paraId="282B65AD"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2949EF2D"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3</w:t>
            </w:r>
          </w:p>
        </w:tc>
        <w:tc>
          <w:tcPr>
            <w:tcW w:w="2260" w:type="dxa"/>
            <w:tcBorders>
              <w:top w:val="nil"/>
              <w:left w:val="nil"/>
              <w:bottom w:val="single" w:sz="4" w:space="0" w:color="000000"/>
              <w:right w:val="single" w:sz="4" w:space="0" w:color="000000"/>
            </w:tcBorders>
            <w:vAlign w:val="bottom"/>
          </w:tcPr>
          <w:p w14:paraId="14695696"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£6</w:t>
            </w:r>
          </w:p>
        </w:tc>
      </w:tr>
      <w:tr w:rsidR="001626AD" w:rsidRPr="001626AD" w14:paraId="13BDC66A"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23E865A2"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4</w:t>
            </w:r>
          </w:p>
        </w:tc>
        <w:tc>
          <w:tcPr>
            <w:tcW w:w="2260" w:type="dxa"/>
            <w:tcBorders>
              <w:top w:val="nil"/>
              <w:left w:val="nil"/>
              <w:bottom w:val="single" w:sz="4" w:space="0" w:color="000000"/>
              <w:right w:val="single" w:sz="4" w:space="0" w:color="000000"/>
            </w:tcBorders>
            <w:vAlign w:val="bottom"/>
          </w:tcPr>
          <w:p w14:paraId="258FABC7"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£6</w:t>
            </w:r>
          </w:p>
        </w:tc>
      </w:tr>
      <w:tr w:rsidR="001626AD" w:rsidRPr="001626AD" w14:paraId="34D306A4"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7271912B"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5</w:t>
            </w:r>
          </w:p>
        </w:tc>
        <w:tc>
          <w:tcPr>
            <w:tcW w:w="2260" w:type="dxa"/>
            <w:tcBorders>
              <w:top w:val="nil"/>
              <w:left w:val="nil"/>
              <w:bottom w:val="single" w:sz="4" w:space="0" w:color="000000"/>
              <w:right w:val="single" w:sz="4" w:space="0" w:color="000000"/>
            </w:tcBorders>
            <w:vAlign w:val="bottom"/>
          </w:tcPr>
          <w:p w14:paraId="09DB1576"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£6</w:t>
            </w:r>
          </w:p>
        </w:tc>
      </w:tr>
      <w:tr w:rsidR="001626AD" w:rsidRPr="001626AD" w14:paraId="2B8ED53E"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1EB292F4"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PBP in year</w:t>
            </w:r>
          </w:p>
        </w:tc>
        <w:tc>
          <w:tcPr>
            <w:tcW w:w="2260" w:type="dxa"/>
            <w:tcBorders>
              <w:top w:val="nil"/>
              <w:left w:val="nil"/>
              <w:bottom w:val="single" w:sz="4" w:space="0" w:color="000000"/>
              <w:right w:val="single" w:sz="4" w:space="0" w:color="000000"/>
            </w:tcBorders>
            <w:vAlign w:val="bottom"/>
          </w:tcPr>
          <w:p w14:paraId="43BC5828"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5</w:t>
            </w:r>
          </w:p>
        </w:tc>
      </w:tr>
      <w:tr w:rsidR="001626AD" w:rsidRPr="001626AD" w14:paraId="4B6EE2A3"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219775C8"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Unrecovered cash</w:t>
            </w:r>
          </w:p>
        </w:tc>
        <w:tc>
          <w:tcPr>
            <w:tcW w:w="2260" w:type="dxa"/>
            <w:tcBorders>
              <w:top w:val="nil"/>
              <w:left w:val="nil"/>
              <w:bottom w:val="single" w:sz="4" w:space="0" w:color="000000"/>
              <w:right w:val="single" w:sz="4" w:space="0" w:color="000000"/>
            </w:tcBorders>
            <w:vAlign w:val="bottom"/>
          </w:tcPr>
          <w:p w14:paraId="4A8E2D5B"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£0</w:t>
            </w:r>
          </w:p>
        </w:tc>
      </w:tr>
      <w:tr w:rsidR="001626AD" w:rsidRPr="001626AD" w14:paraId="2BB25BA4"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77F9543D"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Recovery period cash flow</w:t>
            </w:r>
          </w:p>
        </w:tc>
        <w:tc>
          <w:tcPr>
            <w:tcW w:w="2260" w:type="dxa"/>
            <w:tcBorders>
              <w:top w:val="nil"/>
              <w:left w:val="nil"/>
              <w:bottom w:val="single" w:sz="4" w:space="0" w:color="000000"/>
              <w:right w:val="single" w:sz="4" w:space="0" w:color="000000"/>
            </w:tcBorders>
            <w:vAlign w:val="bottom"/>
          </w:tcPr>
          <w:p w14:paraId="33219DE0"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£0</w:t>
            </w:r>
          </w:p>
        </w:tc>
      </w:tr>
      <w:tr w:rsidR="001626AD" w:rsidRPr="001626AD" w14:paraId="3F02B63E"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74725E11"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lastRenderedPageBreak/>
              <w:t>Project B's PBP (in months)</w:t>
            </w:r>
          </w:p>
        </w:tc>
        <w:tc>
          <w:tcPr>
            <w:tcW w:w="2260" w:type="dxa"/>
            <w:tcBorders>
              <w:top w:val="nil"/>
              <w:left w:val="nil"/>
              <w:bottom w:val="single" w:sz="4" w:space="0" w:color="000000"/>
              <w:right w:val="single" w:sz="4" w:space="0" w:color="000000"/>
            </w:tcBorders>
            <w:vAlign w:val="bottom"/>
          </w:tcPr>
          <w:p w14:paraId="628FBAEB"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£0</w:t>
            </w:r>
          </w:p>
        </w:tc>
      </w:tr>
      <w:tr w:rsidR="001626AD" w:rsidRPr="001626AD" w14:paraId="73F62F28"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66163F70"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Project B's PBP</w:t>
            </w:r>
          </w:p>
        </w:tc>
        <w:tc>
          <w:tcPr>
            <w:tcW w:w="2260" w:type="dxa"/>
            <w:tcBorders>
              <w:top w:val="nil"/>
              <w:left w:val="nil"/>
              <w:bottom w:val="single" w:sz="4" w:space="0" w:color="000000"/>
              <w:right w:val="single" w:sz="4" w:space="0" w:color="000000"/>
            </w:tcBorders>
            <w:vAlign w:val="bottom"/>
          </w:tcPr>
          <w:p w14:paraId="7E8CA07F"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5 years</w:t>
            </w:r>
          </w:p>
        </w:tc>
      </w:tr>
    </w:tbl>
    <w:p w14:paraId="467BF7A9" w14:textId="77777777" w:rsidR="00FA51B8" w:rsidRPr="001626AD" w:rsidRDefault="00FA51B8">
      <w:pPr>
        <w:spacing w:line="360" w:lineRule="auto"/>
        <w:jc w:val="center"/>
        <w:rPr>
          <w:b/>
          <w:bCs/>
          <w:color w:val="000000" w:themeColor="text1"/>
          <w:sz w:val="24"/>
          <w:szCs w:val="24"/>
        </w:rPr>
      </w:pPr>
    </w:p>
    <w:p w14:paraId="1CD8D80D"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 xml:space="preserve">Project C </w:t>
      </w:r>
    </w:p>
    <w:tbl>
      <w:tblPr>
        <w:tblStyle w:val="a1"/>
        <w:tblW w:w="7160" w:type="dxa"/>
        <w:jc w:val="center"/>
        <w:tblLayout w:type="fixed"/>
        <w:tblLook w:val="0400" w:firstRow="0" w:lastRow="0" w:firstColumn="0" w:lastColumn="0" w:noHBand="0" w:noVBand="1"/>
      </w:tblPr>
      <w:tblGrid>
        <w:gridCol w:w="4900"/>
        <w:gridCol w:w="2260"/>
      </w:tblGrid>
      <w:tr w:rsidR="001626AD" w:rsidRPr="001626AD" w14:paraId="04F1D79B" w14:textId="77777777">
        <w:trPr>
          <w:trHeight w:val="315"/>
          <w:jc w:val="center"/>
        </w:trPr>
        <w:tc>
          <w:tcPr>
            <w:tcW w:w="7160" w:type="dxa"/>
            <w:gridSpan w:val="2"/>
            <w:tcBorders>
              <w:top w:val="single" w:sz="4" w:space="0" w:color="000000"/>
              <w:left w:val="single" w:sz="4" w:space="0" w:color="000000"/>
              <w:bottom w:val="single" w:sz="4" w:space="0" w:color="000000"/>
              <w:right w:val="single" w:sz="4" w:space="0" w:color="000000"/>
            </w:tcBorders>
            <w:vAlign w:val="bottom"/>
          </w:tcPr>
          <w:p w14:paraId="45E53367"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Payback period - Project C</w:t>
            </w:r>
          </w:p>
        </w:tc>
      </w:tr>
      <w:tr w:rsidR="001626AD" w:rsidRPr="001626AD" w14:paraId="5B3690C2"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4CE8F8F9"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Particulars</w:t>
            </w:r>
          </w:p>
        </w:tc>
        <w:tc>
          <w:tcPr>
            <w:tcW w:w="2260" w:type="dxa"/>
            <w:tcBorders>
              <w:top w:val="nil"/>
              <w:left w:val="nil"/>
              <w:bottom w:val="single" w:sz="4" w:space="0" w:color="000000"/>
              <w:right w:val="single" w:sz="4" w:space="0" w:color="000000"/>
            </w:tcBorders>
            <w:vAlign w:val="bottom"/>
          </w:tcPr>
          <w:p w14:paraId="20A453FB"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Amount</w:t>
            </w:r>
          </w:p>
        </w:tc>
      </w:tr>
      <w:tr w:rsidR="001626AD" w:rsidRPr="001626AD" w14:paraId="08E18DD5"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575C54BE"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Initial Capital</w:t>
            </w:r>
          </w:p>
        </w:tc>
        <w:tc>
          <w:tcPr>
            <w:tcW w:w="2260" w:type="dxa"/>
            <w:tcBorders>
              <w:top w:val="nil"/>
              <w:left w:val="nil"/>
              <w:bottom w:val="single" w:sz="4" w:space="0" w:color="000000"/>
              <w:right w:val="single" w:sz="4" w:space="0" w:color="000000"/>
            </w:tcBorders>
            <w:vAlign w:val="bottom"/>
          </w:tcPr>
          <w:p w14:paraId="0C2BD6F1"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50</w:t>
            </w:r>
          </w:p>
        </w:tc>
      </w:tr>
      <w:tr w:rsidR="001626AD" w:rsidRPr="001626AD" w14:paraId="3C527B7E"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500AD349"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w:t>
            </w:r>
          </w:p>
        </w:tc>
        <w:tc>
          <w:tcPr>
            <w:tcW w:w="2260" w:type="dxa"/>
            <w:tcBorders>
              <w:top w:val="nil"/>
              <w:left w:val="nil"/>
              <w:bottom w:val="single" w:sz="4" w:space="0" w:color="000000"/>
              <w:right w:val="single" w:sz="4" w:space="0" w:color="000000"/>
            </w:tcBorders>
            <w:vAlign w:val="bottom"/>
          </w:tcPr>
          <w:p w14:paraId="4A58661E"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£5</w:t>
            </w:r>
          </w:p>
        </w:tc>
      </w:tr>
      <w:tr w:rsidR="001626AD" w:rsidRPr="001626AD" w14:paraId="7F66AD74"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43586E82"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2</w:t>
            </w:r>
          </w:p>
        </w:tc>
        <w:tc>
          <w:tcPr>
            <w:tcW w:w="2260" w:type="dxa"/>
            <w:tcBorders>
              <w:top w:val="nil"/>
              <w:left w:val="nil"/>
              <w:bottom w:val="single" w:sz="4" w:space="0" w:color="000000"/>
              <w:right w:val="single" w:sz="4" w:space="0" w:color="000000"/>
            </w:tcBorders>
            <w:vAlign w:val="bottom"/>
          </w:tcPr>
          <w:p w14:paraId="329453FC"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£10</w:t>
            </w:r>
          </w:p>
        </w:tc>
      </w:tr>
      <w:tr w:rsidR="001626AD" w:rsidRPr="001626AD" w14:paraId="2CFD8B7D"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21194336"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3</w:t>
            </w:r>
          </w:p>
        </w:tc>
        <w:tc>
          <w:tcPr>
            <w:tcW w:w="2260" w:type="dxa"/>
            <w:tcBorders>
              <w:top w:val="nil"/>
              <w:left w:val="nil"/>
              <w:bottom w:val="single" w:sz="4" w:space="0" w:color="000000"/>
              <w:right w:val="single" w:sz="4" w:space="0" w:color="000000"/>
            </w:tcBorders>
            <w:vAlign w:val="bottom"/>
          </w:tcPr>
          <w:p w14:paraId="6134430F"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£20</w:t>
            </w:r>
          </w:p>
        </w:tc>
      </w:tr>
      <w:tr w:rsidR="001626AD" w:rsidRPr="001626AD" w14:paraId="690DF6A6"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15DD099D"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4</w:t>
            </w:r>
          </w:p>
        </w:tc>
        <w:tc>
          <w:tcPr>
            <w:tcW w:w="2260" w:type="dxa"/>
            <w:tcBorders>
              <w:top w:val="nil"/>
              <w:left w:val="nil"/>
              <w:bottom w:val="single" w:sz="4" w:space="0" w:color="000000"/>
              <w:right w:val="single" w:sz="4" w:space="0" w:color="000000"/>
            </w:tcBorders>
            <w:vAlign w:val="bottom"/>
          </w:tcPr>
          <w:p w14:paraId="5BC67F49"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25</w:t>
            </w:r>
          </w:p>
        </w:tc>
      </w:tr>
      <w:tr w:rsidR="001626AD" w:rsidRPr="001626AD" w14:paraId="50AD978A"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57BC240E"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5</w:t>
            </w:r>
          </w:p>
        </w:tc>
        <w:tc>
          <w:tcPr>
            <w:tcW w:w="2260" w:type="dxa"/>
            <w:tcBorders>
              <w:top w:val="nil"/>
              <w:left w:val="nil"/>
              <w:bottom w:val="single" w:sz="4" w:space="0" w:color="000000"/>
              <w:right w:val="single" w:sz="4" w:space="0" w:color="000000"/>
            </w:tcBorders>
            <w:vAlign w:val="bottom"/>
          </w:tcPr>
          <w:p w14:paraId="67C0208C"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15</w:t>
            </w:r>
          </w:p>
        </w:tc>
      </w:tr>
      <w:tr w:rsidR="001626AD" w:rsidRPr="001626AD" w14:paraId="7DE30961"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2E9B6C90"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PBP in year</w:t>
            </w:r>
          </w:p>
        </w:tc>
        <w:tc>
          <w:tcPr>
            <w:tcW w:w="2260" w:type="dxa"/>
            <w:tcBorders>
              <w:top w:val="nil"/>
              <w:left w:val="nil"/>
              <w:bottom w:val="single" w:sz="4" w:space="0" w:color="000000"/>
              <w:right w:val="single" w:sz="4" w:space="0" w:color="000000"/>
            </w:tcBorders>
            <w:vAlign w:val="bottom"/>
          </w:tcPr>
          <w:p w14:paraId="1BA0AB94"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3</w:t>
            </w:r>
          </w:p>
        </w:tc>
      </w:tr>
      <w:tr w:rsidR="001626AD" w:rsidRPr="001626AD" w14:paraId="5144E58C"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09EBCC6C"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Unrecovered cash</w:t>
            </w:r>
          </w:p>
        </w:tc>
        <w:tc>
          <w:tcPr>
            <w:tcW w:w="2260" w:type="dxa"/>
            <w:tcBorders>
              <w:top w:val="nil"/>
              <w:left w:val="nil"/>
              <w:bottom w:val="single" w:sz="4" w:space="0" w:color="000000"/>
              <w:right w:val="single" w:sz="4" w:space="0" w:color="000000"/>
            </w:tcBorders>
            <w:vAlign w:val="bottom"/>
          </w:tcPr>
          <w:p w14:paraId="360DFA37"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£15</w:t>
            </w:r>
          </w:p>
        </w:tc>
      </w:tr>
      <w:tr w:rsidR="001626AD" w:rsidRPr="001626AD" w14:paraId="174A0126"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5B271655"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Recovery period cash flow</w:t>
            </w:r>
          </w:p>
        </w:tc>
        <w:tc>
          <w:tcPr>
            <w:tcW w:w="2260" w:type="dxa"/>
            <w:tcBorders>
              <w:top w:val="nil"/>
              <w:left w:val="nil"/>
              <w:bottom w:val="single" w:sz="4" w:space="0" w:color="000000"/>
              <w:right w:val="single" w:sz="4" w:space="0" w:color="000000"/>
            </w:tcBorders>
            <w:vAlign w:val="bottom"/>
          </w:tcPr>
          <w:p w14:paraId="059098FE"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£25</w:t>
            </w:r>
          </w:p>
        </w:tc>
      </w:tr>
      <w:tr w:rsidR="001626AD" w:rsidRPr="001626AD" w14:paraId="0403B4F4"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0D1ABD1D"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Project C's PBP (in months)</w:t>
            </w:r>
          </w:p>
        </w:tc>
        <w:tc>
          <w:tcPr>
            <w:tcW w:w="2260" w:type="dxa"/>
            <w:tcBorders>
              <w:top w:val="nil"/>
              <w:left w:val="nil"/>
              <w:bottom w:val="single" w:sz="4" w:space="0" w:color="000000"/>
              <w:right w:val="single" w:sz="4" w:space="0" w:color="000000"/>
            </w:tcBorders>
            <w:vAlign w:val="bottom"/>
          </w:tcPr>
          <w:p w14:paraId="55D5BEC0"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7.20</w:t>
            </w:r>
          </w:p>
        </w:tc>
      </w:tr>
      <w:tr w:rsidR="001626AD" w:rsidRPr="001626AD" w14:paraId="772EA91D" w14:textId="77777777">
        <w:trPr>
          <w:trHeight w:val="315"/>
          <w:jc w:val="center"/>
        </w:trPr>
        <w:tc>
          <w:tcPr>
            <w:tcW w:w="4900" w:type="dxa"/>
            <w:tcBorders>
              <w:top w:val="nil"/>
              <w:left w:val="single" w:sz="4" w:space="0" w:color="000000"/>
              <w:bottom w:val="single" w:sz="4" w:space="0" w:color="000000"/>
              <w:right w:val="single" w:sz="4" w:space="0" w:color="000000"/>
            </w:tcBorders>
            <w:vAlign w:val="bottom"/>
          </w:tcPr>
          <w:p w14:paraId="1D41A905"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Project C's PBP (in years)</w:t>
            </w:r>
          </w:p>
        </w:tc>
        <w:tc>
          <w:tcPr>
            <w:tcW w:w="2260" w:type="dxa"/>
            <w:tcBorders>
              <w:top w:val="nil"/>
              <w:left w:val="nil"/>
              <w:bottom w:val="single" w:sz="4" w:space="0" w:color="000000"/>
              <w:right w:val="single" w:sz="4" w:space="0" w:color="000000"/>
            </w:tcBorders>
            <w:vAlign w:val="bottom"/>
          </w:tcPr>
          <w:p w14:paraId="7AFDD704"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3 years and 7.20 months</w:t>
            </w:r>
          </w:p>
        </w:tc>
      </w:tr>
    </w:tbl>
    <w:p w14:paraId="541AB6B1"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Accounting Rate of Return</w:t>
      </w:r>
    </w:p>
    <w:p w14:paraId="1FDF9991"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 xml:space="preserve">Project A </w:t>
      </w:r>
    </w:p>
    <w:tbl>
      <w:tblPr>
        <w:tblStyle w:val="a2"/>
        <w:tblW w:w="5220" w:type="dxa"/>
        <w:jc w:val="center"/>
        <w:tblLayout w:type="fixed"/>
        <w:tblLook w:val="0400" w:firstRow="0" w:lastRow="0" w:firstColumn="0" w:lastColumn="0" w:noHBand="0" w:noVBand="1"/>
      </w:tblPr>
      <w:tblGrid>
        <w:gridCol w:w="3900"/>
        <w:gridCol w:w="1320"/>
      </w:tblGrid>
      <w:tr w:rsidR="001626AD" w:rsidRPr="001626AD" w14:paraId="55F68F1F" w14:textId="77777777">
        <w:trPr>
          <w:trHeight w:val="315"/>
          <w:jc w:val="center"/>
        </w:trPr>
        <w:tc>
          <w:tcPr>
            <w:tcW w:w="5220" w:type="dxa"/>
            <w:gridSpan w:val="2"/>
            <w:tcBorders>
              <w:top w:val="single" w:sz="4" w:space="0" w:color="000000"/>
              <w:left w:val="single" w:sz="4" w:space="0" w:color="000000"/>
              <w:bottom w:val="single" w:sz="4" w:space="0" w:color="000000"/>
              <w:right w:val="single" w:sz="4" w:space="0" w:color="000000"/>
            </w:tcBorders>
            <w:vAlign w:val="bottom"/>
          </w:tcPr>
          <w:p w14:paraId="60130D6A"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ARR - Project A</w:t>
            </w:r>
          </w:p>
        </w:tc>
      </w:tr>
      <w:tr w:rsidR="001626AD" w:rsidRPr="001626AD" w14:paraId="6291D42A"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6EDD7C83"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Year</w:t>
            </w:r>
          </w:p>
        </w:tc>
        <w:tc>
          <w:tcPr>
            <w:tcW w:w="1320" w:type="dxa"/>
            <w:tcBorders>
              <w:top w:val="nil"/>
              <w:left w:val="nil"/>
              <w:bottom w:val="single" w:sz="4" w:space="0" w:color="000000"/>
              <w:right w:val="single" w:sz="4" w:space="0" w:color="000000"/>
            </w:tcBorders>
            <w:vAlign w:val="bottom"/>
          </w:tcPr>
          <w:p w14:paraId="41FEAF24"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 xml:space="preserve">Net cash flow </w:t>
            </w:r>
          </w:p>
        </w:tc>
      </w:tr>
      <w:tr w:rsidR="001626AD" w:rsidRPr="001626AD" w14:paraId="1AA85347"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0F85322B"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 xml:space="preserve">Owners Capital </w:t>
            </w:r>
          </w:p>
        </w:tc>
        <w:tc>
          <w:tcPr>
            <w:tcW w:w="1320" w:type="dxa"/>
            <w:tcBorders>
              <w:top w:val="nil"/>
              <w:left w:val="nil"/>
              <w:bottom w:val="single" w:sz="4" w:space="0" w:color="000000"/>
              <w:right w:val="single" w:sz="4" w:space="0" w:color="000000"/>
            </w:tcBorders>
            <w:vAlign w:val="bottom"/>
          </w:tcPr>
          <w:p w14:paraId="03E2461C"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£40</w:t>
            </w:r>
          </w:p>
        </w:tc>
      </w:tr>
      <w:tr w:rsidR="001626AD" w:rsidRPr="001626AD" w14:paraId="0624FCD5"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468F79A0"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w:t>
            </w:r>
          </w:p>
        </w:tc>
        <w:tc>
          <w:tcPr>
            <w:tcW w:w="1320" w:type="dxa"/>
            <w:tcBorders>
              <w:top w:val="nil"/>
              <w:left w:val="nil"/>
              <w:bottom w:val="single" w:sz="4" w:space="0" w:color="000000"/>
              <w:right w:val="single" w:sz="4" w:space="0" w:color="000000"/>
            </w:tcBorders>
            <w:vAlign w:val="bottom"/>
          </w:tcPr>
          <w:p w14:paraId="0939B6C3"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£10</w:t>
            </w:r>
          </w:p>
        </w:tc>
      </w:tr>
      <w:tr w:rsidR="001626AD" w:rsidRPr="001626AD" w14:paraId="601052AF"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54042E60"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2</w:t>
            </w:r>
          </w:p>
        </w:tc>
        <w:tc>
          <w:tcPr>
            <w:tcW w:w="1320" w:type="dxa"/>
            <w:tcBorders>
              <w:top w:val="nil"/>
              <w:left w:val="nil"/>
              <w:bottom w:val="single" w:sz="4" w:space="0" w:color="000000"/>
              <w:right w:val="single" w:sz="4" w:space="0" w:color="000000"/>
            </w:tcBorders>
            <w:vAlign w:val="bottom"/>
          </w:tcPr>
          <w:p w14:paraId="3F73FF27"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£12</w:t>
            </w:r>
          </w:p>
        </w:tc>
      </w:tr>
      <w:tr w:rsidR="001626AD" w:rsidRPr="001626AD" w14:paraId="3B50BE81"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6D40E368"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3</w:t>
            </w:r>
          </w:p>
        </w:tc>
        <w:tc>
          <w:tcPr>
            <w:tcW w:w="1320" w:type="dxa"/>
            <w:tcBorders>
              <w:top w:val="nil"/>
              <w:left w:val="nil"/>
              <w:bottom w:val="single" w:sz="4" w:space="0" w:color="000000"/>
              <w:right w:val="single" w:sz="4" w:space="0" w:color="000000"/>
            </w:tcBorders>
            <w:vAlign w:val="bottom"/>
          </w:tcPr>
          <w:p w14:paraId="6D60F2D5"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£14</w:t>
            </w:r>
          </w:p>
        </w:tc>
      </w:tr>
      <w:tr w:rsidR="001626AD" w:rsidRPr="001626AD" w14:paraId="21E2BAF3"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23A92EB6"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4</w:t>
            </w:r>
          </w:p>
        </w:tc>
        <w:tc>
          <w:tcPr>
            <w:tcW w:w="1320" w:type="dxa"/>
            <w:tcBorders>
              <w:top w:val="nil"/>
              <w:left w:val="nil"/>
              <w:bottom w:val="single" w:sz="4" w:space="0" w:color="000000"/>
              <w:right w:val="single" w:sz="4" w:space="0" w:color="000000"/>
            </w:tcBorders>
            <w:vAlign w:val="bottom"/>
          </w:tcPr>
          <w:p w14:paraId="2C71B969"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£10</w:t>
            </w:r>
          </w:p>
        </w:tc>
      </w:tr>
      <w:tr w:rsidR="001626AD" w:rsidRPr="001626AD" w14:paraId="0A190722"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122AD2E6"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5</w:t>
            </w:r>
          </w:p>
        </w:tc>
        <w:tc>
          <w:tcPr>
            <w:tcW w:w="1320" w:type="dxa"/>
            <w:tcBorders>
              <w:top w:val="nil"/>
              <w:left w:val="nil"/>
              <w:bottom w:val="single" w:sz="4" w:space="0" w:color="000000"/>
              <w:right w:val="single" w:sz="4" w:space="0" w:color="000000"/>
            </w:tcBorders>
            <w:vAlign w:val="bottom"/>
          </w:tcPr>
          <w:p w14:paraId="0FE97422"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£8</w:t>
            </w:r>
          </w:p>
        </w:tc>
      </w:tr>
      <w:tr w:rsidR="001626AD" w:rsidRPr="001626AD" w14:paraId="2178F9CE"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7D336177"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 xml:space="preserve">Total inflows over five year </w:t>
            </w:r>
          </w:p>
        </w:tc>
        <w:tc>
          <w:tcPr>
            <w:tcW w:w="1320" w:type="dxa"/>
            <w:tcBorders>
              <w:top w:val="nil"/>
              <w:left w:val="nil"/>
              <w:bottom w:val="single" w:sz="4" w:space="0" w:color="000000"/>
              <w:right w:val="single" w:sz="4" w:space="0" w:color="000000"/>
            </w:tcBorders>
            <w:vAlign w:val="bottom"/>
          </w:tcPr>
          <w:p w14:paraId="372F0253"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54</w:t>
            </w:r>
          </w:p>
        </w:tc>
      </w:tr>
      <w:tr w:rsidR="001626AD" w:rsidRPr="001626AD" w14:paraId="7A7823FB"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39140A89"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lastRenderedPageBreak/>
              <w:t xml:space="preserve">Average annual inflow </w:t>
            </w:r>
          </w:p>
        </w:tc>
        <w:tc>
          <w:tcPr>
            <w:tcW w:w="1320" w:type="dxa"/>
            <w:tcBorders>
              <w:top w:val="nil"/>
              <w:left w:val="nil"/>
              <w:bottom w:val="single" w:sz="4" w:space="0" w:color="000000"/>
              <w:right w:val="single" w:sz="4" w:space="0" w:color="000000"/>
            </w:tcBorders>
            <w:vAlign w:val="bottom"/>
          </w:tcPr>
          <w:p w14:paraId="50E4F42C"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10.8</w:t>
            </w:r>
          </w:p>
        </w:tc>
      </w:tr>
      <w:tr w:rsidR="001626AD" w:rsidRPr="001626AD" w14:paraId="5BD596FD"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6E0958E1"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ARR</w:t>
            </w:r>
          </w:p>
        </w:tc>
        <w:tc>
          <w:tcPr>
            <w:tcW w:w="1320" w:type="dxa"/>
            <w:tcBorders>
              <w:top w:val="nil"/>
              <w:left w:val="nil"/>
              <w:bottom w:val="single" w:sz="4" w:space="0" w:color="000000"/>
              <w:right w:val="single" w:sz="4" w:space="0" w:color="000000"/>
            </w:tcBorders>
            <w:vAlign w:val="bottom"/>
          </w:tcPr>
          <w:p w14:paraId="77A3A3F3"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27%</w:t>
            </w:r>
          </w:p>
        </w:tc>
      </w:tr>
    </w:tbl>
    <w:p w14:paraId="2C0E4F8A"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Project B</w:t>
      </w:r>
    </w:p>
    <w:tbl>
      <w:tblPr>
        <w:tblStyle w:val="a3"/>
        <w:tblW w:w="5220" w:type="dxa"/>
        <w:jc w:val="center"/>
        <w:tblLayout w:type="fixed"/>
        <w:tblLook w:val="0400" w:firstRow="0" w:lastRow="0" w:firstColumn="0" w:lastColumn="0" w:noHBand="0" w:noVBand="1"/>
      </w:tblPr>
      <w:tblGrid>
        <w:gridCol w:w="3900"/>
        <w:gridCol w:w="1320"/>
      </w:tblGrid>
      <w:tr w:rsidR="001626AD" w:rsidRPr="001626AD" w14:paraId="046D0883" w14:textId="77777777">
        <w:trPr>
          <w:trHeight w:val="315"/>
          <w:jc w:val="center"/>
        </w:trPr>
        <w:tc>
          <w:tcPr>
            <w:tcW w:w="5220" w:type="dxa"/>
            <w:gridSpan w:val="2"/>
            <w:tcBorders>
              <w:top w:val="single" w:sz="4" w:space="0" w:color="000000"/>
              <w:left w:val="single" w:sz="4" w:space="0" w:color="000000"/>
              <w:bottom w:val="single" w:sz="4" w:space="0" w:color="000000"/>
              <w:right w:val="single" w:sz="4" w:space="0" w:color="000000"/>
            </w:tcBorders>
            <w:vAlign w:val="bottom"/>
          </w:tcPr>
          <w:p w14:paraId="3C0E1CA0"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ARR - Project B</w:t>
            </w:r>
          </w:p>
        </w:tc>
      </w:tr>
      <w:tr w:rsidR="001626AD" w:rsidRPr="001626AD" w14:paraId="18D7EA8B"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65EC29A8"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Year</w:t>
            </w:r>
          </w:p>
        </w:tc>
        <w:tc>
          <w:tcPr>
            <w:tcW w:w="1320" w:type="dxa"/>
            <w:tcBorders>
              <w:top w:val="nil"/>
              <w:left w:val="nil"/>
              <w:bottom w:val="single" w:sz="4" w:space="0" w:color="000000"/>
              <w:right w:val="single" w:sz="4" w:space="0" w:color="000000"/>
            </w:tcBorders>
            <w:vAlign w:val="bottom"/>
          </w:tcPr>
          <w:p w14:paraId="30070858"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 xml:space="preserve">Net cash flow </w:t>
            </w:r>
          </w:p>
        </w:tc>
      </w:tr>
      <w:tr w:rsidR="001626AD" w:rsidRPr="001626AD" w14:paraId="490148F9"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2E4D906B"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 xml:space="preserve">Owners Capital </w:t>
            </w:r>
          </w:p>
        </w:tc>
        <w:tc>
          <w:tcPr>
            <w:tcW w:w="1320" w:type="dxa"/>
            <w:tcBorders>
              <w:top w:val="nil"/>
              <w:left w:val="nil"/>
              <w:bottom w:val="single" w:sz="4" w:space="0" w:color="000000"/>
              <w:right w:val="single" w:sz="4" w:space="0" w:color="000000"/>
            </w:tcBorders>
            <w:vAlign w:val="bottom"/>
          </w:tcPr>
          <w:p w14:paraId="70AA1C01"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£30</w:t>
            </w:r>
          </w:p>
        </w:tc>
      </w:tr>
      <w:tr w:rsidR="001626AD" w:rsidRPr="001626AD" w14:paraId="6D56705E"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515966FA"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w:t>
            </w:r>
          </w:p>
        </w:tc>
        <w:tc>
          <w:tcPr>
            <w:tcW w:w="1320" w:type="dxa"/>
            <w:tcBorders>
              <w:top w:val="nil"/>
              <w:left w:val="nil"/>
              <w:bottom w:val="single" w:sz="4" w:space="0" w:color="000000"/>
              <w:right w:val="single" w:sz="4" w:space="0" w:color="000000"/>
            </w:tcBorders>
            <w:vAlign w:val="bottom"/>
          </w:tcPr>
          <w:p w14:paraId="6DD05B96"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£6</w:t>
            </w:r>
          </w:p>
        </w:tc>
      </w:tr>
      <w:tr w:rsidR="001626AD" w:rsidRPr="001626AD" w14:paraId="7DAE614D"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2821AF20"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2</w:t>
            </w:r>
          </w:p>
        </w:tc>
        <w:tc>
          <w:tcPr>
            <w:tcW w:w="1320" w:type="dxa"/>
            <w:tcBorders>
              <w:top w:val="nil"/>
              <w:left w:val="nil"/>
              <w:bottom w:val="single" w:sz="4" w:space="0" w:color="000000"/>
              <w:right w:val="single" w:sz="4" w:space="0" w:color="000000"/>
            </w:tcBorders>
            <w:vAlign w:val="bottom"/>
          </w:tcPr>
          <w:p w14:paraId="2F482489"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£6</w:t>
            </w:r>
          </w:p>
        </w:tc>
      </w:tr>
      <w:tr w:rsidR="001626AD" w:rsidRPr="001626AD" w14:paraId="58456091"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25D7B665"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3</w:t>
            </w:r>
          </w:p>
        </w:tc>
        <w:tc>
          <w:tcPr>
            <w:tcW w:w="1320" w:type="dxa"/>
            <w:tcBorders>
              <w:top w:val="nil"/>
              <w:left w:val="nil"/>
              <w:bottom w:val="single" w:sz="4" w:space="0" w:color="000000"/>
              <w:right w:val="single" w:sz="4" w:space="0" w:color="000000"/>
            </w:tcBorders>
            <w:vAlign w:val="bottom"/>
          </w:tcPr>
          <w:p w14:paraId="5F7CF810"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£6</w:t>
            </w:r>
          </w:p>
        </w:tc>
      </w:tr>
      <w:tr w:rsidR="001626AD" w:rsidRPr="001626AD" w14:paraId="5720B1FD"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789683F2"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4</w:t>
            </w:r>
          </w:p>
        </w:tc>
        <w:tc>
          <w:tcPr>
            <w:tcW w:w="1320" w:type="dxa"/>
            <w:tcBorders>
              <w:top w:val="nil"/>
              <w:left w:val="nil"/>
              <w:bottom w:val="single" w:sz="4" w:space="0" w:color="000000"/>
              <w:right w:val="single" w:sz="4" w:space="0" w:color="000000"/>
            </w:tcBorders>
            <w:vAlign w:val="bottom"/>
          </w:tcPr>
          <w:p w14:paraId="4150E2FC"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£6</w:t>
            </w:r>
          </w:p>
        </w:tc>
      </w:tr>
      <w:tr w:rsidR="001626AD" w:rsidRPr="001626AD" w14:paraId="763899EE"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1C592BF3"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5</w:t>
            </w:r>
          </w:p>
        </w:tc>
        <w:tc>
          <w:tcPr>
            <w:tcW w:w="1320" w:type="dxa"/>
            <w:tcBorders>
              <w:top w:val="nil"/>
              <w:left w:val="nil"/>
              <w:bottom w:val="single" w:sz="4" w:space="0" w:color="000000"/>
              <w:right w:val="single" w:sz="4" w:space="0" w:color="000000"/>
            </w:tcBorders>
            <w:vAlign w:val="bottom"/>
          </w:tcPr>
          <w:p w14:paraId="23F7D87B"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£6</w:t>
            </w:r>
          </w:p>
        </w:tc>
      </w:tr>
      <w:tr w:rsidR="001626AD" w:rsidRPr="001626AD" w14:paraId="4FA135BD"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747648F4"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 xml:space="preserve">Total inflows over five year </w:t>
            </w:r>
          </w:p>
        </w:tc>
        <w:tc>
          <w:tcPr>
            <w:tcW w:w="1320" w:type="dxa"/>
            <w:tcBorders>
              <w:top w:val="nil"/>
              <w:left w:val="nil"/>
              <w:bottom w:val="single" w:sz="4" w:space="0" w:color="000000"/>
              <w:right w:val="single" w:sz="4" w:space="0" w:color="000000"/>
            </w:tcBorders>
            <w:vAlign w:val="bottom"/>
          </w:tcPr>
          <w:p w14:paraId="78D99E77"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30</w:t>
            </w:r>
          </w:p>
        </w:tc>
      </w:tr>
      <w:tr w:rsidR="001626AD" w:rsidRPr="001626AD" w14:paraId="7EDDB765"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76976CE6"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 xml:space="preserve">Average annual inflow </w:t>
            </w:r>
          </w:p>
        </w:tc>
        <w:tc>
          <w:tcPr>
            <w:tcW w:w="1320" w:type="dxa"/>
            <w:tcBorders>
              <w:top w:val="nil"/>
              <w:left w:val="nil"/>
              <w:bottom w:val="single" w:sz="4" w:space="0" w:color="000000"/>
              <w:right w:val="single" w:sz="4" w:space="0" w:color="000000"/>
            </w:tcBorders>
            <w:vAlign w:val="bottom"/>
          </w:tcPr>
          <w:p w14:paraId="2A399A35"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6</w:t>
            </w:r>
          </w:p>
        </w:tc>
      </w:tr>
      <w:tr w:rsidR="001626AD" w:rsidRPr="001626AD" w14:paraId="0C629D67"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1AD19D39"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ARR</w:t>
            </w:r>
          </w:p>
        </w:tc>
        <w:tc>
          <w:tcPr>
            <w:tcW w:w="1320" w:type="dxa"/>
            <w:tcBorders>
              <w:top w:val="nil"/>
              <w:left w:val="nil"/>
              <w:bottom w:val="single" w:sz="4" w:space="0" w:color="000000"/>
              <w:right w:val="single" w:sz="4" w:space="0" w:color="000000"/>
            </w:tcBorders>
            <w:vAlign w:val="bottom"/>
          </w:tcPr>
          <w:p w14:paraId="76894D2D"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20.00%</w:t>
            </w:r>
          </w:p>
        </w:tc>
      </w:tr>
    </w:tbl>
    <w:p w14:paraId="3E3D3B2E" w14:textId="77777777" w:rsidR="00FA51B8" w:rsidRPr="001626AD" w:rsidRDefault="00FA51B8">
      <w:pPr>
        <w:spacing w:line="360" w:lineRule="auto"/>
        <w:jc w:val="center"/>
        <w:rPr>
          <w:b/>
          <w:bCs/>
          <w:color w:val="000000" w:themeColor="text1"/>
          <w:sz w:val="24"/>
          <w:szCs w:val="24"/>
        </w:rPr>
      </w:pPr>
    </w:p>
    <w:p w14:paraId="4E14277B"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Project C</w:t>
      </w:r>
    </w:p>
    <w:tbl>
      <w:tblPr>
        <w:tblStyle w:val="a4"/>
        <w:tblW w:w="5220" w:type="dxa"/>
        <w:jc w:val="center"/>
        <w:tblLayout w:type="fixed"/>
        <w:tblLook w:val="0400" w:firstRow="0" w:lastRow="0" w:firstColumn="0" w:lastColumn="0" w:noHBand="0" w:noVBand="1"/>
      </w:tblPr>
      <w:tblGrid>
        <w:gridCol w:w="3900"/>
        <w:gridCol w:w="1320"/>
      </w:tblGrid>
      <w:tr w:rsidR="001626AD" w:rsidRPr="001626AD" w14:paraId="6238E86F" w14:textId="77777777">
        <w:trPr>
          <w:trHeight w:val="315"/>
          <w:jc w:val="center"/>
        </w:trPr>
        <w:tc>
          <w:tcPr>
            <w:tcW w:w="5220" w:type="dxa"/>
            <w:gridSpan w:val="2"/>
            <w:tcBorders>
              <w:top w:val="single" w:sz="4" w:space="0" w:color="000000"/>
              <w:left w:val="single" w:sz="4" w:space="0" w:color="000000"/>
              <w:bottom w:val="single" w:sz="4" w:space="0" w:color="000000"/>
              <w:right w:val="single" w:sz="4" w:space="0" w:color="000000"/>
            </w:tcBorders>
            <w:vAlign w:val="bottom"/>
          </w:tcPr>
          <w:p w14:paraId="763B765E"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ARR - Project C</w:t>
            </w:r>
          </w:p>
        </w:tc>
      </w:tr>
      <w:tr w:rsidR="001626AD" w:rsidRPr="001626AD" w14:paraId="51F8811E"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3C39E6EE"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Year</w:t>
            </w:r>
          </w:p>
        </w:tc>
        <w:tc>
          <w:tcPr>
            <w:tcW w:w="1320" w:type="dxa"/>
            <w:tcBorders>
              <w:top w:val="nil"/>
              <w:left w:val="nil"/>
              <w:bottom w:val="single" w:sz="4" w:space="0" w:color="000000"/>
              <w:right w:val="single" w:sz="4" w:space="0" w:color="000000"/>
            </w:tcBorders>
            <w:vAlign w:val="bottom"/>
          </w:tcPr>
          <w:p w14:paraId="145D14ED"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Net cash flow</w:t>
            </w:r>
          </w:p>
        </w:tc>
      </w:tr>
      <w:tr w:rsidR="001626AD" w:rsidRPr="001626AD" w14:paraId="42CAAC7A"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457E3E81"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Owners Capital</w:t>
            </w:r>
          </w:p>
        </w:tc>
        <w:tc>
          <w:tcPr>
            <w:tcW w:w="1320" w:type="dxa"/>
            <w:tcBorders>
              <w:top w:val="nil"/>
              <w:left w:val="nil"/>
              <w:bottom w:val="single" w:sz="4" w:space="0" w:color="000000"/>
              <w:right w:val="single" w:sz="4" w:space="0" w:color="000000"/>
            </w:tcBorders>
            <w:vAlign w:val="bottom"/>
          </w:tcPr>
          <w:p w14:paraId="1730B634"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£50</w:t>
            </w:r>
          </w:p>
        </w:tc>
      </w:tr>
      <w:tr w:rsidR="001626AD" w:rsidRPr="001626AD" w14:paraId="7CDD1507"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74479803"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w:t>
            </w:r>
          </w:p>
        </w:tc>
        <w:tc>
          <w:tcPr>
            <w:tcW w:w="1320" w:type="dxa"/>
            <w:tcBorders>
              <w:top w:val="nil"/>
              <w:left w:val="nil"/>
              <w:bottom w:val="single" w:sz="4" w:space="0" w:color="000000"/>
              <w:right w:val="single" w:sz="4" w:space="0" w:color="000000"/>
            </w:tcBorders>
            <w:vAlign w:val="bottom"/>
          </w:tcPr>
          <w:p w14:paraId="799FA72B"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£5</w:t>
            </w:r>
          </w:p>
        </w:tc>
      </w:tr>
      <w:tr w:rsidR="001626AD" w:rsidRPr="001626AD" w14:paraId="42355865"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487CA9D9"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2</w:t>
            </w:r>
          </w:p>
        </w:tc>
        <w:tc>
          <w:tcPr>
            <w:tcW w:w="1320" w:type="dxa"/>
            <w:tcBorders>
              <w:top w:val="nil"/>
              <w:left w:val="nil"/>
              <w:bottom w:val="single" w:sz="4" w:space="0" w:color="000000"/>
              <w:right w:val="single" w:sz="4" w:space="0" w:color="000000"/>
            </w:tcBorders>
            <w:vAlign w:val="bottom"/>
          </w:tcPr>
          <w:p w14:paraId="718CD0DB"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£10</w:t>
            </w:r>
          </w:p>
        </w:tc>
      </w:tr>
      <w:tr w:rsidR="001626AD" w:rsidRPr="001626AD" w14:paraId="4D9B26D8"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138CF7D5"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3</w:t>
            </w:r>
          </w:p>
        </w:tc>
        <w:tc>
          <w:tcPr>
            <w:tcW w:w="1320" w:type="dxa"/>
            <w:tcBorders>
              <w:top w:val="nil"/>
              <w:left w:val="nil"/>
              <w:bottom w:val="single" w:sz="4" w:space="0" w:color="000000"/>
              <w:right w:val="single" w:sz="4" w:space="0" w:color="000000"/>
            </w:tcBorders>
            <w:vAlign w:val="bottom"/>
          </w:tcPr>
          <w:p w14:paraId="220C5164"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£20</w:t>
            </w:r>
          </w:p>
        </w:tc>
      </w:tr>
      <w:tr w:rsidR="001626AD" w:rsidRPr="001626AD" w14:paraId="2871B6CC"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542E0B2D"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4</w:t>
            </w:r>
          </w:p>
        </w:tc>
        <w:tc>
          <w:tcPr>
            <w:tcW w:w="1320" w:type="dxa"/>
            <w:tcBorders>
              <w:top w:val="nil"/>
              <w:left w:val="nil"/>
              <w:bottom w:val="single" w:sz="4" w:space="0" w:color="000000"/>
              <w:right w:val="single" w:sz="4" w:space="0" w:color="000000"/>
            </w:tcBorders>
            <w:vAlign w:val="bottom"/>
          </w:tcPr>
          <w:p w14:paraId="056FADF8"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£25</w:t>
            </w:r>
          </w:p>
        </w:tc>
      </w:tr>
      <w:tr w:rsidR="001626AD" w:rsidRPr="001626AD" w14:paraId="5342CD0F"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2D7E7053"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5</w:t>
            </w:r>
          </w:p>
        </w:tc>
        <w:tc>
          <w:tcPr>
            <w:tcW w:w="1320" w:type="dxa"/>
            <w:tcBorders>
              <w:top w:val="nil"/>
              <w:left w:val="nil"/>
              <w:bottom w:val="single" w:sz="4" w:space="0" w:color="000000"/>
              <w:right w:val="single" w:sz="4" w:space="0" w:color="000000"/>
            </w:tcBorders>
            <w:vAlign w:val="bottom"/>
          </w:tcPr>
          <w:p w14:paraId="66A7ED2D" w14:textId="77777777" w:rsidR="00FA51B8" w:rsidRPr="001626AD" w:rsidRDefault="00056198">
            <w:pPr>
              <w:spacing w:line="360" w:lineRule="auto"/>
              <w:jc w:val="center"/>
              <w:rPr>
                <w:color w:val="000000" w:themeColor="text1"/>
                <w:sz w:val="24"/>
                <w:szCs w:val="24"/>
              </w:rPr>
            </w:pPr>
            <w:r w:rsidRPr="001626AD">
              <w:rPr>
                <w:color w:val="000000" w:themeColor="text1"/>
                <w:sz w:val="24"/>
                <w:szCs w:val="24"/>
              </w:rPr>
              <w:t>£15</w:t>
            </w:r>
          </w:p>
        </w:tc>
      </w:tr>
      <w:tr w:rsidR="001626AD" w:rsidRPr="001626AD" w14:paraId="265CBCF8"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44C1A000"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Total inflows over five year</w:t>
            </w:r>
          </w:p>
        </w:tc>
        <w:tc>
          <w:tcPr>
            <w:tcW w:w="1320" w:type="dxa"/>
            <w:tcBorders>
              <w:top w:val="nil"/>
              <w:left w:val="nil"/>
              <w:bottom w:val="single" w:sz="4" w:space="0" w:color="000000"/>
              <w:right w:val="single" w:sz="4" w:space="0" w:color="000000"/>
            </w:tcBorders>
            <w:vAlign w:val="bottom"/>
          </w:tcPr>
          <w:p w14:paraId="5323FAE3"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75.00</w:t>
            </w:r>
          </w:p>
        </w:tc>
      </w:tr>
      <w:tr w:rsidR="001626AD" w:rsidRPr="001626AD" w14:paraId="25648F65"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4ECA3C27"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Average annual inflow</w:t>
            </w:r>
          </w:p>
        </w:tc>
        <w:tc>
          <w:tcPr>
            <w:tcW w:w="1320" w:type="dxa"/>
            <w:tcBorders>
              <w:top w:val="nil"/>
              <w:left w:val="nil"/>
              <w:bottom w:val="single" w:sz="4" w:space="0" w:color="000000"/>
              <w:right w:val="single" w:sz="4" w:space="0" w:color="000000"/>
            </w:tcBorders>
            <w:vAlign w:val="bottom"/>
          </w:tcPr>
          <w:p w14:paraId="3F7277A3"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15.00</w:t>
            </w:r>
          </w:p>
        </w:tc>
      </w:tr>
      <w:tr w:rsidR="001626AD" w:rsidRPr="001626AD" w14:paraId="3B5879F7" w14:textId="77777777">
        <w:trPr>
          <w:trHeight w:val="315"/>
          <w:jc w:val="center"/>
        </w:trPr>
        <w:tc>
          <w:tcPr>
            <w:tcW w:w="3900" w:type="dxa"/>
            <w:tcBorders>
              <w:top w:val="nil"/>
              <w:left w:val="single" w:sz="4" w:space="0" w:color="000000"/>
              <w:bottom w:val="single" w:sz="4" w:space="0" w:color="000000"/>
              <w:right w:val="single" w:sz="4" w:space="0" w:color="000000"/>
            </w:tcBorders>
            <w:vAlign w:val="bottom"/>
          </w:tcPr>
          <w:p w14:paraId="1DDDCDBD"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ARR</w:t>
            </w:r>
          </w:p>
        </w:tc>
        <w:tc>
          <w:tcPr>
            <w:tcW w:w="1320" w:type="dxa"/>
            <w:tcBorders>
              <w:top w:val="nil"/>
              <w:left w:val="nil"/>
              <w:bottom w:val="single" w:sz="4" w:space="0" w:color="000000"/>
              <w:right w:val="single" w:sz="4" w:space="0" w:color="000000"/>
            </w:tcBorders>
            <w:vAlign w:val="bottom"/>
          </w:tcPr>
          <w:p w14:paraId="612AA067" w14:textId="77777777" w:rsidR="00FA51B8" w:rsidRPr="001626AD" w:rsidRDefault="00056198">
            <w:pPr>
              <w:spacing w:line="360" w:lineRule="auto"/>
              <w:jc w:val="center"/>
              <w:rPr>
                <w:b/>
                <w:bCs/>
                <w:color w:val="000000" w:themeColor="text1"/>
                <w:sz w:val="24"/>
                <w:szCs w:val="24"/>
              </w:rPr>
            </w:pPr>
            <w:r w:rsidRPr="001626AD">
              <w:rPr>
                <w:b/>
                <w:bCs/>
                <w:color w:val="000000" w:themeColor="text1"/>
                <w:sz w:val="24"/>
                <w:szCs w:val="24"/>
              </w:rPr>
              <w:t>30%</w:t>
            </w:r>
          </w:p>
        </w:tc>
      </w:tr>
    </w:tbl>
    <w:p w14:paraId="4C4BDDCF"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Net Present Value</w:t>
      </w:r>
    </w:p>
    <w:p w14:paraId="15892951" w14:textId="77777777" w:rsidR="00FA51B8" w:rsidRPr="001626AD" w:rsidRDefault="00056198">
      <w:pPr>
        <w:spacing w:line="360" w:lineRule="auto"/>
        <w:rPr>
          <w:color w:val="000000" w:themeColor="text1"/>
          <w:sz w:val="24"/>
          <w:szCs w:val="24"/>
        </w:rPr>
      </w:pPr>
      <w:r w:rsidRPr="001626AD">
        <w:rPr>
          <w:b/>
          <w:bCs/>
          <w:color w:val="000000" w:themeColor="text1"/>
          <w:sz w:val="24"/>
          <w:szCs w:val="24"/>
        </w:rPr>
        <w:t>Project A</w:t>
      </w:r>
    </w:p>
    <w:tbl>
      <w:tblPr>
        <w:tblStyle w:val="a5"/>
        <w:tblW w:w="933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1626AD" w:rsidRPr="001626AD" w14:paraId="653766DD" w14:textId="77777777">
        <w:trPr>
          <w:trHeight w:val="345"/>
        </w:trPr>
        <w:tc>
          <w:tcPr>
            <w:tcW w:w="933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A02B71B"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lastRenderedPageBreak/>
              <w:t>Project A</w:t>
            </w:r>
          </w:p>
        </w:tc>
      </w:tr>
      <w:tr w:rsidR="001626AD" w:rsidRPr="001626AD" w14:paraId="0C9607EC"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972273F"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Year</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B585222"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Net cash flow</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653CFAD"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10%. discounting rate</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852D3DA"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Present Value</w:t>
            </w:r>
          </w:p>
        </w:tc>
      </w:tr>
      <w:tr w:rsidR="001626AD" w:rsidRPr="001626AD" w14:paraId="2196A632"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2BAA54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D6365A3" w14:textId="77777777" w:rsidR="00FA51B8" w:rsidRPr="001626AD" w:rsidRDefault="00056198">
            <w:pPr>
              <w:widowControl w:val="0"/>
              <w:spacing w:line="360" w:lineRule="auto"/>
              <w:jc w:val="right"/>
              <w:rPr>
                <w:color w:val="000000" w:themeColor="text1"/>
                <w:sz w:val="24"/>
                <w:szCs w:val="24"/>
              </w:rPr>
            </w:pPr>
            <w:r w:rsidRPr="001626AD">
              <w:rPr>
                <w:color w:val="000000" w:themeColor="text1"/>
                <w:sz w:val="24"/>
                <w:szCs w:val="24"/>
              </w:rPr>
              <w:t>£10,000,000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93F1E1E"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0.909</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5734123"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£9,090,000</w:t>
            </w:r>
          </w:p>
        </w:tc>
      </w:tr>
      <w:tr w:rsidR="001626AD" w:rsidRPr="001626AD" w14:paraId="1DD6BDA6"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B7294C5"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5C223C7" w14:textId="77777777" w:rsidR="00FA51B8" w:rsidRPr="001626AD" w:rsidRDefault="00056198">
            <w:pPr>
              <w:widowControl w:val="0"/>
              <w:spacing w:line="360" w:lineRule="auto"/>
              <w:jc w:val="right"/>
              <w:rPr>
                <w:color w:val="000000" w:themeColor="text1"/>
                <w:sz w:val="24"/>
                <w:szCs w:val="24"/>
              </w:rPr>
            </w:pPr>
            <w:r w:rsidRPr="001626AD">
              <w:rPr>
                <w:color w:val="000000" w:themeColor="text1"/>
                <w:sz w:val="24"/>
                <w:szCs w:val="24"/>
              </w:rPr>
              <w:t>£12,000,000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3E37DCE"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0.826</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95E32FC"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£9,912,000</w:t>
            </w:r>
          </w:p>
        </w:tc>
      </w:tr>
      <w:tr w:rsidR="001626AD" w:rsidRPr="001626AD" w14:paraId="1BFB45D2"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2364373"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6C66AD2" w14:textId="77777777" w:rsidR="00FA51B8" w:rsidRPr="001626AD" w:rsidRDefault="00056198">
            <w:pPr>
              <w:widowControl w:val="0"/>
              <w:spacing w:line="360" w:lineRule="auto"/>
              <w:jc w:val="right"/>
              <w:rPr>
                <w:color w:val="000000" w:themeColor="text1"/>
                <w:sz w:val="24"/>
                <w:szCs w:val="24"/>
              </w:rPr>
            </w:pPr>
            <w:r w:rsidRPr="001626AD">
              <w:rPr>
                <w:color w:val="000000" w:themeColor="text1"/>
                <w:sz w:val="24"/>
                <w:szCs w:val="24"/>
              </w:rPr>
              <w:t>£14,000,000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4FCBE2E"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0.751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F188D8D"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£10,514,000</w:t>
            </w:r>
          </w:p>
        </w:tc>
      </w:tr>
      <w:tr w:rsidR="001626AD" w:rsidRPr="001626AD" w14:paraId="38B2EFA6"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1B25CD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2A04587" w14:textId="77777777" w:rsidR="00FA51B8" w:rsidRPr="001626AD" w:rsidRDefault="00056198">
            <w:pPr>
              <w:widowControl w:val="0"/>
              <w:spacing w:line="360" w:lineRule="auto"/>
              <w:jc w:val="right"/>
              <w:rPr>
                <w:color w:val="000000" w:themeColor="text1"/>
                <w:sz w:val="24"/>
                <w:szCs w:val="24"/>
              </w:rPr>
            </w:pPr>
            <w:r w:rsidRPr="001626AD">
              <w:rPr>
                <w:color w:val="000000" w:themeColor="text1"/>
                <w:sz w:val="24"/>
                <w:szCs w:val="24"/>
              </w:rPr>
              <w:t>£10,000,000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997FFF8"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0.683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743A237"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£6,830,000</w:t>
            </w:r>
          </w:p>
        </w:tc>
      </w:tr>
      <w:tr w:rsidR="001626AD" w:rsidRPr="001626AD" w14:paraId="3FC55801"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3A07AB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E9075ED" w14:textId="77777777" w:rsidR="00FA51B8" w:rsidRPr="001626AD" w:rsidRDefault="00056198">
            <w:pPr>
              <w:widowControl w:val="0"/>
              <w:spacing w:line="360" w:lineRule="auto"/>
              <w:jc w:val="right"/>
              <w:rPr>
                <w:color w:val="000000" w:themeColor="text1"/>
                <w:sz w:val="24"/>
                <w:szCs w:val="24"/>
              </w:rPr>
            </w:pPr>
            <w:r w:rsidRPr="001626AD">
              <w:rPr>
                <w:color w:val="000000" w:themeColor="text1"/>
                <w:sz w:val="24"/>
                <w:szCs w:val="24"/>
              </w:rPr>
              <w:t>£8,000,000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08EED3"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0.620</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BED384"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£4,960,000</w:t>
            </w:r>
          </w:p>
        </w:tc>
      </w:tr>
      <w:tr w:rsidR="001626AD" w:rsidRPr="001626AD" w14:paraId="3347AC82"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0CDEB51"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Owners Capital</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6C94ACE"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£40,000,000</w:t>
            </w:r>
          </w:p>
        </w:tc>
      </w:tr>
      <w:tr w:rsidR="001626AD" w:rsidRPr="001626AD" w14:paraId="70F3F93C"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FB1D1BD"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3C829AF"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£41,306,000</w:t>
            </w:r>
          </w:p>
        </w:tc>
      </w:tr>
      <w:tr w:rsidR="001626AD" w:rsidRPr="001626AD" w14:paraId="00AC37C7"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AAD6AC1"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Net Present Value</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9E566F9"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£1,306,000</w:t>
            </w:r>
          </w:p>
        </w:tc>
      </w:tr>
    </w:tbl>
    <w:p w14:paraId="69E46E2F" w14:textId="77777777" w:rsidR="00FA51B8" w:rsidRPr="001626AD" w:rsidRDefault="00056198">
      <w:pPr>
        <w:spacing w:line="360" w:lineRule="auto"/>
        <w:rPr>
          <w:color w:val="000000" w:themeColor="text1"/>
          <w:sz w:val="24"/>
          <w:szCs w:val="24"/>
        </w:rPr>
      </w:pPr>
      <w:r w:rsidRPr="001626AD">
        <w:rPr>
          <w:b/>
          <w:bCs/>
          <w:color w:val="000000" w:themeColor="text1"/>
          <w:sz w:val="24"/>
          <w:szCs w:val="24"/>
        </w:rPr>
        <w:t>Project B</w:t>
      </w:r>
    </w:p>
    <w:tbl>
      <w:tblPr>
        <w:tblStyle w:val="a6"/>
        <w:tblW w:w="933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1626AD" w:rsidRPr="001626AD" w14:paraId="45138F21" w14:textId="77777777">
        <w:trPr>
          <w:trHeight w:val="345"/>
        </w:trPr>
        <w:tc>
          <w:tcPr>
            <w:tcW w:w="933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7B63F74F"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Project B</w:t>
            </w:r>
          </w:p>
        </w:tc>
      </w:tr>
      <w:tr w:rsidR="001626AD" w:rsidRPr="001626AD" w14:paraId="181E8F02"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A66C187"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Year</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31B1807"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Net cash flow</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175C963"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10%. discounting rate</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EBBDD1D"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Present Value</w:t>
            </w:r>
          </w:p>
        </w:tc>
      </w:tr>
      <w:tr w:rsidR="001626AD" w:rsidRPr="001626AD" w14:paraId="6817265D"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76101A9"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F89AA9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F62B99A"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0.909</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97712BF"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£5,454,000</w:t>
            </w:r>
          </w:p>
        </w:tc>
      </w:tr>
      <w:tr w:rsidR="001626AD" w:rsidRPr="001626AD" w14:paraId="2FCD1CD2"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B27BD1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E8DE623"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4C28AD5"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0.826</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654D71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£4,956,000</w:t>
            </w:r>
          </w:p>
        </w:tc>
      </w:tr>
      <w:tr w:rsidR="001626AD" w:rsidRPr="001626AD" w14:paraId="7AD366A7"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AD7816C"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8D03F8"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4DE2521"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0.751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94302E8"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£4,506,000</w:t>
            </w:r>
          </w:p>
        </w:tc>
      </w:tr>
      <w:tr w:rsidR="001626AD" w:rsidRPr="001626AD" w14:paraId="694C01A0"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B1615D9"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950DF01"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E87F38A"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0.683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096EE97"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£4,098,000</w:t>
            </w:r>
          </w:p>
        </w:tc>
      </w:tr>
      <w:tr w:rsidR="001626AD" w:rsidRPr="001626AD" w14:paraId="595349E3"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3E7512F"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224DCA"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B0F36C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0.620</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1B5DFB1"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£3,720,000</w:t>
            </w:r>
          </w:p>
        </w:tc>
      </w:tr>
      <w:tr w:rsidR="001626AD" w:rsidRPr="001626AD" w14:paraId="4978B6F9"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B467955"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Owners Capital (d)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9A992FD"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£30,000,000</w:t>
            </w:r>
          </w:p>
        </w:tc>
      </w:tr>
      <w:tr w:rsidR="001626AD" w:rsidRPr="001626AD" w14:paraId="50E802B5"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71037BD"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43719DE"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£22,734,000</w:t>
            </w:r>
          </w:p>
        </w:tc>
      </w:tr>
      <w:tr w:rsidR="001626AD" w:rsidRPr="001626AD" w14:paraId="3BE6F131"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FBCC845"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Net Present Value (c-d)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85BFC33"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-£7,266,000</w:t>
            </w:r>
          </w:p>
        </w:tc>
      </w:tr>
    </w:tbl>
    <w:p w14:paraId="25BFB547" w14:textId="77777777" w:rsidR="00FA51B8" w:rsidRPr="001626AD" w:rsidRDefault="00056198">
      <w:pPr>
        <w:spacing w:line="360" w:lineRule="auto"/>
        <w:rPr>
          <w:color w:val="000000" w:themeColor="text1"/>
          <w:sz w:val="24"/>
          <w:szCs w:val="24"/>
        </w:rPr>
      </w:pPr>
      <w:r w:rsidRPr="001626AD">
        <w:rPr>
          <w:b/>
          <w:bCs/>
          <w:color w:val="000000" w:themeColor="text1"/>
          <w:sz w:val="24"/>
          <w:szCs w:val="24"/>
        </w:rPr>
        <w:t>Project C</w:t>
      </w:r>
    </w:p>
    <w:tbl>
      <w:tblPr>
        <w:tblStyle w:val="a7"/>
        <w:tblW w:w="933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1626AD" w:rsidRPr="001626AD" w14:paraId="211A9B4F" w14:textId="77777777">
        <w:trPr>
          <w:trHeight w:val="345"/>
        </w:trPr>
        <w:tc>
          <w:tcPr>
            <w:tcW w:w="933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69A1B6A"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Project C</w:t>
            </w:r>
          </w:p>
        </w:tc>
      </w:tr>
      <w:tr w:rsidR="001626AD" w:rsidRPr="001626AD" w14:paraId="0DD7FD79"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4C4EB76"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Year</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189C576"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 xml:space="preserve">Net cash </w:t>
            </w:r>
            <w:r w:rsidRPr="001626AD">
              <w:rPr>
                <w:b/>
                <w:bCs/>
                <w:color w:val="000000" w:themeColor="text1"/>
                <w:sz w:val="24"/>
                <w:szCs w:val="24"/>
              </w:rPr>
              <w:lastRenderedPageBreak/>
              <w:t>flow</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D693786"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lastRenderedPageBreak/>
              <w:t>10%. discounting rate</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88412F4"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Present Value</w:t>
            </w:r>
          </w:p>
        </w:tc>
      </w:tr>
      <w:tr w:rsidR="001626AD" w:rsidRPr="001626AD" w14:paraId="1C5CFBA7"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223D4D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3A8F354"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38BB25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0.909</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1455865"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£4,545,000</w:t>
            </w:r>
          </w:p>
        </w:tc>
      </w:tr>
      <w:tr w:rsidR="001626AD" w:rsidRPr="001626AD" w14:paraId="7D610B05"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62EEAC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0F23F45"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8720585"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0.826</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94A95C9"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£8,260,000</w:t>
            </w:r>
          </w:p>
        </w:tc>
      </w:tr>
      <w:tr w:rsidR="001626AD" w:rsidRPr="001626AD" w14:paraId="2FAEB634"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EF0B834"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3D76042"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89494C0"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0.751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71B5C3F"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£15,020,000</w:t>
            </w:r>
          </w:p>
        </w:tc>
      </w:tr>
      <w:tr w:rsidR="001626AD" w:rsidRPr="001626AD" w14:paraId="41EBE2DB"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C90B025"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5C271AE"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£25,000,000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F8FEBCF"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0.683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F566EF7"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£17,075,000</w:t>
            </w:r>
          </w:p>
        </w:tc>
      </w:tr>
      <w:tr w:rsidR="001626AD" w:rsidRPr="001626AD" w14:paraId="24C75C16"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16ABF55"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73AD634"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£15,000,000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73856D1"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0.620</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67662C"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£9,300,000</w:t>
            </w:r>
          </w:p>
        </w:tc>
      </w:tr>
      <w:tr w:rsidR="001626AD" w:rsidRPr="001626AD" w14:paraId="03A72201"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F247104"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Owners Capital (d)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41062B3"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£50,000,000</w:t>
            </w:r>
          </w:p>
        </w:tc>
      </w:tr>
      <w:tr w:rsidR="001626AD" w:rsidRPr="001626AD" w14:paraId="121EEA2E"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DD043F3"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9CB94F8"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£54,200,000</w:t>
            </w:r>
          </w:p>
        </w:tc>
      </w:tr>
      <w:tr w:rsidR="001626AD" w:rsidRPr="001626AD" w14:paraId="1E3207EF"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70A9265"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Net Present Value (c-d)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B9F028E"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£4,200,000</w:t>
            </w:r>
          </w:p>
        </w:tc>
      </w:tr>
    </w:tbl>
    <w:p w14:paraId="00672987"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Internal Rate of Return</w:t>
      </w:r>
    </w:p>
    <w:p w14:paraId="10B0E162" w14:textId="77777777" w:rsidR="00FA51B8" w:rsidRPr="001626AD" w:rsidRDefault="00056198">
      <w:pPr>
        <w:spacing w:line="360" w:lineRule="auto"/>
        <w:rPr>
          <w:color w:val="000000" w:themeColor="text1"/>
          <w:sz w:val="24"/>
          <w:szCs w:val="24"/>
        </w:rPr>
      </w:pPr>
      <w:r w:rsidRPr="001626AD">
        <w:rPr>
          <w:b/>
          <w:bCs/>
          <w:color w:val="000000" w:themeColor="text1"/>
          <w:sz w:val="24"/>
          <w:szCs w:val="24"/>
        </w:rPr>
        <w:t>Project A</w:t>
      </w:r>
    </w:p>
    <w:tbl>
      <w:tblPr>
        <w:tblStyle w:val="a8"/>
        <w:tblW w:w="4560" w:type="dxa"/>
        <w:jc w:val="center"/>
        <w:tblBorders>
          <w:top w:val="nil"/>
          <w:left w:val="nil"/>
          <w:bottom w:val="nil"/>
          <w:right w:val="nil"/>
          <w:insideH w:val="nil"/>
          <w:insideV w:val="nil"/>
        </w:tblBorders>
        <w:tblLayout w:type="fixed"/>
        <w:tblLook w:val="0600" w:firstRow="0" w:lastRow="0" w:firstColumn="0" w:lastColumn="0" w:noHBand="1" w:noVBand="1"/>
      </w:tblPr>
      <w:tblGrid>
        <w:gridCol w:w="2475"/>
        <w:gridCol w:w="2085"/>
      </w:tblGrid>
      <w:tr w:rsidR="001626AD" w:rsidRPr="001626AD" w14:paraId="16F16571" w14:textId="77777777">
        <w:trPr>
          <w:trHeight w:val="34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CC32F10"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Project A</w:t>
            </w:r>
          </w:p>
        </w:tc>
      </w:tr>
      <w:tr w:rsidR="001626AD" w:rsidRPr="001626AD" w14:paraId="69F2E411"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5CD6A01"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Year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4688CEA"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Net cash flow</w:t>
            </w:r>
          </w:p>
        </w:tc>
      </w:tr>
      <w:tr w:rsidR="001626AD" w:rsidRPr="001626AD" w14:paraId="18A83ED0"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6245225"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Owners Capital</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A70137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-£40,000,000</w:t>
            </w:r>
          </w:p>
        </w:tc>
      </w:tr>
      <w:tr w:rsidR="001626AD" w:rsidRPr="001626AD" w14:paraId="4AD8C295"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97E5EF9"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00E2CC8"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£10,000,000</w:t>
            </w:r>
          </w:p>
        </w:tc>
      </w:tr>
      <w:tr w:rsidR="001626AD" w:rsidRPr="001626AD" w14:paraId="4803ABFE"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8ADA45E"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887ACF9"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£12,000,000</w:t>
            </w:r>
          </w:p>
        </w:tc>
      </w:tr>
      <w:tr w:rsidR="001626AD" w:rsidRPr="001626AD" w14:paraId="3376AA7F"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FE9F974"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E13AA3C"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£14,000,000</w:t>
            </w:r>
          </w:p>
        </w:tc>
      </w:tr>
      <w:tr w:rsidR="001626AD" w:rsidRPr="001626AD" w14:paraId="2AF11168"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A7796C9"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8E09642"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£10,000,000</w:t>
            </w:r>
          </w:p>
        </w:tc>
      </w:tr>
      <w:tr w:rsidR="001626AD" w:rsidRPr="001626AD" w14:paraId="72285BFD"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D359BC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CA6B2DC"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£8,000,000</w:t>
            </w:r>
          </w:p>
        </w:tc>
      </w:tr>
      <w:tr w:rsidR="001626AD" w:rsidRPr="001626AD" w14:paraId="6101E82D"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15DF059"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IRR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BDA4E7D"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6%</w:t>
            </w:r>
          </w:p>
        </w:tc>
      </w:tr>
    </w:tbl>
    <w:p w14:paraId="2134ED3A" w14:textId="77777777" w:rsidR="00FA51B8" w:rsidRPr="001626AD" w:rsidRDefault="00056198">
      <w:pPr>
        <w:spacing w:line="360" w:lineRule="auto"/>
        <w:rPr>
          <w:color w:val="000000" w:themeColor="text1"/>
          <w:sz w:val="24"/>
          <w:szCs w:val="24"/>
        </w:rPr>
      </w:pPr>
      <w:r w:rsidRPr="001626AD">
        <w:rPr>
          <w:b/>
          <w:bCs/>
          <w:color w:val="000000" w:themeColor="text1"/>
          <w:sz w:val="24"/>
          <w:szCs w:val="24"/>
        </w:rPr>
        <w:t>Project B</w:t>
      </w:r>
    </w:p>
    <w:tbl>
      <w:tblPr>
        <w:tblStyle w:val="a9"/>
        <w:tblW w:w="4560" w:type="dxa"/>
        <w:jc w:val="center"/>
        <w:tblBorders>
          <w:top w:val="nil"/>
          <w:left w:val="nil"/>
          <w:bottom w:val="nil"/>
          <w:right w:val="nil"/>
          <w:insideH w:val="nil"/>
          <w:insideV w:val="nil"/>
        </w:tblBorders>
        <w:tblLayout w:type="fixed"/>
        <w:tblLook w:val="0600" w:firstRow="0" w:lastRow="0" w:firstColumn="0" w:lastColumn="0" w:noHBand="1" w:noVBand="1"/>
      </w:tblPr>
      <w:tblGrid>
        <w:gridCol w:w="2475"/>
        <w:gridCol w:w="2085"/>
      </w:tblGrid>
      <w:tr w:rsidR="001626AD" w:rsidRPr="001626AD" w14:paraId="1987FB8A" w14:textId="77777777">
        <w:trPr>
          <w:trHeight w:val="34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067D8C9C"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Project B</w:t>
            </w:r>
          </w:p>
        </w:tc>
      </w:tr>
      <w:tr w:rsidR="001626AD" w:rsidRPr="001626AD" w14:paraId="36143B2A"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0C99FD2"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Year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2050818"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Net cash flow</w:t>
            </w:r>
          </w:p>
        </w:tc>
      </w:tr>
      <w:tr w:rsidR="001626AD" w:rsidRPr="001626AD" w14:paraId="3D48736F"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12E87CF"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Owners Capital</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11CE9F7"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-£30,000,000</w:t>
            </w:r>
          </w:p>
        </w:tc>
      </w:tr>
      <w:tr w:rsidR="001626AD" w:rsidRPr="001626AD" w14:paraId="0AB88F7F"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F8146D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D874D98"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r>
      <w:tr w:rsidR="001626AD" w:rsidRPr="001626AD" w14:paraId="2178C94E"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565B55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lastRenderedPageBreak/>
              <w:t>2</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9EB4312"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r>
      <w:tr w:rsidR="001626AD" w:rsidRPr="001626AD" w14:paraId="68636DEE"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1CF7EE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044BF1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r>
      <w:tr w:rsidR="001626AD" w:rsidRPr="001626AD" w14:paraId="48B7BE23"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97D337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32CCCC0"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r>
      <w:tr w:rsidR="001626AD" w:rsidRPr="001626AD" w14:paraId="6DE98471"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C061D21"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19861B8"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r>
      <w:tr w:rsidR="001626AD" w:rsidRPr="001626AD" w14:paraId="30666F1D"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28AD086"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IRR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26E66B2"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-8%</w:t>
            </w:r>
          </w:p>
        </w:tc>
      </w:tr>
    </w:tbl>
    <w:p w14:paraId="64C18B11" w14:textId="77777777" w:rsidR="00FA51B8" w:rsidRPr="001626AD" w:rsidRDefault="00056198">
      <w:pPr>
        <w:spacing w:line="360" w:lineRule="auto"/>
        <w:rPr>
          <w:color w:val="000000" w:themeColor="text1"/>
          <w:sz w:val="24"/>
          <w:szCs w:val="24"/>
        </w:rPr>
      </w:pPr>
      <w:r w:rsidRPr="001626AD">
        <w:rPr>
          <w:b/>
          <w:bCs/>
          <w:color w:val="000000" w:themeColor="text1"/>
          <w:sz w:val="24"/>
          <w:szCs w:val="24"/>
        </w:rPr>
        <w:t>Project C</w:t>
      </w:r>
    </w:p>
    <w:tbl>
      <w:tblPr>
        <w:tblStyle w:val="aa"/>
        <w:tblW w:w="4560" w:type="dxa"/>
        <w:jc w:val="center"/>
        <w:tblBorders>
          <w:top w:val="nil"/>
          <w:left w:val="nil"/>
          <w:bottom w:val="nil"/>
          <w:right w:val="nil"/>
          <w:insideH w:val="nil"/>
          <w:insideV w:val="nil"/>
        </w:tblBorders>
        <w:tblLayout w:type="fixed"/>
        <w:tblLook w:val="0600" w:firstRow="0" w:lastRow="0" w:firstColumn="0" w:lastColumn="0" w:noHBand="1" w:noVBand="1"/>
      </w:tblPr>
      <w:tblGrid>
        <w:gridCol w:w="2475"/>
        <w:gridCol w:w="2085"/>
      </w:tblGrid>
      <w:tr w:rsidR="001626AD" w:rsidRPr="001626AD" w14:paraId="70C594F0" w14:textId="77777777">
        <w:trPr>
          <w:trHeight w:val="34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7000FBB7"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Project C</w:t>
            </w:r>
          </w:p>
        </w:tc>
      </w:tr>
      <w:tr w:rsidR="001626AD" w:rsidRPr="001626AD" w14:paraId="365C1588"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6EFA5F5"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Year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2BEA211"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Net cash flow</w:t>
            </w:r>
          </w:p>
        </w:tc>
      </w:tr>
      <w:tr w:rsidR="001626AD" w:rsidRPr="001626AD" w14:paraId="1D43F8B6"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5B2D475"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Owners Capital</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88D3C02"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-£50,000,000</w:t>
            </w:r>
          </w:p>
        </w:tc>
      </w:tr>
      <w:tr w:rsidR="001626AD" w:rsidRPr="001626AD" w14:paraId="45F6F10F"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3A92BBE"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BFFF8C2"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£5,000,000</w:t>
            </w:r>
          </w:p>
        </w:tc>
      </w:tr>
      <w:tr w:rsidR="001626AD" w:rsidRPr="001626AD" w14:paraId="3A861512"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D8AAA5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BB56F92"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£10,000,000</w:t>
            </w:r>
          </w:p>
        </w:tc>
      </w:tr>
      <w:tr w:rsidR="001626AD" w:rsidRPr="001626AD" w14:paraId="6EB45C75"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4E335FF"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B9B4509"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£20,000,000</w:t>
            </w:r>
          </w:p>
        </w:tc>
      </w:tr>
      <w:tr w:rsidR="001626AD" w:rsidRPr="001626AD" w14:paraId="77E121EA"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84BEDD1"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3EF216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£25,000,000</w:t>
            </w:r>
          </w:p>
        </w:tc>
      </w:tr>
      <w:tr w:rsidR="001626AD" w:rsidRPr="001626AD" w14:paraId="6D4C186A"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2DF0260"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06AD3CD"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£15,000,000</w:t>
            </w:r>
          </w:p>
        </w:tc>
      </w:tr>
      <w:tr w:rsidR="001626AD" w:rsidRPr="001626AD" w14:paraId="5A863104"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B519C83"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IRR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4EE06C3"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6%</w:t>
            </w:r>
          </w:p>
        </w:tc>
      </w:tr>
    </w:tbl>
    <w:p w14:paraId="69135FE9" w14:textId="77777777" w:rsidR="00FA51B8" w:rsidRPr="001626AD" w:rsidRDefault="00056198">
      <w:pPr>
        <w:spacing w:line="360" w:lineRule="auto"/>
        <w:rPr>
          <w:b/>
          <w:bCs/>
          <w:color w:val="000000" w:themeColor="text1"/>
          <w:sz w:val="24"/>
          <w:szCs w:val="24"/>
        </w:rPr>
      </w:pPr>
      <w:r w:rsidRPr="001626AD">
        <w:rPr>
          <w:b/>
          <w:bCs/>
          <w:color w:val="000000" w:themeColor="text1"/>
          <w:sz w:val="24"/>
          <w:szCs w:val="24"/>
        </w:rPr>
        <w:t>Profitability Index</w:t>
      </w:r>
    </w:p>
    <w:p w14:paraId="27535858" w14:textId="77777777" w:rsidR="00FA51B8" w:rsidRPr="001626AD" w:rsidRDefault="00056198">
      <w:pPr>
        <w:spacing w:line="360" w:lineRule="auto"/>
        <w:rPr>
          <w:color w:val="000000" w:themeColor="text1"/>
          <w:sz w:val="24"/>
          <w:szCs w:val="24"/>
        </w:rPr>
      </w:pPr>
      <w:r w:rsidRPr="001626AD">
        <w:rPr>
          <w:b/>
          <w:bCs/>
          <w:color w:val="000000" w:themeColor="text1"/>
          <w:sz w:val="24"/>
          <w:szCs w:val="24"/>
        </w:rPr>
        <w:t>Project A</w:t>
      </w:r>
    </w:p>
    <w:tbl>
      <w:tblPr>
        <w:tblStyle w:val="ab"/>
        <w:tblW w:w="7560" w:type="dxa"/>
        <w:jc w:val="center"/>
        <w:tblBorders>
          <w:top w:val="nil"/>
          <w:left w:val="nil"/>
          <w:bottom w:val="nil"/>
          <w:right w:val="nil"/>
          <w:insideH w:val="nil"/>
          <w:insideV w:val="nil"/>
        </w:tblBorders>
        <w:tblLayout w:type="fixed"/>
        <w:tblLook w:val="0600" w:firstRow="0" w:lastRow="0" w:firstColumn="0" w:lastColumn="0" w:noHBand="1" w:noVBand="1"/>
      </w:tblPr>
      <w:tblGrid>
        <w:gridCol w:w="2085"/>
        <w:gridCol w:w="1500"/>
        <w:gridCol w:w="2475"/>
        <w:gridCol w:w="1500"/>
      </w:tblGrid>
      <w:tr w:rsidR="001626AD" w:rsidRPr="001626AD" w14:paraId="5F654AA1" w14:textId="77777777">
        <w:trPr>
          <w:trHeight w:val="34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370F49F"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Project A</w:t>
            </w:r>
          </w:p>
        </w:tc>
      </w:tr>
      <w:tr w:rsidR="001626AD" w:rsidRPr="001626AD" w14:paraId="599B4A46" w14:textId="77777777">
        <w:trPr>
          <w:trHeight w:val="61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BECFEA5"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Year</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DF1D8F4"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Net cash flow</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21D00C1"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10%. discounting rate</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DB2A61B"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Present Value</w:t>
            </w:r>
          </w:p>
        </w:tc>
      </w:tr>
      <w:tr w:rsidR="001626AD" w:rsidRPr="001626AD" w14:paraId="756F9B6D"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57D51EC"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3BC9331" w14:textId="77777777" w:rsidR="00FA51B8" w:rsidRPr="001626AD" w:rsidRDefault="00056198">
            <w:pPr>
              <w:widowControl w:val="0"/>
              <w:spacing w:line="360" w:lineRule="auto"/>
              <w:jc w:val="right"/>
              <w:rPr>
                <w:color w:val="000000" w:themeColor="text1"/>
                <w:sz w:val="24"/>
                <w:szCs w:val="24"/>
              </w:rPr>
            </w:pPr>
            <w:r w:rsidRPr="001626AD">
              <w:rPr>
                <w:color w:val="000000" w:themeColor="text1"/>
                <w:sz w:val="24"/>
                <w:szCs w:val="24"/>
              </w:rPr>
              <w:t>£10,000,000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4678B15"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0.909</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34F54A8"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£9,090,000</w:t>
            </w:r>
          </w:p>
        </w:tc>
      </w:tr>
      <w:tr w:rsidR="001626AD" w:rsidRPr="001626AD" w14:paraId="05C15BFC"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5AAA21A"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E19A2E1" w14:textId="77777777" w:rsidR="00FA51B8" w:rsidRPr="001626AD" w:rsidRDefault="00056198">
            <w:pPr>
              <w:widowControl w:val="0"/>
              <w:spacing w:line="360" w:lineRule="auto"/>
              <w:jc w:val="right"/>
              <w:rPr>
                <w:color w:val="000000" w:themeColor="text1"/>
                <w:sz w:val="24"/>
                <w:szCs w:val="24"/>
              </w:rPr>
            </w:pPr>
            <w:r w:rsidRPr="001626AD">
              <w:rPr>
                <w:color w:val="000000" w:themeColor="text1"/>
                <w:sz w:val="24"/>
                <w:szCs w:val="24"/>
              </w:rPr>
              <w:t>£12,000,000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88A46A4"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0.826</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BC4BE32"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£9,912,000</w:t>
            </w:r>
          </w:p>
        </w:tc>
      </w:tr>
      <w:tr w:rsidR="001626AD" w:rsidRPr="001626AD" w14:paraId="354DA975"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5F2818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35FED9D" w14:textId="77777777" w:rsidR="00FA51B8" w:rsidRPr="001626AD" w:rsidRDefault="00056198">
            <w:pPr>
              <w:widowControl w:val="0"/>
              <w:spacing w:line="360" w:lineRule="auto"/>
              <w:jc w:val="right"/>
              <w:rPr>
                <w:color w:val="000000" w:themeColor="text1"/>
                <w:sz w:val="24"/>
                <w:szCs w:val="24"/>
              </w:rPr>
            </w:pPr>
            <w:r w:rsidRPr="001626AD">
              <w:rPr>
                <w:color w:val="000000" w:themeColor="text1"/>
                <w:sz w:val="24"/>
                <w:szCs w:val="24"/>
              </w:rPr>
              <w:t>£14,000,000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22B6425"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0.751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5ADBD8D"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£10,514,000</w:t>
            </w:r>
          </w:p>
        </w:tc>
      </w:tr>
      <w:tr w:rsidR="001626AD" w:rsidRPr="001626AD" w14:paraId="18A1D2F9"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F6AC22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DA7F591" w14:textId="77777777" w:rsidR="00FA51B8" w:rsidRPr="001626AD" w:rsidRDefault="00056198">
            <w:pPr>
              <w:widowControl w:val="0"/>
              <w:spacing w:line="360" w:lineRule="auto"/>
              <w:jc w:val="right"/>
              <w:rPr>
                <w:color w:val="000000" w:themeColor="text1"/>
                <w:sz w:val="24"/>
                <w:szCs w:val="24"/>
              </w:rPr>
            </w:pPr>
            <w:r w:rsidRPr="001626AD">
              <w:rPr>
                <w:color w:val="000000" w:themeColor="text1"/>
                <w:sz w:val="24"/>
                <w:szCs w:val="24"/>
              </w:rPr>
              <w:t>£10,000,000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F847E9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0.683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8F92233"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£6,830,000</w:t>
            </w:r>
          </w:p>
        </w:tc>
      </w:tr>
      <w:tr w:rsidR="001626AD" w:rsidRPr="001626AD" w14:paraId="17377AC4"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3276923"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9F90C8C" w14:textId="77777777" w:rsidR="00FA51B8" w:rsidRPr="001626AD" w:rsidRDefault="00056198">
            <w:pPr>
              <w:widowControl w:val="0"/>
              <w:spacing w:line="360" w:lineRule="auto"/>
              <w:jc w:val="right"/>
              <w:rPr>
                <w:color w:val="000000" w:themeColor="text1"/>
                <w:sz w:val="24"/>
                <w:szCs w:val="24"/>
              </w:rPr>
            </w:pPr>
            <w:r w:rsidRPr="001626AD">
              <w:rPr>
                <w:color w:val="000000" w:themeColor="text1"/>
                <w:sz w:val="24"/>
                <w:szCs w:val="24"/>
              </w:rPr>
              <w:t>£8,000,000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26356D7"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0.620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80732E0"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£4,960,000</w:t>
            </w:r>
          </w:p>
        </w:tc>
      </w:tr>
      <w:tr w:rsidR="001626AD" w:rsidRPr="001626AD" w14:paraId="3AF08619"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66D7E4E"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1934CA7"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£40,000,000</w:t>
            </w:r>
          </w:p>
        </w:tc>
      </w:tr>
      <w:tr w:rsidR="001626AD" w:rsidRPr="001626AD" w14:paraId="29B9BDFC"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855486C"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lastRenderedPageBreak/>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AC81AD2"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£41,306,000</w:t>
            </w:r>
          </w:p>
        </w:tc>
      </w:tr>
      <w:tr w:rsidR="001626AD" w:rsidRPr="001626AD" w14:paraId="6CC9279E"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5BA4244"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58CFCBF"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£1</w:t>
            </w:r>
          </w:p>
        </w:tc>
      </w:tr>
    </w:tbl>
    <w:p w14:paraId="7C01B861" w14:textId="77777777" w:rsidR="00FA51B8" w:rsidRPr="001626AD" w:rsidRDefault="00056198">
      <w:pPr>
        <w:spacing w:line="360" w:lineRule="auto"/>
        <w:rPr>
          <w:color w:val="000000" w:themeColor="text1"/>
          <w:sz w:val="24"/>
          <w:szCs w:val="24"/>
        </w:rPr>
      </w:pPr>
      <w:r w:rsidRPr="001626AD">
        <w:rPr>
          <w:b/>
          <w:bCs/>
          <w:color w:val="000000" w:themeColor="text1"/>
          <w:sz w:val="24"/>
          <w:szCs w:val="24"/>
        </w:rPr>
        <w:t>Project B</w:t>
      </w:r>
    </w:p>
    <w:tbl>
      <w:tblPr>
        <w:tblStyle w:val="ac"/>
        <w:tblW w:w="7560" w:type="dxa"/>
        <w:jc w:val="center"/>
        <w:tblBorders>
          <w:top w:val="nil"/>
          <w:left w:val="nil"/>
          <w:bottom w:val="nil"/>
          <w:right w:val="nil"/>
          <w:insideH w:val="nil"/>
          <w:insideV w:val="nil"/>
        </w:tblBorders>
        <w:tblLayout w:type="fixed"/>
        <w:tblLook w:val="0600" w:firstRow="0" w:lastRow="0" w:firstColumn="0" w:lastColumn="0" w:noHBand="1" w:noVBand="1"/>
      </w:tblPr>
      <w:tblGrid>
        <w:gridCol w:w="2085"/>
        <w:gridCol w:w="1500"/>
        <w:gridCol w:w="2475"/>
        <w:gridCol w:w="1500"/>
      </w:tblGrid>
      <w:tr w:rsidR="001626AD" w:rsidRPr="001626AD" w14:paraId="72D452BF" w14:textId="77777777">
        <w:trPr>
          <w:trHeight w:val="34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90B554D"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Project B</w:t>
            </w:r>
          </w:p>
        </w:tc>
      </w:tr>
      <w:tr w:rsidR="001626AD" w:rsidRPr="001626AD" w14:paraId="3E15062A" w14:textId="77777777">
        <w:trPr>
          <w:trHeight w:val="61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677592E"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Year</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BA513DA"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Net cash flow</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6F75961"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10%. discounting rate</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A2CA725"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Present Value</w:t>
            </w:r>
          </w:p>
        </w:tc>
      </w:tr>
      <w:tr w:rsidR="001626AD" w:rsidRPr="001626AD" w14:paraId="79D39F4A"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79A5D49"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F9A62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F6881A3"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0.909</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741FEAA"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£5,454,000</w:t>
            </w:r>
          </w:p>
        </w:tc>
      </w:tr>
      <w:tr w:rsidR="001626AD" w:rsidRPr="001626AD" w14:paraId="4F0000F2"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692CA6D"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86C8AD9"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71752BD"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0.826</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4CE076E"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£4,956,000</w:t>
            </w:r>
          </w:p>
        </w:tc>
      </w:tr>
      <w:tr w:rsidR="001626AD" w:rsidRPr="001626AD" w14:paraId="1509BDA8"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E3112AA"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BA5D9ED"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4A62E98"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0.751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6563A5C"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£4,506,000</w:t>
            </w:r>
          </w:p>
        </w:tc>
      </w:tr>
      <w:tr w:rsidR="001626AD" w:rsidRPr="001626AD" w14:paraId="5BBD3D8D"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1BD8E87"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011A93C"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096349E"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0.683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D6D78BA"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£4,098,000</w:t>
            </w:r>
          </w:p>
        </w:tc>
      </w:tr>
      <w:tr w:rsidR="001626AD" w:rsidRPr="001626AD" w14:paraId="5FEC2D01"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5EF3D17"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607604A"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405D4E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0.620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EC613A4"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£3,720,000</w:t>
            </w:r>
          </w:p>
        </w:tc>
      </w:tr>
      <w:tr w:rsidR="001626AD" w:rsidRPr="001626AD" w14:paraId="2922AF0A"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2876293"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EDD416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£30,000,000</w:t>
            </w:r>
          </w:p>
        </w:tc>
      </w:tr>
      <w:tr w:rsidR="001626AD" w:rsidRPr="001626AD" w14:paraId="07E361E3"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2A1D9F7"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633AF94"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£22,734,000</w:t>
            </w:r>
          </w:p>
        </w:tc>
      </w:tr>
      <w:tr w:rsidR="001626AD" w:rsidRPr="001626AD" w14:paraId="3F802F22"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92EFFE1"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B1B4057"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£1</w:t>
            </w:r>
          </w:p>
        </w:tc>
      </w:tr>
    </w:tbl>
    <w:p w14:paraId="339D09EA" w14:textId="77777777" w:rsidR="00FA51B8" w:rsidRPr="001626AD" w:rsidRDefault="00056198">
      <w:pPr>
        <w:spacing w:line="360" w:lineRule="auto"/>
        <w:rPr>
          <w:color w:val="000000" w:themeColor="text1"/>
          <w:sz w:val="24"/>
          <w:szCs w:val="24"/>
        </w:rPr>
      </w:pPr>
      <w:r w:rsidRPr="001626AD">
        <w:rPr>
          <w:b/>
          <w:bCs/>
          <w:color w:val="000000" w:themeColor="text1"/>
          <w:sz w:val="24"/>
          <w:szCs w:val="24"/>
        </w:rPr>
        <w:t>Project C</w:t>
      </w:r>
    </w:p>
    <w:tbl>
      <w:tblPr>
        <w:tblStyle w:val="ad"/>
        <w:tblW w:w="7560" w:type="dxa"/>
        <w:jc w:val="center"/>
        <w:tblBorders>
          <w:top w:val="nil"/>
          <w:left w:val="nil"/>
          <w:bottom w:val="nil"/>
          <w:right w:val="nil"/>
          <w:insideH w:val="nil"/>
          <w:insideV w:val="nil"/>
        </w:tblBorders>
        <w:tblLayout w:type="fixed"/>
        <w:tblLook w:val="0600" w:firstRow="0" w:lastRow="0" w:firstColumn="0" w:lastColumn="0" w:noHBand="1" w:noVBand="1"/>
      </w:tblPr>
      <w:tblGrid>
        <w:gridCol w:w="2085"/>
        <w:gridCol w:w="1500"/>
        <w:gridCol w:w="2475"/>
        <w:gridCol w:w="1500"/>
      </w:tblGrid>
      <w:tr w:rsidR="001626AD" w:rsidRPr="001626AD" w14:paraId="40D5DC75" w14:textId="77777777">
        <w:trPr>
          <w:trHeight w:val="34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2A921254"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Project C</w:t>
            </w:r>
          </w:p>
        </w:tc>
      </w:tr>
      <w:tr w:rsidR="001626AD" w:rsidRPr="001626AD" w14:paraId="74C74794" w14:textId="77777777">
        <w:trPr>
          <w:trHeight w:val="61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7775A54"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Year</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D142F2"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Net cash flow</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F023679"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10%. discounting rate</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2F0A3C3"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Present Value</w:t>
            </w:r>
          </w:p>
        </w:tc>
      </w:tr>
      <w:tr w:rsidR="001626AD" w:rsidRPr="001626AD" w14:paraId="31AA01DC"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C11ED82"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6D147B3"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5B89610"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0.909</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561BD5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£4,545,000</w:t>
            </w:r>
          </w:p>
        </w:tc>
      </w:tr>
      <w:tr w:rsidR="001626AD" w:rsidRPr="001626AD" w14:paraId="6BE63CEF"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216186E"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4B4270E"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E4AF791"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0.826</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D0820FB"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£8,260,000</w:t>
            </w:r>
          </w:p>
        </w:tc>
      </w:tr>
      <w:tr w:rsidR="001626AD" w:rsidRPr="001626AD" w14:paraId="78AF7DAD"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ABC917C"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F263B35"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BA2F27"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0.751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9AFCF4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£15,020,000</w:t>
            </w:r>
          </w:p>
        </w:tc>
      </w:tr>
      <w:tr w:rsidR="001626AD" w:rsidRPr="001626AD" w14:paraId="7312C4E5"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F75607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4</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5029091"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£25,000,000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E70F4B3"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0.683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E6851B1"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£17,075,000</w:t>
            </w:r>
          </w:p>
        </w:tc>
      </w:tr>
      <w:tr w:rsidR="001626AD" w:rsidRPr="001626AD" w14:paraId="2AF74F5E"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2187DFA"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0A5B22A"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£15,000,000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FB0E700"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0.620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09ABAA6"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£9,300,000</w:t>
            </w:r>
          </w:p>
        </w:tc>
      </w:tr>
      <w:tr w:rsidR="001626AD" w:rsidRPr="001626AD" w14:paraId="6CCF190A"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CAC938D"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3A57039" w14:textId="77777777" w:rsidR="00FA51B8" w:rsidRPr="001626AD" w:rsidRDefault="00056198">
            <w:pPr>
              <w:widowControl w:val="0"/>
              <w:spacing w:line="360" w:lineRule="auto"/>
              <w:jc w:val="center"/>
              <w:rPr>
                <w:color w:val="000000" w:themeColor="text1"/>
                <w:sz w:val="24"/>
                <w:szCs w:val="24"/>
              </w:rPr>
            </w:pPr>
            <w:r w:rsidRPr="001626AD">
              <w:rPr>
                <w:color w:val="000000" w:themeColor="text1"/>
                <w:sz w:val="24"/>
                <w:szCs w:val="24"/>
              </w:rPr>
              <w:t>£50,000,000</w:t>
            </w:r>
          </w:p>
        </w:tc>
      </w:tr>
      <w:tr w:rsidR="001626AD" w:rsidRPr="001626AD" w14:paraId="03928E3F"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00088C5"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lastRenderedPageBreak/>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F8BDC63"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£54,200,000</w:t>
            </w:r>
          </w:p>
        </w:tc>
      </w:tr>
      <w:tr w:rsidR="001626AD" w:rsidRPr="001626AD" w14:paraId="2F9881ED"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867B6EB"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DE11968" w14:textId="77777777" w:rsidR="00FA51B8" w:rsidRPr="001626AD" w:rsidRDefault="00056198">
            <w:pPr>
              <w:widowControl w:val="0"/>
              <w:spacing w:line="360" w:lineRule="auto"/>
              <w:jc w:val="center"/>
              <w:rPr>
                <w:color w:val="000000" w:themeColor="text1"/>
                <w:sz w:val="24"/>
                <w:szCs w:val="24"/>
              </w:rPr>
            </w:pPr>
            <w:r w:rsidRPr="001626AD">
              <w:rPr>
                <w:b/>
                <w:bCs/>
                <w:color w:val="000000" w:themeColor="text1"/>
                <w:sz w:val="24"/>
                <w:szCs w:val="24"/>
              </w:rPr>
              <w:t>£1</w:t>
            </w:r>
          </w:p>
        </w:tc>
      </w:tr>
    </w:tbl>
    <w:p w14:paraId="08BD1E18" w14:textId="77777777" w:rsidR="00FA51B8" w:rsidRPr="001626AD" w:rsidRDefault="00FA51B8">
      <w:pPr>
        <w:rPr>
          <w:color w:val="000000" w:themeColor="text1"/>
        </w:rPr>
      </w:pPr>
    </w:p>
    <w:p w14:paraId="5A382CA6" w14:textId="77777777" w:rsidR="00FA51B8" w:rsidRPr="001626AD" w:rsidRDefault="00FA51B8">
      <w:pPr>
        <w:rPr>
          <w:color w:val="000000" w:themeColor="text1"/>
        </w:rPr>
      </w:pPr>
    </w:p>
    <w:p w14:paraId="3815C368" w14:textId="77777777" w:rsidR="00FA51B8" w:rsidRPr="001626AD" w:rsidRDefault="00FA51B8">
      <w:pPr>
        <w:rPr>
          <w:color w:val="000000" w:themeColor="text1"/>
        </w:rPr>
      </w:pPr>
    </w:p>
    <w:p w14:paraId="35F64439" w14:textId="77777777" w:rsidR="00FA51B8" w:rsidRPr="001626AD" w:rsidRDefault="00FA51B8">
      <w:pPr>
        <w:rPr>
          <w:color w:val="000000" w:themeColor="text1"/>
        </w:rPr>
      </w:pPr>
    </w:p>
    <w:p w14:paraId="43A41792" w14:textId="77777777" w:rsidR="00FA51B8" w:rsidRPr="001626AD" w:rsidRDefault="00FA51B8">
      <w:pPr>
        <w:rPr>
          <w:color w:val="000000" w:themeColor="text1"/>
        </w:rPr>
      </w:pPr>
    </w:p>
    <w:p w14:paraId="09292637" w14:textId="77777777" w:rsidR="00FA51B8" w:rsidRPr="001626AD" w:rsidRDefault="00FA51B8">
      <w:pPr>
        <w:rPr>
          <w:color w:val="000000" w:themeColor="text1"/>
        </w:rPr>
      </w:pPr>
    </w:p>
    <w:p w14:paraId="0AABCE38" w14:textId="77777777" w:rsidR="00FA51B8" w:rsidRPr="001626AD" w:rsidRDefault="00FA51B8">
      <w:pPr>
        <w:rPr>
          <w:color w:val="000000" w:themeColor="text1"/>
        </w:rPr>
      </w:pPr>
    </w:p>
    <w:p w14:paraId="7C1303B2" w14:textId="77777777" w:rsidR="00FA51B8" w:rsidRPr="001626AD" w:rsidRDefault="00FA51B8">
      <w:pPr>
        <w:rPr>
          <w:color w:val="000000" w:themeColor="text1"/>
        </w:rPr>
      </w:pPr>
    </w:p>
    <w:p w14:paraId="0081BD34" w14:textId="77777777" w:rsidR="00FA51B8" w:rsidRPr="001626AD" w:rsidRDefault="00FA51B8">
      <w:pPr>
        <w:spacing w:line="360" w:lineRule="auto"/>
        <w:jc w:val="both"/>
        <w:rPr>
          <w:color w:val="000000" w:themeColor="text1"/>
          <w:sz w:val="24"/>
          <w:szCs w:val="24"/>
        </w:rPr>
      </w:pPr>
    </w:p>
    <w:p w14:paraId="0C4418FC" w14:textId="77777777" w:rsidR="00FA51B8" w:rsidRPr="001626AD" w:rsidRDefault="00FA51B8">
      <w:pPr>
        <w:spacing w:line="360" w:lineRule="auto"/>
        <w:jc w:val="both"/>
        <w:rPr>
          <w:rFonts w:ascii="Times New Roman" w:eastAsia="Times New Roman" w:hAnsi="Times New Roman" w:cs="Times New Roman"/>
          <w:color w:val="000000" w:themeColor="text1"/>
          <w:sz w:val="24"/>
          <w:szCs w:val="24"/>
        </w:rPr>
      </w:pPr>
    </w:p>
    <w:sectPr w:rsidR="00FA51B8" w:rsidRPr="001626AD" w:rsidSect="001626AD">
      <w:headerReference w:type="even" r:id="rId55"/>
      <w:headerReference w:type="default" r:id="rId56"/>
      <w:footerReference w:type="even" r:id="rId57"/>
      <w:footerReference w:type="default" r:id="rId58"/>
      <w:headerReference w:type="first" r:id="rId59"/>
      <w:footerReference w:type="first" r:id="rId60"/>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2AD1A9" w14:textId="77777777" w:rsidR="004D7232" w:rsidRDefault="004D7232">
      <w:pPr>
        <w:spacing w:line="240" w:lineRule="auto"/>
      </w:pPr>
      <w:r>
        <w:separator/>
      </w:r>
    </w:p>
  </w:endnote>
  <w:endnote w:type="continuationSeparator" w:id="0">
    <w:p w14:paraId="2186D3B1" w14:textId="77777777" w:rsidR="004D7232" w:rsidRDefault="004D72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22E29813-BE46-43C2-878B-0B06592454F2}"/>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9CE2B5C0-F682-4196-9450-B9434584671E}"/>
  </w:font>
  <w:font w:name="Cambria">
    <w:panose1 w:val="02040503050406030204"/>
    <w:charset w:val="00"/>
    <w:family w:val="roman"/>
    <w:pitch w:val="variable"/>
    <w:sig w:usb0="E00006FF" w:usb1="420024FF" w:usb2="02000000" w:usb3="00000000" w:csb0="0000019F" w:csb1="00000000"/>
    <w:embedRegular r:id="rId3" w:fontKey="{0FF5CBCF-6559-4FA3-9C91-EBB55DC68C53}"/>
  </w:font>
  <w:font w:name="Gungsuh">
    <w:altName w:val="Times New Roman"/>
    <w:charset w:val="00"/>
    <w:family w:val="auto"/>
    <w:pitch w:val="default"/>
    <w:embedRegular r:id="rId4" w:fontKey="{ED2EB918-B0A6-4A7A-9958-C6D303E84D9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9F71B" w14:textId="77777777" w:rsidR="00832DAF" w:rsidRDefault="00832D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158445" w14:textId="77777777" w:rsidR="00832DAF" w:rsidRDefault="00832DAF">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862D4C">
      <w:rPr>
        <w:noProof/>
        <w:color w:val="000000"/>
        <w:sz w:val="20"/>
        <w:szCs w:val="20"/>
      </w:rPr>
      <w:t>53</w:t>
    </w:r>
    <w:r>
      <w:rPr>
        <w:color w:val="000000"/>
        <w:sz w:val="20"/>
        <w:szCs w:val="20"/>
      </w:rPr>
      <w:fldChar w:fldCharType="end"/>
    </w:r>
  </w:p>
  <w:p w14:paraId="1F80159F" w14:textId="77777777" w:rsidR="00832DAF" w:rsidRDefault="00832DAF">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A028D4" w14:textId="77777777" w:rsidR="00832DAF" w:rsidRDefault="00832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D8188" w14:textId="77777777" w:rsidR="004D7232" w:rsidRDefault="004D7232">
      <w:pPr>
        <w:spacing w:line="240" w:lineRule="auto"/>
      </w:pPr>
      <w:r>
        <w:separator/>
      </w:r>
    </w:p>
  </w:footnote>
  <w:footnote w:type="continuationSeparator" w:id="0">
    <w:p w14:paraId="192685A2" w14:textId="77777777" w:rsidR="004D7232" w:rsidRDefault="004D72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9868E" w14:textId="77777777" w:rsidR="00832DAF" w:rsidRDefault="00832D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1AD36F" w14:textId="77777777" w:rsidR="00832DAF" w:rsidRDefault="00832D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AC6D55" w14:textId="77777777" w:rsidR="00832DAF" w:rsidRDefault="00832D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A7FC6"/>
    <w:multiLevelType w:val="multilevel"/>
    <w:tmpl w:val="28C8DD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4710550"/>
    <w:multiLevelType w:val="multilevel"/>
    <w:tmpl w:val="F8A69C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BA24D5"/>
    <w:multiLevelType w:val="multilevel"/>
    <w:tmpl w:val="7A0476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EED5702"/>
    <w:multiLevelType w:val="multilevel"/>
    <w:tmpl w:val="824037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B412CE"/>
    <w:multiLevelType w:val="multilevel"/>
    <w:tmpl w:val="17AA5D8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1912027C"/>
    <w:multiLevelType w:val="multilevel"/>
    <w:tmpl w:val="F3C6BA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1C495711"/>
    <w:multiLevelType w:val="multilevel"/>
    <w:tmpl w:val="E48A0E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2261270C"/>
    <w:multiLevelType w:val="multilevel"/>
    <w:tmpl w:val="87D6C4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84808D5"/>
    <w:multiLevelType w:val="multilevel"/>
    <w:tmpl w:val="099641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28FC76A1"/>
    <w:multiLevelType w:val="multilevel"/>
    <w:tmpl w:val="B7129F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2B6628C6"/>
    <w:multiLevelType w:val="multilevel"/>
    <w:tmpl w:val="D0B2BB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3AC26A7A"/>
    <w:multiLevelType w:val="multilevel"/>
    <w:tmpl w:val="45BA7F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3C3E5D6F"/>
    <w:multiLevelType w:val="multilevel"/>
    <w:tmpl w:val="659A5B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418C6652"/>
    <w:multiLevelType w:val="multilevel"/>
    <w:tmpl w:val="25602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2073EDF"/>
    <w:multiLevelType w:val="multilevel"/>
    <w:tmpl w:val="5B4A96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46AF5D9C"/>
    <w:multiLevelType w:val="multilevel"/>
    <w:tmpl w:val="EF3EB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6D221EE"/>
    <w:multiLevelType w:val="multilevel"/>
    <w:tmpl w:val="DBE0C4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15:restartNumberingAfterBreak="0">
    <w:nsid w:val="48105E27"/>
    <w:multiLevelType w:val="multilevel"/>
    <w:tmpl w:val="932A5E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4AFE28A1"/>
    <w:multiLevelType w:val="multilevel"/>
    <w:tmpl w:val="C2E68C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B6641D6"/>
    <w:multiLevelType w:val="multilevel"/>
    <w:tmpl w:val="C8D08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0DA742D"/>
    <w:multiLevelType w:val="multilevel"/>
    <w:tmpl w:val="77CE87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82C4B61"/>
    <w:multiLevelType w:val="multilevel"/>
    <w:tmpl w:val="13608B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598E5E7D"/>
    <w:multiLevelType w:val="multilevel"/>
    <w:tmpl w:val="3C6A1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EC57975"/>
    <w:multiLevelType w:val="multilevel"/>
    <w:tmpl w:val="B79AFF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4" w15:restartNumberingAfterBreak="0">
    <w:nsid w:val="65EE1808"/>
    <w:multiLevelType w:val="multilevel"/>
    <w:tmpl w:val="4B1AAB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5" w15:restartNumberingAfterBreak="0">
    <w:nsid w:val="6BC8201C"/>
    <w:multiLevelType w:val="multilevel"/>
    <w:tmpl w:val="21B8D0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6" w15:restartNumberingAfterBreak="0">
    <w:nsid w:val="6CD57745"/>
    <w:multiLevelType w:val="multilevel"/>
    <w:tmpl w:val="E774D1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2480EC3"/>
    <w:multiLevelType w:val="multilevel"/>
    <w:tmpl w:val="1092FE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8" w15:restartNumberingAfterBreak="0">
    <w:nsid w:val="72527F92"/>
    <w:multiLevelType w:val="multilevel"/>
    <w:tmpl w:val="AD18FA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597761D"/>
    <w:multiLevelType w:val="multilevel"/>
    <w:tmpl w:val="28883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7ED1056"/>
    <w:multiLevelType w:val="multilevel"/>
    <w:tmpl w:val="EFF8C1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1" w15:restartNumberingAfterBreak="0">
    <w:nsid w:val="77FC470C"/>
    <w:multiLevelType w:val="multilevel"/>
    <w:tmpl w:val="92E863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F4D0919"/>
    <w:multiLevelType w:val="multilevel"/>
    <w:tmpl w:val="7D547F8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2019218">
    <w:abstractNumId w:val="16"/>
  </w:num>
  <w:num w:numId="2" w16cid:durableId="638190726">
    <w:abstractNumId w:val="24"/>
  </w:num>
  <w:num w:numId="3" w16cid:durableId="579952515">
    <w:abstractNumId w:val="30"/>
  </w:num>
  <w:num w:numId="4" w16cid:durableId="846552648">
    <w:abstractNumId w:val="17"/>
  </w:num>
  <w:num w:numId="5" w16cid:durableId="966399624">
    <w:abstractNumId w:val="11"/>
  </w:num>
  <w:num w:numId="6" w16cid:durableId="445782270">
    <w:abstractNumId w:val="12"/>
  </w:num>
  <w:num w:numId="7" w16cid:durableId="1383863333">
    <w:abstractNumId w:val="8"/>
  </w:num>
  <w:num w:numId="8" w16cid:durableId="491336486">
    <w:abstractNumId w:val="32"/>
  </w:num>
  <w:num w:numId="9" w16cid:durableId="705066080">
    <w:abstractNumId w:val="25"/>
  </w:num>
  <w:num w:numId="10" w16cid:durableId="1986424388">
    <w:abstractNumId w:val="0"/>
  </w:num>
  <w:num w:numId="11" w16cid:durableId="189685625">
    <w:abstractNumId w:val="4"/>
  </w:num>
  <w:num w:numId="12" w16cid:durableId="1912352716">
    <w:abstractNumId w:val="21"/>
  </w:num>
  <w:num w:numId="13" w16cid:durableId="634801223">
    <w:abstractNumId w:val="27"/>
  </w:num>
  <w:num w:numId="14" w16cid:durableId="1157648541">
    <w:abstractNumId w:val="2"/>
  </w:num>
  <w:num w:numId="15" w16cid:durableId="961225682">
    <w:abstractNumId w:val="10"/>
  </w:num>
  <w:num w:numId="16" w16cid:durableId="1779905698">
    <w:abstractNumId w:val="5"/>
  </w:num>
  <w:num w:numId="17" w16cid:durableId="871575312">
    <w:abstractNumId w:val="6"/>
  </w:num>
  <w:num w:numId="18" w16cid:durableId="109669704">
    <w:abstractNumId w:val="9"/>
  </w:num>
  <w:num w:numId="19" w16cid:durableId="2083864020">
    <w:abstractNumId w:val="23"/>
  </w:num>
  <w:num w:numId="20" w16cid:durableId="407190022">
    <w:abstractNumId w:val="14"/>
  </w:num>
  <w:num w:numId="21" w16cid:durableId="517549616">
    <w:abstractNumId w:val="29"/>
  </w:num>
  <w:num w:numId="22" w16cid:durableId="964232553">
    <w:abstractNumId w:val="28"/>
  </w:num>
  <w:num w:numId="23" w16cid:durableId="2245776">
    <w:abstractNumId w:val="20"/>
  </w:num>
  <w:num w:numId="24" w16cid:durableId="987977440">
    <w:abstractNumId w:val="18"/>
  </w:num>
  <w:num w:numId="25" w16cid:durableId="1930649378">
    <w:abstractNumId w:val="22"/>
  </w:num>
  <w:num w:numId="26" w16cid:durableId="1550263908">
    <w:abstractNumId w:val="3"/>
  </w:num>
  <w:num w:numId="27" w16cid:durableId="216866810">
    <w:abstractNumId w:val="15"/>
  </w:num>
  <w:num w:numId="28" w16cid:durableId="260797419">
    <w:abstractNumId w:val="13"/>
  </w:num>
  <w:num w:numId="29" w16cid:durableId="1152021575">
    <w:abstractNumId w:val="19"/>
  </w:num>
  <w:num w:numId="30" w16cid:durableId="173541828">
    <w:abstractNumId w:val="26"/>
  </w:num>
  <w:num w:numId="31" w16cid:durableId="413817496">
    <w:abstractNumId w:val="31"/>
  </w:num>
  <w:num w:numId="32" w16cid:durableId="683941670">
    <w:abstractNumId w:val="1"/>
  </w:num>
  <w:num w:numId="33" w16cid:durableId="20451337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embedTrueTypeFont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51B8"/>
    <w:rsid w:val="0003048C"/>
    <w:rsid w:val="00056198"/>
    <w:rsid w:val="00075C0F"/>
    <w:rsid w:val="000F725C"/>
    <w:rsid w:val="00160971"/>
    <w:rsid w:val="001626AD"/>
    <w:rsid w:val="001A5114"/>
    <w:rsid w:val="002457FC"/>
    <w:rsid w:val="002565B0"/>
    <w:rsid w:val="002E50F9"/>
    <w:rsid w:val="003D70B9"/>
    <w:rsid w:val="00437821"/>
    <w:rsid w:val="004C3398"/>
    <w:rsid w:val="004D320F"/>
    <w:rsid w:val="004D7232"/>
    <w:rsid w:val="004F3875"/>
    <w:rsid w:val="005037FE"/>
    <w:rsid w:val="00504E8B"/>
    <w:rsid w:val="005E6C71"/>
    <w:rsid w:val="005E6E13"/>
    <w:rsid w:val="005F3860"/>
    <w:rsid w:val="00602A45"/>
    <w:rsid w:val="00643CA2"/>
    <w:rsid w:val="00736EFB"/>
    <w:rsid w:val="0079630F"/>
    <w:rsid w:val="007E6651"/>
    <w:rsid w:val="00832DAF"/>
    <w:rsid w:val="008616FF"/>
    <w:rsid w:val="00862D4C"/>
    <w:rsid w:val="00893DE9"/>
    <w:rsid w:val="008B0144"/>
    <w:rsid w:val="008B33E4"/>
    <w:rsid w:val="008C5543"/>
    <w:rsid w:val="00974ED5"/>
    <w:rsid w:val="009C3176"/>
    <w:rsid w:val="009D0493"/>
    <w:rsid w:val="00A13555"/>
    <w:rsid w:val="00A15CEB"/>
    <w:rsid w:val="00A60069"/>
    <w:rsid w:val="00AA59C5"/>
    <w:rsid w:val="00AD2724"/>
    <w:rsid w:val="00B51D59"/>
    <w:rsid w:val="00B61697"/>
    <w:rsid w:val="00BA2952"/>
    <w:rsid w:val="00BC06BD"/>
    <w:rsid w:val="00C32B90"/>
    <w:rsid w:val="00C5016C"/>
    <w:rsid w:val="00C83E18"/>
    <w:rsid w:val="00D20AC4"/>
    <w:rsid w:val="00DA5EA5"/>
    <w:rsid w:val="00DD2E86"/>
    <w:rsid w:val="00DD3B84"/>
    <w:rsid w:val="00E129CD"/>
    <w:rsid w:val="00E15087"/>
    <w:rsid w:val="00E24E2C"/>
    <w:rsid w:val="00E251CD"/>
    <w:rsid w:val="00E36A53"/>
    <w:rsid w:val="00EF520C"/>
    <w:rsid w:val="00F66904"/>
    <w:rsid w:val="00FA51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6D9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3CA2"/>
    <w:pPr>
      <w:keepNext/>
      <w:keepLines/>
      <w:spacing w:before="400" w:after="120" w:line="360" w:lineRule="auto"/>
      <w:jc w:val="both"/>
      <w:outlineLvl w:val="0"/>
    </w:pPr>
    <w:rPr>
      <w:b/>
      <w:bCs/>
      <w:color w:val="000000" w:themeColor="text1"/>
      <w:sz w:val="24"/>
      <w:szCs w:val="24"/>
    </w:rPr>
  </w:style>
  <w:style w:type="paragraph" w:styleId="Heading2">
    <w:name w:val="heading 2"/>
    <w:basedOn w:val="Normal"/>
    <w:next w:val="Normal"/>
    <w:uiPriority w:val="9"/>
    <w:unhideWhenUsed/>
    <w:qFormat/>
    <w:rsid w:val="00643CA2"/>
    <w:pPr>
      <w:keepNext/>
      <w:keepLines/>
      <w:spacing w:before="360" w:after="120" w:line="360" w:lineRule="auto"/>
      <w:jc w:val="both"/>
      <w:outlineLvl w:val="1"/>
    </w:pPr>
    <w:rPr>
      <w:b/>
      <w:bCs/>
      <w:color w:val="000000" w:themeColor="text1"/>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7F3FD6"/>
    <w:pPr>
      <w:tabs>
        <w:tab w:val="center" w:pos="4513"/>
        <w:tab w:val="right" w:pos="9026"/>
      </w:tabs>
      <w:spacing w:line="240" w:lineRule="auto"/>
    </w:pPr>
  </w:style>
  <w:style w:type="character" w:customStyle="1" w:styleId="HeaderChar">
    <w:name w:val="Header Char"/>
    <w:basedOn w:val="DefaultParagraphFont"/>
    <w:link w:val="Header"/>
    <w:uiPriority w:val="99"/>
    <w:rsid w:val="007F3FD6"/>
  </w:style>
  <w:style w:type="paragraph" w:styleId="Footer">
    <w:name w:val="footer"/>
    <w:basedOn w:val="Normal"/>
    <w:link w:val="FooterChar"/>
    <w:uiPriority w:val="99"/>
    <w:unhideWhenUsed/>
    <w:rsid w:val="007F3FD6"/>
    <w:pPr>
      <w:tabs>
        <w:tab w:val="center" w:pos="4513"/>
        <w:tab w:val="right" w:pos="9026"/>
      </w:tabs>
      <w:spacing w:line="240" w:lineRule="auto"/>
    </w:pPr>
  </w:style>
  <w:style w:type="character" w:customStyle="1" w:styleId="FooterChar">
    <w:name w:val="Footer Char"/>
    <w:basedOn w:val="DefaultParagraphFont"/>
    <w:link w:val="Footer"/>
    <w:uiPriority w:val="99"/>
    <w:rsid w:val="007F3FD6"/>
  </w:style>
  <w:style w:type="character" w:styleId="Hyperlink">
    <w:name w:val="Hyperlink"/>
    <w:basedOn w:val="DefaultParagraphFont"/>
    <w:uiPriority w:val="99"/>
    <w:unhideWhenUsed/>
    <w:rsid w:val="007F3FD6"/>
    <w:rPr>
      <w:color w:val="0000FF" w:themeColor="hyperlink"/>
      <w:u w:val="single"/>
    </w:rPr>
  </w:style>
  <w:style w:type="paragraph" w:styleId="TOCHeading">
    <w:name w:val="TOC Heading"/>
    <w:basedOn w:val="Heading1"/>
    <w:next w:val="Normal"/>
    <w:uiPriority w:val="39"/>
    <w:unhideWhenUsed/>
    <w:qFormat/>
    <w:rsid w:val="0012607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2607E"/>
    <w:pPr>
      <w:spacing w:after="100"/>
    </w:pPr>
  </w:style>
  <w:style w:type="paragraph" w:styleId="TOC2">
    <w:name w:val="toc 2"/>
    <w:basedOn w:val="Normal"/>
    <w:next w:val="Normal"/>
    <w:autoRedefine/>
    <w:uiPriority w:val="39"/>
    <w:unhideWhenUsed/>
    <w:rsid w:val="0012607E"/>
    <w:pPr>
      <w:spacing w:after="100"/>
      <w:ind w:left="220"/>
    </w:pPr>
  </w:style>
  <w:style w:type="paragraph" w:styleId="ListParagraph">
    <w:name w:val="List Paragraph"/>
    <w:basedOn w:val="Normal"/>
    <w:uiPriority w:val="34"/>
    <w:qFormat/>
    <w:rsid w:val="009D56A5"/>
    <w:pPr>
      <w:ind w:left="720"/>
      <w:contextualSpacing/>
    </w:p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 w:type="character" w:customStyle="1" w:styleId="Heading1Char">
    <w:name w:val="Heading 1 Char"/>
    <w:basedOn w:val="DefaultParagraphFont"/>
    <w:link w:val="Heading1"/>
    <w:uiPriority w:val="9"/>
    <w:rsid w:val="0079630F"/>
    <w:rPr>
      <w:b/>
      <w:bCs/>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16972">
      <w:bodyDiv w:val="1"/>
      <w:marLeft w:val="0"/>
      <w:marRight w:val="0"/>
      <w:marTop w:val="0"/>
      <w:marBottom w:val="0"/>
      <w:divBdr>
        <w:top w:val="none" w:sz="0" w:space="0" w:color="auto"/>
        <w:left w:val="none" w:sz="0" w:space="0" w:color="auto"/>
        <w:bottom w:val="none" w:sz="0" w:space="0" w:color="auto"/>
        <w:right w:val="none" w:sz="0" w:space="0" w:color="auto"/>
      </w:divBdr>
    </w:div>
    <w:div w:id="264507666">
      <w:bodyDiv w:val="1"/>
      <w:marLeft w:val="0"/>
      <w:marRight w:val="0"/>
      <w:marTop w:val="0"/>
      <w:marBottom w:val="0"/>
      <w:divBdr>
        <w:top w:val="none" w:sz="0" w:space="0" w:color="auto"/>
        <w:left w:val="none" w:sz="0" w:space="0" w:color="auto"/>
        <w:bottom w:val="none" w:sz="0" w:space="0" w:color="auto"/>
        <w:right w:val="none" w:sz="0" w:space="0" w:color="auto"/>
      </w:divBdr>
    </w:div>
    <w:div w:id="388959273">
      <w:bodyDiv w:val="1"/>
      <w:marLeft w:val="0"/>
      <w:marRight w:val="0"/>
      <w:marTop w:val="0"/>
      <w:marBottom w:val="0"/>
      <w:divBdr>
        <w:top w:val="none" w:sz="0" w:space="0" w:color="auto"/>
        <w:left w:val="none" w:sz="0" w:space="0" w:color="auto"/>
        <w:bottom w:val="none" w:sz="0" w:space="0" w:color="auto"/>
        <w:right w:val="none" w:sz="0" w:space="0" w:color="auto"/>
      </w:divBdr>
    </w:div>
    <w:div w:id="430246801">
      <w:bodyDiv w:val="1"/>
      <w:marLeft w:val="0"/>
      <w:marRight w:val="0"/>
      <w:marTop w:val="0"/>
      <w:marBottom w:val="0"/>
      <w:divBdr>
        <w:top w:val="none" w:sz="0" w:space="0" w:color="auto"/>
        <w:left w:val="none" w:sz="0" w:space="0" w:color="auto"/>
        <w:bottom w:val="none" w:sz="0" w:space="0" w:color="auto"/>
        <w:right w:val="none" w:sz="0" w:space="0" w:color="auto"/>
      </w:divBdr>
    </w:div>
    <w:div w:id="469834461">
      <w:bodyDiv w:val="1"/>
      <w:marLeft w:val="0"/>
      <w:marRight w:val="0"/>
      <w:marTop w:val="0"/>
      <w:marBottom w:val="0"/>
      <w:divBdr>
        <w:top w:val="none" w:sz="0" w:space="0" w:color="auto"/>
        <w:left w:val="none" w:sz="0" w:space="0" w:color="auto"/>
        <w:bottom w:val="none" w:sz="0" w:space="0" w:color="auto"/>
        <w:right w:val="none" w:sz="0" w:space="0" w:color="auto"/>
      </w:divBdr>
      <w:divsChild>
        <w:div w:id="221330870">
          <w:marLeft w:val="0"/>
          <w:marRight w:val="0"/>
          <w:marTop w:val="0"/>
          <w:marBottom w:val="0"/>
          <w:divBdr>
            <w:top w:val="none" w:sz="0" w:space="0" w:color="auto"/>
            <w:left w:val="none" w:sz="0" w:space="0" w:color="auto"/>
            <w:bottom w:val="none" w:sz="0" w:space="0" w:color="auto"/>
            <w:right w:val="none" w:sz="0" w:space="0" w:color="auto"/>
          </w:divBdr>
        </w:div>
      </w:divsChild>
    </w:div>
    <w:div w:id="602806298">
      <w:bodyDiv w:val="1"/>
      <w:marLeft w:val="0"/>
      <w:marRight w:val="0"/>
      <w:marTop w:val="0"/>
      <w:marBottom w:val="0"/>
      <w:divBdr>
        <w:top w:val="none" w:sz="0" w:space="0" w:color="auto"/>
        <w:left w:val="none" w:sz="0" w:space="0" w:color="auto"/>
        <w:bottom w:val="none" w:sz="0" w:space="0" w:color="auto"/>
        <w:right w:val="none" w:sz="0" w:space="0" w:color="auto"/>
      </w:divBdr>
    </w:div>
    <w:div w:id="855536035">
      <w:bodyDiv w:val="1"/>
      <w:marLeft w:val="0"/>
      <w:marRight w:val="0"/>
      <w:marTop w:val="0"/>
      <w:marBottom w:val="0"/>
      <w:divBdr>
        <w:top w:val="none" w:sz="0" w:space="0" w:color="auto"/>
        <w:left w:val="none" w:sz="0" w:space="0" w:color="auto"/>
        <w:bottom w:val="none" w:sz="0" w:space="0" w:color="auto"/>
        <w:right w:val="none" w:sz="0" w:space="0" w:color="auto"/>
      </w:divBdr>
    </w:div>
    <w:div w:id="956108535">
      <w:bodyDiv w:val="1"/>
      <w:marLeft w:val="0"/>
      <w:marRight w:val="0"/>
      <w:marTop w:val="0"/>
      <w:marBottom w:val="0"/>
      <w:divBdr>
        <w:top w:val="none" w:sz="0" w:space="0" w:color="auto"/>
        <w:left w:val="none" w:sz="0" w:space="0" w:color="auto"/>
        <w:bottom w:val="none" w:sz="0" w:space="0" w:color="auto"/>
        <w:right w:val="none" w:sz="0" w:space="0" w:color="auto"/>
      </w:divBdr>
    </w:div>
    <w:div w:id="959342770">
      <w:bodyDiv w:val="1"/>
      <w:marLeft w:val="0"/>
      <w:marRight w:val="0"/>
      <w:marTop w:val="0"/>
      <w:marBottom w:val="0"/>
      <w:divBdr>
        <w:top w:val="none" w:sz="0" w:space="0" w:color="auto"/>
        <w:left w:val="none" w:sz="0" w:space="0" w:color="auto"/>
        <w:bottom w:val="none" w:sz="0" w:space="0" w:color="auto"/>
        <w:right w:val="none" w:sz="0" w:space="0" w:color="auto"/>
      </w:divBdr>
      <w:divsChild>
        <w:div w:id="169565138">
          <w:marLeft w:val="0"/>
          <w:marRight w:val="0"/>
          <w:marTop w:val="0"/>
          <w:marBottom w:val="0"/>
          <w:divBdr>
            <w:top w:val="none" w:sz="0" w:space="0" w:color="auto"/>
            <w:left w:val="none" w:sz="0" w:space="0" w:color="auto"/>
            <w:bottom w:val="none" w:sz="0" w:space="0" w:color="auto"/>
            <w:right w:val="none" w:sz="0" w:space="0" w:color="auto"/>
          </w:divBdr>
        </w:div>
      </w:divsChild>
    </w:div>
    <w:div w:id="966470642">
      <w:bodyDiv w:val="1"/>
      <w:marLeft w:val="0"/>
      <w:marRight w:val="0"/>
      <w:marTop w:val="0"/>
      <w:marBottom w:val="0"/>
      <w:divBdr>
        <w:top w:val="none" w:sz="0" w:space="0" w:color="auto"/>
        <w:left w:val="none" w:sz="0" w:space="0" w:color="auto"/>
        <w:bottom w:val="none" w:sz="0" w:space="0" w:color="auto"/>
        <w:right w:val="none" w:sz="0" w:space="0" w:color="auto"/>
      </w:divBdr>
    </w:div>
    <w:div w:id="1090465995">
      <w:bodyDiv w:val="1"/>
      <w:marLeft w:val="0"/>
      <w:marRight w:val="0"/>
      <w:marTop w:val="0"/>
      <w:marBottom w:val="0"/>
      <w:divBdr>
        <w:top w:val="none" w:sz="0" w:space="0" w:color="auto"/>
        <w:left w:val="none" w:sz="0" w:space="0" w:color="auto"/>
        <w:bottom w:val="none" w:sz="0" w:space="0" w:color="auto"/>
        <w:right w:val="none" w:sz="0" w:space="0" w:color="auto"/>
      </w:divBdr>
    </w:div>
    <w:div w:id="1131244855">
      <w:bodyDiv w:val="1"/>
      <w:marLeft w:val="0"/>
      <w:marRight w:val="0"/>
      <w:marTop w:val="0"/>
      <w:marBottom w:val="0"/>
      <w:divBdr>
        <w:top w:val="none" w:sz="0" w:space="0" w:color="auto"/>
        <w:left w:val="none" w:sz="0" w:space="0" w:color="auto"/>
        <w:bottom w:val="none" w:sz="0" w:space="0" w:color="auto"/>
        <w:right w:val="none" w:sz="0" w:space="0" w:color="auto"/>
      </w:divBdr>
    </w:div>
    <w:div w:id="1248929370">
      <w:bodyDiv w:val="1"/>
      <w:marLeft w:val="0"/>
      <w:marRight w:val="0"/>
      <w:marTop w:val="0"/>
      <w:marBottom w:val="0"/>
      <w:divBdr>
        <w:top w:val="none" w:sz="0" w:space="0" w:color="auto"/>
        <w:left w:val="none" w:sz="0" w:space="0" w:color="auto"/>
        <w:bottom w:val="none" w:sz="0" w:space="0" w:color="auto"/>
        <w:right w:val="none" w:sz="0" w:space="0" w:color="auto"/>
      </w:divBdr>
    </w:div>
    <w:div w:id="1291398342">
      <w:bodyDiv w:val="1"/>
      <w:marLeft w:val="0"/>
      <w:marRight w:val="0"/>
      <w:marTop w:val="0"/>
      <w:marBottom w:val="0"/>
      <w:divBdr>
        <w:top w:val="none" w:sz="0" w:space="0" w:color="auto"/>
        <w:left w:val="none" w:sz="0" w:space="0" w:color="auto"/>
        <w:bottom w:val="none" w:sz="0" w:space="0" w:color="auto"/>
        <w:right w:val="none" w:sz="0" w:space="0" w:color="auto"/>
      </w:divBdr>
    </w:div>
    <w:div w:id="1435133627">
      <w:bodyDiv w:val="1"/>
      <w:marLeft w:val="0"/>
      <w:marRight w:val="0"/>
      <w:marTop w:val="0"/>
      <w:marBottom w:val="0"/>
      <w:divBdr>
        <w:top w:val="none" w:sz="0" w:space="0" w:color="auto"/>
        <w:left w:val="none" w:sz="0" w:space="0" w:color="auto"/>
        <w:bottom w:val="none" w:sz="0" w:space="0" w:color="auto"/>
        <w:right w:val="none" w:sz="0" w:space="0" w:color="auto"/>
      </w:divBdr>
    </w:div>
    <w:div w:id="1446582850">
      <w:bodyDiv w:val="1"/>
      <w:marLeft w:val="0"/>
      <w:marRight w:val="0"/>
      <w:marTop w:val="0"/>
      <w:marBottom w:val="0"/>
      <w:divBdr>
        <w:top w:val="none" w:sz="0" w:space="0" w:color="auto"/>
        <w:left w:val="none" w:sz="0" w:space="0" w:color="auto"/>
        <w:bottom w:val="none" w:sz="0" w:space="0" w:color="auto"/>
        <w:right w:val="none" w:sz="0" w:space="0" w:color="auto"/>
      </w:divBdr>
    </w:div>
    <w:div w:id="1465856182">
      <w:bodyDiv w:val="1"/>
      <w:marLeft w:val="0"/>
      <w:marRight w:val="0"/>
      <w:marTop w:val="0"/>
      <w:marBottom w:val="0"/>
      <w:divBdr>
        <w:top w:val="none" w:sz="0" w:space="0" w:color="auto"/>
        <w:left w:val="none" w:sz="0" w:space="0" w:color="auto"/>
        <w:bottom w:val="none" w:sz="0" w:space="0" w:color="auto"/>
        <w:right w:val="none" w:sz="0" w:space="0" w:color="auto"/>
      </w:divBdr>
    </w:div>
    <w:div w:id="1523713602">
      <w:bodyDiv w:val="1"/>
      <w:marLeft w:val="0"/>
      <w:marRight w:val="0"/>
      <w:marTop w:val="0"/>
      <w:marBottom w:val="0"/>
      <w:divBdr>
        <w:top w:val="none" w:sz="0" w:space="0" w:color="auto"/>
        <w:left w:val="none" w:sz="0" w:space="0" w:color="auto"/>
        <w:bottom w:val="none" w:sz="0" w:space="0" w:color="auto"/>
        <w:right w:val="none" w:sz="0" w:space="0" w:color="auto"/>
      </w:divBdr>
    </w:div>
    <w:div w:id="1678537609">
      <w:bodyDiv w:val="1"/>
      <w:marLeft w:val="0"/>
      <w:marRight w:val="0"/>
      <w:marTop w:val="0"/>
      <w:marBottom w:val="0"/>
      <w:divBdr>
        <w:top w:val="none" w:sz="0" w:space="0" w:color="auto"/>
        <w:left w:val="none" w:sz="0" w:space="0" w:color="auto"/>
        <w:bottom w:val="none" w:sz="0" w:space="0" w:color="auto"/>
        <w:right w:val="none" w:sz="0" w:space="0" w:color="auto"/>
      </w:divBdr>
    </w:div>
    <w:div w:id="1682319514">
      <w:bodyDiv w:val="1"/>
      <w:marLeft w:val="0"/>
      <w:marRight w:val="0"/>
      <w:marTop w:val="0"/>
      <w:marBottom w:val="0"/>
      <w:divBdr>
        <w:top w:val="none" w:sz="0" w:space="0" w:color="auto"/>
        <w:left w:val="none" w:sz="0" w:space="0" w:color="auto"/>
        <w:bottom w:val="none" w:sz="0" w:space="0" w:color="auto"/>
        <w:right w:val="none" w:sz="0" w:space="0" w:color="auto"/>
      </w:divBdr>
    </w:div>
    <w:div w:id="1749814078">
      <w:bodyDiv w:val="1"/>
      <w:marLeft w:val="0"/>
      <w:marRight w:val="0"/>
      <w:marTop w:val="0"/>
      <w:marBottom w:val="0"/>
      <w:divBdr>
        <w:top w:val="none" w:sz="0" w:space="0" w:color="auto"/>
        <w:left w:val="none" w:sz="0" w:space="0" w:color="auto"/>
        <w:bottom w:val="none" w:sz="0" w:space="0" w:color="auto"/>
        <w:right w:val="none" w:sz="0" w:space="0" w:color="auto"/>
      </w:divBdr>
    </w:div>
    <w:div w:id="1808232291">
      <w:bodyDiv w:val="1"/>
      <w:marLeft w:val="0"/>
      <w:marRight w:val="0"/>
      <w:marTop w:val="0"/>
      <w:marBottom w:val="0"/>
      <w:divBdr>
        <w:top w:val="none" w:sz="0" w:space="0" w:color="auto"/>
        <w:left w:val="none" w:sz="0" w:space="0" w:color="auto"/>
        <w:bottom w:val="none" w:sz="0" w:space="0" w:color="auto"/>
        <w:right w:val="none" w:sz="0" w:space="0" w:color="auto"/>
      </w:divBdr>
    </w:div>
    <w:div w:id="1821190755">
      <w:bodyDiv w:val="1"/>
      <w:marLeft w:val="0"/>
      <w:marRight w:val="0"/>
      <w:marTop w:val="0"/>
      <w:marBottom w:val="0"/>
      <w:divBdr>
        <w:top w:val="none" w:sz="0" w:space="0" w:color="auto"/>
        <w:left w:val="none" w:sz="0" w:space="0" w:color="auto"/>
        <w:bottom w:val="none" w:sz="0" w:space="0" w:color="auto"/>
        <w:right w:val="none" w:sz="0" w:space="0" w:color="auto"/>
      </w:divBdr>
    </w:div>
    <w:div w:id="1910651528">
      <w:bodyDiv w:val="1"/>
      <w:marLeft w:val="0"/>
      <w:marRight w:val="0"/>
      <w:marTop w:val="0"/>
      <w:marBottom w:val="0"/>
      <w:divBdr>
        <w:top w:val="none" w:sz="0" w:space="0" w:color="auto"/>
        <w:left w:val="none" w:sz="0" w:space="0" w:color="auto"/>
        <w:bottom w:val="none" w:sz="0" w:space="0" w:color="auto"/>
        <w:right w:val="none" w:sz="0" w:space="0" w:color="auto"/>
      </w:divBdr>
    </w:div>
    <w:div w:id="19271076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image" Target="media/image6.png"/><Relationship Id="rId39" Type="http://schemas.openxmlformats.org/officeDocument/2006/relationships/chart" Target="charts/chart18.xml"/><Relationship Id="rId21" Type="http://schemas.openxmlformats.org/officeDocument/2006/relationships/chart" Target="charts/chart13.xml"/><Relationship Id="rId34" Type="http://schemas.openxmlformats.org/officeDocument/2006/relationships/image" Target="media/image8.png"/><Relationship Id="rId42" Type="http://schemas.openxmlformats.org/officeDocument/2006/relationships/image" Target="media/image12.png"/><Relationship Id="rId47" Type="http://schemas.openxmlformats.org/officeDocument/2006/relationships/chart" Target="charts/chart22.xml"/><Relationship Id="rId50" Type="http://schemas.openxmlformats.org/officeDocument/2006/relationships/image" Target="media/image16.png"/><Relationship Id="rId55"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9.xml"/><Relationship Id="rId29" Type="http://schemas.openxmlformats.org/officeDocument/2006/relationships/hyperlink" Target="https://www.sciencedirect.com/science/article/pii/S0196890423006829" TargetMode="External"/><Relationship Id="rId11" Type="http://schemas.openxmlformats.org/officeDocument/2006/relationships/chart" Target="charts/chart4.xml"/><Relationship Id="rId24" Type="http://schemas.openxmlformats.org/officeDocument/2006/relationships/image" Target="media/image4.png"/><Relationship Id="rId32" Type="http://schemas.openxmlformats.org/officeDocument/2006/relationships/hyperlink" Target="http://103.133.217.142/index.php/jaetm/article/download/55/26" TargetMode="External"/><Relationship Id="rId37" Type="http://schemas.openxmlformats.org/officeDocument/2006/relationships/chart" Target="charts/chart17.xml"/><Relationship Id="rId40" Type="http://schemas.openxmlformats.org/officeDocument/2006/relationships/image" Target="media/image11.png"/><Relationship Id="rId45" Type="http://schemas.openxmlformats.org/officeDocument/2006/relationships/chart" Target="charts/chart21.xml"/><Relationship Id="rId53" Type="http://schemas.openxmlformats.org/officeDocument/2006/relationships/chart" Target="charts/chart25.xml"/><Relationship Id="rId58"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chart" Target="charts/chart12.xml"/><Relationship Id="rId14" Type="http://schemas.openxmlformats.org/officeDocument/2006/relationships/chart" Target="charts/chart7.xml"/><Relationship Id="rId22" Type="http://schemas.openxmlformats.org/officeDocument/2006/relationships/chart" Target="charts/chart14.xml"/><Relationship Id="rId27" Type="http://schemas.openxmlformats.org/officeDocument/2006/relationships/image" Target="media/image7.png"/><Relationship Id="rId30" Type="http://schemas.openxmlformats.org/officeDocument/2006/relationships/hyperlink" Target="https://papers.ssrn.com/sol3/Delivery.cfm?abstractid=3791520" TargetMode="External"/><Relationship Id="rId35" Type="http://schemas.openxmlformats.org/officeDocument/2006/relationships/chart" Target="charts/chart16.xml"/><Relationship Id="rId43" Type="http://schemas.openxmlformats.org/officeDocument/2006/relationships/chart" Target="charts/chart20.xml"/><Relationship Id="rId48" Type="http://schemas.openxmlformats.org/officeDocument/2006/relationships/image" Target="media/image15.png"/><Relationship Id="rId56" Type="http://schemas.openxmlformats.org/officeDocument/2006/relationships/header" Target="header2.xml"/><Relationship Id="rId8" Type="http://schemas.openxmlformats.org/officeDocument/2006/relationships/chart" Target="charts/chart1.xml"/><Relationship Id="rId51" Type="http://schemas.openxmlformats.org/officeDocument/2006/relationships/chart" Target="charts/chart24.xm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image" Target="media/image5.png"/><Relationship Id="rId33" Type="http://schemas.openxmlformats.org/officeDocument/2006/relationships/chart" Target="charts/chart15.xml"/><Relationship Id="rId38" Type="http://schemas.openxmlformats.org/officeDocument/2006/relationships/image" Target="media/image10.png"/><Relationship Id="rId46" Type="http://schemas.openxmlformats.org/officeDocument/2006/relationships/image" Target="media/image14.png"/><Relationship Id="rId59" Type="http://schemas.openxmlformats.org/officeDocument/2006/relationships/header" Target="header3.xml"/><Relationship Id="rId20" Type="http://schemas.openxmlformats.org/officeDocument/2006/relationships/image" Target="media/image2.png"/><Relationship Id="rId41" Type="http://schemas.openxmlformats.org/officeDocument/2006/relationships/chart" Target="charts/chart19.xml"/><Relationship Id="rId54" Type="http://schemas.openxmlformats.org/officeDocument/2006/relationships/image" Target="media/image18.png"/><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8.xml"/><Relationship Id="rId23" Type="http://schemas.openxmlformats.org/officeDocument/2006/relationships/image" Target="media/image3.png"/><Relationship Id="rId28" Type="http://schemas.openxmlformats.org/officeDocument/2006/relationships/hyperlink" Target="https://www.atlantis-press.com/article/125971510.pdf" TargetMode="External"/><Relationship Id="rId36" Type="http://schemas.openxmlformats.org/officeDocument/2006/relationships/image" Target="media/image9.png"/><Relationship Id="rId49" Type="http://schemas.openxmlformats.org/officeDocument/2006/relationships/chart" Target="charts/chart23.xml"/><Relationship Id="rId57" Type="http://schemas.openxmlformats.org/officeDocument/2006/relationships/footer" Target="footer1.xml"/><Relationship Id="rId10" Type="http://schemas.openxmlformats.org/officeDocument/2006/relationships/chart" Target="charts/chart3.xml"/><Relationship Id="rId31" Type="http://schemas.openxmlformats.org/officeDocument/2006/relationships/hyperlink" Target="https://link.springer.com/content/pdf/10.1186/s43093-021-00058-9.pdf" TargetMode="External"/><Relationship Id="rId44" Type="http://schemas.openxmlformats.org/officeDocument/2006/relationships/image" Target="media/image13.png"/><Relationship Id="rId52" Type="http://schemas.openxmlformats.org/officeDocument/2006/relationships/image" Target="media/image17.png"/><Relationship Id="rId6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chart" Target="charts/chart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D:\Sudipto\Novermber%202025\22\BM12243\BM12243_Excel.xlsx" TargetMode="External"/><Relationship Id="rId2" Type="http://schemas.microsoft.com/office/2011/relationships/chartColorStyle" Target="colors25.xml"/><Relationship Id="rId1" Type="http://schemas.microsoft.com/office/2011/relationships/chartStyle" Target="style2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Net Profit</a:t>
            </a:r>
            <a:r>
              <a:rPr lang="en-IN" baseline="0"/>
              <a:t> Margin</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col"/>
        <c:grouping val="clustered"/>
        <c:varyColors val="0"/>
        <c:ser>
          <c:idx val="0"/>
          <c:order val="0"/>
          <c:tx>
            <c:strRef>
              <c:f>[BM12243_Excel.xlsx]NPM!$B$5</c:f>
              <c:strCache>
                <c:ptCount val="1"/>
                <c:pt idx="0">
                  <c:v>Net income</c:v>
                </c:pt>
              </c:strCache>
            </c:strRef>
          </c:tx>
          <c:spPr>
            <a:solidFill>
              <a:schemeClr val="accent1"/>
            </a:solidFill>
            <a:ln>
              <a:noFill/>
            </a:ln>
            <a:effectLst/>
          </c:spPr>
          <c:invertIfNegative val="0"/>
          <c:dLbls>
            <c:dLbl>
              <c:idx val="4"/>
              <c:layout>
                <c:manualLayout>
                  <c:x val="2.0226537216828477E-3"/>
                  <c:y val="-7.288070579209819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7DBD-4D5D-ADA8-A3D94414FE0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[BM12243_Excel.xlsx]NPM!$C$4:$G$4</c:f>
              <c:strCache>
                <c:ptCount val="5"/>
                <c:pt idx="0">
                  <c:v>2020 (Million)</c:v>
                </c:pt>
                <c:pt idx="1">
                  <c:v>2021 (Million)</c:v>
                </c:pt>
                <c:pt idx="2">
                  <c:v>2022 (Million)</c:v>
                </c:pt>
                <c:pt idx="3">
                  <c:v>2023 (Million)</c:v>
                </c:pt>
                <c:pt idx="4">
                  <c:v>2024 (Million)</c:v>
                </c:pt>
              </c:strCache>
            </c:strRef>
          </c:cat>
          <c:val>
            <c:numRef>
              <c:f>[BM12243_Excel.xlsx]NPM!$C$5:$G$5</c:f>
              <c:numCache>
                <c:formatCode>General</c:formatCode>
                <c:ptCount val="5"/>
                <c:pt idx="0">
                  <c:v>38578</c:v>
                </c:pt>
                <c:pt idx="1">
                  <c:v>5301</c:v>
                </c:pt>
                <c:pt idx="2">
                  <c:v>407</c:v>
                </c:pt>
                <c:pt idx="3">
                  <c:v>-98238</c:v>
                </c:pt>
                <c:pt idx="4">
                  <c:v>-24029</c:v>
                </c:pt>
              </c:numCache>
            </c:numRef>
          </c:val>
          <c:extLst>
            <c:ext xmlns:c16="http://schemas.microsoft.com/office/drawing/2014/chart" uri="{C3380CC4-5D6E-409C-BE32-E72D297353CC}">
              <c16:uniqueId val="{00000001-7DBD-4D5D-ADA8-A3D94414FE02}"/>
            </c:ext>
          </c:extLst>
        </c:ser>
        <c:ser>
          <c:idx val="1"/>
          <c:order val="1"/>
          <c:tx>
            <c:strRef>
              <c:f>[BM12243_Excel.xlsx]NPM!$B$6</c:f>
              <c:strCache>
                <c:ptCount val="1"/>
                <c:pt idx="0">
                  <c:v>Net sales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2"/>
                </a:solidFill>
                <a:prstDash val="sysDot"/>
              </a:ln>
              <a:effectLst/>
            </c:spPr>
            <c:trendlineType val="linear"/>
            <c:dispRSqr val="0"/>
            <c:dispEq val="0"/>
          </c:trendline>
          <c:cat>
            <c:strRef>
              <c:f>[BM12243_Excel.xlsx]NPM!$C$4:$G$4</c:f>
              <c:strCache>
                <c:ptCount val="5"/>
                <c:pt idx="0">
                  <c:v>2020 (Million)</c:v>
                </c:pt>
                <c:pt idx="1">
                  <c:v>2021 (Million)</c:v>
                </c:pt>
                <c:pt idx="2">
                  <c:v>2022 (Million)</c:v>
                </c:pt>
                <c:pt idx="3">
                  <c:v>2023 (Million)</c:v>
                </c:pt>
                <c:pt idx="4">
                  <c:v>2024 (Million)</c:v>
                </c:pt>
              </c:strCache>
            </c:strRef>
          </c:cat>
          <c:val>
            <c:numRef>
              <c:f>[BM12243_Excel.xlsx]NPM!$C$6:$G$6</c:f>
              <c:numCache>
                <c:formatCode>General</c:formatCode>
                <c:ptCount val="5"/>
                <c:pt idx="0">
                  <c:v>614680</c:v>
                </c:pt>
                <c:pt idx="1">
                  <c:v>601602</c:v>
                </c:pt>
                <c:pt idx="2">
                  <c:v>542751</c:v>
                </c:pt>
                <c:pt idx="3">
                  <c:v>420457</c:v>
                </c:pt>
                <c:pt idx="4">
                  <c:v>394879</c:v>
                </c:pt>
              </c:numCache>
            </c:numRef>
          </c:val>
          <c:extLst>
            <c:ext xmlns:c16="http://schemas.microsoft.com/office/drawing/2014/chart" uri="{C3380CC4-5D6E-409C-BE32-E72D297353CC}">
              <c16:uniqueId val="{00000002-7DBD-4D5D-ADA8-A3D94414FE02}"/>
            </c:ext>
          </c:extLst>
        </c:ser>
        <c:ser>
          <c:idx val="2"/>
          <c:order val="2"/>
          <c:tx>
            <c:strRef>
              <c:f>[BM12243_Excel.xlsx]NPM!$B$7</c:f>
              <c:strCache>
                <c:ptCount val="1"/>
                <c:pt idx="0">
                  <c:v>Net profit margin = (Net income  / Net sales) * 100</c:v>
                </c:pt>
              </c:strCache>
            </c:strRef>
          </c:tx>
          <c:spPr>
            <a:solidFill>
              <a:schemeClr val="accent3"/>
            </a:solidFill>
            <a:ln>
              <a:noFill/>
            </a:ln>
            <a:effectLst/>
          </c:spPr>
          <c:invertIfNegative val="0"/>
          <c:dLbls>
            <c:dLbl>
              <c:idx val="3"/>
              <c:layout>
                <c:manualLayout>
                  <c:x val="1.820388349514563E-2"/>
                  <c:y val="0.1189106252397392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DBD-4D5D-ADA8-A3D94414FE02}"/>
                </c:ext>
              </c:extLst>
            </c:dLbl>
            <c:dLbl>
              <c:idx val="4"/>
              <c:layout>
                <c:manualLayout>
                  <c:x val="1.2135922330097087E-2"/>
                  <c:y val="9.589566551591875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7DBD-4D5D-ADA8-A3D94414FE0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[BM12243_Excel.xlsx]NPM!$C$4:$G$4</c:f>
              <c:strCache>
                <c:ptCount val="5"/>
                <c:pt idx="0">
                  <c:v>2020 (Million)</c:v>
                </c:pt>
                <c:pt idx="1">
                  <c:v>2021 (Million)</c:v>
                </c:pt>
                <c:pt idx="2">
                  <c:v>2022 (Million)</c:v>
                </c:pt>
                <c:pt idx="3">
                  <c:v>2023 (Million)</c:v>
                </c:pt>
                <c:pt idx="4">
                  <c:v>2024 (Million)</c:v>
                </c:pt>
              </c:strCache>
            </c:strRef>
          </c:cat>
          <c:val>
            <c:numRef>
              <c:f>[BM12243_Excel.xlsx]NPM!$C$7:$G$7</c:f>
              <c:numCache>
                <c:formatCode>0.00</c:formatCode>
                <c:ptCount val="5"/>
                <c:pt idx="0">
                  <c:v>6.2761111472636175</c:v>
                </c:pt>
                <c:pt idx="1">
                  <c:v>0.88114733661124789</c:v>
                </c:pt>
                <c:pt idx="2">
                  <c:v>7.4988346405626155E-2</c:v>
                </c:pt>
                <c:pt idx="3">
                  <c:v>-23.364577114901167</c:v>
                </c:pt>
                <c:pt idx="4">
                  <c:v>-6.085155199440841</c:v>
                </c:pt>
              </c:numCache>
            </c:numRef>
          </c:val>
          <c:extLst>
            <c:ext xmlns:c16="http://schemas.microsoft.com/office/drawing/2014/chart" uri="{C3380CC4-5D6E-409C-BE32-E72D297353CC}">
              <c16:uniqueId val="{00000005-7DBD-4D5D-ADA8-A3D94414FE02}"/>
            </c:ext>
          </c:extLst>
        </c:ser>
        <c:dLbls>
          <c:dLblPos val="outEnd"/>
          <c:showLegendKey val="0"/>
          <c:showVal val="1"/>
          <c:showCatName val="0"/>
          <c:showSerName val="0"/>
          <c:showPercent val="0"/>
          <c:showBubbleSize val="0"/>
        </c:dLbls>
        <c:gapWidth val="219"/>
        <c:overlap val="-27"/>
        <c:axId val="133323631"/>
        <c:axId val="133324463"/>
      </c:barChart>
      <c:catAx>
        <c:axId val="133323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324463"/>
        <c:crosses val="autoZero"/>
        <c:auto val="1"/>
        <c:lblAlgn val="ctr"/>
        <c:lblOffset val="100"/>
        <c:noMultiLvlLbl val="0"/>
      </c:catAx>
      <c:valAx>
        <c:axId val="1333244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323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Operating Profit Margin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[BM12243_Excel.xlsx]OPM!$B$5</c:f>
              <c:strCache>
                <c:ptCount val="1"/>
                <c:pt idx="0">
                  <c:v>Operating profit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[BM12243_Excel.xlsx]OPM!$C$4:$G$4</c:f>
              <c:strCache>
                <c:ptCount val="5"/>
                <c:pt idx="0">
                  <c:v>2020 (Million)</c:v>
                </c:pt>
                <c:pt idx="1">
                  <c:v>2021 (Million)</c:v>
                </c:pt>
                <c:pt idx="2">
                  <c:v>2022 (Million)</c:v>
                </c:pt>
                <c:pt idx="3">
                  <c:v>2023 (Million)</c:v>
                </c:pt>
                <c:pt idx="4">
                  <c:v>2024 (Million)</c:v>
                </c:pt>
              </c:strCache>
            </c:strRef>
          </c:cat>
          <c:val>
            <c:numRef>
              <c:f>[BM12243_Excel.xlsx]OPM!$C$5:$G$5</c:f>
              <c:numCache>
                <c:formatCode>General</c:formatCode>
                <c:ptCount val="5"/>
                <c:pt idx="0">
                  <c:v>37267</c:v>
                </c:pt>
                <c:pt idx="1">
                  <c:v>23253</c:v>
                </c:pt>
                <c:pt idx="2">
                  <c:v>14548</c:v>
                </c:pt>
                <c:pt idx="3">
                  <c:v>-85301</c:v>
                </c:pt>
                <c:pt idx="4">
                  <c:v>-15297</c:v>
                </c:pt>
              </c:numCache>
            </c:numRef>
          </c:val>
          <c:extLst>
            <c:ext xmlns:c16="http://schemas.microsoft.com/office/drawing/2014/chart" uri="{C3380CC4-5D6E-409C-BE32-E72D297353CC}">
              <c16:uniqueId val="{00000000-077E-47F3-A704-753751B765B9}"/>
            </c:ext>
          </c:extLst>
        </c:ser>
        <c:ser>
          <c:idx val="1"/>
          <c:order val="1"/>
          <c:tx>
            <c:strRef>
              <c:f>[BM12243_Excel.xlsx]OPM!$B$6</c:f>
              <c:strCache>
                <c:ptCount val="1"/>
                <c:pt idx="0">
                  <c:v>Net sales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[BM12243_Excel.xlsx]OPM!$C$4:$G$4</c:f>
              <c:strCache>
                <c:ptCount val="5"/>
                <c:pt idx="0">
                  <c:v>2020 (Million)</c:v>
                </c:pt>
                <c:pt idx="1">
                  <c:v>2021 (Million)</c:v>
                </c:pt>
                <c:pt idx="2">
                  <c:v>2022 (Million)</c:v>
                </c:pt>
                <c:pt idx="3">
                  <c:v>2023 (Million)</c:v>
                </c:pt>
                <c:pt idx="4">
                  <c:v>2024 (Million)</c:v>
                </c:pt>
              </c:strCache>
            </c:strRef>
          </c:cat>
          <c:val>
            <c:numRef>
              <c:f>[BM12243_Excel.xlsx]OPM!$C$6:$G$6</c:f>
              <c:numCache>
                <c:formatCode>General</c:formatCode>
                <c:ptCount val="5"/>
                <c:pt idx="0">
                  <c:v>614680</c:v>
                </c:pt>
                <c:pt idx="1">
                  <c:v>601602</c:v>
                </c:pt>
                <c:pt idx="2">
                  <c:v>542751</c:v>
                </c:pt>
                <c:pt idx="3">
                  <c:v>420457</c:v>
                </c:pt>
                <c:pt idx="4">
                  <c:v>394879</c:v>
                </c:pt>
              </c:numCache>
            </c:numRef>
          </c:val>
          <c:extLst>
            <c:ext xmlns:c16="http://schemas.microsoft.com/office/drawing/2014/chart" uri="{C3380CC4-5D6E-409C-BE32-E72D297353CC}">
              <c16:uniqueId val="{00000001-077E-47F3-A704-753751B765B9}"/>
            </c:ext>
          </c:extLst>
        </c:ser>
        <c:ser>
          <c:idx val="2"/>
          <c:order val="2"/>
          <c:tx>
            <c:strRef>
              <c:f>[BM12243_Excel.xlsx]OPM!$B$7</c:f>
              <c:strCache>
                <c:ptCount val="1"/>
                <c:pt idx="0">
                  <c:v>Operating profit margin = (Operating profit  / Net sales) * 100</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[BM12243_Excel.xlsx]OPM!$C$4:$G$4</c:f>
              <c:strCache>
                <c:ptCount val="5"/>
                <c:pt idx="0">
                  <c:v>2020 (Million)</c:v>
                </c:pt>
                <c:pt idx="1">
                  <c:v>2021 (Million)</c:v>
                </c:pt>
                <c:pt idx="2">
                  <c:v>2022 (Million)</c:v>
                </c:pt>
                <c:pt idx="3">
                  <c:v>2023 (Million)</c:v>
                </c:pt>
                <c:pt idx="4">
                  <c:v>2024 (Million)</c:v>
                </c:pt>
              </c:strCache>
            </c:strRef>
          </c:cat>
          <c:val>
            <c:numRef>
              <c:f>[BM12243_Excel.xlsx]OPM!$C$7:$G$7</c:f>
              <c:numCache>
                <c:formatCode>0.00</c:formatCode>
                <c:ptCount val="5"/>
                <c:pt idx="0">
                  <c:v>6.0628294397084659</c:v>
                </c:pt>
                <c:pt idx="1">
                  <c:v>3.8651799694814843</c:v>
                </c:pt>
                <c:pt idx="2">
                  <c:v>2.6804188292605633</c:v>
                </c:pt>
                <c:pt idx="3">
                  <c:v>-20.287686969178775</c:v>
                </c:pt>
                <c:pt idx="4">
                  <c:v>-3.8738448993235903</c:v>
                </c:pt>
              </c:numCache>
            </c:numRef>
          </c:val>
          <c:extLst>
            <c:ext xmlns:c16="http://schemas.microsoft.com/office/drawing/2014/chart" uri="{C3380CC4-5D6E-409C-BE32-E72D297353CC}">
              <c16:uniqueId val="{00000002-077E-47F3-A704-753751B765B9}"/>
            </c:ext>
          </c:extLst>
        </c:ser>
        <c:dLbls>
          <c:dLblPos val="outEnd"/>
          <c:showLegendKey val="0"/>
          <c:showVal val="1"/>
          <c:showCatName val="0"/>
          <c:showSerName val="0"/>
          <c:showPercent val="0"/>
          <c:showBubbleSize val="0"/>
        </c:dLbls>
        <c:gapWidth val="182"/>
        <c:axId val="264557407"/>
        <c:axId val="264570303"/>
      </c:barChart>
      <c:catAx>
        <c:axId val="26455740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70303"/>
        <c:crosses val="autoZero"/>
        <c:auto val="1"/>
        <c:lblAlgn val="ctr"/>
        <c:lblOffset val="100"/>
        <c:noMultiLvlLbl val="0"/>
      </c:catAx>
      <c:valAx>
        <c:axId val="2645703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574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Current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[BM12243_Excel.xlsx]CR!$B$5</c:f>
              <c:strCache>
                <c:ptCount val="1"/>
                <c:pt idx="0">
                  <c:v>Current asset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[BM12243_Excel.xlsx]CR!$C$4:$G$4</c:f>
              <c:strCache>
                <c:ptCount val="5"/>
                <c:pt idx="0">
                  <c:v>2020 (Million)</c:v>
                </c:pt>
                <c:pt idx="1">
                  <c:v>2021 (Million)</c:v>
                </c:pt>
                <c:pt idx="2">
                  <c:v>2022 (Million)</c:v>
                </c:pt>
                <c:pt idx="3">
                  <c:v>2023 (Million)</c:v>
                </c:pt>
                <c:pt idx="4">
                  <c:v>2024 (Million)</c:v>
                </c:pt>
              </c:strCache>
            </c:strRef>
          </c:cat>
          <c:val>
            <c:numRef>
              <c:f>[BM12243_Excel.xlsx]CR!$C$5:$G$5</c:f>
              <c:numCache>
                <c:formatCode>#,##0</c:formatCode>
                <c:ptCount val="5"/>
                <c:pt idx="0">
                  <c:v>326843</c:v>
                </c:pt>
                <c:pt idx="1">
                  <c:v>337146</c:v>
                </c:pt>
                <c:pt idx="2">
                  <c:v>338040</c:v>
                </c:pt>
                <c:pt idx="3">
                  <c:v>258851</c:v>
                </c:pt>
                <c:pt idx="4">
                  <c:v>242494</c:v>
                </c:pt>
              </c:numCache>
            </c:numRef>
          </c:val>
          <c:extLst>
            <c:ext xmlns:c16="http://schemas.microsoft.com/office/drawing/2014/chart" uri="{C3380CC4-5D6E-409C-BE32-E72D297353CC}">
              <c16:uniqueId val="{00000000-70E4-43D2-A2E7-7DB75B8120BA}"/>
            </c:ext>
          </c:extLst>
        </c:ser>
        <c:ser>
          <c:idx val="1"/>
          <c:order val="1"/>
          <c:tx>
            <c:strRef>
              <c:f>[BM12243_Excel.xlsx]CR!$B$6</c:f>
              <c:strCache>
                <c:ptCount val="1"/>
                <c:pt idx="0">
                  <c:v>Current liability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[BM12243_Excel.xlsx]CR!$C$4:$G$4</c:f>
              <c:strCache>
                <c:ptCount val="5"/>
                <c:pt idx="0">
                  <c:v>2020 (Million)</c:v>
                </c:pt>
                <c:pt idx="1">
                  <c:v>2021 (Million)</c:v>
                </c:pt>
                <c:pt idx="2">
                  <c:v>2022 (Million)</c:v>
                </c:pt>
                <c:pt idx="3">
                  <c:v>2023 (Million)</c:v>
                </c:pt>
                <c:pt idx="4">
                  <c:v>2024 (Million)</c:v>
                </c:pt>
              </c:strCache>
            </c:strRef>
          </c:cat>
          <c:val>
            <c:numRef>
              <c:f>[BM12243_Excel.xlsx]CR!$C$6:$G$6</c:f>
              <c:numCache>
                <c:formatCode>#,##0</c:formatCode>
                <c:ptCount val="5"/>
                <c:pt idx="0">
                  <c:v>179510</c:v>
                </c:pt>
                <c:pt idx="1">
                  <c:v>216787</c:v>
                </c:pt>
                <c:pt idx="2">
                  <c:v>216473</c:v>
                </c:pt>
                <c:pt idx="3">
                  <c:v>161148</c:v>
                </c:pt>
                <c:pt idx="4">
                  <c:v>158291</c:v>
                </c:pt>
              </c:numCache>
            </c:numRef>
          </c:val>
          <c:extLst>
            <c:ext xmlns:c16="http://schemas.microsoft.com/office/drawing/2014/chart" uri="{C3380CC4-5D6E-409C-BE32-E72D297353CC}">
              <c16:uniqueId val="{00000001-70E4-43D2-A2E7-7DB75B8120BA}"/>
            </c:ext>
          </c:extLst>
        </c:ser>
        <c:ser>
          <c:idx val="2"/>
          <c:order val="2"/>
          <c:tx>
            <c:strRef>
              <c:f>[BM12243_Excel.xlsx]CR!$B$7</c:f>
              <c:strCache>
                <c:ptCount val="1"/>
                <c:pt idx="0">
                  <c:v>Current ratio = (Current asset / Curret Liability)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[BM12243_Excel.xlsx]CR!$C$4:$G$4</c:f>
              <c:strCache>
                <c:ptCount val="5"/>
                <c:pt idx="0">
                  <c:v>2020 (Million)</c:v>
                </c:pt>
                <c:pt idx="1">
                  <c:v>2021 (Million)</c:v>
                </c:pt>
                <c:pt idx="2">
                  <c:v>2022 (Million)</c:v>
                </c:pt>
                <c:pt idx="3">
                  <c:v>2023 (Million)</c:v>
                </c:pt>
                <c:pt idx="4">
                  <c:v>2024 (Million)</c:v>
                </c:pt>
              </c:strCache>
            </c:strRef>
          </c:cat>
          <c:val>
            <c:numRef>
              <c:f>[BM12243_Excel.xlsx]CR!$C$7:$G$7</c:f>
              <c:numCache>
                <c:formatCode>0.00</c:formatCode>
                <c:ptCount val="5"/>
                <c:pt idx="0">
                  <c:v>1.8207509330956493</c:v>
                </c:pt>
                <c:pt idx="1">
                  <c:v>1.5551947303113194</c:v>
                </c:pt>
                <c:pt idx="2">
                  <c:v>1.5615804280441441</c:v>
                </c:pt>
                <c:pt idx="3">
                  <c:v>1.6062935934668752</c:v>
                </c:pt>
                <c:pt idx="4">
                  <c:v>1.5319506478574272</c:v>
                </c:pt>
              </c:numCache>
            </c:numRef>
          </c:val>
          <c:extLst>
            <c:ext xmlns:c16="http://schemas.microsoft.com/office/drawing/2014/chart" uri="{C3380CC4-5D6E-409C-BE32-E72D297353CC}">
              <c16:uniqueId val="{00000002-70E4-43D2-A2E7-7DB75B8120BA}"/>
            </c:ext>
          </c:extLst>
        </c:ser>
        <c:dLbls>
          <c:dLblPos val="outEnd"/>
          <c:showLegendKey val="0"/>
          <c:showVal val="1"/>
          <c:showCatName val="0"/>
          <c:showSerName val="0"/>
          <c:showPercent val="0"/>
          <c:showBubbleSize val="0"/>
        </c:dLbls>
        <c:gapWidth val="219"/>
        <c:overlap val="-27"/>
        <c:axId val="264564895"/>
        <c:axId val="264568223"/>
      </c:barChart>
      <c:catAx>
        <c:axId val="2645648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68223"/>
        <c:crosses val="autoZero"/>
        <c:auto val="1"/>
        <c:lblAlgn val="ctr"/>
        <c:lblOffset val="100"/>
        <c:noMultiLvlLbl val="0"/>
      </c:catAx>
      <c:valAx>
        <c:axId val="26456822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648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Quick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[BM12243_Excel.xlsx]QR!$B$5</c:f>
              <c:strCache>
                <c:ptCount val="1"/>
                <c:pt idx="0">
                  <c:v>Current asset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[BM12243_Excel.xlsx]QR!$C$4:$G$4</c:f>
              <c:strCache>
                <c:ptCount val="5"/>
                <c:pt idx="0">
                  <c:v>2020 (Million)</c:v>
                </c:pt>
                <c:pt idx="1">
                  <c:v>2021 (Million)</c:v>
                </c:pt>
                <c:pt idx="2">
                  <c:v>2022 (Million)</c:v>
                </c:pt>
                <c:pt idx="3">
                  <c:v>2023 (Million)</c:v>
                </c:pt>
                <c:pt idx="4">
                  <c:v>2024 (Million)</c:v>
                </c:pt>
              </c:strCache>
            </c:strRef>
          </c:cat>
          <c:val>
            <c:numRef>
              <c:f>[BM12243_Excel.xlsx]QR!$C$5:$G$5</c:f>
              <c:numCache>
                <c:formatCode>#,##0</c:formatCode>
                <c:ptCount val="5"/>
                <c:pt idx="0">
                  <c:v>326843</c:v>
                </c:pt>
                <c:pt idx="1">
                  <c:v>337146</c:v>
                </c:pt>
                <c:pt idx="2">
                  <c:v>338040</c:v>
                </c:pt>
                <c:pt idx="3">
                  <c:v>258851</c:v>
                </c:pt>
                <c:pt idx="4">
                  <c:v>242494</c:v>
                </c:pt>
              </c:numCache>
            </c:numRef>
          </c:val>
          <c:extLst>
            <c:ext xmlns:c16="http://schemas.microsoft.com/office/drawing/2014/chart" uri="{C3380CC4-5D6E-409C-BE32-E72D297353CC}">
              <c16:uniqueId val="{00000000-4CE1-4BFE-8CF5-9A0B313D1B32}"/>
            </c:ext>
          </c:extLst>
        </c:ser>
        <c:ser>
          <c:idx val="1"/>
          <c:order val="1"/>
          <c:tx>
            <c:strRef>
              <c:f>[BM12243_Excel.xlsx]QR!$B$6</c:f>
              <c:strCache>
                <c:ptCount val="1"/>
                <c:pt idx="0">
                  <c:v>Current liability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[BM12243_Excel.xlsx]QR!$C$4:$G$4</c:f>
              <c:strCache>
                <c:ptCount val="5"/>
                <c:pt idx="0">
                  <c:v>2020 (Million)</c:v>
                </c:pt>
                <c:pt idx="1">
                  <c:v>2021 (Million)</c:v>
                </c:pt>
                <c:pt idx="2">
                  <c:v>2022 (Million)</c:v>
                </c:pt>
                <c:pt idx="3">
                  <c:v>2023 (Million)</c:v>
                </c:pt>
                <c:pt idx="4">
                  <c:v>2024 (Million)</c:v>
                </c:pt>
              </c:strCache>
            </c:strRef>
          </c:cat>
          <c:val>
            <c:numRef>
              <c:f>[BM12243_Excel.xlsx]QR!$C$6:$G$6</c:f>
              <c:numCache>
                <c:formatCode>#,##0</c:formatCode>
                <c:ptCount val="5"/>
                <c:pt idx="0">
                  <c:v>179510</c:v>
                </c:pt>
                <c:pt idx="1">
                  <c:v>216787</c:v>
                </c:pt>
                <c:pt idx="2">
                  <c:v>216473</c:v>
                </c:pt>
                <c:pt idx="3">
                  <c:v>161148</c:v>
                </c:pt>
                <c:pt idx="4">
                  <c:v>158291</c:v>
                </c:pt>
              </c:numCache>
            </c:numRef>
          </c:val>
          <c:extLst>
            <c:ext xmlns:c16="http://schemas.microsoft.com/office/drawing/2014/chart" uri="{C3380CC4-5D6E-409C-BE32-E72D297353CC}">
              <c16:uniqueId val="{00000001-4CE1-4BFE-8CF5-9A0B313D1B32}"/>
            </c:ext>
          </c:extLst>
        </c:ser>
        <c:ser>
          <c:idx val="2"/>
          <c:order val="2"/>
          <c:tx>
            <c:strRef>
              <c:f>[BM12243_Excel.xlsx]QR!$B$7</c:f>
              <c:strCache>
                <c:ptCount val="1"/>
                <c:pt idx="0">
                  <c:v>Inventory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[BM12243_Excel.xlsx]QR!$C$4:$G$4</c:f>
              <c:strCache>
                <c:ptCount val="5"/>
                <c:pt idx="0">
                  <c:v>2020 (Million)</c:v>
                </c:pt>
                <c:pt idx="1">
                  <c:v>2021 (Million)</c:v>
                </c:pt>
                <c:pt idx="2">
                  <c:v>2022 (Million)</c:v>
                </c:pt>
                <c:pt idx="3">
                  <c:v>2023 (Million)</c:v>
                </c:pt>
                <c:pt idx="4">
                  <c:v>2024 (Million)</c:v>
                </c:pt>
              </c:strCache>
            </c:strRef>
          </c:cat>
          <c:val>
            <c:numRef>
              <c:f>[BM12243_Excel.xlsx]QR!$C$7:$G$7</c:f>
              <c:numCache>
                <c:formatCode>0</c:formatCode>
                <c:ptCount val="5"/>
                <c:pt idx="0">
                  <c:v>120430</c:v>
                </c:pt>
                <c:pt idx="1">
                  <c:v>134469</c:v>
                </c:pt>
                <c:pt idx="2">
                  <c:v>140181</c:v>
                </c:pt>
                <c:pt idx="3">
                  <c:v>88273</c:v>
                </c:pt>
                <c:pt idx="4">
                  <c:v>79355</c:v>
                </c:pt>
              </c:numCache>
            </c:numRef>
          </c:val>
          <c:extLst>
            <c:ext xmlns:c16="http://schemas.microsoft.com/office/drawing/2014/chart" uri="{C3380CC4-5D6E-409C-BE32-E72D297353CC}">
              <c16:uniqueId val="{00000002-4CE1-4BFE-8CF5-9A0B313D1B32}"/>
            </c:ext>
          </c:extLst>
        </c:ser>
        <c:ser>
          <c:idx val="3"/>
          <c:order val="3"/>
          <c:tx>
            <c:strRef>
              <c:f>[BM12243_Excel.xlsx]QR!$B$8</c:f>
              <c:strCache>
                <c:ptCount val="1"/>
                <c:pt idx="0">
                  <c:v>Quick ratio = (Current assets - Inventory) / Current Liabilities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[BM12243_Excel.xlsx]QR!$C$4:$G$4</c:f>
              <c:strCache>
                <c:ptCount val="5"/>
                <c:pt idx="0">
                  <c:v>2020 (Million)</c:v>
                </c:pt>
                <c:pt idx="1">
                  <c:v>2021 (Million)</c:v>
                </c:pt>
                <c:pt idx="2">
                  <c:v>2022 (Million)</c:v>
                </c:pt>
                <c:pt idx="3">
                  <c:v>2023 (Million)</c:v>
                </c:pt>
                <c:pt idx="4">
                  <c:v>2024 (Million)</c:v>
                </c:pt>
              </c:strCache>
            </c:strRef>
          </c:cat>
          <c:val>
            <c:numRef>
              <c:f>[BM12243_Excel.xlsx]QR!$C$8:$G$8</c:f>
              <c:numCache>
                <c:formatCode>0.00</c:formatCode>
                <c:ptCount val="5"/>
                <c:pt idx="0">
                  <c:v>1.1498690880730877</c:v>
                </c:pt>
                <c:pt idx="1">
                  <c:v>0.93491307135575474</c:v>
                </c:pt>
                <c:pt idx="2">
                  <c:v>0.9140123710578224</c:v>
                </c:pt>
                <c:pt idx="3">
                  <c:v>1.0585176359619728</c:v>
                </c:pt>
                <c:pt idx="4">
                  <c:v>1.0306271360974408</c:v>
                </c:pt>
              </c:numCache>
            </c:numRef>
          </c:val>
          <c:extLst>
            <c:ext xmlns:c16="http://schemas.microsoft.com/office/drawing/2014/chart" uri="{C3380CC4-5D6E-409C-BE32-E72D297353CC}">
              <c16:uniqueId val="{00000003-4CE1-4BFE-8CF5-9A0B313D1B32}"/>
            </c:ext>
          </c:extLst>
        </c:ser>
        <c:dLbls>
          <c:dLblPos val="outEnd"/>
          <c:showLegendKey val="0"/>
          <c:showVal val="1"/>
          <c:showCatName val="0"/>
          <c:showSerName val="0"/>
          <c:showPercent val="0"/>
          <c:showBubbleSize val="0"/>
        </c:dLbls>
        <c:gapWidth val="219"/>
        <c:overlap val="-27"/>
        <c:axId val="264556991"/>
        <c:axId val="264560319"/>
      </c:barChart>
      <c:catAx>
        <c:axId val="2645569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60319"/>
        <c:crosses val="autoZero"/>
        <c:auto val="1"/>
        <c:lblAlgn val="ctr"/>
        <c:lblOffset val="100"/>
        <c:noMultiLvlLbl val="0"/>
      </c:catAx>
      <c:valAx>
        <c:axId val="2645603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569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Inventory Turnover</a:t>
            </a:r>
            <a:r>
              <a:rPr lang="en-IN" baseline="0"/>
              <a:t> Ratio</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bar"/>
        <c:grouping val="clustered"/>
        <c:varyColors val="0"/>
        <c:ser>
          <c:idx val="0"/>
          <c:order val="0"/>
          <c:tx>
            <c:strRef>
              <c:f>[BM12243_Excel.xlsx]ITR!$B$5</c:f>
              <c:strCache>
                <c:ptCount val="1"/>
                <c:pt idx="0">
                  <c:v>Cost of sales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[BM12243_Excel.xlsx]ITR!$C$4:$G$4</c:f>
              <c:strCache>
                <c:ptCount val="5"/>
                <c:pt idx="0">
                  <c:v>2020 (Million)</c:v>
                </c:pt>
                <c:pt idx="1">
                  <c:v>2021 (Million)</c:v>
                </c:pt>
                <c:pt idx="2">
                  <c:v>2022 (Million)</c:v>
                </c:pt>
                <c:pt idx="3">
                  <c:v>2023 (Million)</c:v>
                </c:pt>
                <c:pt idx="4">
                  <c:v>2024 (Million)</c:v>
                </c:pt>
              </c:strCache>
            </c:strRef>
          </c:cat>
          <c:val>
            <c:numRef>
              <c:f>[BM12243_Excel.xlsx]ITR!$C$5:$G$5</c:f>
              <c:numCache>
                <c:formatCode>#,##0</c:formatCode>
                <c:ptCount val="5"/>
                <c:pt idx="0">
                  <c:v>438424</c:v>
                </c:pt>
                <c:pt idx="1">
                  <c:v>428586</c:v>
                </c:pt>
                <c:pt idx="2">
                  <c:v>390459</c:v>
                </c:pt>
                <c:pt idx="3">
                  <c:v>322897</c:v>
                </c:pt>
                <c:pt idx="4">
                  <c:v>280885</c:v>
                </c:pt>
              </c:numCache>
            </c:numRef>
          </c:val>
          <c:extLst>
            <c:ext xmlns:c16="http://schemas.microsoft.com/office/drawing/2014/chart" uri="{C3380CC4-5D6E-409C-BE32-E72D297353CC}">
              <c16:uniqueId val="{00000000-9A20-4FCA-9A0E-0D7F67EA76C7}"/>
            </c:ext>
          </c:extLst>
        </c:ser>
        <c:ser>
          <c:idx val="1"/>
          <c:order val="1"/>
          <c:tx>
            <c:strRef>
              <c:f>[BM12243_Excel.xlsx]ITR!$B$6</c:f>
              <c:strCache>
                <c:ptCount val="1"/>
                <c:pt idx="0">
                  <c:v>Inventory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[BM12243_Excel.xlsx]ITR!$C$4:$G$4</c:f>
              <c:strCache>
                <c:ptCount val="5"/>
                <c:pt idx="0">
                  <c:v>2020 (Million)</c:v>
                </c:pt>
                <c:pt idx="1">
                  <c:v>2021 (Million)</c:v>
                </c:pt>
                <c:pt idx="2">
                  <c:v>2022 (Million)</c:v>
                </c:pt>
                <c:pt idx="3">
                  <c:v>2023 (Million)</c:v>
                </c:pt>
                <c:pt idx="4">
                  <c:v>2024 (Million)</c:v>
                </c:pt>
              </c:strCache>
            </c:strRef>
          </c:cat>
          <c:val>
            <c:numRef>
              <c:f>[BM12243_Excel.xlsx]ITR!$C$6:$G$6</c:f>
              <c:numCache>
                <c:formatCode>0</c:formatCode>
                <c:ptCount val="5"/>
                <c:pt idx="0">
                  <c:v>120430</c:v>
                </c:pt>
                <c:pt idx="1">
                  <c:v>134469</c:v>
                </c:pt>
                <c:pt idx="2">
                  <c:v>140181</c:v>
                </c:pt>
                <c:pt idx="3">
                  <c:v>88273</c:v>
                </c:pt>
                <c:pt idx="4">
                  <c:v>79355</c:v>
                </c:pt>
              </c:numCache>
            </c:numRef>
          </c:val>
          <c:extLst>
            <c:ext xmlns:c16="http://schemas.microsoft.com/office/drawing/2014/chart" uri="{C3380CC4-5D6E-409C-BE32-E72D297353CC}">
              <c16:uniqueId val="{00000001-9A20-4FCA-9A0E-0D7F67EA76C7}"/>
            </c:ext>
          </c:extLst>
        </c:ser>
        <c:ser>
          <c:idx val="2"/>
          <c:order val="2"/>
          <c:tx>
            <c:strRef>
              <c:f>[BM12243_Excel.xlsx]ITR!$B$7</c:f>
              <c:strCache>
                <c:ptCount val="1"/>
                <c:pt idx="0">
                  <c:v>Inventory turnover ratio = Cost of sales / Inventory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[BM12243_Excel.xlsx]ITR!$C$4:$G$4</c:f>
              <c:strCache>
                <c:ptCount val="5"/>
                <c:pt idx="0">
                  <c:v>2020 (Million)</c:v>
                </c:pt>
                <c:pt idx="1">
                  <c:v>2021 (Million)</c:v>
                </c:pt>
                <c:pt idx="2">
                  <c:v>2022 (Million)</c:v>
                </c:pt>
                <c:pt idx="3">
                  <c:v>2023 (Million)</c:v>
                </c:pt>
                <c:pt idx="4">
                  <c:v>2024 (Million)</c:v>
                </c:pt>
              </c:strCache>
            </c:strRef>
          </c:cat>
          <c:val>
            <c:numRef>
              <c:f>[BM12243_Excel.xlsx]ITR!$C$7:$G$7</c:f>
              <c:numCache>
                <c:formatCode>0.00</c:formatCode>
                <c:ptCount val="5"/>
                <c:pt idx="0">
                  <c:v>3.6404882504359377</c:v>
                </c:pt>
                <c:pt idx="1">
                  <c:v>3.1872476184101912</c:v>
                </c:pt>
                <c:pt idx="2">
                  <c:v>2.7853917435315769</c:v>
                </c:pt>
                <c:pt idx="3">
                  <c:v>3.6579361752744326</c:v>
                </c:pt>
                <c:pt idx="4">
                  <c:v>3.5396005292672168</c:v>
                </c:pt>
              </c:numCache>
            </c:numRef>
          </c:val>
          <c:extLst>
            <c:ext xmlns:c16="http://schemas.microsoft.com/office/drawing/2014/chart" uri="{C3380CC4-5D6E-409C-BE32-E72D297353CC}">
              <c16:uniqueId val="{00000002-9A20-4FCA-9A0E-0D7F67EA76C7}"/>
            </c:ext>
          </c:extLst>
        </c:ser>
        <c:dLbls>
          <c:dLblPos val="outEnd"/>
          <c:showLegendKey val="0"/>
          <c:showVal val="1"/>
          <c:showCatName val="0"/>
          <c:showSerName val="0"/>
          <c:showPercent val="0"/>
          <c:showBubbleSize val="0"/>
        </c:dLbls>
        <c:gapWidth val="182"/>
        <c:axId val="341079951"/>
        <c:axId val="341080783"/>
      </c:barChart>
      <c:catAx>
        <c:axId val="3410799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080783"/>
        <c:crosses val="autoZero"/>
        <c:auto val="1"/>
        <c:lblAlgn val="ctr"/>
        <c:lblOffset val="100"/>
        <c:noMultiLvlLbl val="0"/>
      </c:catAx>
      <c:valAx>
        <c:axId val="341080783"/>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079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Receivable Turnover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[BM12243_Excel.xlsx]RTR!$B$5</c:f>
              <c:strCache>
                <c:ptCount val="1"/>
                <c:pt idx="0">
                  <c:v>Net sales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[BM12243_Excel.xlsx]RTR!$C$4:$G$4</c:f>
              <c:strCache>
                <c:ptCount val="5"/>
                <c:pt idx="0">
                  <c:v>2020 (Million)</c:v>
                </c:pt>
                <c:pt idx="1">
                  <c:v>2021 (Million)</c:v>
                </c:pt>
                <c:pt idx="2">
                  <c:v>2022 (Million)</c:v>
                </c:pt>
                <c:pt idx="3">
                  <c:v>2023 (Million)</c:v>
                </c:pt>
                <c:pt idx="4">
                  <c:v>2024 (Million)</c:v>
                </c:pt>
              </c:strCache>
            </c:strRef>
          </c:cat>
          <c:val>
            <c:numRef>
              <c:f>[BM12243_Excel.xlsx]RTR!$C$5:$G$5</c:f>
              <c:numCache>
                <c:formatCode>#,##0</c:formatCode>
                <c:ptCount val="5"/>
                <c:pt idx="0">
                  <c:v>614680</c:v>
                </c:pt>
                <c:pt idx="1">
                  <c:v>601602</c:v>
                </c:pt>
                <c:pt idx="2">
                  <c:v>542751</c:v>
                </c:pt>
                <c:pt idx="3">
                  <c:v>420457</c:v>
                </c:pt>
                <c:pt idx="4">
                  <c:v>394879</c:v>
                </c:pt>
              </c:numCache>
            </c:numRef>
          </c:val>
          <c:extLst>
            <c:ext xmlns:c16="http://schemas.microsoft.com/office/drawing/2014/chart" uri="{C3380CC4-5D6E-409C-BE32-E72D297353CC}">
              <c16:uniqueId val="{00000000-380D-4B3B-B2E8-80D3992EFBF9}"/>
            </c:ext>
          </c:extLst>
        </c:ser>
        <c:ser>
          <c:idx val="1"/>
          <c:order val="1"/>
          <c:tx>
            <c:strRef>
              <c:f>[BM12243_Excel.xlsx]RTR!$B$6</c:f>
              <c:strCache>
                <c:ptCount val="1"/>
                <c:pt idx="0">
                  <c:v>Account receivable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[BM12243_Excel.xlsx]RTR!$C$4:$G$4</c:f>
              <c:strCache>
                <c:ptCount val="5"/>
                <c:pt idx="0">
                  <c:v>2020 (Million)</c:v>
                </c:pt>
                <c:pt idx="1">
                  <c:v>2021 (Million)</c:v>
                </c:pt>
                <c:pt idx="2">
                  <c:v>2022 (Million)</c:v>
                </c:pt>
                <c:pt idx="3">
                  <c:v>2023 (Million)</c:v>
                </c:pt>
                <c:pt idx="4">
                  <c:v>2024 (Million)</c:v>
                </c:pt>
              </c:strCache>
            </c:strRef>
          </c:cat>
          <c:val>
            <c:numRef>
              <c:f>[BM12243_Excel.xlsx]RTR!$C$6:$G$6</c:f>
              <c:numCache>
                <c:formatCode>0</c:formatCode>
                <c:ptCount val="5"/>
                <c:pt idx="0">
                  <c:v>129433</c:v>
                </c:pt>
                <c:pt idx="1">
                  <c:v>129215</c:v>
                </c:pt>
                <c:pt idx="2">
                  <c:v>112346</c:v>
                </c:pt>
                <c:pt idx="3">
                  <c:v>112596</c:v>
                </c:pt>
                <c:pt idx="4">
                  <c:v>114182</c:v>
                </c:pt>
              </c:numCache>
            </c:numRef>
          </c:val>
          <c:extLst>
            <c:ext xmlns:c16="http://schemas.microsoft.com/office/drawing/2014/chart" uri="{C3380CC4-5D6E-409C-BE32-E72D297353CC}">
              <c16:uniqueId val="{00000001-380D-4B3B-B2E8-80D3992EFBF9}"/>
            </c:ext>
          </c:extLst>
        </c:ser>
        <c:ser>
          <c:idx val="2"/>
          <c:order val="2"/>
          <c:tx>
            <c:strRef>
              <c:f>[BM12243_Excel.xlsx]RTR!$B$7</c:f>
              <c:strCache>
                <c:ptCount val="1"/>
                <c:pt idx="0">
                  <c:v>Receivable turnover ratio = Net sales / Account receivable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[BM12243_Excel.xlsx]RTR!$C$4:$G$4</c:f>
              <c:strCache>
                <c:ptCount val="5"/>
                <c:pt idx="0">
                  <c:v>2020 (Million)</c:v>
                </c:pt>
                <c:pt idx="1">
                  <c:v>2021 (Million)</c:v>
                </c:pt>
                <c:pt idx="2">
                  <c:v>2022 (Million)</c:v>
                </c:pt>
                <c:pt idx="3">
                  <c:v>2023 (Million)</c:v>
                </c:pt>
                <c:pt idx="4">
                  <c:v>2024 (Million)</c:v>
                </c:pt>
              </c:strCache>
            </c:strRef>
          </c:cat>
          <c:val>
            <c:numRef>
              <c:f>[BM12243_Excel.xlsx]RTR!$C$7:$G$7</c:f>
              <c:numCache>
                <c:formatCode>0.00</c:formatCode>
                <c:ptCount val="5"/>
                <c:pt idx="0">
                  <c:v>4.749020728871308</c:v>
                </c:pt>
                <c:pt idx="1">
                  <c:v>4.6558216925279572</c:v>
                </c:pt>
                <c:pt idx="2">
                  <c:v>4.8310665266231103</c:v>
                </c:pt>
                <c:pt idx="3">
                  <c:v>3.7342090305161819</c:v>
                </c:pt>
                <c:pt idx="4">
                  <c:v>3.458329684188401</c:v>
                </c:pt>
              </c:numCache>
            </c:numRef>
          </c:val>
          <c:extLst>
            <c:ext xmlns:c16="http://schemas.microsoft.com/office/drawing/2014/chart" uri="{C3380CC4-5D6E-409C-BE32-E72D297353CC}">
              <c16:uniqueId val="{00000002-380D-4B3B-B2E8-80D3992EFBF9}"/>
            </c:ext>
          </c:extLst>
        </c:ser>
        <c:dLbls>
          <c:dLblPos val="outEnd"/>
          <c:showLegendKey val="0"/>
          <c:showVal val="1"/>
          <c:showCatName val="0"/>
          <c:showSerName val="0"/>
          <c:showPercent val="0"/>
          <c:showBubbleSize val="0"/>
        </c:dLbls>
        <c:gapWidth val="219"/>
        <c:overlap val="-27"/>
        <c:axId val="341079535"/>
        <c:axId val="341077455"/>
      </c:barChart>
      <c:catAx>
        <c:axId val="341079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077455"/>
        <c:crosses val="autoZero"/>
        <c:auto val="1"/>
        <c:lblAlgn val="ctr"/>
        <c:lblOffset val="100"/>
        <c:noMultiLvlLbl val="0"/>
      </c:catAx>
      <c:valAx>
        <c:axId val="34107745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079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Debt to equity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[BM12243_Excel.xlsx]DTE!$B$5</c:f>
              <c:strCache>
                <c:ptCount val="1"/>
                <c:pt idx="0">
                  <c:v>Total Liabilities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[BM12243_Excel.xlsx]DTE!$C$4:$G$4</c:f>
              <c:strCache>
                <c:ptCount val="5"/>
                <c:pt idx="0">
                  <c:v>2020 (Million)</c:v>
                </c:pt>
                <c:pt idx="1">
                  <c:v>2021 (Million)</c:v>
                </c:pt>
                <c:pt idx="2">
                  <c:v>2022 (Million)</c:v>
                </c:pt>
                <c:pt idx="3">
                  <c:v>2023 (Million)</c:v>
                </c:pt>
                <c:pt idx="4">
                  <c:v>2024 (Million)</c:v>
                </c:pt>
              </c:strCache>
            </c:strRef>
          </c:cat>
          <c:val>
            <c:numRef>
              <c:f>[BM12243_Excel.xlsx]DTE!$C$5:$G$5</c:f>
              <c:numCache>
                <c:formatCode>#,##0</c:formatCode>
                <c:ptCount val="5"/>
                <c:pt idx="0">
                  <c:v>196989</c:v>
                </c:pt>
                <c:pt idx="1">
                  <c:v>234399</c:v>
                </c:pt>
                <c:pt idx="2">
                  <c:v>235757</c:v>
                </c:pt>
                <c:pt idx="3">
                  <c:v>176952</c:v>
                </c:pt>
                <c:pt idx="4">
                  <c:v>170249</c:v>
                </c:pt>
              </c:numCache>
            </c:numRef>
          </c:val>
          <c:extLst>
            <c:ext xmlns:c16="http://schemas.microsoft.com/office/drawing/2014/chart" uri="{C3380CC4-5D6E-409C-BE32-E72D297353CC}">
              <c16:uniqueId val="{00000000-630B-49F5-8CBC-D3683DCE58A5}"/>
            </c:ext>
          </c:extLst>
        </c:ser>
        <c:ser>
          <c:idx val="1"/>
          <c:order val="1"/>
          <c:tx>
            <c:strRef>
              <c:f>[BM12243_Excel.xlsx]DTE!$B$6</c:f>
              <c:strCache>
                <c:ptCount val="1"/>
                <c:pt idx="0">
                  <c:v>Shareholders Equity</c:v>
                </c:pt>
              </c:strCache>
            </c:strRef>
          </c:tx>
          <c:spPr>
            <a:solidFill>
              <a:schemeClr val="accent2"/>
            </a:solidFill>
            <a:ln>
              <a:noFill/>
            </a:ln>
            <a:effectLst/>
          </c:spPr>
          <c:invertIfNegative val="0"/>
          <c:dLbls>
            <c:dLbl>
              <c:idx val="3"/>
              <c:layout>
                <c:manualLayout>
                  <c:x val="3.1322123310253872E-2"/>
                  <c:y val="-8.100445524503847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630B-49F5-8CBC-D3683DCE58A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[BM12243_Excel.xlsx]DTE!$C$4:$G$4</c:f>
              <c:strCache>
                <c:ptCount val="5"/>
                <c:pt idx="0">
                  <c:v>2020 (Million)</c:v>
                </c:pt>
                <c:pt idx="1">
                  <c:v>2021 (Million)</c:v>
                </c:pt>
                <c:pt idx="2">
                  <c:v>2022 (Million)</c:v>
                </c:pt>
                <c:pt idx="3">
                  <c:v>2023 (Million)</c:v>
                </c:pt>
                <c:pt idx="4">
                  <c:v>2024 (Million)</c:v>
                </c:pt>
              </c:strCache>
            </c:strRef>
          </c:cat>
          <c:val>
            <c:numRef>
              <c:f>[BM12243_Excel.xlsx]DTE!$C$6:$G$6</c:f>
              <c:numCache>
                <c:formatCode>0</c:formatCode>
                <c:ptCount val="5"/>
                <c:pt idx="0">
                  <c:v>313301</c:v>
                </c:pt>
                <c:pt idx="1">
                  <c:v>275949</c:v>
                </c:pt>
                <c:pt idx="2">
                  <c:v>268406</c:v>
                </c:pt>
                <c:pt idx="3">
                  <c:v>178920</c:v>
                </c:pt>
                <c:pt idx="4">
                  <c:v>153105</c:v>
                </c:pt>
              </c:numCache>
            </c:numRef>
          </c:val>
          <c:extLst>
            <c:ext xmlns:c16="http://schemas.microsoft.com/office/drawing/2014/chart" uri="{C3380CC4-5D6E-409C-BE32-E72D297353CC}">
              <c16:uniqueId val="{00000002-630B-49F5-8CBC-D3683DCE58A5}"/>
            </c:ext>
          </c:extLst>
        </c:ser>
        <c:ser>
          <c:idx val="2"/>
          <c:order val="2"/>
          <c:tx>
            <c:strRef>
              <c:f>[BM12243_Excel.xlsx]DTE!$B$7</c:f>
              <c:strCache>
                <c:ptCount val="1"/>
                <c:pt idx="0">
                  <c:v>Debt to equity ratio = Total Liabilities / Shareholders Equity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[BM12243_Excel.xlsx]DTE!$C$4:$G$4</c:f>
              <c:strCache>
                <c:ptCount val="5"/>
                <c:pt idx="0">
                  <c:v>2020 (Million)</c:v>
                </c:pt>
                <c:pt idx="1">
                  <c:v>2021 (Million)</c:v>
                </c:pt>
                <c:pt idx="2">
                  <c:v>2022 (Million)</c:v>
                </c:pt>
                <c:pt idx="3">
                  <c:v>2023 (Million)</c:v>
                </c:pt>
                <c:pt idx="4">
                  <c:v>2024 (Million)</c:v>
                </c:pt>
              </c:strCache>
            </c:strRef>
          </c:cat>
          <c:val>
            <c:numRef>
              <c:f>[BM12243_Excel.xlsx]DTE!$C$7:$G$7</c:f>
              <c:numCache>
                <c:formatCode>0.00</c:formatCode>
                <c:ptCount val="5"/>
                <c:pt idx="0">
                  <c:v>0.62875317984941004</c:v>
                </c:pt>
                <c:pt idx="1">
                  <c:v>0.84942869878129657</c:v>
                </c:pt>
                <c:pt idx="2">
                  <c:v>0.87835964918817011</c:v>
                </c:pt>
                <c:pt idx="3">
                  <c:v>0.98900067069081155</c:v>
                </c:pt>
                <c:pt idx="4">
                  <c:v>1.1119754416903431</c:v>
                </c:pt>
              </c:numCache>
            </c:numRef>
          </c:val>
          <c:extLst>
            <c:ext xmlns:c16="http://schemas.microsoft.com/office/drawing/2014/chart" uri="{C3380CC4-5D6E-409C-BE32-E72D297353CC}">
              <c16:uniqueId val="{00000003-630B-49F5-8CBC-D3683DCE58A5}"/>
            </c:ext>
          </c:extLst>
        </c:ser>
        <c:dLbls>
          <c:dLblPos val="outEnd"/>
          <c:showLegendKey val="0"/>
          <c:showVal val="1"/>
          <c:showCatName val="0"/>
          <c:showSerName val="0"/>
          <c:showPercent val="0"/>
          <c:showBubbleSize val="0"/>
        </c:dLbls>
        <c:gapWidth val="219"/>
        <c:overlap val="-27"/>
        <c:axId val="264558655"/>
        <c:axId val="264562399"/>
      </c:barChart>
      <c:catAx>
        <c:axId val="264558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62399"/>
        <c:crosses val="autoZero"/>
        <c:auto val="1"/>
        <c:lblAlgn val="ctr"/>
        <c:lblOffset val="100"/>
        <c:noMultiLvlLbl val="0"/>
      </c:catAx>
      <c:valAx>
        <c:axId val="26456239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58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Interest Coverage Ratio</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[BM12243_Excel.xlsx]ICR!$B$5</c:f>
              <c:strCache>
                <c:ptCount val="1"/>
                <c:pt idx="0">
                  <c:v>Operating income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[BM12243_Excel.xlsx]ICR!$C$4:$G$4</c:f>
              <c:strCache>
                <c:ptCount val="5"/>
                <c:pt idx="0">
                  <c:v>2020 (Million)</c:v>
                </c:pt>
                <c:pt idx="1">
                  <c:v>2021 (Million)</c:v>
                </c:pt>
                <c:pt idx="2">
                  <c:v>2022 (Million)</c:v>
                </c:pt>
                <c:pt idx="3">
                  <c:v>2023 (Million)</c:v>
                </c:pt>
                <c:pt idx="4">
                  <c:v>2024 (Million)</c:v>
                </c:pt>
              </c:strCache>
            </c:strRef>
          </c:cat>
          <c:val>
            <c:numRef>
              <c:f>[BM12243_Excel.xlsx]ICR!$C$5:$G$5</c:f>
              <c:numCache>
                <c:formatCode>#,##0</c:formatCode>
                <c:ptCount val="5"/>
                <c:pt idx="0">
                  <c:v>37267</c:v>
                </c:pt>
                <c:pt idx="1">
                  <c:v>23253</c:v>
                </c:pt>
                <c:pt idx="2">
                  <c:v>14548</c:v>
                </c:pt>
                <c:pt idx="3">
                  <c:v>-85301</c:v>
                </c:pt>
                <c:pt idx="4">
                  <c:v>-15297</c:v>
                </c:pt>
              </c:numCache>
            </c:numRef>
          </c:val>
          <c:extLst>
            <c:ext xmlns:c16="http://schemas.microsoft.com/office/drawing/2014/chart" uri="{C3380CC4-5D6E-409C-BE32-E72D297353CC}">
              <c16:uniqueId val="{00000000-2F7A-43D9-8D0E-1DDFEE7CA3D3}"/>
            </c:ext>
          </c:extLst>
        </c:ser>
        <c:ser>
          <c:idx val="1"/>
          <c:order val="1"/>
          <c:tx>
            <c:strRef>
              <c:f>[BM12243_Excel.xlsx]ICR!$B$6</c:f>
              <c:strCache>
                <c:ptCount val="1"/>
                <c:pt idx="0">
                  <c:v>Interest expense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[BM12243_Excel.xlsx]ICR!$C$4:$G$4</c:f>
              <c:strCache>
                <c:ptCount val="5"/>
                <c:pt idx="0">
                  <c:v>2020 (Million)</c:v>
                </c:pt>
                <c:pt idx="1">
                  <c:v>2021 (Million)</c:v>
                </c:pt>
                <c:pt idx="2">
                  <c:v>2022 (Million)</c:v>
                </c:pt>
                <c:pt idx="3">
                  <c:v>2023 (Million)</c:v>
                </c:pt>
                <c:pt idx="4">
                  <c:v>2024 (Million)</c:v>
                </c:pt>
              </c:strCache>
            </c:strRef>
          </c:cat>
          <c:val>
            <c:numRef>
              <c:f>[BM12243_Excel.xlsx]ICR!$C$6:$G$6</c:f>
              <c:numCache>
                <c:formatCode>0</c:formatCode>
                <c:ptCount val="5"/>
                <c:pt idx="0">
                  <c:v>1422</c:v>
                </c:pt>
                <c:pt idx="1">
                  <c:v>566</c:v>
                </c:pt>
                <c:pt idx="2">
                  <c:v>2200</c:v>
                </c:pt>
                <c:pt idx="3">
                  <c:v>4332</c:v>
                </c:pt>
                <c:pt idx="4">
                  <c:v>3361</c:v>
                </c:pt>
              </c:numCache>
            </c:numRef>
          </c:val>
          <c:extLst>
            <c:ext xmlns:c16="http://schemas.microsoft.com/office/drawing/2014/chart" uri="{C3380CC4-5D6E-409C-BE32-E72D297353CC}">
              <c16:uniqueId val="{00000001-2F7A-43D9-8D0E-1DDFEE7CA3D3}"/>
            </c:ext>
          </c:extLst>
        </c:ser>
        <c:ser>
          <c:idx val="2"/>
          <c:order val="2"/>
          <c:tx>
            <c:strRef>
              <c:f>[BM12243_Excel.xlsx]ICR!$B$7</c:f>
              <c:strCache>
                <c:ptCount val="1"/>
                <c:pt idx="0">
                  <c:v>Interest coverage ratio = Operating income / Interest expense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dLbl>
              <c:idx val="3"/>
              <c:layout>
                <c:manualLayout>
                  <c:x val="-1.5933715742512322E-3"/>
                  <c:y val="-7.423117709437956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2F7A-43D9-8D0E-1DDFEE7CA3D3}"/>
                </c:ext>
              </c:extLst>
            </c:dLbl>
            <c:dLbl>
              <c:idx val="4"/>
              <c:layout>
                <c:manualLayout>
                  <c:x val="7.9668578712554592E-3"/>
                  <c:y val="0.1060445387062566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2F7A-43D9-8D0E-1DDFEE7CA3D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[BM12243_Excel.xlsx]ICR!$C$4:$G$4</c:f>
              <c:strCache>
                <c:ptCount val="5"/>
                <c:pt idx="0">
                  <c:v>2020 (Million)</c:v>
                </c:pt>
                <c:pt idx="1">
                  <c:v>2021 (Million)</c:v>
                </c:pt>
                <c:pt idx="2">
                  <c:v>2022 (Million)</c:v>
                </c:pt>
                <c:pt idx="3">
                  <c:v>2023 (Million)</c:v>
                </c:pt>
                <c:pt idx="4">
                  <c:v>2024 (Million)</c:v>
                </c:pt>
              </c:strCache>
            </c:strRef>
          </c:cat>
          <c:val>
            <c:numRef>
              <c:f>[BM12243_Excel.xlsx]ICR!$C$7:$G$7</c:f>
              <c:numCache>
                <c:formatCode>0.00</c:formatCode>
                <c:ptCount val="5"/>
                <c:pt idx="0">
                  <c:v>26.20745428973277</c:v>
                </c:pt>
                <c:pt idx="1">
                  <c:v>41.083038869257948</c:v>
                </c:pt>
                <c:pt idx="2">
                  <c:v>6.6127272727272723</c:v>
                </c:pt>
                <c:pt idx="3">
                  <c:v>-19.690904893813482</c:v>
                </c:pt>
                <c:pt idx="4">
                  <c:v>-4.5513240107110979</c:v>
                </c:pt>
              </c:numCache>
            </c:numRef>
          </c:val>
          <c:extLst>
            <c:ext xmlns:c16="http://schemas.microsoft.com/office/drawing/2014/chart" uri="{C3380CC4-5D6E-409C-BE32-E72D297353CC}">
              <c16:uniqueId val="{00000004-2F7A-43D9-8D0E-1DDFEE7CA3D3}"/>
            </c:ext>
          </c:extLst>
        </c:ser>
        <c:dLbls>
          <c:dLblPos val="outEnd"/>
          <c:showLegendKey val="0"/>
          <c:showVal val="1"/>
          <c:showCatName val="0"/>
          <c:showSerName val="0"/>
          <c:showPercent val="0"/>
          <c:showBubbleSize val="0"/>
        </c:dLbls>
        <c:gapWidth val="100"/>
        <c:overlap val="-24"/>
        <c:axId val="339957583"/>
        <c:axId val="339960495"/>
      </c:barChart>
      <c:catAx>
        <c:axId val="33995758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9960495"/>
        <c:crosses val="autoZero"/>
        <c:auto val="1"/>
        <c:lblAlgn val="ctr"/>
        <c:lblOffset val="100"/>
        <c:noMultiLvlLbl val="0"/>
      </c:catAx>
      <c:valAx>
        <c:axId val="339960495"/>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9957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Return</a:t>
            </a:r>
            <a:r>
              <a:rPr lang="en-IN" baseline="0"/>
              <a:t> on Equity</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bar"/>
        <c:grouping val="clustered"/>
        <c:varyColors val="0"/>
        <c:ser>
          <c:idx val="0"/>
          <c:order val="0"/>
          <c:tx>
            <c:strRef>
              <c:f>[BM12243_Excel.xlsx]ROE!$B$5</c:f>
              <c:strCache>
                <c:ptCount val="1"/>
                <c:pt idx="0">
                  <c:v>Net Income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[BM12243_Excel.xlsx]ROE!$C$4:$G$4</c:f>
              <c:strCache>
                <c:ptCount val="5"/>
                <c:pt idx="0">
                  <c:v>2020 (Million)</c:v>
                </c:pt>
                <c:pt idx="1">
                  <c:v>2021 (Million)</c:v>
                </c:pt>
                <c:pt idx="2">
                  <c:v>2022 (Million)</c:v>
                </c:pt>
                <c:pt idx="3">
                  <c:v>2023 (Million)</c:v>
                </c:pt>
                <c:pt idx="4">
                  <c:v>2024 (Million)</c:v>
                </c:pt>
              </c:strCache>
            </c:strRef>
          </c:cat>
          <c:val>
            <c:numRef>
              <c:f>[BM12243_Excel.xlsx]ROE!$C$5:$G$5</c:f>
              <c:numCache>
                <c:formatCode>#,##0</c:formatCode>
                <c:ptCount val="5"/>
                <c:pt idx="0">
                  <c:v>38572</c:v>
                </c:pt>
                <c:pt idx="1">
                  <c:v>5301</c:v>
                </c:pt>
                <c:pt idx="2">
                  <c:v>407</c:v>
                </c:pt>
                <c:pt idx="3">
                  <c:v>-98238</c:v>
                </c:pt>
                <c:pt idx="4">
                  <c:v>-24029</c:v>
                </c:pt>
              </c:numCache>
            </c:numRef>
          </c:val>
          <c:extLst>
            <c:ext xmlns:c16="http://schemas.microsoft.com/office/drawing/2014/chart" uri="{C3380CC4-5D6E-409C-BE32-E72D297353CC}">
              <c16:uniqueId val="{00000000-3CCF-49E4-A6A7-08BAE6F9C1D4}"/>
            </c:ext>
          </c:extLst>
        </c:ser>
        <c:ser>
          <c:idx val="1"/>
          <c:order val="1"/>
          <c:tx>
            <c:strRef>
              <c:f>[BM12243_Excel.xlsx]ROE!$B$6</c:f>
              <c:strCache>
                <c:ptCount val="1"/>
                <c:pt idx="0">
                  <c:v>Shareholders’ Equity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[BM12243_Excel.xlsx]ROE!$C$4:$G$4</c:f>
              <c:strCache>
                <c:ptCount val="5"/>
                <c:pt idx="0">
                  <c:v>2020 (Million)</c:v>
                </c:pt>
                <c:pt idx="1">
                  <c:v>2021 (Million)</c:v>
                </c:pt>
                <c:pt idx="2">
                  <c:v>2022 (Million)</c:v>
                </c:pt>
                <c:pt idx="3">
                  <c:v>2023 (Million)</c:v>
                </c:pt>
                <c:pt idx="4">
                  <c:v>2024 (Million)</c:v>
                </c:pt>
              </c:strCache>
            </c:strRef>
          </c:cat>
          <c:val>
            <c:numRef>
              <c:f>[BM12243_Excel.xlsx]ROE!$C$6:$G$6</c:f>
              <c:numCache>
                <c:formatCode>0</c:formatCode>
                <c:ptCount val="5"/>
                <c:pt idx="0">
                  <c:v>313301</c:v>
                </c:pt>
                <c:pt idx="1">
                  <c:v>275949</c:v>
                </c:pt>
                <c:pt idx="2">
                  <c:v>268406</c:v>
                </c:pt>
                <c:pt idx="3">
                  <c:v>178920</c:v>
                </c:pt>
                <c:pt idx="4">
                  <c:v>153105</c:v>
                </c:pt>
              </c:numCache>
            </c:numRef>
          </c:val>
          <c:extLst>
            <c:ext xmlns:c16="http://schemas.microsoft.com/office/drawing/2014/chart" uri="{C3380CC4-5D6E-409C-BE32-E72D297353CC}">
              <c16:uniqueId val="{00000001-3CCF-49E4-A6A7-08BAE6F9C1D4}"/>
            </c:ext>
          </c:extLst>
        </c:ser>
        <c:ser>
          <c:idx val="2"/>
          <c:order val="2"/>
          <c:tx>
            <c:strRef>
              <c:f>[BM12243_Excel.xlsx]ROE!$B$7</c:f>
              <c:strCache>
                <c:ptCount val="1"/>
                <c:pt idx="0">
                  <c:v>Return on Equity = Net income / Shareholders’ Equity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[BM12243_Excel.xlsx]ROE!$C$4:$G$4</c:f>
              <c:strCache>
                <c:ptCount val="5"/>
                <c:pt idx="0">
                  <c:v>2020 (Million)</c:v>
                </c:pt>
                <c:pt idx="1">
                  <c:v>2021 (Million)</c:v>
                </c:pt>
                <c:pt idx="2">
                  <c:v>2022 (Million)</c:v>
                </c:pt>
                <c:pt idx="3">
                  <c:v>2023 (Million)</c:v>
                </c:pt>
                <c:pt idx="4">
                  <c:v>2024 (Million)</c:v>
                </c:pt>
              </c:strCache>
            </c:strRef>
          </c:cat>
          <c:val>
            <c:numRef>
              <c:f>[BM12243_Excel.xlsx]ROE!$C$7:$G$7</c:f>
              <c:numCache>
                <c:formatCode>0.00</c:formatCode>
                <c:ptCount val="5"/>
                <c:pt idx="0">
                  <c:v>0.1231148320624575</c:v>
                </c:pt>
                <c:pt idx="1">
                  <c:v>1.9210071426241804E-2</c:v>
                </c:pt>
                <c:pt idx="2">
                  <c:v>1.5163595448685946E-3</c:v>
                </c:pt>
                <c:pt idx="3">
                  <c:v>-0.54906103286384977</c:v>
                </c:pt>
                <c:pt idx="4">
                  <c:v>-0.1569445805166389</c:v>
                </c:pt>
              </c:numCache>
            </c:numRef>
          </c:val>
          <c:extLst>
            <c:ext xmlns:c16="http://schemas.microsoft.com/office/drawing/2014/chart" uri="{C3380CC4-5D6E-409C-BE32-E72D297353CC}">
              <c16:uniqueId val="{00000002-3CCF-49E4-A6A7-08BAE6F9C1D4}"/>
            </c:ext>
          </c:extLst>
        </c:ser>
        <c:dLbls>
          <c:dLblPos val="outEnd"/>
          <c:showLegendKey val="0"/>
          <c:showVal val="1"/>
          <c:showCatName val="0"/>
          <c:showSerName val="0"/>
          <c:showPercent val="0"/>
          <c:showBubbleSize val="0"/>
        </c:dLbls>
        <c:gapWidth val="182"/>
        <c:axId val="339957167"/>
        <c:axId val="339970895"/>
      </c:barChart>
      <c:catAx>
        <c:axId val="3399571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970895"/>
        <c:crosses val="autoZero"/>
        <c:auto val="1"/>
        <c:lblAlgn val="ctr"/>
        <c:lblOffset val="100"/>
        <c:noMultiLvlLbl val="0"/>
      </c:catAx>
      <c:valAx>
        <c:axId val="33997089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957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[BM12243_Excel.xlsx]EPS!$B$5</c:f>
              <c:strCache>
                <c:ptCount val="1"/>
                <c:pt idx="0">
                  <c:v>Earnings per share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[BM12243_Excel.xlsx]EPS!$C$4:$G$4</c:f>
              <c:strCache>
                <c:ptCount val="5"/>
                <c:pt idx="0">
                  <c:v>2020 (Million)</c:v>
                </c:pt>
                <c:pt idx="1">
                  <c:v>2021 (Million)</c:v>
                </c:pt>
                <c:pt idx="2">
                  <c:v>2022 (Million)</c:v>
                </c:pt>
                <c:pt idx="3">
                  <c:v>2023 (Million)</c:v>
                </c:pt>
                <c:pt idx="4">
                  <c:v>2024 (Million)</c:v>
                </c:pt>
              </c:strCache>
            </c:strRef>
          </c:cat>
          <c:val>
            <c:numRef>
              <c:f>[BM12243_Excel.xlsx]EPS!$C$5:$G$5</c:f>
              <c:numCache>
                <c:formatCode>0.00</c:formatCode>
                <c:ptCount val="5"/>
                <c:pt idx="0">
                  <c:v>2.78</c:v>
                </c:pt>
                <c:pt idx="1">
                  <c:v>0.39</c:v>
                </c:pt>
                <c:pt idx="2">
                  <c:v>0.03</c:v>
                </c:pt>
                <c:pt idx="3">
                  <c:v>-7.64</c:v>
                </c:pt>
                <c:pt idx="4">
                  <c:v>-1.85</c:v>
                </c:pt>
              </c:numCache>
            </c:numRef>
          </c:val>
          <c:extLst>
            <c:ext xmlns:c16="http://schemas.microsoft.com/office/drawing/2014/chart" uri="{C3380CC4-5D6E-409C-BE32-E72D297353CC}">
              <c16:uniqueId val="{00000000-6F45-47D7-B9D8-EA7476A037C3}"/>
            </c:ext>
          </c:extLst>
        </c:ser>
        <c:dLbls>
          <c:dLblPos val="outEnd"/>
          <c:showLegendKey val="0"/>
          <c:showVal val="1"/>
          <c:showCatName val="0"/>
          <c:showSerName val="0"/>
          <c:showPercent val="0"/>
          <c:showBubbleSize val="0"/>
        </c:dLbls>
        <c:gapWidth val="182"/>
        <c:axId val="339961743"/>
        <c:axId val="339964655"/>
      </c:barChart>
      <c:catAx>
        <c:axId val="3399617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964655"/>
        <c:crosses val="autoZero"/>
        <c:auto val="1"/>
        <c:lblAlgn val="ctr"/>
        <c:lblOffset val="100"/>
        <c:noMultiLvlLbl val="0"/>
      </c:catAx>
      <c:valAx>
        <c:axId val="339964655"/>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9617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Operating Cash Flow Margin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[BM12243_Excel.xlsx]OCFM!$B$5</c:f>
              <c:strCache>
                <c:ptCount val="1"/>
                <c:pt idx="0">
                  <c:v>Operating Cash Flow</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[BM12243_Excel.xlsx]OCFM!$C$4:$G$4</c:f>
              <c:strCache>
                <c:ptCount val="5"/>
                <c:pt idx="0">
                  <c:v>2020 (Million)</c:v>
                </c:pt>
                <c:pt idx="1">
                  <c:v>2021 (Million)</c:v>
                </c:pt>
                <c:pt idx="2">
                  <c:v>2022 (Million)</c:v>
                </c:pt>
                <c:pt idx="3">
                  <c:v>2023 (Million)</c:v>
                </c:pt>
                <c:pt idx="4">
                  <c:v>2024 (Million)</c:v>
                </c:pt>
              </c:strCache>
            </c:strRef>
          </c:cat>
          <c:val>
            <c:numRef>
              <c:f>[BM12243_Excel.xlsx]OCFM!$C$5:$G$5</c:f>
              <c:numCache>
                <c:formatCode>#,##0</c:formatCode>
                <c:ptCount val="5"/>
                <c:pt idx="0">
                  <c:v>73392</c:v>
                </c:pt>
                <c:pt idx="1">
                  <c:v>40283</c:v>
                </c:pt>
                <c:pt idx="2">
                  <c:v>10926</c:v>
                </c:pt>
                <c:pt idx="3">
                  <c:v>25190</c:v>
                </c:pt>
                <c:pt idx="4">
                  <c:v>14822</c:v>
                </c:pt>
              </c:numCache>
            </c:numRef>
          </c:val>
          <c:extLst>
            <c:ext xmlns:c16="http://schemas.microsoft.com/office/drawing/2014/chart" uri="{C3380CC4-5D6E-409C-BE32-E72D297353CC}">
              <c16:uniqueId val="{00000000-7CA8-4EBF-8ECC-678D6667308D}"/>
            </c:ext>
          </c:extLst>
        </c:ser>
        <c:ser>
          <c:idx val="1"/>
          <c:order val="1"/>
          <c:tx>
            <c:strRef>
              <c:f>[BM12243_Excel.xlsx]OCFM!$B$6</c:f>
              <c:strCache>
                <c:ptCount val="1"/>
                <c:pt idx="0">
                  <c:v>Net sales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[BM12243_Excel.xlsx]OCFM!$C$4:$G$4</c:f>
              <c:strCache>
                <c:ptCount val="5"/>
                <c:pt idx="0">
                  <c:v>2020 (Million)</c:v>
                </c:pt>
                <c:pt idx="1">
                  <c:v>2021 (Million)</c:v>
                </c:pt>
                <c:pt idx="2">
                  <c:v>2022 (Million)</c:v>
                </c:pt>
                <c:pt idx="3">
                  <c:v>2023 (Million)</c:v>
                </c:pt>
                <c:pt idx="4">
                  <c:v>2024 (Million)</c:v>
                </c:pt>
              </c:strCache>
            </c:strRef>
          </c:cat>
          <c:val>
            <c:numRef>
              <c:f>[BM12243_Excel.xlsx]OCFM!$C$6:$G$6</c:f>
              <c:numCache>
                <c:formatCode>0</c:formatCode>
                <c:ptCount val="5"/>
                <c:pt idx="0">
                  <c:v>614680</c:v>
                </c:pt>
                <c:pt idx="1">
                  <c:v>601602</c:v>
                </c:pt>
                <c:pt idx="2">
                  <c:v>542751</c:v>
                </c:pt>
                <c:pt idx="3">
                  <c:v>420457</c:v>
                </c:pt>
                <c:pt idx="4">
                  <c:v>394879</c:v>
                </c:pt>
              </c:numCache>
            </c:numRef>
          </c:val>
          <c:extLst>
            <c:ext xmlns:c16="http://schemas.microsoft.com/office/drawing/2014/chart" uri="{C3380CC4-5D6E-409C-BE32-E72D297353CC}">
              <c16:uniqueId val="{00000001-7CA8-4EBF-8ECC-678D6667308D}"/>
            </c:ext>
          </c:extLst>
        </c:ser>
        <c:ser>
          <c:idx val="2"/>
          <c:order val="2"/>
          <c:tx>
            <c:strRef>
              <c:f>[BM12243_Excel.xlsx]OCFM!$B$7</c:f>
              <c:strCache>
                <c:ptCount val="1"/>
                <c:pt idx="0">
                  <c:v>Operating Cash Flow Margin = (Operating Cash Flow /Net sales) * 100</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[BM12243_Excel.xlsx]OCFM!$C$4:$G$4</c:f>
              <c:strCache>
                <c:ptCount val="5"/>
                <c:pt idx="0">
                  <c:v>2020 (Million)</c:v>
                </c:pt>
                <c:pt idx="1">
                  <c:v>2021 (Million)</c:v>
                </c:pt>
                <c:pt idx="2">
                  <c:v>2022 (Million)</c:v>
                </c:pt>
                <c:pt idx="3">
                  <c:v>2023 (Million)</c:v>
                </c:pt>
                <c:pt idx="4">
                  <c:v>2024 (Million)</c:v>
                </c:pt>
              </c:strCache>
            </c:strRef>
          </c:cat>
          <c:val>
            <c:numRef>
              <c:f>[BM12243_Excel.xlsx]OCFM!$C$7:$G$7</c:f>
              <c:numCache>
                <c:formatCode>0.00</c:formatCode>
                <c:ptCount val="5"/>
                <c:pt idx="0">
                  <c:v>11.939871152469578</c:v>
                </c:pt>
                <c:pt idx="1">
                  <c:v>6.6959551331278817</c:v>
                </c:pt>
                <c:pt idx="2">
                  <c:v>2.0130778202159001</c:v>
                </c:pt>
                <c:pt idx="3">
                  <c:v>5.9911001600639304</c:v>
                </c:pt>
                <c:pt idx="4">
                  <c:v>3.7535548864335659</c:v>
                </c:pt>
              </c:numCache>
            </c:numRef>
          </c:val>
          <c:extLst>
            <c:ext xmlns:c16="http://schemas.microsoft.com/office/drawing/2014/chart" uri="{C3380CC4-5D6E-409C-BE32-E72D297353CC}">
              <c16:uniqueId val="{00000002-7CA8-4EBF-8ECC-678D6667308D}"/>
            </c:ext>
          </c:extLst>
        </c:ser>
        <c:dLbls>
          <c:dLblPos val="outEnd"/>
          <c:showLegendKey val="0"/>
          <c:showVal val="1"/>
          <c:showCatName val="0"/>
          <c:showSerName val="0"/>
          <c:showPercent val="0"/>
          <c:showBubbleSize val="0"/>
        </c:dLbls>
        <c:gapWidth val="219"/>
        <c:overlap val="-27"/>
        <c:axId val="182891247"/>
        <c:axId val="182882511"/>
      </c:barChart>
      <c:catAx>
        <c:axId val="1828912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882511"/>
        <c:crosses val="autoZero"/>
        <c:auto val="1"/>
        <c:lblAlgn val="ctr"/>
        <c:lblOffset val="100"/>
        <c:noMultiLvlLbl val="0"/>
      </c:catAx>
      <c:valAx>
        <c:axId val="1828825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8912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IN"/>
              <a:t>Free Cash flow margin</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[BM12243_Excel.xlsx]FCFM!$B$5</c:f>
              <c:strCache>
                <c:ptCount val="1"/>
                <c:pt idx="0">
                  <c:v>Operating Cash Flow</c:v>
                </c:pt>
              </c:strCache>
            </c:strRef>
          </c:tx>
          <c:spPr>
            <a:solidFill>
              <a:schemeClr val="accent1"/>
            </a:solidFill>
            <a:ln>
              <a:noFill/>
            </a:ln>
            <a:effectLst/>
          </c:spPr>
          <c:invertIfNegative val="0"/>
          <c:dLbls>
            <c:dLbl>
              <c:idx val="4"/>
              <c:layout>
                <c:manualLayout>
                  <c:x val="-8.653509657446665E-3"/>
                  <c:y val="-4.9757017272404934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C85-4BB5-A340-273BA3DE6C0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[BM12243_Excel.xlsx]FCFM!$C$4:$G$4</c:f>
              <c:strCache>
                <c:ptCount val="5"/>
                <c:pt idx="0">
                  <c:v>2020 (Million)</c:v>
                </c:pt>
                <c:pt idx="1">
                  <c:v>2021 (Million)</c:v>
                </c:pt>
                <c:pt idx="2">
                  <c:v>2022 (Million)</c:v>
                </c:pt>
                <c:pt idx="3">
                  <c:v>2023 (Million)</c:v>
                </c:pt>
                <c:pt idx="4">
                  <c:v>2024 (Million)</c:v>
                </c:pt>
              </c:strCache>
            </c:strRef>
          </c:cat>
          <c:val>
            <c:numRef>
              <c:f>[BM12243_Excel.xlsx]FCFM!$C$5:$G$5</c:f>
              <c:numCache>
                <c:formatCode>#,##0</c:formatCode>
                <c:ptCount val="5"/>
                <c:pt idx="0">
                  <c:v>73392</c:v>
                </c:pt>
                <c:pt idx="1">
                  <c:v>40283</c:v>
                </c:pt>
                <c:pt idx="2">
                  <c:v>10926</c:v>
                </c:pt>
                <c:pt idx="3">
                  <c:v>25190</c:v>
                </c:pt>
                <c:pt idx="4">
                  <c:v>14822</c:v>
                </c:pt>
              </c:numCache>
            </c:numRef>
          </c:val>
          <c:extLst>
            <c:ext xmlns:c16="http://schemas.microsoft.com/office/drawing/2014/chart" uri="{C3380CC4-5D6E-409C-BE32-E72D297353CC}">
              <c16:uniqueId val="{00000001-BC85-4BB5-A340-273BA3DE6C05}"/>
            </c:ext>
          </c:extLst>
        </c:ser>
        <c:ser>
          <c:idx val="1"/>
          <c:order val="1"/>
          <c:tx>
            <c:strRef>
              <c:f>[BM12243_Excel.xlsx]FCFM!$B$6</c:f>
              <c:strCache>
                <c:ptCount val="1"/>
                <c:pt idx="0">
                  <c:v>Capital expenditure</c:v>
                </c:pt>
              </c:strCache>
            </c:strRef>
          </c:tx>
          <c:spPr>
            <a:solidFill>
              <a:schemeClr val="accent2"/>
            </a:solidFill>
            <a:ln>
              <a:noFill/>
            </a:ln>
            <a:effectLst/>
          </c:spPr>
          <c:invertIfNegative val="0"/>
          <c:dLbls>
            <c:dLbl>
              <c:idx val="0"/>
              <c:layout>
                <c:manualLayout>
                  <c:x val="-1.0683760683760703E-2"/>
                  <c:y val="-0.1419213973799127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BC85-4BB5-A340-273BA3DE6C05}"/>
                </c:ext>
              </c:extLst>
            </c:dLbl>
            <c:dLbl>
              <c:idx val="1"/>
              <c:layout>
                <c:manualLayout>
                  <c:x val="-8.547008547008586E-3"/>
                  <c:y val="-0.138282387190684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BC85-4BB5-A340-273BA3DE6C05}"/>
                </c:ext>
              </c:extLst>
            </c:dLbl>
            <c:dLbl>
              <c:idx val="2"/>
              <c:layout>
                <c:manualLayout>
                  <c:x val="-3.2583903551646086E-3"/>
                  <c:y val="-0.1326530612244899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C85-4BB5-A340-273BA3DE6C05}"/>
                </c:ext>
              </c:extLst>
            </c:dLbl>
            <c:dLbl>
              <c:idx val="3"/>
              <c:layout>
                <c:manualLayout>
                  <c:x val="-1.0683760683760762E-2"/>
                  <c:y val="-9.825327510917029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BC85-4BB5-A340-273BA3DE6C05}"/>
                </c:ext>
              </c:extLst>
            </c:dLbl>
            <c:dLbl>
              <c:idx val="4"/>
              <c:layout>
                <c:manualLayout>
                  <c:x val="-1.0683760683760684E-2"/>
                  <c:y val="-9.0975254730713245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BC85-4BB5-A340-273BA3DE6C0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[BM12243_Excel.xlsx]FCFM!$C$4:$G$4</c:f>
              <c:strCache>
                <c:ptCount val="5"/>
                <c:pt idx="0">
                  <c:v>2020 (Million)</c:v>
                </c:pt>
                <c:pt idx="1">
                  <c:v>2021 (Million)</c:v>
                </c:pt>
                <c:pt idx="2">
                  <c:v>2022 (Million)</c:v>
                </c:pt>
                <c:pt idx="3">
                  <c:v>2023 (Million)</c:v>
                </c:pt>
                <c:pt idx="4">
                  <c:v>2024 (Million)</c:v>
                </c:pt>
              </c:strCache>
            </c:strRef>
          </c:cat>
          <c:val>
            <c:numRef>
              <c:f>[BM12243_Excel.xlsx]FCFM!$C$6:$G$6</c:f>
              <c:numCache>
                <c:formatCode>0</c:formatCode>
                <c:ptCount val="5"/>
                <c:pt idx="0">
                  <c:v>16862</c:v>
                </c:pt>
                <c:pt idx="1">
                  <c:v>12586</c:v>
                </c:pt>
                <c:pt idx="2">
                  <c:v>14006</c:v>
                </c:pt>
                <c:pt idx="3">
                  <c:v>8116</c:v>
                </c:pt>
                <c:pt idx="4">
                  <c:v>4572</c:v>
                </c:pt>
              </c:numCache>
            </c:numRef>
          </c:val>
          <c:extLst>
            <c:ext xmlns:c16="http://schemas.microsoft.com/office/drawing/2014/chart" uri="{C3380CC4-5D6E-409C-BE32-E72D297353CC}">
              <c16:uniqueId val="{00000003-BC85-4BB5-A340-273BA3DE6C05}"/>
            </c:ext>
          </c:extLst>
        </c:ser>
        <c:ser>
          <c:idx val="2"/>
          <c:order val="2"/>
          <c:tx>
            <c:strRef>
              <c:f>[BM12243_Excel.xlsx]FCFM!$B$7</c:f>
              <c:strCache>
                <c:ptCount val="1"/>
                <c:pt idx="0">
                  <c:v>Net sales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[BM12243_Excel.xlsx]FCFM!$C$4:$G$4</c:f>
              <c:strCache>
                <c:ptCount val="5"/>
                <c:pt idx="0">
                  <c:v>2020 (Million)</c:v>
                </c:pt>
                <c:pt idx="1">
                  <c:v>2021 (Million)</c:v>
                </c:pt>
                <c:pt idx="2">
                  <c:v>2022 (Million)</c:v>
                </c:pt>
                <c:pt idx="3">
                  <c:v>2023 (Million)</c:v>
                </c:pt>
                <c:pt idx="4">
                  <c:v>2024 (Million)</c:v>
                </c:pt>
              </c:strCache>
            </c:strRef>
          </c:cat>
          <c:val>
            <c:numRef>
              <c:f>[BM12243_Excel.xlsx]FCFM!$C$7:$G$7</c:f>
              <c:numCache>
                <c:formatCode>0</c:formatCode>
                <c:ptCount val="5"/>
                <c:pt idx="0">
                  <c:v>614680</c:v>
                </c:pt>
                <c:pt idx="1">
                  <c:v>601602</c:v>
                </c:pt>
                <c:pt idx="2">
                  <c:v>14006</c:v>
                </c:pt>
                <c:pt idx="3">
                  <c:v>420457</c:v>
                </c:pt>
                <c:pt idx="4">
                  <c:v>394879</c:v>
                </c:pt>
              </c:numCache>
            </c:numRef>
          </c:val>
          <c:extLst>
            <c:ext xmlns:c16="http://schemas.microsoft.com/office/drawing/2014/chart" uri="{C3380CC4-5D6E-409C-BE32-E72D297353CC}">
              <c16:uniqueId val="{00000004-BC85-4BB5-A340-273BA3DE6C05}"/>
            </c:ext>
          </c:extLst>
        </c:ser>
        <c:ser>
          <c:idx val="3"/>
          <c:order val="3"/>
          <c:tx>
            <c:strRef>
              <c:f>[BM12243_Excel.xlsx]FCFM!$B$8</c:f>
              <c:strCache>
                <c:ptCount val="1"/>
                <c:pt idx="0">
                  <c:v>Free Cash Flow Margin = ((Operating Cash Flow - Capital Expenditure) / Net sales)* 100</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[BM12243_Excel.xlsx]FCFM!$C$4:$G$4</c:f>
              <c:strCache>
                <c:ptCount val="5"/>
                <c:pt idx="0">
                  <c:v>2020 (Million)</c:v>
                </c:pt>
                <c:pt idx="1">
                  <c:v>2021 (Million)</c:v>
                </c:pt>
                <c:pt idx="2">
                  <c:v>2022 (Million)</c:v>
                </c:pt>
                <c:pt idx="3">
                  <c:v>2023 (Million)</c:v>
                </c:pt>
                <c:pt idx="4">
                  <c:v>2024 (Million)</c:v>
                </c:pt>
              </c:strCache>
            </c:strRef>
          </c:cat>
          <c:val>
            <c:numRef>
              <c:f>[BM12243_Excel.xlsx]FCFM!$C$8:$G$8</c:f>
              <c:numCache>
                <c:formatCode>0.00</c:formatCode>
                <c:ptCount val="5"/>
                <c:pt idx="0">
                  <c:v>9.1966551701698442</c:v>
                </c:pt>
                <c:pt idx="1">
                  <c:v>4.6038743222263223</c:v>
                </c:pt>
                <c:pt idx="2">
                  <c:v>-21.990575467656718</c:v>
                </c:pt>
                <c:pt idx="3">
                  <c:v>4.0608195368372986</c:v>
                </c:pt>
                <c:pt idx="4">
                  <c:v>2.5957318571005294</c:v>
                </c:pt>
              </c:numCache>
            </c:numRef>
          </c:val>
          <c:extLst>
            <c:ext xmlns:c16="http://schemas.microsoft.com/office/drawing/2014/chart" uri="{C3380CC4-5D6E-409C-BE32-E72D297353CC}">
              <c16:uniqueId val="{00000005-BC85-4BB5-A340-273BA3DE6C05}"/>
            </c:ext>
          </c:extLst>
        </c:ser>
        <c:dLbls>
          <c:dLblPos val="outEnd"/>
          <c:showLegendKey val="0"/>
          <c:showVal val="1"/>
          <c:showCatName val="0"/>
          <c:showSerName val="0"/>
          <c:showPercent val="0"/>
          <c:showBubbleSize val="0"/>
        </c:dLbls>
        <c:gapWidth val="267"/>
        <c:overlap val="-43"/>
        <c:axId val="171279871"/>
        <c:axId val="171273631"/>
        <c:extLst>
          <c:ext xmlns:c15="http://schemas.microsoft.com/office/drawing/2012/chart" uri="{02D57815-91ED-43cb-92C2-25804820EDAC}">
            <c15:filteredBarSeries>
              <c15:ser>
                <c:idx val="4"/>
                <c:order val="4"/>
                <c:tx>
                  <c:strRef>
                    <c:extLst>
                      <c:ext uri="{02D57815-91ED-43cb-92C2-25804820EDAC}">
                        <c15:formulaRef>
                          <c15:sqref>[BM12243_Excel.xlsx]FCFM!$B$9</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c:ext uri="{02D57815-91ED-43cb-92C2-25804820EDAC}">
                        <c15:formulaRef>
                          <c15:sqref>[BM12243_Excel.xlsx]FCFM!$C$4:$G$4</c15:sqref>
                        </c15:formulaRef>
                      </c:ext>
                    </c:extLst>
                    <c:strCache>
                      <c:ptCount val="5"/>
                      <c:pt idx="0">
                        <c:v>2020 (Million)</c:v>
                      </c:pt>
                      <c:pt idx="1">
                        <c:v>2021 (Million)</c:v>
                      </c:pt>
                      <c:pt idx="2">
                        <c:v>2022 (Million)</c:v>
                      </c:pt>
                      <c:pt idx="3">
                        <c:v>2023 (Million)</c:v>
                      </c:pt>
                      <c:pt idx="4">
                        <c:v>2024 (Million)</c:v>
                      </c:pt>
                    </c:strCache>
                  </c:strRef>
                </c:cat>
                <c:val>
                  <c:numRef>
                    <c:extLst>
                      <c:ext uri="{02D57815-91ED-43cb-92C2-25804820EDAC}">
                        <c15:formulaRef>
                          <c15:sqref>[BM12243_Excel.xlsx]FCFM!$C$9:$G$9</c15:sqref>
                        </c15:formulaRef>
                      </c:ext>
                    </c:extLst>
                    <c:numCache>
                      <c:formatCode>General</c:formatCode>
                      <c:ptCount val="5"/>
                    </c:numCache>
                  </c:numRef>
                </c:val>
                <c:extLst>
                  <c:ext xmlns:c16="http://schemas.microsoft.com/office/drawing/2014/chart" uri="{C3380CC4-5D6E-409C-BE32-E72D297353CC}">
                    <c16:uniqueId val="{00000006-BC85-4BB5-A340-273BA3DE6C05}"/>
                  </c:ext>
                </c:extLst>
              </c15:ser>
            </c15:filteredBarSeries>
          </c:ext>
        </c:extLst>
      </c:barChart>
      <c:catAx>
        <c:axId val="17127987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71273631"/>
        <c:crosses val="autoZero"/>
        <c:auto val="1"/>
        <c:lblAlgn val="ctr"/>
        <c:lblOffset val="100"/>
        <c:noMultiLvlLbl val="0"/>
      </c:catAx>
      <c:valAx>
        <c:axId val="171273631"/>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1279871"/>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[BM12243_Excel.xlsx]EPS!$B$5</c:f>
              <c:strCache>
                <c:ptCount val="1"/>
                <c:pt idx="0">
                  <c:v>Earnings per share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[BM12243_Excel.xlsx]EPS!$C$4:$G$4</c:f>
              <c:strCache>
                <c:ptCount val="5"/>
                <c:pt idx="0">
                  <c:v>2020 (Million)</c:v>
                </c:pt>
                <c:pt idx="1">
                  <c:v>2021 (Million)</c:v>
                </c:pt>
                <c:pt idx="2">
                  <c:v>2022 (Million)</c:v>
                </c:pt>
                <c:pt idx="3">
                  <c:v>2023 (Million)</c:v>
                </c:pt>
                <c:pt idx="4">
                  <c:v>2024 (Million)</c:v>
                </c:pt>
              </c:strCache>
            </c:strRef>
          </c:cat>
          <c:val>
            <c:numRef>
              <c:f>[BM12243_Excel.xlsx]EPS!$C$5:$G$5</c:f>
              <c:numCache>
                <c:formatCode>0.00</c:formatCode>
                <c:ptCount val="5"/>
                <c:pt idx="0">
                  <c:v>2.78</c:v>
                </c:pt>
                <c:pt idx="1">
                  <c:v>0.39</c:v>
                </c:pt>
                <c:pt idx="2">
                  <c:v>0.03</c:v>
                </c:pt>
                <c:pt idx="3">
                  <c:v>-7.64</c:v>
                </c:pt>
                <c:pt idx="4">
                  <c:v>-1.85</c:v>
                </c:pt>
              </c:numCache>
            </c:numRef>
          </c:val>
          <c:extLst>
            <c:ext xmlns:c16="http://schemas.microsoft.com/office/drawing/2014/chart" uri="{C3380CC4-5D6E-409C-BE32-E72D297353CC}">
              <c16:uniqueId val="{00000000-09E2-4143-A21D-5C0A586EAEE2}"/>
            </c:ext>
          </c:extLst>
        </c:ser>
        <c:dLbls>
          <c:dLblPos val="outEnd"/>
          <c:showLegendKey val="0"/>
          <c:showVal val="1"/>
          <c:showCatName val="0"/>
          <c:showSerName val="0"/>
          <c:showPercent val="0"/>
          <c:showBubbleSize val="0"/>
        </c:dLbls>
        <c:gapWidth val="182"/>
        <c:axId val="339961743"/>
        <c:axId val="339964655"/>
      </c:barChart>
      <c:catAx>
        <c:axId val="3399617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964655"/>
        <c:crosses val="autoZero"/>
        <c:auto val="1"/>
        <c:lblAlgn val="ctr"/>
        <c:lblOffset val="100"/>
        <c:noMultiLvlLbl val="0"/>
      </c:catAx>
      <c:valAx>
        <c:axId val="339964655"/>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9617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Debt to equity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[BM12243_Excel.xlsx]DTE!$B$5</c:f>
              <c:strCache>
                <c:ptCount val="1"/>
                <c:pt idx="0">
                  <c:v>Total Liabilities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[BM12243_Excel.xlsx]DTE!$C$4:$G$4</c:f>
              <c:strCache>
                <c:ptCount val="5"/>
                <c:pt idx="0">
                  <c:v>2020 (Million)</c:v>
                </c:pt>
                <c:pt idx="1">
                  <c:v>2021 (Million)</c:v>
                </c:pt>
                <c:pt idx="2">
                  <c:v>2022 (Million)</c:v>
                </c:pt>
                <c:pt idx="3">
                  <c:v>2023 (Million)</c:v>
                </c:pt>
                <c:pt idx="4">
                  <c:v>2024 (Million)</c:v>
                </c:pt>
              </c:strCache>
            </c:strRef>
          </c:cat>
          <c:val>
            <c:numRef>
              <c:f>[BM12243_Excel.xlsx]DTE!$C$5:$G$5</c:f>
              <c:numCache>
                <c:formatCode>#,##0</c:formatCode>
                <c:ptCount val="5"/>
                <c:pt idx="0">
                  <c:v>196989</c:v>
                </c:pt>
                <c:pt idx="1">
                  <c:v>234399</c:v>
                </c:pt>
                <c:pt idx="2">
                  <c:v>235757</c:v>
                </c:pt>
                <c:pt idx="3">
                  <c:v>176952</c:v>
                </c:pt>
                <c:pt idx="4">
                  <c:v>170249</c:v>
                </c:pt>
              </c:numCache>
            </c:numRef>
          </c:val>
          <c:extLst>
            <c:ext xmlns:c16="http://schemas.microsoft.com/office/drawing/2014/chart" uri="{C3380CC4-5D6E-409C-BE32-E72D297353CC}">
              <c16:uniqueId val="{00000000-9584-4708-AFCD-D865A0642E4B}"/>
            </c:ext>
          </c:extLst>
        </c:ser>
        <c:ser>
          <c:idx val="1"/>
          <c:order val="1"/>
          <c:tx>
            <c:strRef>
              <c:f>[BM12243_Excel.xlsx]DTE!$B$6</c:f>
              <c:strCache>
                <c:ptCount val="1"/>
                <c:pt idx="0">
                  <c:v>Shareholders Equity</c:v>
                </c:pt>
              </c:strCache>
            </c:strRef>
          </c:tx>
          <c:spPr>
            <a:solidFill>
              <a:schemeClr val="accent2"/>
            </a:solidFill>
            <a:ln>
              <a:noFill/>
            </a:ln>
            <a:effectLst/>
          </c:spPr>
          <c:invertIfNegative val="0"/>
          <c:dLbls>
            <c:dLbl>
              <c:idx val="3"/>
              <c:layout>
                <c:manualLayout>
                  <c:x val="3.1322123310253872E-2"/>
                  <c:y val="-8.100445524503847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584-4708-AFCD-D865A0642E4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[BM12243_Excel.xlsx]DTE!$C$4:$G$4</c:f>
              <c:strCache>
                <c:ptCount val="5"/>
                <c:pt idx="0">
                  <c:v>2020 (Million)</c:v>
                </c:pt>
                <c:pt idx="1">
                  <c:v>2021 (Million)</c:v>
                </c:pt>
                <c:pt idx="2">
                  <c:v>2022 (Million)</c:v>
                </c:pt>
                <c:pt idx="3">
                  <c:v>2023 (Million)</c:v>
                </c:pt>
                <c:pt idx="4">
                  <c:v>2024 (Million)</c:v>
                </c:pt>
              </c:strCache>
            </c:strRef>
          </c:cat>
          <c:val>
            <c:numRef>
              <c:f>[BM12243_Excel.xlsx]DTE!$C$6:$G$6</c:f>
              <c:numCache>
                <c:formatCode>0</c:formatCode>
                <c:ptCount val="5"/>
                <c:pt idx="0">
                  <c:v>313301</c:v>
                </c:pt>
                <c:pt idx="1">
                  <c:v>275949</c:v>
                </c:pt>
                <c:pt idx="2">
                  <c:v>268406</c:v>
                </c:pt>
                <c:pt idx="3">
                  <c:v>178920</c:v>
                </c:pt>
                <c:pt idx="4">
                  <c:v>153105</c:v>
                </c:pt>
              </c:numCache>
            </c:numRef>
          </c:val>
          <c:extLst>
            <c:ext xmlns:c16="http://schemas.microsoft.com/office/drawing/2014/chart" uri="{C3380CC4-5D6E-409C-BE32-E72D297353CC}">
              <c16:uniqueId val="{00000002-9584-4708-AFCD-D865A0642E4B}"/>
            </c:ext>
          </c:extLst>
        </c:ser>
        <c:ser>
          <c:idx val="2"/>
          <c:order val="2"/>
          <c:tx>
            <c:strRef>
              <c:f>[BM12243_Excel.xlsx]DTE!$B$7</c:f>
              <c:strCache>
                <c:ptCount val="1"/>
                <c:pt idx="0">
                  <c:v>Debt to equity ratio = Total Liabilities / Shareholders Equity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[BM12243_Excel.xlsx]DTE!$C$4:$G$4</c:f>
              <c:strCache>
                <c:ptCount val="5"/>
                <c:pt idx="0">
                  <c:v>2020 (Million)</c:v>
                </c:pt>
                <c:pt idx="1">
                  <c:v>2021 (Million)</c:v>
                </c:pt>
                <c:pt idx="2">
                  <c:v>2022 (Million)</c:v>
                </c:pt>
                <c:pt idx="3">
                  <c:v>2023 (Million)</c:v>
                </c:pt>
                <c:pt idx="4">
                  <c:v>2024 (Million)</c:v>
                </c:pt>
              </c:strCache>
            </c:strRef>
          </c:cat>
          <c:val>
            <c:numRef>
              <c:f>[BM12243_Excel.xlsx]DTE!$C$7:$G$7</c:f>
              <c:numCache>
                <c:formatCode>0.00</c:formatCode>
                <c:ptCount val="5"/>
                <c:pt idx="0">
                  <c:v>0.62875317984941004</c:v>
                </c:pt>
                <c:pt idx="1">
                  <c:v>0.84942869878129657</c:v>
                </c:pt>
                <c:pt idx="2">
                  <c:v>0.87835964918817011</c:v>
                </c:pt>
                <c:pt idx="3">
                  <c:v>0.98900067069081155</c:v>
                </c:pt>
                <c:pt idx="4">
                  <c:v>1.1119754416903431</c:v>
                </c:pt>
              </c:numCache>
            </c:numRef>
          </c:val>
          <c:extLst>
            <c:ext xmlns:c16="http://schemas.microsoft.com/office/drawing/2014/chart" uri="{C3380CC4-5D6E-409C-BE32-E72D297353CC}">
              <c16:uniqueId val="{00000003-9584-4708-AFCD-D865A0642E4B}"/>
            </c:ext>
          </c:extLst>
        </c:ser>
        <c:dLbls>
          <c:dLblPos val="outEnd"/>
          <c:showLegendKey val="0"/>
          <c:showVal val="1"/>
          <c:showCatName val="0"/>
          <c:showSerName val="0"/>
          <c:showPercent val="0"/>
          <c:showBubbleSize val="0"/>
        </c:dLbls>
        <c:gapWidth val="219"/>
        <c:overlap val="-27"/>
        <c:axId val="264558655"/>
        <c:axId val="264562399"/>
      </c:barChart>
      <c:catAx>
        <c:axId val="264558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62399"/>
        <c:crosses val="autoZero"/>
        <c:auto val="1"/>
        <c:lblAlgn val="ctr"/>
        <c:lblOffset val="100"/>
        <c:noMultiLvlLbl val="0"/>
      </c:catAx>
      <c:valAx>
        <c:axId val="26456239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58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Net Profit</a:t>
            </a:r>
            <a:r>
              <a:rPr lang="en-IN" baseline="0"/>
              <a:t> Margin</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col"/>
        <c:grouping val="clustered"/>
        <c:varyColors val="0"/>
        <c:ser>
          <c:idx val="0"/>
          <c:order val="0"/>
          <c:tx>
            <c:strRef>
              <c:f>[BM12243_Excel.xlsx]NPM!$B$5</c:f>
              <c:strCache>
                <c:ptCount val="1"/>
                <c:pt idx="0">
                  <c:v>Net income</c:v>
                </c:pt>
              </c:strCache>
            </c:strRef>
          </c:tx>
          <c:spPr>
            <a:solidFill>
              <a:schemeClr val="accent1"/>
            </a:solidFill>
            <a:ln>
              <a:noFill/>
            </a:ln>
            <a:effectLst/>
          </c:spPr>
          <c:invertIfNegative val="0"/>
          <c:dLbls>
            <c:dLbl>
              <c:idx val="4"/>
              <c:layout>
                <c:manualLayout>
                  <c:x val="2.0226537216828477E-3"/>
                  <c:y val="-7.288070579209819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CA6-4AB8-8878-4B89BFAF9E1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[BM12243_Excel.xlsx]NPM!$C$4:$G$4</c:f>
              <c:strCache>
                <c:ptCount val="5"/>
                <c:pt idx="0">
                  <c:v>2020 (Million)</c:v>
                </c:pt>
                <c:pt idx="1">
                  <c:v>2021 (Million)</c:v>
                </c:pt>
                <c:pt idx="2">
                  <c:v>2022 (Million)</c:v>
                </c:pt>
                <c:pt idx="3">
                  <c:v>2023 (Million)</c:v>
                </c:pt>
                <c:pt idx="4">
                  <c:v>2024 (Million)</c:v>
                </c:pt>
              </c:strCache>
            </c:strRef>
          </c:cat>
          <c:val>
            <c:numRef>
              <c:f>[BM12243_Excel.xlsx]NPM!$C$5:$G$5</c:f>
              <c:numCache>
                <c:formatCode>General</c:formatCode>
                <c:ptCount val="5"/>
                <c:pt idx="0">
                  <c:v>38578</c:v>
                </c:pt>
                <c:pt idx="1">
                  <c:v>5301</c:v>
                </c:pt>
                <c:pt idx="2">
                  <c:v>407</c:v>
                </c:pt>
                <c:pt idx="3">
                  <c:v>-98238</c:v>
                </c:pt>
                <c:pt idx="4">
                  <c:v>-24029</c:v>
                </c:pt>
              </c:numCache>
            </c:numRef>
          </c:val>
          <c:extLst>
            <c:ext xmlns:c16="http://schemas.microsoft.com/office/drawing/2014/chart" uri="{C3380CC4-5D6E-409C-BE32-E72D297353CC}">
              <c16:uniqueId val="{00000001-ECA6-4AB8-8878-4B89BFAF9E19}"/>
            </c:ext>
          </c:extLst>
        </c:ser>
        <c:ser>
          <c:idx val="1"/>
          <c:order val="1"/>
          <c:tx>
            <c:strRef>
              <c:f>[BM12243_Excel.xlsx]NPM!$B$6</c:f>
              <c:strCache>
                <c:ptCount val="1"/>
                <c:pt idx="0">
                  <c:v>Net sales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2"/>
                </a:solidFill>
                <a:prstDash val="sysDot"/>
              </a:ln>
              <a:effectLst/>
            </c:spPr>
            <c:trendlineType val="linear"/>
            <c:dispRSqr val="0"/>
            <c:dispEq val="0"/>
          </c:trendline>
          <c:cat>
            <c:strRef>
              <c:f>[BM12243_Excel.xlsx]NPM!$C$4:$G$4</c:f>
              <c:strCache>
                <c:ptCount val="5"/>
                <c:pt idx="0">
                  <c:v>2020 (Million)</c:v>
                </c:pt>
                <c:pt idx="1">
                  <c:v>2021 (Million)</c:v>
                </c:pt>
                <c:pt idx="2">
                  <c:v>2022 (Million)</c:v>
                </c:pt>
                <c:pt idx="3">
                  <c:v>2023 (Million)</c:v>
                </c:pt>
                <c:pt idx="4">
                  <c:v>2024 (Million)</c:v>
                </c:pt>
              </c:strCache>
            </c:strRef>
          </c:cat>
          <c:val>
            <c:numRef>
              <c:f>[BM12243_Excel.xlsx]NPM!$C$6:$G$6</c:f>
              <c:numCache>
                <c:formatCode>General</c:formatCode>
                <c:ptCount val="5"/>
                <c:pt idx="0">
                  <c:v>614680</c:v>
                </c:pt>
                <c:pt idx="1">
                  <c:v>601602</c:v>
                </c:pt>
                <c:pt idx="2">
                  <c:v>542751</c:v>
                </c:pt>
                <c:pt idx="3">
                  <c:v>420457</c:v>
                </c:pt>
                <c:pt idx="4">
                  <c:v>394879</c:v>
                </c:pt>
              </c:numCache>
            </c:numRef>
          </c:val>
          <c:extLst>
            <c:ext xmlns:c16="http://schemas.microsoft.com/office/drawing/2014/chart" uri="{C3380CC4-5D6E-409C-BE32-E72D297353CC}">
              <c16:uniqueId val="{00000002-ECA6-4AB8-8878-4B89BFAF9E19}"/>
            </c:ext>
          </c:extLst>
        </c:ser>
        <c:ser>
          <c:idx val="2"/>
          <c:order val="2"/>
          <c:tx>
            <c:strRef>
              <c:f>[BM12243_Excel.xlsx]NPM!$B$7</c:f>
              <c:strCache>
                <c:ptCount val="1"/>
                <c:pt idx="0">
                  <c:v>Net profit margin = (Net income  / Net sales) * 100</c:v>
                </c:pt>
              </c:strCache>
            </c:strRef>
          </c:tx>
          <c:spPr>
            <a:solidFill>
              <a:schemeClr val="accent3"/>
            </a:solidFill>
            <a:ln>
              <a:noFill/>
            </a:ln>
            <a:effectLst/>
          </c:spPr>
          <c:invertIfNegative val="0"/>
          <c:dLbls>
            <c:dLbl>
              <c:idx val="3"/>
              <c:layout>
                <c:manualLayout>
                  <c:x val="1.820388349514563E-2"/>
                  <c:y val="0.1189106252397392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ECA6-4AB8-8878-4B89BFAF9E19}"/>
                </c:ext>
              </c:extLst>
            </c:dLbl>
            <c:dLbl>
              <c:idx val="4"/>
              <c:layout>
                <c:manualLayout>
                  <c:x val="1.2135922330097087E-2"/>
                  <c:y val="9.589566551591875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ECA6-4AB8-8878-4B89BFAF9E1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[BM12243_Excel.xlsx]NPM!$C$4:$G$4</c:f>
              <c:strCache>
                <c:ptCount val="5"/>
                <c:pt idx="0">
                  <c:v>2020 (Million)</c:v>
                </c:pt>
                <c:pt idx="1">
                  <c:v>2021 (Million)</c:v>
                </c:pt>
                <c:pt idx="2">
                  <c:v>2022 (Million)</c:v>
                </c:pt>
                <c:pt idx="3">
                  <c:v>2023 (Million)</c:v>
                </c:pt>
                <c:pt idx="4">
                  <c:v>2024 (Million)</c:v>
                </c:pt>
              </c:strCache>
            </c:strRef>
          </c:cat>
          <c:val>
            <c:numRef>
              <c:f>[BM12243_Excel.xlsx]NPM!$C$7:$G$7</c:f>
              <c:numCache>
                <c:formatCode>0.00</c:formatCode>
                <c:ptCount val="5"/>
                <c:pt idx="0">
                  <c:v>6.2761111472636175</c:v>
                </c:pt>
                <c:pt idx="1">
                  <c:v>0.88114733661124789</c:v>
                </c:pt>
                <c:pt idx="2">
                  <c:v>7.4988346405626155E-2</c:v>
                </c:pt>
                <c:pt idx="3">
                  <c:v>-23.364577114901167</c:v>
                </c:pt>
                <c:pt idx="4">
                  <c:v>-6.085155199440841</c:v>
                </c:pt>
              </c:numCache>
            </c:numRef>
          </c:val>
          <c:extLst>
            <c:ext xmlns:c16="http://schemas.microsoft.com/office/drawing/2014/chart" uri="{C3380CC4-5D6E-409C-BE32-E72D297353CC}">
              <c16:uniqueId val="{00000005-ECA6-4AB8-8878-4B89BFAF9E19}"/>
            </c:ext>
          </c:extLst>
        </c:ser>
        <c:dLbls>
          <c:dLblPos val="outEnd"/>
          <c:showLegendKey val="0"/>
          <c:showVal val="1"/>
          <c:showCatName val="0"/>
          <c:showSerName val="0"/>
          <c:showPercent val="0"/>
          <c:showBubbleSize val="0"/>
        </c:dLbls>
        <c:gapWidth val="219"/>
        <c:overlap val="-27"/>
        <c:axId val="133323631"/>
        <c:axId val="133324463"/>
      </c:barChart>
      <c:catAx>
        <c:axId val="133323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324463"/>
        <c:crosses val="autoZero"/>
        <c:auto val="1"/>
        <c:lblAlgn val="ctr"/>
        <c:lblOffset val="100"/>
        <c:noMultiLvlLbl val="0"/>
      </c:catAx>
      <c:valAx>
        <c:axId val="1333244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323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Operating Profit Margin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[BM12243_Excel.xlsx]OPM!$B$5</c:f>
              <c:strCache>
                <c:ptCount val="1"/>
                <c:pt idx="0">
                  <c:v>Operating profit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[BM12243_Excel.xlsx]OPM!$C$4:$G$4</c:f>
              <c:strCache>
                <c:ptCount val="5"/>
                <c:pt idx="0">
                  <c:v>2020 (Million)</c:v>
                </c:pt>
                <c:pt idx="1">
                  <c:v>2021 (Million)</c:v>
                </c:pt>
                <c:pt idx="2">
                  <c:v>2022 (Million)</c:v>
                </c:pt>
                <c:pt idx="3">
                  <c:v>2023 (Million)</c:v>
                </c:pt>
                <c:pt idx="4">
                  <c:v>2024 (Million)</c:v>
                </c:pt>
              </c:strCache>
            </c:strRef>
          </c:cat>
          <c:val>
            <c:numRef>
              <c:f>[BM12243_Excel.xlsx]OPM!$C$5:$G$5</c:f>
              <c:numCache>
                <c:formatCode>General</c:formatCode>
                <c:ptCount val="5"/>
                <c:pt idx="0">
                  <c:v>37267</c:v>
                </c:pt>
                <c:pt idx="1">
                  <c:v>23253</c:v>
                </c:pt>
                <c:pt idx="2">
                  <c:v>14548</c:v>
                </c:pt>
                <c:pt idx="3">
                  <c:v>-85301</c:v>
                </c:pt>
                <c:pt idx="4">
                  <c:v>-15297</c:v>
                </c:pt>
              </c:numCache>
            </c:numRef>
          </c:val>
          <c:extLst>
            <c:ext xmlns:c16="http://schemas.microsoft.com/office/drawing/2014/chart" uri="{C3380CC4-5D6E-409C-BE32-E72D297353CC}">
              <c16:uniqueId val="{00000000-C497-47AF-BF09-60D604D7B25A}"/>
            </c:ext>
          </c:extLst>
        </c:ser>
        <c:ser>
          <c:idx val="1"/>
          <c:order val="1"/>
          <c:tx>
            <c:strRef>
              <c:f>[BM12243_Excel.xlsx]OPM!$B$6</c:f>
              <c:strCache>
                <c:ptCount val="1"/>
                <c:pt idx="0">
                  <c:v>Net sales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[BM12243_Excel.xlsx]OPM!$C$4:$G$4</c:f>
              <c:strCache>
                <c:ptCount val="5"/>
                <c:pt idx="0">
                  <c:v>2020 (Million)</c:v>
                </c:pt>
                <c:pt idx="1">
                  <c:v>2021 (Million)</c:v>
                </c:pt>
                <c:pt idx="2">
                  <c:v>2022 (Million)</c:v>
                </c:pt>
                <c:pt idx="3">
                  <c:v>2023 (Million)</c:v>
                </c:pt>
                <c:pt idx="4">
                  <c:v>2024 (Million)</c:v>
                </c:pt>
              </c:strCache>
            </c:strRef>
          </c:cat>
          <c:val>
            <c:numRef>
              <c:f>[BM12243_Excel.xlsx]OPM!$C$6:$G$6</c:f>
              <c:numCache>
                <c:formatCode>General</c:formatCode>
                <c:ptCount val="5"/>
                <c:pt idx="0">
                  <c:v>614680</c:v>
                </c:pt>
                <c:pt idx="1">
                  <c:v>601602</c:v>
                </c:pt>
                <c:pt idx="2">
                  <c:v>542751</c:v>
                </c:pt>
                <c:pt idx="3">
                  <c:v>420457</c:v>
                </c:pt>
                <c:pt idx="4">
                  <c:v>394879</c:v>
                </c:pt>
              </c:numCache>
            </c:numRef>
          </c:val>
          <c:extLst>
            <c:ext xmlns:c16="http://schemas.microsoft.com/office/drawing/2014/chart" uri="{C3380CC4-5D6E-409C-BE32-E72D297353CC}">
              <c16:uniqueId val="{00000001-C497-47AF-BF09-60D604D7B25A}"/>
            </c:ext>
          </c:extLst>
        </c:ser>
        <c:ser>
          <c:idx val="2"/>
          <c:order val="2"/>
          <c:tx>
            <c:strRef>
              <c:f>[BM12243_Excel.xlsx]OPM!$B$7</c:f>
              <c:strCache>
                <c:ptCount val="1"/>
                <c:pt idx="0">
                  <c:v>Operating profit margin = (Operating profit  / Net sales) * 100</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[BM12243_Excel.xlsx]OPM!$C$4:$G$4</c:f>
              <c:strCache>
                <c:ptCount val="5"/>
                <c:pt idx="0">
                  <c:v>2020 (Million)</c:v>
                </c:pt>
                <c:pt idx="1">
                  <c:v>2021 (Million)</c:v>
                </c:pt>
                <c:pt idx="2">
                  <c:v>2022 (Million)</c:v>
                </c:pt>
                <c:pt idx="3">
                  <c:v>2023 (Million)</c:v>
                </c:pt>
                <c:pt idx="4">
                  <c:v>2024 (Million)</c:v>
                </c:pt>
              </c:strCache>
            </c:strRef>
          </c:cat>
          <c:val>
            <c:numRef>
              <c:f>[BM12243_Excel.xlsx]OPM!$C$7:$G$7</c:f>
              <c:numCache>
                <c:formatCode>0.00</c:formatCode>
                <c:ptCount val="5"/>
                <c:pt idx="0">
                  <c:v>6.0628294397084659</c:v>
                </c:pt>
                <c:pt idx="1">
                  <c:v>3.8651799694814843</c:v>
                </c:pt>
                <c:pt idx="2">
                  <c:v>2.6804188292605633</c:v>
                </c:pt>
                <c:pt idx="3">
                  <c:v>-20.287686969178775</c:v>
                </c:pt>
                <c:pt idx="4">
                  <c:v>-3.8738448993235903</c:v>
                </c:pt>
              </c:numCache>
            </c:numRef>
          </c:val>
          <c:extLst>
            <c:ext xmlns:c16="http://schemas.microsoft.com/office/drawing/2014/chart" uri="{C3380CC4-5D6E-409C-BE32-E72D297353CC}">
              <c16:uniqueId val="{00000002-C497-47AF-BF09-60D604D7B25A}"/>
            </c:ext>
          </c:extLst>
        </c:ser>
        <c:dLbls>
          <c:dLblPos val="outEnd"/>
          <c:showLegendKey val="0"/>
          <c:showVal val="1"/>
          <c:showCatName val="0"/>
          <c:showSerName val="0"/>
          <c:showPercent val="0"/>
          <c:showBubbleSize val="0"/>
        </c:dLbls>
        <c:gapWidth val="182"/>
        <c:axId val="264557407"/>
        <c:axId val="264570303"/>
      </c:barChart>
      <c:catAx>
        <c:axId val="26455740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70303"/>
        <c:crosses val="autoZero"/>
        <c:auto val="1"/>
        <c:lblAlgn val="ctr"/>
        <c:lblOffset val="100"/>
        <c:noMultiLvlLbl val="0"/>
      </c:catAx>
      <c:valAx>
        <c:axId val="2645703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574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Current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[BM12243_Excel.xlsx]CR!$B$5</c:f>
              <c:strCache>
                <c:ptCount val="1"/>
                <c:pt idx="0">
                  <c:v>Current asset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[BM12243_Excel.xlsx]CR!$C$4:$G$4</c:f>
              <c:strCache>
                <c:ptCount val="5"/>
                <c:pt idx="0">
                  <c:v>2020 (Million)</c:v>
                </c:pt>
                <c:pt idx="1">
                  <c:v>2021 (Million)</c:v>
                </c:pt>
                <c:pt idx="2">
                  <c:v>2022 (Million)</c:v>
                </c:pt>
                <c:pt idx="3">
                  <c:v>2023 (Million)</c:v>
                </c:pt>
                <c:pt idx="4">
                  <c:v>2024 (Million)</c:v>
                </c:pt>
              </c:strCache>
            </c:strRef>
          </c:cat>
          <c:val>
            <c:numRef>
              <c:f>[BM12243_Excel.xlsx]CR!$C$5:$G$5</c:f>
              <c:numCache>
                <c:formatCode>#,##0</c:formatCode>
                <c:ptCount val="5"/>
                <c:pt idx="0">
                  <c:v>326843</c:v>
                </c:pt>
                <c:pt idx="1">
                  <c:v>337146</c:v>
                </c:pt>
                <c:pt idx="2">
                  <c:v>338040</c:v>
                </c:pt>
                <c:pt idx="3">
                  <c:v>258851</c:v>
                </c:pt>
                <c:pt idx="4">
                  <c:v>242494</c:v>
                </c:pt>
              </c:numCache>
            </c:numRef>
          </c:val>
          <c:extLst>
            <c:ext xmlns:c16="http://schemas.microsoft.com/office/drawing/2014/chart" uri="{C3380CC4-5D6E-409C-BE32-E72D297353CC}">
              <c16:uniqueId val="{00000000-6A5A-4F13-AED0-D5B40478EFE9}"/>
            </c:ext>
          </c:extLst>
        </c:ser>
        <c:ser>
          <c:idx val="1"/>
          <c:order val="1"/>
          <c:tx>
            <c:strRef>
              <c:f>[BM12243_Excel.xlsx]CR!$B$6</c:f>
              <c:strCache>
                <c:ptCount val="1"/>
                <c:pt idx="0">
                  <c:v>Current liability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[BM12243_Excel.xlsx]CR!$C$4:$G$4</c:f>
              <c:strCache>
                <c:ptCount val="5"/>
                <c:pt idx="0">
                  <c:v>2020 (Million)</c:v>
                </c:pt>
                <c:pt idx="1">
                  <c:v>2021 (Million)</c:v>
                </c:pt>
                <c:pt idx="2">
                  <c:v>2022 (Million)</c:v>
                </c:pt>
                <c:pt idx="3">
                  <c:v>2023 (Million)</c:v>
                </c:pt>
                <c:pt idx="4">
                  <c:v>2024 (Million)</c:v>
                </c:pt>
              </c:strCache>
            </c:strRef>
          </c:cat>
          <c:val>
            <c:numRef>
              <c:f>[BM12243_Excel.xlsx]CR!$C$6:$G$6</c:f>
              <c:numCache>
                <c:formatCode>#,##0</c:formatCode>
                <c:ptCount val="5"/>
                <c:pt idx="0">
                  <c:v>179510</c:v>
                </c:pt>
                <c:pt idx="1">
                  <c:v>216787</c:v>
                </c:pt>
                <c:pt idx="2">
                  <c:v>216473</c:v>
                </c:pt>
                <c:pt idx="3">
                  <c:v>161148</c:v>
                </c:pt>
                <c:pt idx="4">
                  <c:v>158291</c:v>
                </c:pt>
              </c:numCache>
            </c:numRef>
          </c:val>
          <c:extLst>
            <c:ext xmlns:c16="http://schemas.microsoft.com/office/drawing/2014/chart" uri="{C3380CC4-5D6E-409C-BE32-E72D297353CC}">
              <c16:uniqueId val="{00000001-6A5A-4F13-AED0-D5B40478EFE9}"/>
            </c:ext>
          </c:extLst>
        </c:ser>
        <c:ser>
          <c:idx val="2"/>
          <c:order val="2"/>
          <c:tx>
            <c:strRef>
              <c:f>[BM12243_Excel.xlsx]CR!$B$7</c:f>
              <c:strCache>
                <c:ptCount val="1"/>
                <c:pt idx="0">
                  <c:v>Current ratio = (Current asset / Curret Liability)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[BM12243_Excel.xlsx]CR!$C$4:$G$4</c:f>
              <c:strCache>
                <c:ptCount val="5"/>
                <c:pt idx="0">
                  <c:v>2020 (Million)</c:v>
                </c:pt>
                <c:pt idx="1">
                  <c:v>2021 (Million)</c:v>
                </c:pt>
                <c:pt idx="2">
                  <c:v>2022 (Million)</c:v>
                </c:pt>
                <c:pt idx="3">
                  <c:v>2023 (Million)</c:v>
                </c:pt>
                <c:pt idx="4">
                  <c:v>2024 (Million)</c:v>
                </c:pt>
              </c:strCache>
            </c:strRef>
          </c:cat>
          <c:val>
            <c:numRef>
              <c:f>[BM12243_Excel.xlsx]CR!$C$7:$G$7</c:f>
              <c:numCache>
                <c:formatCode>0.00</c:formatCode>
                <c:ptCount val="5"/>
                <c:pt idx="0">
                  <c:v>1.8207509330956493</c:v>
                </c:pt>
                <c:pt idx="1">
                  <c:v>1.5551947303113194</c:v>
                </c:pt>
                <c:pt idx="2">
                  <c:v>1.5615804280441441</c:v>
                </c:pt>
                <c:pt idx="3">
                  <c:v>1.6062935934668752</c:v>
                </c:pt>
                <c:pt idx="4">
                  <c:v>1.5319506478574272</c:v>
                </c:pt>
              </c:numCache>
            </c:numRef>
          </c:val>
          <c:extLst>
            <c:ext xmlns:c16="http://schemas.microsoft.com/office/drawing/2014/chart" uri="{C3380CC4-5D6E-409C-BE32-E72D297353CC}">
              <c16:uniqueId val="{00000002-6A5A-4F13-AED0-D5B40478EFE9}"/>
            </c:ext>
          </c:extLst>
        </c:ser>
        <c:dLbls>
          <c:dLblPos val="outEnd"/>
          <c:showLegendKey val="0"/>
          <c:showVal val="1"/>
          <c:showCatName val="0"/>
          <c:showSerName val="0"/>
          <c:showPercent val="0"/>
          <c:showBubbleSize val="0"/>
        </c:dLbls>
        <c:gapWidth val="219"/>
        <c:overlap val="-27"/>
        <c:axId val="264564895"/>
        <c:axId val="264568223"/>
      </c:barChart>
      <c:catAx>
        <c:axId val="2645648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68223"/>
        <c:crosses val="autoZero"/>
        <c:auto val="1"/>
        <c:lblAlgn val="ctr"/>
        <c:lblOffset val="100"/>
        <c:noMultiLvlLbl val="0"/>
      </c:catAx>
      <c:valAx>
        <c:axId val="26456822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648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Quick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[BM12243_Excel.xlsx]QR!$B$5</c:f>
              <c:strCache>
                <c:ptCount val="1"/>
                <c:pt idx="0">
                  <c:v>Current asset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[BM12243_Excel.xlsx]QR!$C$4:$G$4</c:f>
              <c:strCache>
                <c:ptCount val="5"/>
                <c:pt idx="0">
                  <c:v>2020 (Million)</c:v>
                </c:pt>
                <c:pt idx="1">
                  <c:v>2021 (Million)</c:v>
                </c:pt>
                <c:pt idx="2">
                  <c:v>2022 (Million)</c:v>
                </c:pt>
                <c:pt idx="3">
                  <c:v>2023 (Million)</c:v>
                </c:pt>
                <c:pt idx="4">
                  <c:v>2024 (Million)</c:v>
                </c:pt>
              </c:strCache>
            </c:strRef>
          </c:cat>
          <c:val>
            <c:numRef>
              <c:f>[BM12243_Excel.xlsx]QR!$C$5:$G$5</c:f>
              <c:numCache>
                <c:formatCode>#,##0</c:formatCode>
                <c:ptCount val="5"/>
                <c:pt idx="0">
                  <c:v>326843</c:v>
                </c:pt>
                <c:pt idx="1">
                  <c:v>337146</c:v>
                </c:pt>
                <c:pt idx="2">
                  <c:v>338040</c:v>
                </c:pt>
                <c:pt idx="3">
                  <c:v>258851</c:v>
                </c:pt>
                <c:pt idx="4">
                  <c:v>242494</c:v>
                </c:pt>
              </c:numCache>
            </c:numRef>
          </c:val>
          <c:extLst>
            <c:ext xmlns:c16="http://schemas.microsoft.com/office/drawing/2014/chart" uri="{C3380CC4-5D6E-409C-BE32-E72D297353CC}">
              <c16:uniqueId val="{00000000-D4C2-4AA0-8DE0-980822111005}"/>
            </c:ext>
          </c:extLst>
        </c:ser>
        <c:ser>
          <c:idx val="1"/>
          <c:order val="1"/>
          <c:tx>
            <c:strRef>
              <c:f>[BM12243_Excel.xlsx]QR!$B$6</c:f>
              <c:strCache>
                <c:ptCount val="1"/>
                <c:pt idx="0">
                  <c:v>Current liability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[BM12243_Excel.xlsx]QR!$C$4:$G$4</c:f>
              <c:strCache>
                <c:ptCount val="5"/>
                <c:pt idx="0">
                  <c:v>2020 (Million)</c:v>
                </c:pt>
                <c:pt idx="1">
                  <c:v>2021 (Million)</c:v>
                </c:pt>
                <c:pt idx="2">
                  <c:v>2022 (Million)</c:v>
                </c:pt>
                <c:pt idx="3">
                  <c:v>2023 (Million)</c:v>
                </c:pt>
                <c:pt idx="4">
                  <c:v>2024 (Million)</c:v>
                </c:pt>
              </c:strCache>
            </c:strRef>
          </c:cat>
          <c:val>
            <c:numRef>
              <c:f>[BM12243_Excel.xlsx]QR!$C$6:$G$6</c:f>
              <c:numCache>
                <c:formatCode>#,##0</c:formatCode>
                <c:ptCount val="5"/>
                <c:pt idx="0">
                  <c:v>179510</c:v>
                </c:pt>
                <c:pt idx="1">
                  <c:v>216787</c:v>
                </c:pt>
                <c:pt idx="2">
                  <c:v>216473</c:v>
                </c:pt>
                <c:pt idx="3">
                  <c:v>161148</c:v>
                </c:pt>
                <c:pt idx="4">
                  <c:v>158291</c:v>
                </c:pt>
              </c:numCache>
            </c:numRef>
          </c:val>
          <c:extLst>
            <c:ext xmlns:c16="http://schemas.microsoft.com/office/drawing/2014/chart" uri="{C3380CC4-5D6E-409C-BE32-E72D297353CC}">
              <c16:uniqueId val="{00000001-D4C2-4AA0-8DE0-980822111005}"/>
            </c:ext>
          </c:extLst>
        </c:ser>
        <c:ser>
          <c:idx val="2"/>
          <c:order val="2"/>
          <c:tx>
            <c:strRef>
              <c:f>[BM12243_Excel.xlsx]QR!$B$7</c:f>
              <c:strCache>
                <c:ptCount val="1"/>
                <c:pt idx="0">
                  <c:v>Inventory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[BM12243_Excel.xlsx]QR!$C$4:$G$4</c:f>
              <c:strCache>
                <c:ptCount val="5"/>
                <c:pt idx="0">
                  <c:v>2020 (Million)</c:v>
                </c:pt>
                <c:pt idx="1">
                  <c:v>2021 (Million)</c:v>
                </c:pt>
                <c:pt idx="2">
                  <c:v>2022 (Million)</c:v>
                </c:pt>
                <c:pt idx="3">
                  <c:v>2023 (Million)</c:v>
                </c:pt>
                <c:pt idx="4">
                  <c:v>2024 (Million)</c:v>
                </c:pt>
              </c:strCache>
            </c:strRef>
          </c:cat>
          <c:val>
            <c:numRef>
              <c:f>[BM12243_Excel.xlsx]QR!$C$7:$G$7</c:f>
              <c:numCache>
                <c:formatCode>0</c:formatCode>
                <c:ptCount val="5"/>
                <c:pt idx="0">
                  <c:v>120430</c:v>
                </c:pt>
                <c:pt idx="1">
                  <c:v>134469</c:v>
                </c:pt>
                <c:pt idx="2">
                  <c:v>140181</c:v>
                </c:pt>
                <c:pt idx="3">
                  <c:v>88273</c:v>
                </c:pt>
                <c:pt idx="4">
                  <c:v>79355</c:v>
                </c:pt>
              </c:numCache>
            </c:numRef>
          </c:val>
          <c:extLst>
            <c:ext xmlns:c16="http://schemas.microsoft.com/office/drawing/2014/chart" uri="{C3380CC4-5D6E-409C-BE32-E72D297353CC}">
              <c16:uniqueId val="{00000002-D4C2-4AA0-8DE0-980822111005}"/>
            </c:ext>
          </c:extLst>
        </c:ser>
        <c:ser>
          <c:idx val="3"/>
          <c:order val="3"/>
          <c:tx>
            <c:strRef>
              <c:f>[BM12243_Excel.xlsx]QR!$B$8</c:f>
              <c:strCache>
                <c:ptCount val="1"/>
                <c:pt idx="0">
                  <c:v>Quick ratio = (Current assets - Inventory) / Current Liabilities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[BM12243_Excel.xlsx]QR!$C$4:$G$4</c:f>
              <c:strCache>
                <c:ptCount val="5"/>
                <c:pt idx="0">
                  <c:v>2020 (Million)</c:v>
                </c:pt>
                <c:pt idx="1">
                  <c:v>2021 (Million)</c:v>
                </c:pt>
                <c:pt idx="2">
                  <c:v>2022 (Million)</c:v>
                </c:pt>
                <c:pt idx="3">
                  <c:v>2023 (Million)</c:v>
                </c:pt>
                <c:pt idx="4">
                  <c:v>2024 (Million)</c:v>
                </c:pt>
              </c:strCache>
            </c:strRef>
          </c:cat>
          <c:val>
            <c:numRef>
              <c:f>[BM12243_Excel.xlsx]QR!$C$8:$G$8</c:f>
              <c:numCache>
                <c:formatCode>0.00</c:formatCode>
                <c:ptCount val="5"/>
                <c:pt idx="0">
                  <c:v>1.1498690880730877</c:v>
                </c:pt>
                <c:pt idx="1">
                  <c:v>0.93491307135575474</c:v>
                </c:pt>
                <c:pt idx="2">
                  <c:v>0.9140123710578224</c:v>
                </c:pt>
                <c:pt idx="3">
                  <c:v>1.0585176359619728</c:v>
                </c:pt>
                <c:pt idx="4">
                  <c:v>1.0306271360974408</c:v>
                </c:pt>
              </c:numCache>
            </c:numRef>
          </c:val>
          <c:extLst>
            <c:ext xmlns:c16="http://schemas.microsoft.com/office/drawing/2014/chart" uri="{C3380CC4-5D6E-409C-BE32-E72D297353CC}">
              <c16:uniqueId val="{00000003-D4C2-4AA0-8DE0-980822111005}"/>
            </c:ext>
          </c:extLst>
        </c:ser>
        <c:dLbls>
          <c:dLblPos val="outEnd"/>
          <c:showLegendKey val="0"/>
          <c:showVal val="1"/>
          <c:showCatName val="0"/>
          <c:showSerName val="0"/>
          <c:showPercent val="0"/>
          <c:showBubbleSize val="0"/>
        </c:dLbls>
        <c:gapWidth val="219"/>
        <c:overlap val="-27"/>
        <c:axId val="264556991"/>
        <c:axId val="264560319"/>
      </c:barChart>
      <c:catAx>
        <c:axId val="2645569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60319"/>
        <c:crosses val="autoZero"/>
        <c:auto val="1"/>
        <c:lblAlgn val="ctr"/>
        <c:lblOffset val="100"/>
        <c:noMultiLvlLbl val="0"/>
      </c:catAx>
      <c:valAx>
        <c:axId val="2645603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569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Inventory Turnover</a:t>
            </a:r>
            <a:r>
              <a:rPr lang="en-IN" baseline="0"/>
              <a:t> Ratio</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bar"/>
        <c:grouping val="clustered"/>
        <c:varyColors val="0"/>
        <c:ser>
          <c:idx val="0"/>
          <c:order val="0"/>
          <c:tx>
            <c:strRef>
              <c:f>[BM12243_Excel.xlsx]ITR!$B$5</c:f>
              <c:strCache>
                <c:ptCount val="1"/>
                <c:pt idx="0">
                  <c:v>Cost of sales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[BM12243_Excel.xlsx]ITR!$C$4:$G$4</c:f>
              <c:strCache>
                <c:ptCount val="5"/>
                <c:pt idx="0">
                  <c:v>2020 (Million)</c:v>
                </c:pt>
                <c:pt idx="1">
                  <c:v>2021 (Million)</c:v>
                </c:pt>
                <c:pt idx="2">
                  <c:v>2022 (Million)</c:v>
                </c:pt>
                <c:pt idx="3">
                  <c:v>2023 (Million)</c:v>
                </c:pt>
                <c:pt idx="4">
                  <c:v>2024 (Million)</c:v>
                </c:pt>
              </c:strCache>
            </c:strRef>
          </c:cat>
          <c:val>
            <c:numRef>
              <c:f>[BM12243_Excel.xlsx]ITR!$C$5:$G$5</c:f>
              <c:numCache>
                <c:formatCode>#,##0</c:formatCode>
                <c:ptCount val="5"/>
                <c:pt idx="0">
                  <c:v>438424</c:v>
                </c:pt>
                <c:pt idx="1">
                  <c:v>428586</c:v>
                </c:pt>
                <c:pt idx="2">
                  <c:v>390459</c:v>
                </c:pt>
                <c:pt idx="3">
                  <c:v>322897</c:v>
                </c:pt>
                <c:pt idx="4">
                  <c:v>280885</c:v>
                </c:pt>
              </c:numCache>
            </c:numRef>
          </c:val>
          <c:extLst>
            <c:ext xmlns:c16="http://schemas.microsoft.com/office/drawing/2014/chart" uri="{C3380CC4-5D6E-409C-BE32-E72D297353CC}">
              <c16:uniqueId val="{00000000-72A7-44F8-BE73-40ACCD596322}"/>
            </c:ext>
          </c:extLst>
        </c:ser>
        <c:ser>
          <c:idx val="1"/>
          <c:order val="1"/>
          <c:tx>
            <c:strRef>
              <c:f>[BM12243_Excel.xlsx]ITR!$B$6</c:f>
              <c:strCache>
                <c:ptCount val="1"/>
                <c:pt idx="0">
                  <c:v>Inventory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[BM12243_Excel.xlsx]ITR!$C$4:$G$4</c:f>
              <c:strCache>
                <c:ptCount val="5"/>
                <c:pt idx="0">
                  <c:v>2020 (Million)</c:v>
                </c:pt>
                <c:pt idx="1">
                  <c:v>2021 (Million)</c:v>
                </c:pt>
                <c:pt idx="2">
                  <c:v>2022 (Million)</c:v>
                </c:pt>
                <c:pt idx="3">
                  <c:v>2023 (Million)</c:v>
                </c:pt>
                <c:pt idx="4">
                  <c:v>2024 (Million)</c:v>
                </c:pt>
              </c:strCache>
            </c:strRef>
          </c:cat>
          <c:val>
            <c:numRef>
              <c:f>[BM12243_Excel.xlsx]ITR!$C$6:$G$6</c:f>
              <c:numCache>
                <c:formatCode>0</c:formatCode>
                <c:ptCount val="5"/>
                <c:pt idx="0">
                  <c:v>120430</c:v>
                </c:pt>
                <c:pt idx="1">
                  <c:v>134469</c:v>
                </c:pt>
                <c:pt idx="2">
                  <c:v>140181</c:v>
                </c:pt>
                <c:pt idx="3">
                  <c:v>88273</c:v>
                </c:pt>
                <c:pt idx="4">
                  <c:v>79355</c:v>
                </c:pt>
              </c:numCache>
            </c:numRef>
          </c:val>
          <c:extLst>
            <c:ext xmlns:c16="http://schemas.microsoft.com/office/drawing/2014/chart" uri="{C3380CC4-5D6E-409C-BE32-E72D297353CC}">
              <c16:uniqueId val="{00000001-72A7-44F8-BE73-40ACCD596322}"/>
            </c:ext>
          </c:extLst>
        </c:ser>
        <c:ser>
          <c:idx val="2"/>
          <c:order val="2"/>
          <c:tx>
            <c:strRef>
              <c:f>[BM12243_Excel.xlsx]ITR!$B$7</c:f>
              <c:strCache>
                <c:ptCount val="1"/>
                <c:pt idx="0">
                  <c:v>Inventory turnover ratio = Cost of sales / Inventory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[BM12243_Excel.xlsx]ITR!$C$4:$G$4</c:f>
              <c:strCache>
                <c:ptCount val="5"/>
                <c:pt idx="0">
                  <c:v>2020 (Million)</c:v>
                </c:pt>
                <c:pt idx="1">
                  <c:v>2021 (Million)</c:v>
                </c:pt>
                <c:pt idx="2">
                  <c:v>2022 (Million)</c:v>
                </c:pt>
                <c:pt idx="3">
                  <c:v>2023 (Million)</c:v>
                </c:pt>
                <c:pt idx="4">
                  <c:v>2024 (Million)</c:v>
                </c:pt>
              </c:strCache>
            </c:strRef>
          </c:cat>
          <c:val>
            <c:numRef>
              <c:f>[BM12243_Excel.xlsx]ITR!$C$7:$G$7</c:f>
              <c:numCache>
                <c:formatCode>0.00</c:formatCode>
                <c:ptCount val="5"/>
                <c:pt idx="0">
                  <c:v>3.6404882504359377</c:v>
                </c:pt>
                <c:pt idx="1">
                  <c:v>3.1872476184101912</c:v>
                </c:pt>
                <c:pt idx="2">
                  <c:v>2.7853917435315769</c:v>
                </c:pt>
                <c:pt idx="3">
                  <c:v>3.6579361752744326</c:v>
                </c:pt>
                <c:pt idx="4">
                  <c:v>3.5396005292672168</c:v>
                </c:pt>
              </c:numCache>
            </c:numRef>
          </c:val>
          <c:extLst>
            <c:ext xmlns:c16="http://schemas.microsoft.com/office/drawing/2014/chart" uri="{C3380CC4-5D6E-409C-BE32-E72D297353CC}">
              <c16:uniqueId val="{00000002-72A7-44F8-BE73-40ACCD596322}"/>
            </c:ext>
          </c:extLst>
        </c:ser>
        <c:dLbls>
          <c:dLblPos val="outEnd"/>
          <c:showLegendKey val="0"/>
          <c:showVal val="1"/>
          <c:showCatName val="0"/>
          <c:showSerName val="0"/>
          <c:showPercent val="0"/>
          <c:showBubbleSize val="0"/>
        </c:dLbls>
        <c:gapWidth val="182"/>
        <c:axId val="341079951"/>
        <c:axId val="341080783"/>
      </c:barChart>
      <c:catAx>
        <c:axId val="3410799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080783"/>
        <c:crosses val="autoZero"/>
        <c:auto val="1"/>
        <c:lblAlgn val="ctr"/>
        <c:lblOffset val="100"/>
        <c:noMultiLvlLbl val="0"/>
      </c:catAx>
      <c:valAx>
        <c:axId val="341080783"/>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079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Receivable Turnover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[BM12243_Excel.xlsx]RTR!$B$5</c:f>
              <c:strCache>
                <c:ptCount val="1"/>
                <c:pt idx="0">
                  <c:v>Net sales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[BM12243_Excel.xlsx]RTR!$C$4:$G$4</c:f>
              <c:strCache>
                <c:ptCount val="5"/>
                <c:pt idx="0">
                  <c:v>2020 (Million)</c:v>
                </c:pt>
                <c:pt idx="1">
                  <c:v>2021 (Million)</c:v>
                </c:pt>
                <c:pt idx="2">
                  <c:v>2022 (Million)</c:v>
                </c:pt>
                <c:pt idx="3">
                  <c:v>2023 (Million)</c:v>
                </c:pt>
                <c:pt idx="4">
                  <c:v>2024 (Million)</c:v>
                </c:pt>
              </c:strCache>
            </c:strRef>
          </c:cat>
          <c:val>
            <c:numRef>
              <c:f>[BM12243_Excel.xlsx]RTR!$C$5:$G$5</c:f>
              <c:numCache>
                <c:formatCode>#,##0</c:formatCode>
                <c:ptCount val="5"/>
                <c:pt idx="0">
                  <c:v>614680</c:v>
                </c:pt>
                <c:pt idx="1">
                  <c:v>601602</c:v>
                </c:pt>
                <c:pt idx="2">
                  <c:v>542751</c:v>
                </c:pt>
                <c:pt idx="3">
                  <c:v>420457</c:v>
                </c:pt>
                <c:pt idx="4">
                  <c:v>394879</c:v>
                </c:pt>
              </c:numCache>
            </c:numRef>
          </c:val>
          <c:extLst>
            <c:ext xmlns:c16="http://schemas.microsoft.com/office/drawing/2014/chart" uri="{C3380CC4-5D6E-409C-BE32-E72D297353CC}">
              <c16:uniqueId val="{00000000-8DE8-4949-BECF-3858AED4DB47}"/>
            </c:ext>
          </c:extLst>
        </c:ser>
        <c:ser>
          <c:idx val="1"/>
          <c:order val="1"/>
          <c:tx>
            <c:strRef>
              <c:f>[BM12243_Excel.xlsx]RTR!$B$6</c:f>
              <c:strCache>
                <c:ptCount val="1"/>
                <c:pt idx="0">
                  <c:v>Account receivable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[BM12243_Excel.xlsx]RTR!$C$4:$G$4</c:f>
              <c:strCache>
                <c:ptCount val="5"/>
                <c:pt idx="0">
                  <c:v>2020 (Million)</c:v>
                </c:pt>
                <c:pt idx="1">
                  <c:v>2021 (Million)</c:v>
                </c:pt>
                <c:pt idx="2">
                  <c:v>2022 (Million)</c:v>
                </c:pt>
                <c:pt idx="3">
                  <c:v>2023 (Million)</c:v>
                </c:pt>
                <c:pt idx="4">
                  <c:v>2024 (Million)</c:v>
                </c:pt>
              </c:strCache>
            </c:strRef>
          </c:cat>
          <c:val>
            <c:numRef>
              <c:f>[BM12243_Excel.xlsx]RTR!$C$6:$G$6</c:f>
              <c:numCache>
                <c:formatCode>0</c:formatCode>
                <c:ptCount val="5"/>
                <c:pt idx="0">
                  <c:v>129433</c:v>
                </c:pt>
                <c:pt idx="1">
                  <c:v>129215</c:v>
                </c:pt>
                <c:pt idx="2">
                  <c:v>112346</c:v>
                </c:pt>
                <c:pt idx="3">
                  <c:v>112596</c:v>
                </c:pt>
                <c:pt idx="4">
                  <c:v>114182</c:v>
                </c:pt>
              </c:numCache>
            </c:numRef>
          </c:val>
          <c:extLst>
            <c:ext xmlns:c16="http://schemas.microsoft.com/office/drawing/2014/chart" uri="{C3380CC4-5D6E-409C-BE32-E72D297353CC}">
              <c16:uniqueId val="{00000001-8DE8-4949-BECF-3858AED4DB47}"/>
            </c:ext>
          </c:extLst>
        </c:ser>
        <c:ser>
          <c:idx val="2"/>
          <c:order val="2"/>
          <c:tx>
            <c:strRef>
              <c:f>[BM12243_Excel.xlsx]RTR!$B$7</c:f>
              <c:strCache>
                <c:ptCount val="1"/>
                <c:pt idx="0">
                  <c:v>Receivable turnover ratio = Net sales / Account receivable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[BM12243_Excel.xlsx]RTR!$C$4:$G$4</c:f>
              <c:strCache>
                <c:ptCount val="5"/>
                <c:pt idx="0">
                  <c:v>2020 (Million)</c:v>
                </c:pt>
                <c:pt idx="1">
                  <c:v>2021 (Million)</c:v>
                </c:pt>
                <c:pt idx="2">
                  <c:v>2022 (Million)</c:v>
                </c:pt>
                <c:pt idx="3">
                  <c:v>2023 (Million)</c:v>
                </c:pt>
                <c:pt idx="4">
                  <c:v>2024 (Million)</c:v>
                </c:pt>
              </c:strCache>
            </c:strRef>
          </c:cat>
          <c:val>
            <c:numRef>
              <c:f>[BM12243_Excel.xlsx]RTR!$C$7:$G$7</c:f>
              <c:numCache>
                <c:formatCode>0.00</c:formatCode>
                <c:ptCount val="5"/>
                <c:pt idx="0">
                  <c:v>4.749020728871308</c:v>
                </c:pt>
                <c:pt idx="1">
                  <c:v>4.6558216925279572</c:v>
                </c:pt>
                <c:pt idx="2">
                  <c:v>4.8310665266231103</c:v>
                </c:pt>
                <c:pt idx="3">
                  <c:v>3.7342090305161819</c:v>
                </c:pt>
                <c:pt idx="4">
                  <c:v>3.458329684188401</c:v>
                </c:pt>
              </c:numCache>
            </c:numRef>
          </c:val>
          <c:extLst>
            <c:ext xmlns:c16="http://schemas.microsoft.com/office/drawing/2014/chart" uri="{C3380CC4-5D6E-409C-BE32-E72D297353CC}">
              <c16:uniqueId val="{00000002-8DE8-4949-BECF-3858AED4DB47}"/>
            </c:ext>
          </c:extLst>
        </c:ser>
        <c:dLbls>
          <c:dLblPos val="outEnd"/>
          <c:showLegendKey val="0"/>
          <c:showVal val="1"/>
          <c:showCatName val="0"/>
          <c:showSerName val="0"/>
          <c:showPercent val="0"/>
          <c:showBubbleSize val="0"/>
        </c:dLbls>
        <c:gapWidth val="219"/>
        <c:overlap val="-27"/>
        <c:axId val="341079535"/>
        <c:axId val="341077455"/>
      </c:barChart>
      <c:catAx>
        <c:axId val="341079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077455"/>
        <c:crosses val="autoZero"/>
        <c:auto val="1"/>
        <c:lblAlgn val="ctr"/>
        <c:lblOffset val="100"/>
        <c:noMultiLvlLbl val="0"/>
      </c:catAx>
      <c:valAx>
        <c:axId val="34107745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079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Debt to equity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[BM12243_Excel.xlsx]DTE!$B$5</c:f>
              <c:strCache>
                <c:ptCount val="1"/>
                <c:pt idx="0">
                  <c:v>Total Liabilities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[BM12243_Excel.xlsx]DTE!$C$4:$G$4</c:f>
              <c:strCache>
                <c:ptCount val="5"/>
                <c:pt idx="0">
                  <c:v>2020 (Million)</c:v>
                </c:pt>
                <c:pt idx="1">
                  <c:v>2021 (Million)</c:v>
                </c:pt>
                <c:pt idx="2">
                  <c:v>2022 (Million)</c:v>
                </c:pt>
                <c:pt idx="3">
                  <c:v>2023 (Million)</c:v>
                </c:pt>
                <c:pt idx="4">
                  <c:v>2024 (Million)</c:v>
                </c:pt>
              </c:strCache>
            </c:strRef>
          </c:cat>
          <c:val>
            <c:numRef>
              <c:f>[BM12243_Excel.xlsx]DTE!$C$5:$G$5</c:f>
              <c:numCache>
                <c:formatCode>#,##0</c:formatCode>
                <c:ptCount val="5"/>
                <c:pt idx="0">
                  <c:v>196989</c:v>
                </c:pt>
                <c:pt idx="1">
                  <c:v>234399</c:v>
                </c:pt>
                <c:pt idx="2">
                  <c:v>235757</c:v>
                </c:pt>
                <c:pt idx="3">
                  <c:v>176952</c:v>
                </c:pt>
                <c:pt idx="4">
                  <c:v>170249</c:v>
                </c:pt>
              </c:numCache>
            </c:numRef>
          </c:val>
          <c:extLst>
            <c:ext xmlns:c16="http://schemas.microsoft.com/office/drawing/2014/chart" uri="{C3380CC4-5D6E-409C-BE32-E72D297353CC}">
              <c16:uniqueId val="{00000000-32FF-48F7-85B5-F9281CFA9950}"/>
            </c:ext>
          </c:extLst>
        </c:ser>
        <c:ser>
          <c:idx val="1"/>
          <c:order val="1"/>
          <c:tx>
            <c:strRef>
              <c:f>[BM12243_Excel.xlsx]DTE!$B$6</c:f>
              <c:strCache>
                <c:ptCount val="1"/>
                <c:pt idx="0">
                  <c:v>Shareholders Equity</c:v>
                </c:pt>
              </c:strCache>
            </c:strRef>
          </c:tx>
          <c:spPr>
            <a:solidFill>
              <a:schemeClr val="accent2"/>
            </a:solidFill>
            <a:ln>
              <a:noFill/>
            </a:ln>
            <a:effectLst/>
          </c:spPr>
          <c:invertIfNegative val="0"/>
          <c:dLbls>
            <c:dLbl>
              <c:idx val="3"/>
              <c:layout>
                <c:manualLayout>
                  <c:x val="3.1322123310253872E-2"/>
                  <c:y val="-8.100445524503847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2FF-48F7-85B5-F9281CFA995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[BM12243_Excel.xlsx]DTE!$C$4:$G$4</c:f>
              <c:strCache>
                <c:ptCount val="5"/>
                <c:pt idx="0">
                  <c:v>2020 (Million)</c:v>
                </c:pt>
                <c:pt idx="1">
                  <c:v>2021 (Million)</c:v>
                </c:pt>
                <c:pt idx="2">
                  <c:v>2022 (Million)</c:v>
                </c:pt>
                <c:pt idx="3">
                  <c:v>2023 (Million)</c:v>
                </c:pt>
                <c:pt idx="4">
                  <c:v>2024 (Million)</c:v>
                </c:pt>
              </c:strCache>
            </c:strRef>
          </c:cat>
          <c:val>
            <c:numRef>
              <c:f>[BM12243_Excel.xlsx]DTE!$C$6:$G$6</c:f>
              <c:numCache>
                <c:formatCode>0</c:formatCode>
                <c:ptCount val="5"/>
                <c:pt idx="0">
                  <c:v>313301</c:v>
                </c:pt>
                <c:pt idx="1">
                  <c:v>275949</c:v>
                </c:pt>
                <c:pt idx="2">
                  <c:v>268406</c:v>
                </c:pt>
                <c:pt idx="3">
                  <c:v>178920</c:v>
                </c:pt>
                <c:pt idx="4">
                  <c:v>153105</c:v>
                </c:pt>
              </c:numCache>
            </c:numRef>
          </c:val>
          <c:extLst>
            <c:ext xmlns:c16="http://schemas.microsoft.com/office/drawing/2014/chart" uri="{C3380CC4-5D6E-409C-BE32-E72D297353CC}">
              <c16:uniqueId val="{00000002-32FF-48F7-85B5-F9281CFA9950}"/>
            </c:ext>
          </c:extLst>
        </c:ser>
        <c:ser>
          <c:idx val="2"/>
          <c:order val="2"/>
          <c:tx>
            <c:strRef>
              <c:f>[BM12243_Excel.xlsx]DTE!$B$7</c:f>
              <c:strCache>
                <c:ptCount val="1"/>
                <c:pt idx="0">
                  <c:v>Debt to equity ratio = Total Liabilities / Shareholders Equity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[BM12243_Excel.xlsx]DTE!$C$4:$G$4</c:f>
              <c:strCache>
                <c:ptCount val="5"/>
                <c:pt idx="0">
                  <c:v>2020 (Million)</c:v>
                </c:pt>
                <c:pt idx="1">
                  <c:v>2021 (Million)</c:v>
                </c:pt>
                <c:pt idx="2">
                  <c:v>2022 (Million)</c:v>
                </c:pt>
                <c:pt idx="3">
                  <c:v>2023 (Million)</c:v>
                </c:pt>
                <c:pt idx="4">
                  <c:v>2024 (Million)</c:v>
                </c:pt>
              </c:strCache>
            </c:strRef>
          </c:cat>
          <c:val>
            <c:numRef>
              <c:f>[BM12243_Excel.xlsx]DTE!$C$7:$G$7</c:f>
              <c:numCache>
                <c:formatCode>0.00</c:formatCode>
                <c:ptCount val="5"/>
                <c:pt idx="0">
                  <c:v>0.62875317984941004</c:v>
                </c:pt>
                <c:pt idx="1">
                  <c:v>0.84942869878129657</c:v>
                </c:pt>
                <c:pt idx="2">
                  <c:v>0.87835964918817011</c:v>
                </c:pt>
                <c:pt idx="3">
                  <c:v>0.98900067069081155</c:v>
                </c:pt>
                <c:pt idx="4">
                  <c:v>1.1119754416903431</c:v>
                </c:pt>
              </c:numCache>
            </c:numRef>
          </c:val>
          <c:extLst>
            <c:ext xmlns:c16="http://schemas.microsoft.com/office/drawing/2014/chart" uri="{C3380CC4-5D6E-409C-BE32-E72D297353CC}">
              <c16:uniqueId val="{00000003-32FF-48F7-85B5-F9281CFA9950}"/>
            </c:ext>
          </c:extLst>
        </c:ser>
        <c:dLbls>
          <c:dLblPos val="outEnd"/>
          <c:showLegendKey val="0"/>
          <c:showVal val="1"/>
          <c:showCatName val="0"/>
          <c:showSerName val="0"/>
          <c:showPercent val="0"/>
          <c:showBubbleSize val="0"/>
        </c:dLbls>
        <c:gapWidth val="219"/>
        <c:overlap val="-27"/>
        <c:axId val="264558655"/>
        <c:axId val="264562399"/>
      </c:barChart>
      <c:catAx>
        <c:axId val="264558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62399"/>
        <c:crosses val="autoZero"/>
        <c:auto val="1"/>
        <c:lblAlgn val="ctr"/>
        <c:lblOffset val="100"/>
        <c:noMultiLvlLbl val="0"/>
      </c:catAx>
      <c:valAx>
        <c:axId val="26456239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558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Interest Coverage Ratio</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[BM12243_Excel.xlsx]ICR!$B$5</c:f>
              <c:strCache>
                <c:ptCount val="1"/>
                <c:pt idx="0">
                  <c:v>Operating income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[BM12243_Excel.xlsx]ICR!$C$4:$G$4</c:f>
              <c:strCache>
                <c:ptCount val="5"/>
                <c:pt idx="0">
                  <c:v>2020 (Million)</c:v>
                </c:pt>
                <c:pt idx="1">
                  <c:v>2021 (Million)</c:v>
                </c:pt>
                <c:pt idx="2">
                  <c:v>2022 (Million)</c:v>
                </c:pt>
                <c:pt idx="3">
                  <c:v>2023 (Million)</c:v>
                </c:pt>
                <c:pt idx="4">
                  <c:v>2024 (Million)</c:v>
                </c:pt>
              </c:strCache>
            </c:strRef>
          </c:cat>
          <c:val>
            <c:numRef>
              <c:f>[BM12243_Excel.xlsx]ICR!$C$5:$G$5</c:f>
              <c:numCache>
                <c:formatCode>#,##0</c:formatCode>
                <c:ptCount val="5"/>
                <c:pt idx="0">
                  <c:v>37267</c:v>
                </c:pt>
                <c:pt idx="1">
                  <c:v>23253</c:v>
                </c:pt>
                <c:pt idx="2">
                  <c:v>14548</c:v>
                </c:pt>
                <c:pt idx="3">
                  <c:v>-85301</c:v>
                </c:pt>
                <c:pt idx="4">
                  <c:v>-15297</c:v>
                </c:pt>
              </c:numCache>
            </c:numRef>
          </c:val>
          <c:extLst>
            <c:ext xmlns:c16="http://schemas.microsoft.com/office/drawing/2014/chart" uri="{C3380CC4-5D6E-409C-BE32-E72D297353CC}">
              <c16:uniqueId val="{00000000-34E2-42AA-AAFD-80125514BFCF}"/>
            </c:ext>
          </c:extLst>
        </c:ser>
        <c:ser>
          <c:idx val="1"/>
          <c:order val="1"/>
          <c:tx>
            <c:strRef>
              <c:f>[BM12243_Excel.xlsx]ICR!$B$6</c:f>
              <c:strCache>
                <c:ptCount val="1"/>
                <c:pt idx="0">
                  <c:v>Interest expense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[BM12243_Excel.xlsx]ICR!$C$4:$G$4</c:f>
              <c:strCache>
                <c:ptCount val="5"/>
                <c:pt idx="0">
                  <c:v>2020 (Million)</c:v>
                </c:pt>
                <c:pt idx="1">
                  <c:v>2021 (Million)</c:v>
                </c:pt>
                <c:pt idx="2">
                  <c:v>2022 (Million)</c:v>
                </c:pt>
                <c:pt idx="3">
                  <c:v>2023 (Million)</c:v>
                </c:pt>
                <c:pt idx="4">
                  <c:v>2024 (Million)</c:v>
                </c:pt>
              </c:strCache>
            </c:strRef>
          </c:cat>
          <c:val>
            <c:numRef>
              <c:f>[BM12243_Excel.xlsx]ICR!$C$6:$G$6</c:f>
              <c:numCache>
                <c:formatCode>0</c:formatCode>
                <c:ptCount val="5"/>
                <c:pt idx="0">
                  <c:v>1422</c:v>
                </c:pt>
                <c:pt idx="1">
                  <c:v>566</c:v>
                </c:pt>
                <c:pt idx="2">
                  <c:v>2200</c:v>
                </c:pt>
                <c:pt idx="3">
                  <c:v>4332</c:v>
                </c:pt>
                <c:pt idx="4">
                  <c:v>3361</c:v>
                </c:pt>
              </c:numCache>
            </c:numRef>
          </c:val>
          <c:extLst>
            <c:ext xmlns:c16="http://schemas.microsoft.com/office/drawing/2014/chart" uri="{C3380CC4-5D6E-409C-BE32-E72D297353CC}">
              <c16:uniqueId val="{00000001-34E2-42AA-AAFD-80125514BFCF}"/>
            </c:ext>
          </c:extLst>
        </c:ser>
        <c:ser>
          <c:idx val="2"/>
          <c:order val="2"/>
          <c:tx>
            <c:strRef>
              <c:f>[BM12243_Excel.xlsx]ICR!$B$7</c:f>
              <c:strCache>
                <c:ptCount val="1"/>
                <c:pt idx="0">
                  <c:v>Interest coverage ratio = Operating income / Interest expense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dLbl>
              <c:idx val="3"/>
              <c:layout>
                <c:manualLayout>
                  <c:x val="-1.5933715742512322E-3"/>
                  <c:y val="-7.423117709437956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4E2-42AA-AAFD-80125514BFCF}"/>
                </c:ext>
              </c:extLst>
            </c:dLbl>
            <c:dLbl>
              <c:idx val="4"/>
              <c:layout>
                <c:manualLayout>
                  <c:x val="7.9668578712554592E-3"/>
                  <c:y val="0.1060445387062566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4E2-42AA-AAFD-80125514BFC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[BM12243_Excel.xlsx]ICR!$C$4:$G$4</c:f>
              <c:strCache>
                <c:ptCount val="5"/>
                <c:pt idx="0">
                  <c:v>2020 (Million)</c:v>
                </c:pt>
                <c:pt idx="1">
                  <c:v>2021 (Million)</c:v>
                </c:pt>
                <c:pt idx="2">
                  <c:v>2022 (Million)</c:v>
                </c:pt>
                <c:pt idx="3">
                  <c:v>2023 (Million)</c:v>
                </c:pt>
                <c:pt idx="4">
                  <c:v>2024 (Million)</c:v>
                </c:pt>
              </c:strCache>
            </c:strRef>
          </c:cat>
          <c:val>
            <c:numRef>
              <c:f>[BM12243_Excel.xlsx]ICR!$C$7:$G$7</c:f>
              <c:numCache>
                <c:formatCode>0.00</c:formatCode>
                <c:ptCount val="5"/>
                <c:pt idx="0">
                  <c:v>26.20745428973277</c:v>
                </c:pt>
                <c:pt idx="1">
                  <c:v>41.083038869257948</c:v>
                </c:pt>
                <c:pt idx="2">
                  <c:v>6.6127272727272723</c:v>
                </c:pt>
                <c:pt idx="3">
                  <c:v>-19.690904893813482</c:v>
                </c:pt>
                <c:pt idx="4">
                  <c:v>-4.5513240107110979</c:v>
                </c:pt>
              </c:numCache>
            </c:numRef>
          </c:val>
          <c:extLst>
            <c:ext xmlns:c16="http://schemas.microsoft.com/office/drawing/2014/chart" uri="{C3380CC4-5D6E-409C-BE32-E72D297353CC}">
              <c16:uniqueId val="{00000004-34E2-42AA-AAFD-80125514BFCF}"/>
            </c:ext>
          </c:extLst>
        </c:ser>
        <c:dLbls>
          <c:dLblPos val="outEnd"/>
          <c:showLegendKey val="0"/>
          <c:showVal val="1"/>
          <c:showCatName val="0"/>
          <c:showSerName val="0"/>
          <c:showPercent val="0"/>
          <c:showBubbleSize val="0"/>
        </c:dLbls>
        <c:gapWidth val="100"/>
        <c:overlap val="-24"/>
        <c:axId val="339957583"/>
        <c:axId val="339960495"/>
      </c:barChart>
      <c:catAx>
        <c:axId val="33995758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9960495"/>
        <c:crosses val="autoZero"/>
        <c:auto val="1"/>
        <c:lblAlgn val="ctr"/>
        <c:lblOffset val="100"/>
        <c:noMultiLvlLbl val="0"/>
      </c:catAx>
      <c:valAx>
        <c:axId val="339960495"/>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9957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[BM12243_Excel.xlsx]EPS!$B$5</c:f>
              <c:strCache>
                <c:ptCount val="1"/>
                <c:pt idx="0">
                  <c:v>Earnings per share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[BM12243_Excel.xlsx]EPS!$C$4:$G$4</c:f>
              <c:strCache>
                <c:ptCount val="5"/>
                <c:pt idx="0">
                  <c:v>2020 (Million)</c:v>
                </c:pt>
                <c:pt idx="1">
                  <c:v>2021 (Million)</c:v>
                </c:pt>
                <c:pt idx="2">
                  <c:v>2022 (Million)</c:v>
                </c:pt>
                <c:pt idx="3">
                  <c:v>2023 (Million)</c:v>
                </c:pt>
                <c:pt idx="4">
                  <c:v>2024 (Million)</c:v>
                </c:pt>
              </c:strCache>
            </c:strRef>
          </c:cat>
          <c:val>
            <c:numRef>
              <c:f>[BM12243_Excel.xlsx]EPS!$C$5:$G$5</c:f>
              <c:numCache>
                <c:formatCode>0.00</c:formatCode>
                <c:ptCount val="5"/>
                <c:pt idx="0">
                  <c:v>2.78</c:v>
                </c:pt>
                <c:pt idx="1">
                  <c:v>0.39</c:v>
                </c:pt>
                <c:pt idx="2">
                  <c:v>0.03</c:v>
                </c:pt>
                <c:pt idx="3">
                  <c:v>-7.64</c:v>
                </c:pt>
                <c:pt idx="4">
                  <c:v>-1.85</c:v>
                </c:pt>
              </c:numCache>
            </c:numRef>
          </c:val>
          <c:extLst>
            <c:ext xmlns:c16="http://schemas.microsoft.com/office/drawing/2014/chart" uri="{C3380CC4-5D6E-409C-BE32-E72D297353CC}">
              <c16:uniqueId val="{00000000-84B3-4BD4-86B6-42419E8C81DC}"/>
            </c:ext>
          </c:extLst>
        </c:ser>
        <c:dLbls>
          <c:dLblPos val="outEnd"/>
          <c:showLegendKey val="0"/>
          <c:showVal val="1"/>
          <c:showCatName val="0"/>
          <c:showSerName val="0"/>
          <c:showPercent val="0"/>
          <c:showBubbleSize val="0"/>
        </c:dLbls>
        <c:gapWidth val="182"/>
        <c:axId val="339961743"/>
        <c:axId val="339964655"/>
      </c:barChart>
      <c:catAx>
        <c:axId val="3399617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964655"/>
        <c:crosses val="autoZero"/>
        <c:auto val="1"/>
        <c:lblAlgn val="ctr"/>
        <c:lblOffset val="100"/>
        <c:noMultiLvlLbl val="0"/>
      </c:catAx>
      <c:valAx>
        <c:axId val="339964655"/>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9617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Operating Cash Flow Margin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[BM12243_Excel.xlsx]OCFM!$B$5</c:f>
              <c:strCache>
                <c:ptCount val="1"/>
                <c:pt idx="0">
                  <c:v>Operating Cash Flow</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[BM12243_Excel.xlsx]OCFM!$C$4:$G$4</c:f>
              <c:strCache>
                <c:ptCount val="5"/>
                <c:pt idx="0">
                  <c:v>2020 (Million)</c:v>
                </c:pt>
                <c:pt idx="1">
                  <c:v>2021 (Million)</c:v>
                </c:pt>
                <c:pt idx="2">
                  <c:v>2022 (Million)</c:v>
                </c:pt>
                <c:pt idx="3">
                  <c:v>2023 (Million)</c:v>
                </c:pt>
                <c:pt idx="4">
                  <c:v>2024 (Million)</c:v>
                </c:pt>
              </c:strCache>
            </c:strRef>
          </c:cat>
          <c:val>
            <c:numRef>
              <c:f>[BM12243_Excel.xlsx]OCFM!$C$5:$G$5</c:f>
              <c:numCache>
                <c:formatCode>#,##0</c:formatCode>
                <c:ptCount val="5"/>
                <c:pt idx="0">
                  <c:v>73392</c:v>
                </c:pt>
                <c:pt idx="1">
                  <c:v>40283</c:v>
                </c:pt>
                <c:pt idx="2">
                  <c:v>10926</c:v>
                </c:pt>
                <c:pt idx="3">
                  <c:v>25190</c:v>
                </c:pt>
                <c:pt idx="4">
                  <c:v>14822</c:v>
                </c:pt>
              </c:numCache>
            </c:numRef>
          </c:val>
          <c:extLst>
            <c:ext xmlns:c16="http://schemas.microsoft.com/office/drawing/2014/chart" uri="{C3380CC4-5D6E-409C-BE32-E72D297353CC}">
              <c16:uniqueId val="{00000000-277D-4795-944B-CDB04F813538}"/>
            </c:ext>
          </c:extLst>
        </c:ser>
        <c:ser>
          <c:idx val="1"/>
          <c:order val="1"/>
          <c:tx>
            <c:strRef>
              <c:f>[BM12243_Excel.xlsx]OCFM!$B$6</c:f>
              <c:strCache>
                <c:ptCount val="1"/>
                <c:pt idx="0">
                  <c:v>Net sales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[BM12243_Excel.xlsx]OCFM!$C$4:$G$4</c:f>
              <c:strCache>
                <c:ptCount val="5"/>
                <c:pt idx="0">
                  <c:v>2020 (Million)</c:v>
                </c:pt>
                <c:pt idx="1">
                  <c:v>2021 (Million)</c:v>
                </c:pt>
                <c:pt idx="2">
                  <c:v>2022 (Million)</c:v>
                </c:pt>
                <c:pt idx="3">
                  <c:v>2023 (Million)</c:v>
                </c:pt>
                <c:pt idx="4">
                  <c:v>2024 (Million)</c:v>
                </c:pt>
              </c:strCache>
            </c:strRef>
          </c:cat>
          <c:val>
            <c:numRef>
              <c:f>[BM12243_Excel.xlsx]OCFM!$C$6:$G$6</c:f>
              <c:numCache>
                <c:formatCode>0</c:formatCode>
                <c:ptCount val="5"/>
                <c:pt idx="0">
                  <c:v>614680</c:v>
                </c:pt>
                <c:pt idx="1">
                  <c:v>601602</c:v>
                </c:pt>
                <c:pt idx="2">
                  <c:v>542751</c:v>
                </c:pt>
                <c:pt idx="3">
                  <c:v>420457</c:v>
                </c:pt>
                <c:pt idx="4">
                  <c:v>394879</c:v>
                </c:pt>
              </c:numCache>
            </c:numRef>
          </c:val>
          <c:extLst>
            <c:ext xmlns:c16="http://schemas.microsoft.com/office/drawing/2014/chart" uri="{C3380CC4-5D6E-409C-BE32-E72D297353CC}">
              <c16:uniqueId val="{00000001-277D-4795-944B-CDB04F813538}"/>
            </c:ext>
          </c:extLst>
        </c:ser>
        <c:ser>
          <c:idx val="2"/>
          <c:order val="2"/>
          <c:tx>
            <c:strRef>
              <c:f>[BM12243_Excel.xlsx]OCFM!$B$7</c:f>
              <c:strCache>
                <c:ptCount val="1"/>
                <c:pt idx="0">
                  <c:v>Operating Cash Flow Margin = (Operating Cash Flow /Net sales) * 100</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[BM12243_Excel.xlsx]OCFM!$C$4:$G$4</c:f>
              <c:strCache>
                <c:ptCount val="5"/>
                <c:pt idx="0">
                  <c:v>2020 (Million)</c:v>
                </c:pt>
                <c:pt idx="1">
                  <c:v>2021 (Million)</c:v>
                </c:pt>
                <c:pt idx="2">
                  <c:v>2022 (Million)</c:v>
                </c:pt>
                <c:pt idx="3">
                  <c:v>2023 (Million)</c:v>
                </c:pt>
                <c:pt idx="4">
                  <c:v>2024 (Million)</c:v>
                </c:pt>
              </c:strCache>
            </c:strRef>
          </c:cat>
          <c:val>
            <c:numRef>
              <c:f>[BM12243_Excel.xlsx]OCFM!$C$7:$G$7</c:f>
              <c:numCache>
                <c:formatCode>0.00</c:formatCode>
                <c:ptCount val="5"/>
                <c:pt idx="0">
                  <c:v>11.939871152469578</c:v>
                </c:pt>
                <c:pt idx="1">
                  <c:v>6.6959551331278817</c:v>
                </c:pt>
                <c:pt idx="2">
                  <c:v>2.0130778202159001</c:v>
                </c:pt>
                <c:pt idx="3">
                  <c:v>5.9911001600639304</c:v>
                </c:pt>
                <c:pt idx="4">
                  <c:v>3.7535548864335659</c:v>
                </c:pt>
              </c:numCache>
            </c:numRef>
          </c:val>
          <c:extLst>
            <c:ext xmlns:c16="http://schemas.microsoft.com/office/drawing/2014/chart" uri="{C3380CC4-5D6E-409C-BE32-E72D297353CC}">
              <c16:uniqueId val="{00000002-277D-4795-944B-CDB04F813538}"/>
            </c:ext>
          </c:extLst>
        </c:ser>
        <c:dLbls>
          <c:dLblPos val="outEnd"/>
          <c:showLegendKey val="0"/>
          <c:showVal val="1"/>
          <c:showCatName val="0"/>
          <c:showSerName val="0"/>
          <c:showPercent val="0"/>
          <c:showBubbleSize val="0"/>
        </c:dLbls>
        <c:gapWidth val="219"/>
        <c:overlap val="-27"/>
        <c:axId val="182891247"/>
        <c:axId val="182882511"/>
      </c:barChart>
      <c:catAx>
        <c:axId val="1828912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882511"/>
        <c:crosses val="autoZero"/>
        <c:auto val="1"/>
        <c:lblAlgn val="ctr"/>
        <c:lblOffset val="100"/>
        <c:noMultiLvlLbl val="0"/>
      </c:catAx>
      <c:valAx>
        <c:axId val="1828825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8912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IN"/>
              <a:t>Free Cash flow margin</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[BM12243_Excel.xlsx]FCFM!$B$5</c:f>
              <c:strCache>
                <c:ptCount val="1"/>
                <c:pt idx="0">
                  <c:v>Operating Cash Flow</c:v>
                </c:pt>
              </c:strCache>
            </c:strRef>
          </c:tx>
          <c:spPr>
            <a:solidFill>
              <a:schemeClr val="accent1"/>
            </a:solidFill>
            <a:ln>
              <a:noFill/>
            </a:ln>
            <a:effectLst/>
          </c:spPr>
          <c:invertIfNegative val="0"/>
          <c:dLbls>
            <c:dLbl>
              <c:idx val="4"/>
              <c:layout>
                <c:manualLayout>
                  <c:x val="-6.5167807103290974E-3"/>
                  <c:y val="-8.503401360544217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77C8-471E-B53C-AA76D5434B6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[BM12243_Excel.xlsx]FCFM!$C$4:$G$4</c:f>
              <c:strCache>
                <c:ptCount val="5"/>
                <c:pt idx="0">
                  <c:v>2020 (Million)</c:v>
                </c:pt>
                <c:pt idx="1">
                  <c:v>2021 (Million)</c:v>
                </c:pt>
                <c:pt idx="2">
                  <c:v>2022 (Million)</c:v>
                </c:pt>
                <c:pt idx="3">
                  <c:v>2023 (Million)</c:v>
                </c:pt>
                <c:pt idx="4">
                  <c:v>2024 (Million)</c:v>
                </c:pt>
              </c:strCache>
            </c:strRef>
          </c:cat>
          <c:val>
            <c:numRef>
              <c:f>[BM12243_Excel.xlsx]FCFM!$C$5:$G$5</c:f>
              <c:numCache>
                <c:formatCode>#,##0</c:formatCode>
                <c:ptCount val="5"/>
                <c:pt idx="0">
                  <c:v>73392</c:v>
                </c:pt>
                <c:pt idx="1">
                  <c:v>40283</c:v>
                </c:pt>
                <c:pt idx="2">
                  <c:v>10926</c:v>
                </c:pt>
                <c:pt idx="3">
                  <c:v>25190</c:v>
                </c:pt>
                <c:pt idx="4">
                  <c:v>14822</c:v>
                </c:pt>
              </c:numCache>
            </c:numRef>
          </c:val>
          <c:extLst>
            <c:ext xmlns:c16="http://schemas.microsoft.com/office/drawing/2014/chart" uri="{C3380CC4-5D6E-409C-BE32-E72D297353CC}">
              <c16:uniqueId val="{00000001-77C8-471E-B53C-AA76D5434B6B}"/>
            </c:ext>
          </c:extLst>
        </c:ser>
        <c:ser>
          <c:idx val="1"/>
          <c:order val="1"/>
          <c:tx>
            <c:strRef>
              <c:f>[BM12243_Excel.xlsx]FCFM!$B$6</c:f>
              <c:strCache>
                <c:ptCount val="1"/>
                <c:pt idx="0">
                  <c:v>Capital expenditure</c:v>
                </c:pt>
              </c:strCache>
            </c:strRef>
          </c:tx>
          <c:spPr>
            <a:solidFill>
              <a:schemeClr val="accent2"/>
            </a:solidFill>
            <a:ln>
              <a:noFill/>
            </a:ln>
            <a:effectLst/>
          </c:spPr>
          <c:invertIfNegative val="0"/>
          <c:dLbls>
            <c:dLbl>
              <c:idx val="2"/>
              <c:layout>
                <c:manualLayout>
                  <c:x val="-3.2583903551646086E-3"/>
                  <c:y val="-0.1326530612244899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7C8-471E-B53C-AA76D5434B6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[BM12243_Excel.xlsx]FCFM!$C$4:$G$4</c:f>
              <c:strCache>
                <c:ptCount val="5"/>
                <c:pt idx="0">
                  <c:v>2020 (Million)</c:v>
                </c:pt>
                <c:pt idx="1">
                  <c:v>2021 (Million)</c:v>
                </c:pt>
                <c:pt idx="2">
                  <c:v>2022 (Million)</c:v>
                </c:pt>
                <c:pt idx="3">
                  <c:v>2023 (Million)</c:v>
                </c:pt>
                <c:pt idx="4">
                  <c:v>2024 (Million)</c:v>
                </c:pt>
              </c:strCache>
            </c:strRef>
          </c:cat>
          <c:val>
            <c:numRef>
              <c:f>[BM12243_Excel.xlsx]FCFM!$C$6:$G$6</c:f>
              <c:numCache>
                <c:formatCode>0</c:formatCode>
                <c:ptCount val="5"/>
                <c:pt idx="0">
                  <c:v>16862</c:v>
                </c:pt>
                <c:pt idx="1">
                  <c:v>12586</c:v>
                </c:pt>
                <c:pt idx="2">
                  <c:v>14006</c:v>
                </c:pt>
                <c:pt idx="3">
                  <c:v>8116</c:v>
                </c:pt>
                <c:pt idx="4">
                  <c:v>4572</c:v>
                </c:pt>
              </c:numCache>
            </c:numRef>
          </c:val>
          <c:extLst>
            <c:ext xmlns:c16="http://schemas.microsoft.com/office/drawing/2014/chart" uri="{C3380CC4-5D6E-409C-BE32-E72D297353CC}">
              <c16:uniqueId val="{00000003-77C8-471E-B53C-AA76D5434B6B}"/>
            </c:ext>
          </c:extLst>
        </c:ser>
        <c:ser>
          <c:idx val="2"/>
          <c:order val="2"/>
          <c:tx>
            <c:strRef>
              <c:f>[BM12243_Excel.xlsx]FCFM!$B$7</c:f>
              <c:strCache>
                <c:ptCount val="1"/>
                <c:pt idx="0">
                  <c:v>Net sales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[BM12243_Excel.xlsx]FCFM!$C$4:$G$4</c:f>
              <c:strCache>
                <c:ptCount val="5"/>
                <c:pt idx="0">
                  <c:v>2020 (Million)</c:v>
                </c:pt>
                <c:pt idx="1">
                  <c:v>2021 (Million)</c:v>
                </c:pt>
                <c:pt idx="2">
                  <c:v>2022 (Million)</c:v>
                </c:pt>
                <c:pt idx="3">
                  <c:v>2023 (Million)</c:v>
                </c:pt>
                <c:pt idx="4">
                  <c:v>2024 (Million)</c:v>
                </c:pt>
              </c:strCache>
            </c:strRef>
          </c:cat>
          <c:val>
            <c:numRef>
              <c:f>[BM12243_Excel.xlsx]FCFM!$C$7:$G$7</c:f>
              <c:numCache>
                <c:formatCode>0</c:formatCode>
                <c:ptCount val="5"/>
                <c:pt idx="0">
                  <c:v>614680</c:v>
                </c:pt>
                <c:pt idx="1">
                  <c:v>601602</c:v>
                </c:pt>
                <c:pt idx="2">
                  <c:v>14006</c:v>
                </c:pt>
                <c:pt idx="3">
                  <c:v>420457</c:v>
                </c:pt>
                <c:pt idx="4">
                  <c:v>394879</c:v>
                </c:pt>
              </c:numCache>
            </c:numRef>
          </c:val>
          <c:extLst>
            <c:ext xmlns:c16="http://schemas.microsoft.com/office/drawing/2014/chart" uri="{C3380CC4-5D6E-409C-BE32-E72D297353CC}">
              <c16:uniqueId val="{00000004-77C8-471E-B53C-AA76D5434B6B}"/>
            </c:ext>
          </c:extLst>
        </c:ser>
        <c:ser>
          <c:idx val="3"/>
          <c:order val="3"/>
          <c:tx>
            <c:strRef>
              <c:f>[BM12243_Excel.xlsx]FCFM!$B$8</c:f>
              <c:strCache>
                <c:ptCount val="1"/>
                <c:pt idx="0">
                  <c:v>Free Cash Flow Margin = ((Operating Cash Flow - Capital Expenditure) / Net sales)* 100</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[BM12243_Excel.xlsx]FCFM!$C$4:$G$4</c:f>
              <c:strCache>
                <c:ptCount val="5"/>
                <c:pt idx="0">
                  <c:v>2020 (Million)</c:v>
                </c:pt>
                <c:pt idx="1">
                  <c:v>2021 (Million)</c:v>
                </c:pt>
                <c:pt idx="2">
                  <c:v>2022 (Million)</c:v>
                </c:pt>
                <c:pt idx="3">
                  <c:v>2023 (Million)</c:v>
                </c:pt>
                <c:pt idx="4">
                  <c:v>2024 (Million)</c:v>
                </c:pt>
              </c:strCache>
            </c:strRef>
          </c:cat>
          <c:val>
            <c:numRef>
              <c:f>[BM12243_Excel.xlsx]FCFM!$C$8:$G$8</c:f>
              <c:numCache>
                <c:formatCode>0.00</c:formatCode>
                <c:ptCount val="5"/>
                <c:pt idx="0">
                  <c:v>9.1966551701698442</c:v>
                </c:pt>
                <c:pt idx="1">
                  <c:v>4.6038743222263223</c:v>
                </c:pt>
                <c:pt idx="2">
                  <c:v>-21.990575467656718</c:v>
                </c:pt>
                <c:pt idx="3">
                  <c:v>4.0608195368372986</c:v>
                </c:pt>
                <c:pt idx="4">
                  <c:v>2.5957318571005294</c:v>
                </c:pt>
              </c:numCache>
            </c:numRef>
          </c:val>
          <c:extLst>
            <c:ext xmlns:c16="http://schemas.microsoft.com/office/drawing/2014/chart" uri="{C3380CC4-5D6E-409C-BE32-E72D297353CC}">
              <c16:uniqueId val="{00000005-77C8-471E-B53C-AA76D5434B6B}"/>
            </c:ext>
          </c:extLst>
        </c:ser>
        <c:dLbls>
          <c:dLblPos val="outEnd"/>
          <c:showLegendKey val="0"/>
          <c:showVal val="1"/>
          <c:showCatName val="0"/>
          <c:showSerName val="0"/>
          <c:showPercent val="0"/>
          <c:showBubbleSize val="0"/>
        </c:dLbls>
        <c:gapWidth val="267"/>
        <c:overlap val="-43"/>
        <c:axId val="171279871"/>
        <c:axId val="171273631"/>
        <c:extLst>
          <c:ext xmlns:c15="http://schemas.microsoft.com/office/drawing/2012/chart" uri="{02D57815-91ED-43cb-92C2-25804820EDAC}">
            <c15:filteredBarSeries>
              <c15:ser>
                <c:idx val="4"/>
                <c:order val="4"/>
                <c:tx>
                  <c:strRef>
                    <c:extLst>
                      <c:ext uri="{02D57815-91ED-43cb-92C2-25804820EDAC}">
                        <c15:formulaRef>
                          <c15:sqref>[BM12243_Excel.xlsx]FCFM!$B$9</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c:ext uri="{02D57815-91ED-43cb-92C2-25804820EDAC}">
                        <c15:formulaRef>
                          <c15:sqref>[BM12243_Excel.xlsx]FCFM!$C$4:$G$4</c15:sqref>
                        </c15:formulaRef>
                      </c:ext>
                    </c:extLst>
                    <c:strCache>
                      <c:ptCount val="5"/>
                      <c:pt idx="0">
                        <c:v>2020 (Million)</c:v>
                      </c:pt>
                      <c:pt idx="1">
                        <c:v>2021 (Million)</c:v>
                      </c:pt>
                      <c:pt idx="2">
                        <c:v>2022 (Million)</c:v>
                      </c:pt>
                      <c:pt idx="3">
                        <c:v>2023 (Million)</c:v>
                      </c:pt>
                      <c:pt idx="4">
                        <c:v>2024 (Million)</c:v>
                      </c:pt>
                    </c:strCache>
                  </c:strRef>
                </c:cat>
                <c:val>
                  <c:numRef>
                    <c:extLst>
                      <c:ext uri="{02D57815-91ED-43cb-92C2-25804820EDAC}">
                        <c15:formulaRef>
                          <c15:sqref>[BM12243_Excel.xlsx]FCFM!$C$9:$G$9</c15:sqref>
                        </c15:formulaRef>
                      </c:ext>
                    </c:extLst>
                    <c:numCache>
                      <c:formatCode>General</c:formatCode>
                      <c:ptCount val="5"/>
                    </c:numCache>
                  </c:numRef>
                </c:val>
                <c:extLst>
                  <c:ext xmlns:c16="http://schemas.microsoft.com/office/drawing/2014/chart" uri="{C3380CC4-5D6E-409C-BE32-E72D297353CC}">
                    <c16:uniqueId val="{00000006-77C8-471E-B53C-AA76D5434B6B}"/>
                  </c:ext>
                </c:extLst>
              </c15:ser>
            </c15:filteredBarSeries>
          </c:ext>
        </c:extLst>
      </c:barChart>
      <c:catAx>
        <c:axId val="17127987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71273631"/>
        <c:crosses val="autoZero"/>
        <c:auto val="1"/>
        <c:lblAlgn val="ctr"/>
        <c:lblOffset val="100"/>
        <c:noMultiLvlLbl val="0"/>
      </c:catAx>
      <c:valAx>
        <c:axId val="171273631"/>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1279871"/>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53</Pages>
  <Words>7693</Words>
  <Characters>43856</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2025-12-21T10:22:00Z</dcterms:created>
  <dcterms:modified xsi:type="dcterms:W3CDTF">2025-12-21T10:27:00Z</dcterms:modified>
</cp:coreProperties>
</file>