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74A848B6" wp14:paraId="1549C44A" wp14:textId="5B860FE7">
      <w:pPr>
        <w:spacing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US"/>
        </w:rPr>
      </w:pPr>
    </w:p>
    <w:p xmlns:wp14="http://schemas.microsoft.com/office/word/2010/wordml" w:rsidP="74A848B6" wp14:paraId="68068C55" wp14:textId="2F620573">
      <w:pPr>
        <w:spacing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US"/>
        </w:rPr>
      </w:pPr>
    </w:p>
    <w:p xmlns:wp14="http://schemas.microsoft.com/office/word/2010/wordml" w:rsidP="74A848B6" wp14:paraId="3775C6BB" wp14:textId="1987C9F9">
      <w:pPr>
        <w:spacing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US"/>
        </w:rPr>
      </w:pPr>
    </w:p>
    <w:p xmlns:wp14="http://schemas.microsoft.com/office/word/2010/wordml" w:rsidP="74A848B6" wp14:paraId="5C833E08" wp14:textId="5996E74D">
      <w:pPr>
        <w:spacing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US"/>
        </w:rPr>
      </w:pPr>
      <w:r w:rsidRPr="74A848B6" w:rsidR="5E1DCF56">
        <w:rPr>
          <w:rFonts w:ascii="Arial" w:hAnsi="Arial" w:eastAsia="Arial" w:cs="Arial"/>
          <w:b w:val="1"/>
          <w:bCs w:val="1"/>
          <w:i w:val="0"/>
          <w:iCs w:val="0"/>
          <w:caps w:val="0"/>
          <w:smallCaps w:val="0"/>
          <w:noProof w:val="0"/>
          <w:color w:val="000000" w:themeColor="text1" w:themeTint="FF" w:themeShade="FF"/>
          <w:sz w:val="40"/>
          <w:szCs w:val="40"/>
          <w:lang w:val="en-GB"/>
        </w:rPr>
        <w:t>Certificate Of Higher Education Employability Skills</w:t>
      </w:r>
    </w:p>
    <w:p xmlns:wp14="http://schemas.microsoft.com/office/word/2010/wordml" w:rsidP="74A848B6" wp14:paraId="06C61349" wp14:textId="3639B590">
      <w:pPr>
        <w:spacing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US"/>
        </w:rPr>
      </w:pPr>
      <w:r w:rsidRPr="74A848B6" w:rsidR="5E1DCF56">
        <w:rPr>
          <w:rFonts w:ascii="Arial" w:hAnsi="Arial" w:eastAsia="Arial" w:cs="Arial"/>
          <w:b w:val="1"/>
          <w:bCs w:val="1"/>
          <w:i w:val="0"/>
          <w:iCs w:val="0"/>
          <w:caps w:val="0"/>
          <w:smallCaps w:val="0"/>
          <w:noProof w:val="0"/>
          <w:color w:val="000000" w:themeColor="text1" w:themeTint="FF" w:themeShade="FF"/>
          <w:sz w:val="40"/>
          <w:szCs w:val="40"/>
          <w:lang w:val="en-GB"/>
        </w:rPr>
        <w:t>Module: Professional Career Development</w:t>
      </w:r>
    </w:p>
    <w:p xmlns:wp14="http://schemas.microsoft.com/office/word/2010/wordml" w:rsidP="74A848B6" wp14:paraId="66DD916A" wp14:textId="6FAE313B">
      <w:pPr>
        <w:spacing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US"/>
        </w:rPr>
      </w:pPr>
      <w:r w:rsidRPr="74A848B6" w:rsidR="5E1DCF56">
        <w:rPr>
          <w:rFonts w:ascii="Arial" w:hAnsi="Arial" w:eastAsia="Arial" w:cs="Arial"/>
          <w:b w:val="1"/>
          <w:bCs w:val="1"/>
          <w:i w:val="0"/>
          <w:iCs w:val="0"/>
          <w:caps w:val="0"/>
          <w:smallCaps w:val="0"/>
          <w:noProof w:val="0"/>
          <w:color w:val="000000" w:themeColor="text1" w:themeTint="FF" w:themeShade="FF"/>
          <w:sz w:val="40"/>
          <w:szCs w:val="40"/>
          <w:lang w:val="en-GB"/>
        </w:rPr>
        <w:t>Module Code: BMSW4012</w:t>
      </w:r>
    </w:p>
    <w:p xmlns:wp14="http://schemas.microsoft.com/office/word/2010/wordml" w:rsidP="74A848B6" wp14:paraId="03E7D30C" wp14:textId="5C6422A9">
      <w:pPr>
        <w:spacing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US"/>
        </w:rPr>
      </w:pPr>
      <w:r w:rsidRPr="74A848B6" w:rsidR="5E1DCF56">
        <w:rPr>
          <w:rFonts w:ascii="Arial" w:hAnsi="Arial" w:eastAsia="Arial" w:cs="Arial"/>
          <w:b w:val="1"/>
          <w:bCs w:val="1"/>
          <w:i w:val="0"/>
          <w:iCs w:val="0"/>
          <w:caps w:val="0"/>
          <w:smallCaps w:val="0"/>
          <w:noProof w:val="0"/>
          <w:color w:val="000000" w:themeColor="text1" w:themeTint="FF" w:themeShade="FF"/>
          <w:sz w:val="40"/>
          <w:szCs w:val="40"/>
          <w:lang w:val="en-GB"/>
        </w:rPr>
        <w:t>Name: Sobia Saeed</w:t>
      </w:r>
    </w:p>
    <w:p xmlns:wp14="http://schemas.microsoft.com/office/word/2010/wordml" w:rsidP="74A848B6" wp14:paraId="63555BDA" wp14:textId="3A6B857F">
      <w:pPr>
        <w:spacing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US"/>
        </w:rPr>
      </w:pPr>
      <w:r w:rsidRPr="74A848B6" w:rsidR="5E1DCF56">
        <w:rPr>
          <w:rFonts w:ascii="Arial" w:hAnsi="Arial" w:eastAsia="Arial" w:cs="Arial"/>
          <w:b w:val="1"/>
          <w:bCs w:val="1"/>
          <w:i w:val="0"/>
          <w:iCs w:val="0"/>
          <w:caps w:val="0"/>
          <w:smallCaps w:val="0"/>
          <w:noProof w:val="0"/>
          <w:color w:val="000000" w:themeColor="text1" w:themeTint="FF" w:themeShade="FF"/>
          <w:sz w:val="40"/>
          <w:szCs w:val="40"/>
          <w:lang w:val="en-GB"/>
        </w:rPr>
        <w:t>Student Number: 2408468</w:t>
      </w:r>
    </w:p>
    <w:p xmlns:wp14="http://schemas.microsoft.com/office/word/2010/wordml" w:rsidP="74A848B6" wp14:paraId="5A712D8B" wp14:textId="20A020B0">
      <w:pPr>
        <w:spacing w:line="360" w:lineRule="auto"/>
        <w:jc w:val="center"/>
        <w:rPr>
          <w:rFonts w:ascii="Arial" w:hAnsi="Arial" w:eastAsia="Arial" w:cs="Arial"/>
          <w:b w:val="0"/>
          <w:bCs w:val="0"/>
          <w:i w:val="0"/>
          <w:iCs w:val="0"/>
          <w:caps w:val="0"/>
          <w:smallCaps w:val="0"/>
          <w:noProof w:val="0"/>
          <w:color w:val="000000" w:themeColor="text1" w:themeTint="FF" w:themeShade="FF"/>
          <w:sz w:val="32"/>
          <w:szCs w:val="32"/>
          <w:lang w:val="en-US"/>
        </w:rPr>
      </w:pPr>
      <w:r w:rsidRPr="74A848B6" w:rsidR="5E1DCF56">
        <w:rPr>
          <w:rFonts w:ascii="Arial" w:hAnsi="Arial" w:eastAsia="Arial" w:cs="Arial"/>
          <w:b w:val="1"/>
          <w:bCs w:val="1"/>
          <w:i w:val="0"/>
          <w:iCs w:val="0"/>
          <w:caps w:val="0"/>
          <w:smallCaps w:val="0"/>
          <w:noProof w:val="0"/>
          <w:color w:val="000000" w:themeColor="text1" w:themeTint="FF" w:themeShade="FF"/>
          <w:sz w:val="32"/>
          <w:szCs w:val="32"/>
          <w:lang w:val="en-GB"/>
        </w:rPr>
        <w:t>Part 1: Individual Reflection</w:t>
      </w:r>
    </w:p>
    <w:p xmlns:wp14="http://schemas.microsoft.com/office/word/2010/wordml" wp14:paraId="581C099B" wp14:textId="4DDCBB23">
      <w:r>
        <w:br w:type="page"/>
      </w:r>
    </w:p>
    <w:p xmlns:wp14="http://schemas.microsoft.com/office/word/2010/wordml" w:rsidP="74A848B6" wp14:paraId="319CE7B4" wp14:textId="24038645">
      <w:pPr>
        <w:pStyle w:val="Normal"/>
        <w:spacing w:line="360" w:lineRule="auto"/>
        <w:jc w:val="center"/>
        <w:rPr>
          <w:rFonts w:ascii="Arial" w:hAnsi="Arial" w:eastAsia="Arial" w:cs="Arial"/>
          <w:b w:val="1"/>
          <w:bCs w:val="1"/>
          <w:i w:val="0"/>
          <w:iCs w:val="0"/>
          <w:caps w:val="0"/>
          <w:smallCaps w:val="0"/>
          <w:noProof w:val="0"/>
          <w:color w:val="000000" w:themeColor="text1" w:themeTint="FF" w:themeShade="FF"/>
          <w:sz w:val="32"/>
          <w:szCs w:val="32"/>
          <w:lang w:val="en-GB"/>
        </w:rPr>
      </w:pPr>
    </w:p>
    <w:p xmlns:wp14="http://schemas.microsoft.com/office/word/2010/wordml" w:rsidP="74A848B6" wp14:paraId="3D3B285D" wp14:textId="5A152105">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74A848B6" wp14:paraId="58057E8A" wp14:textId="5D87A4B5">
      <w:pPr>
        <w:spacing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US"/>
        </w:rPr>
      </w:pPr>
    </w:p>
    <w:p xmlns:wp14="http://schemas.microsoft.com/office/word/2010/wordml" w:rsidP="74A848B6" wp14:paraId="49699684" wp14:textId="4080CCC5">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I am currently studying employability skills at university to gain a deeper understanding of my strengths and weaknesses. This course appealed to me because, like many people, I had never fully considered my abilities or how I could improve them. I joined the course as a way of exploring my potential beyond my role as a carer and to move in a different direction. At first, I wasn’t sure what to expect, and I lacked confidence in how the course could help me. However, as I progressed, I discovered that I am a reflective-minded person, and reflection has become central to how I learn and grow.</w:t>
      </w:r>
    </w:p>
    <w:p xmlns:wp14="http://schemas.microsoft.com/office/word/2010/wordml" w:rsidP="74A848B6" wp14:paraId="7F31DD71" wp14:textId="776B261C">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Through this journey, I’ve learned how important it is to recognise one’s own skills. Many people go through life without identifying their strengths, learning styles, or goals, which can prevent them from achieving their full potential. By understanding how I learn and by improving key skills like communication and time management, I’ve been able to set clear goals and work towards achieving them.</w:t>
      </w:r>
    </w:p>
    <w:p xmlns:wp14="http://schemas.microsoft.com/office/word/2010/wordml" w:rsidP="74A848B6" wp14:paraId="5F556C1B" wp14:textId="2AEABA65">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One of the key frameworks I’ve used throughout this course is SWOT analysis. This allowed me to break down my strengths, weaknesses, opportunities, and threats. I discovered that my strengths, such as strong organisational skills and a solid work ethic, were already well-developed due to my experience as a carer. However, I also learned that I needed to work on my confidence and managing stress, especially in unfamiliar situations (Gürel and Tat, 2017). Using this analysis, I created a more focused plan for personal growth.</w:t>
      </w:r>
    </w:p>
    <w:p xmlns:wp14="http://schemas.microsoft.com/office/word/2010/wordml" w:rsidP="74A848B6" wp14:paraId="3486697D" wp14:textId="55E81922">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The next step was to create a Personal Development Plan (PDP). This plan helped me outline specific areas for improvement, particularly in communication and self-confidence. By setting clear targets and regularly reviewing my progress, I was able to see how far I had come and what still needed to be done (Beausaert, et. al., 2013). The PDP gave me a structured way to track my development and stay motivated (Taylor, 2010).</w:t>
      </w:r>
    </w:p>
    <w:p xmlns:wp14="http://schemas.microsoft.com/office/word/2010/wordml" w:rsidP="74A848B6" wp14:paraId="056ADFD0" wp14:textId="0CBCFEF7">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SMART objectives have been an essential part of my PDP. By setting Specific, Measurable, Achievable, Relevant, and Time-bound goals, I found it easier to stay on track and measure my success. For example, I set a goal to improve my time management by creating weekly study schedules and prioritising tasks. This has helped me work more efficiently and reduced the stress I used to feel from trying to balance too many things at once (Doran, 1981).</w:t>
      </w:r>
    </w:p>
    <w:p xmlns:wp14="http://schemas.microsoft.com/office/word/2010/wordml" w:rsidP="74A848B6" wp14:paraId="32C52822" wp14:textId="76C61E7C">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Learning Styles were another key area I explored during the course. I found that I am a kinaesthetic learner, which means I learn best by doing rather than by reading or listening alone (Fleming &amp; Mills, 1992). Understanding this has allowed me to tailor my study techniques to be more hands-on, which has made learning more enjoyable and effective. I now use methods like breaking tasks into steps or engaging with practical exercises, which has boosted my productivity.</w:t>
      </w:r>
    </w:p>
    <w:p xmlns:wp14="http://schemas.microsoft.com/office/word/2010/wordml" w:rsidP="74A848B6" wp14:paraId="1B0FDC10" wp14:textId="3650DACD">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Using Gibbs’ Reflective Cycle (1988) has been instrumental in helping me understand and improve my experiences. After completing any task, I follow Gibbs’ cycle to reflect on what happened, how I felt, and what I could do differently next time. For instance, after a group project, I used the cycle to evaluate my role in the team. I realised that while I contributed effectively, I held back in discussions due to a lack of confidence. This insight encouraged me to work on my public speaking skills and become more active in group discussions (Jasper, 2013).</w:t>
      </w:r>
    </w:p>
    <w:p xmlns:wp14="http://schemas.microsoft.com/office/word/2010/wordml" w:rsidP="74A848B6" wp14:paraId="6D85AC65" wp14:textId="034A82E1">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Communication is another area where I’ve seen significant improvement. At the start of the course, I was comfortable communicating in my role as a carer, but less so in academic or professional environments. Using the PDP and setting SMART objectives, I set goals to improve my communication, particularly by speaking more confidently in group settings. Over time, I became more comfortable expressing my ideas and listening to others. Active listening is now something I consciously practice, as I’ve come to understand its importance in effective communication (Brownell, 2012; Arnold &amp; Boggs, 2019).</w:t>
      </w:r>
    </w:p>
    <w:p xmlns:wp14="http://schemas.microsoft.com/office/word/2010/wordml" w:rsidP="74A848B6" wp14:paraId="530458DD" wp14:textId="25BACA25">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Building confidence was one of the key challenges I identified in my SWOT analysis. At the beginning of the course, I struggled with self-doubt and feared making mistakes. However, using Gibbs’ Reflective Cycle and regularly reviewing my PDP, I’ve been able to reflect on my progress and recognise my achievements. This has helped me build self-confidence and learn to embrace challenges as opportunities for growth (Moon, 2004). Understanding that confidence comes from acknowledging small successes has been transformative for me (Bandura, 1997).</w:t>
      </w:r>
    </w:p>
    <w:p xmlns:wp14="http://schemas.microsoft.com/office/word/2010/wordml" w:rsidP="74A848B6" wp14:paraId="751DC9AF" wp14:textId="4F1CA610">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By understanding my personal strengths and weaknesses, I’ve realised that making mistakes is part of the learning process. Each reflection session has given me the</w:t>
      </w:r>
      <w:r w:rsidRPr="74A848B6" w:rsidR="5E1DCF56">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chance to reassess my approach, celebrate successes, and address areas for improvement (Kolb, 1984).</w:t>
      </w:r>
    </w:p>
    <w:p xmlns:wp14="http://schemas.microsoft.com/office/word/2010/wordml" w:rsidP="74A848B6" wp14:paraId="7CD537C7" wp14:textId="26FA6CE4">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Time management has always been a challenging area for me, especially balancing my studies with my responsibilities as a carer. Early on, I felt overwhelmed by the demands of the course, but by using SMART objectives and creating a structured PDP, I developed practical strategies to improve my time management. Using planners to track assignments and deadlines has allowed me to better organise my tasks and avoid procrastination (Claessens et. al., 2007).</w:t>
      </w:r>
    </w:p>
    <w:p xmlns:wp14="http://schemas.microsoft.com/office/word/2010/wordml" w:rsidP="74A848B6" wp14:paraId="1C0307AE" wp14:textId="735B6A23">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The SWOT analysis highlighted time management as a weakness, so I focused on setting small, achievable goals to improve this skill. Now, I break larger tasks into smaller steps and review my schedule regularly. This has allowed me to manage my workload more effectively and reduce stress (Tracy, 2014).</w:t>
      </w:r>
    </w:p>
    <w:p xmlns:wp14="http://schemas.microsoft.com/office/word/2010/wordml" w:rsidP="74A848B6" wp14:paraId="28B09231" wp14:textId="2A20BB58">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In conclusion, studying employability skills has provided me with a deeper understanding of my strengths and weaknesses. Tools like SWOT analysis, PDP, SMART objectives, learning styles, and Gibbs’ Reflective Cycle have been instrumental in helping me develop both personally and professionally. By reflecting on my progress and setting structured goals, I’ve improved key skills like communication, time management, and organisation, and I’ve become more confident in my abilities.</w:t>
      </w:r>
    </w:p>
    <w:p xmlns:wp14="http://schemas.microsoft.com/office/word/2010/wordml" w:rsidP="74A848B6" wp14:paraId="1E3FDDEA" wp14:textId="1EEFE184">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This course has shown me the importance of self-awareness, planning, and continuous improvement. I now feel better equipped to tackle future challenges and continue developing my skills in both my personal and professional life.</w:t>
      </w:r>
    </w:p>
    <w:p xmlns:wp14="http://schemas.microsoft.com/office/word/2010/wordml" w:rsidP="74A848B6" wp14:paraId="4119215D" wp14:textId="223F976E">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74A848B6" wp14:paraId="1870B105" wp14:textId="49818761">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74A848B6" wp14:paraId="5DCC0A65" wp14:textId="76CEA2BE">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74A848B6" wp14:paraId="669DBEDD" wp14:textId="332CCCAE">
      <w:pPr>
        <w:rPr>
          <w:rFonts w:ascii="Arial" w:hAnsi="Arial" w:eastAsia="Arial" w:cs="Arial"/>
          <w:b w:val="0"/>
          <w:bCs w:val="0"/>
          <w:i w:val="0"/>
          <w:iCs w:val="0"/>
          <w:caps w:val="0"/>
          <w:smallCaps w:val="0"/>
          <w:noProof w:val="0"/>
          <w:color w:val="000000" w:themeColor="text1" w:themeTint="FF" w:themeShade="FF"/>
          <w:sz w:val="24"/>
          <w:szCs w:val="24"/>
          <w:lang w:val="en-US"/>
        </w:rPr>
      </w:pP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References</w:t>
      </w:r>
    </w:p>
    <w:p xmlns:wp14="http://schemas.microsoft.com/office/word/2010/wordml" w:rsidP="74A848B6" wp14:paraId="3D804D06" wp14:textId="4BED047B">
      <w:pPr>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 xml:space="preserve">Arnold, E., and Boggs, K.U., (2019). </w:t>
      </w:r>
      <w:r w:rsidRPr="74A848B6" w:rsidR="5E1DCF56">
        <w:rPr>
          <w:rFonts w:ascii="Arial" w:hAnsi="Arial" w:eastAsia="Arial" w:cs="Arial"/>
          <w:b w:val="0"/>
          <w:bCs w:val="0"/>
          <w:i w:val="1"/>
          <w:iCs w:val="1"/>
          <w:caps w:val="0"/>
          <w:smallCaps w:val="0"/>
          <w:noProof w:val="0"/>
          <w:color w:val="000000" w:themeColor="text1" w:themeTint="FF" w:themeShade="FF"/>
          <w:sz w:val="24"/>
          <w:szCs w:val="24"/>
          <w:lang w:val="en-GB"/>
        </w:rPr>
        <w:t>Interpersonal Relationships: Professional Communication Skills for Nurses</w:t>
      </w: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 Elsevier Health Sciences.</w:t>
      </w:r>
    </w:p>
    <w:p xmlns:wp14="http://schemas.microsoft.com/office/word/2010/wordml" w:rsidP="74A848B6" wp14:paraId="0CE3B7AA" wp14:textId="58E296D8">
      <w:pPr>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 xml:space="preserve">Bandura, A., (1997). </w:t>
      </w:r>
      <w:r w:rsidRPr="74A848B6" w:rsidR="5E1DCF56">
        <w:rPr>
          <w:rFonts w:ascii="Arial" w:hAnsi="Arial" w:eastAsia="Arial" w:cs="Arial"/>
          <w:b w:val="0"/>
          <w:bCs w:val="0"/>
          <w:i w:val="1"/>
          <w:iCs w:val="1"/>
          <w:caps w:val="0"/>
          <w:smallCaps w:val="0"/>
          <w:noProof w:val="0"/>
          <w:color w:val="000000" w:themeColor="text1" w:themeTint="FF" w:themeShade="FF"/>
          <w:sz w:val="24"/>
          <w:szCs w:val="24"/>
          <w:lang w:val="en-GB"/>
        </w:rPr>
        <w:t>Self-efficacy: The exercise of control</w:t>
      </w: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 New York: Freeman.</w:t>
      </w:r>
    </w:p>
    <w:p xmlns:wp14="http://schemas.microsoft.com/office/word/2010/wordml" w:rsidP="74A848B6" wp14:paraId="4A0DD9BC" wp14:textId="4DC6113F">
      <w:pPr>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 xml:space="preserve">Beausaert, S., Segers, M., </w:t>
      </w: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Fouarge</w:t>
      </w: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 xml:space="preserve">, D. and </w:t>
      </w: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Gijselaers</w:t>
      </w: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 xml:space="preserve">, W., (2013). Effect of using a personal development plan on learning and development. </w:t>
      </w:r>
      <w:r w:rsidRPr="74A848B6" w:rsidR="5E1DCF56">
        <w:rPr>
          <w:rFonts w:ascii="Arial" w:hAnsi="Arial" w:eastAsia="Arial" w:cs="Arial"/>
          <w:b w:val="0"/>
          <w:bCs w:val="0"/>
          <w:i w:val="1"/>
          <w:iCs w:val="1"/>
          <w:caps w:val="0"/>
          <w:smallCaps w:val="0"/>
          <w:noProof w:val="0"/>
          <w:color w:val="000000" w:themeColor="text1" w:themeTint="FF" w:themeShade="FF"/>
          <w:sz w:val="24"/>
          <w:szCs w:val="24"/>
          <w:lang w:val="en-GB"/>
        </w:rPr>
        <w:t>Journal of Workplace Learning</w:t>
      </w: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 25(3), pp.145-158.</w:t>
      </w:r>
    </w:p>
    <w:p xmlns:wp14="http://schemas.microsoft.com/office/word/2010/wordml" w:rsidP="74A848B6" wp14:paraId="2332023E" wp14:textId="58AFBEF5">
      <w:pPr>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 xml:space="preserve">Brownell, J., (2012). </w:t>
      </w:r>
      <w:r w:rsidRPr="74A848B6" w:rsidR="5E1DCF56">
        <w:rPr>
          <w:rFonts w:ascii="Arial" w:hAnsi="Arial" w:eastAsia="Arial" w:cs="Arial"/>
          <w:b w:val="0"/>
          <w:bCs w:val="0"/>
          <w:i w:val="1"/>
          <w:iCs w:val="1"/>
          <w:caps w:val="0"/>
          <w:smallCaps w:val="0"/>
          <w:noProof w:val="0"/>
          <w:color w:val="000000" w:themeColor="text1" w:themeTint="FF" w:themeShade="FF"/>
          <w:sz w:val="24"/>
          <w:szCs w:val="24"/>
          <w:lang w:val="en-GB"/>
        </w:rPr>
        <w:t>Listening: Attitudes, principles, and skills</w:t>
      </w: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 Pearson Higher Ed.</w:t>
      </w:r>
    </w:p>
    <w:p xmlns:wp14="http://schemas.microsoft.com/office/word/2010/wordml" w:rsidP="74A848B6" wp14:paraId="09D29AF5" wp14:textId="31DB9F49">
      <w:pPr>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 xml:space="preserve">Claessens, B.J., van </w:t>
      </w: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Eerde</w:t>
      </w: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 xml:space="preserve">, W., Rutte, C.G. and Roe, R.A., (2007). A review of the time management literature. </w:t>
      </w:r>
      <w:r w:rsidRPr="74A848B6" w:rsidR="5E1DCF56">
        <w:rPr>
          <w:rFonts w:ascii="Arial" w:hAnsi="Arial" w:eastAsia="Arial" w:cs="Arial"/>
          <w:b w:val="0"/>
          <w:bCs w:val="0"/>
          <w:i w:val="1"/>
          <w:iCs w:val="1"/>
          <w:caps w:val="0"/>
          <w:smallCaps w:val="0"/>
          <w:noProof w:val="0"/>
          <w:color w:val="000000" w:themeColor="text1" w:themeTint="FF" w:themeShade="FF"/>
          <w:sz w:val="24"/>
          <w:szCs w:val="24"/>
          <w:lang w:val="en-GB"/>
        </w:rPr>
        <w:t>Personnel Review</w:t>
      </w: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 36(2), pp.255-276.</w:t>
      </w:r>
    </w:p>
    <w:p xmlns:wp14="http://schemas.microsoft.com/office/word/2010/wordml" w:rsidP="74A848B6" wp14:paraId="0058CF00" wp14:textId="718669C9">
      <w:pPr>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 xml:space="preserve">Doran, G.T., (1981). </w:t>
      </w: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There's</w:t>
      </w: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 xml:space="preserve"> a SMART way to write management's goals and </w:t>
      </w: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objectives</w:t>
      </w: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4A848B6" w:rsidR="5E1DCF56">
        <w:rPr>
          <w:rFonts w:ascii="Arial" w:hAnsi="Arial" w:eastAsia="Arial" w:cs="Arial"/>
          <w:b w:val="0"/>
          <w:bCs w:val="0"/>
          <w:i w:val="1"/>
          <w:iCs w:val="1"/>
          <w:caps w:val="0"/>
          <w:smallCaps w:val="0"/>
          <w:noProof w:val="0"/>
          <w:color w:val="000000" w:themeColor="text1" w:themeTint="FF" w:themeShade="FF"/>
          <w:sz w:val="24"/>
          <w:szCs w:val="24"/>
          <w:lang w:val="en-GB"/>
        </w:rPr>
        <w:t>Management Review</w:t>
      </w: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 70(11), pp.35-36.</w:t>
      </w:r>
    </w:p>
    <w:p xmlns:wp14="http://schemas.microsoft.com/office/word/2010/wordml" w:rsidP="74A848B6" wp14:paraId="187034E4" wp14:textId="7C543A9A">
      <w:pPr>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 xml:space="preserve">Fleming, N.D. and Mills, C., (1992). Not another inventory, rather a catalyst for reflection. </w:t>
      </w:r>
      <w:r w:rsidRPr="74A848B6" w:rsidR="5E1DCF56">
        <w:rPr>
          <w:rFonts w:ascii="Arial" w:hAnsi="Arial" w:eastAsia="Arial" w:cs="Arial"/>
          <w:b w:val="0"/>
          <w:bCs w:val="0"/>
          <w:i w:val="1"/>
          <w:iCs w:val="1"/>
          <w:caps w:val="0"/>
          <w:smallCaps w:val="0"/>
          <w:noProof w:val="0"/>
          <w:color w:val="000000" w:themeColor="text1" w:themeTint="FF" w:themeShade="FF"/>
          <w:sz w:val="24"/>
          <w:szCs w:val="24"/>
          <w:lang w:val="en-GB"/>
        </w:rPr>
        <w:t>To Improve the Academy</w:t>
      </w: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 11(1), pp.137-155.</w:t>
      </w:r>
    </w:p>
    <w:p xmlns:wp14="http://schemas.microsoft.com/office/word/2010/wordml" w:rsidP="74A848B6" wp14:paraId="2CBCFFC3" wp14:textId="034C0531">
      <w:pPr>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 xml:space="preserve">Gibbs, G., 1988. </w:t>
      </w:r>
      <w:r w:rsidRPr="74A848B6" w:rsidR="5E1DCF56">
        <w:rPr>
          <w:rFonts w:ascii="Arial" w:hAnsi="Arial" w:eastAsia="Arial" w:cs="Arial"/>
          <w:b w:val="0"/>
          <w:bCs w:val="0"/>
          <w:i w:val="1"/>
          <w:iCs w:val="1"/>
          <w:caps w:val="0"/>
          <w:smallCaps w:val="0"/>
          <w:noProof w:val="0"/>
          <w:color w:val="000000" w:themeColor="text1" w:themeTint="FF" w:themeShade="FF"/>
          <w:sz w:val="24"/>
          <w:szCs w:val="24"/>
          <w:lang w:val="en-GB"/>
        </w:rPr>
        <w:t>Learning by doing: A guide to teaching and learning methods</w:t>
      </w: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 Oxford: Further Education Unit, Oxford Polytechnic.</w:t>
      </w:r>
    </w:p>
    <w:p xmlns:wp14="http://schemas.microsoft.com/office/word/2010/wordml" w:rsidP="74A848B6" wp14:paraId="0BDC3126" wp14:textId="4A25A1FF">
      <w:pPr>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 xml:space="preserve">Gürel, E. and Tat, M., (2017). SWOT analysis: A theoretical review. </w:t>
      </w:r>
      <w:r w:rsidRPr="74A848B6" w:rsidR="5E1DCF56">
        <w:rPr>
          <w:rFonts w:ascii="Arial" w:hAnsi="Arial" w:eastAsia="Arial" w:cs="Arial"/>
          <w:b w:val="0"/>
          <w:bCs w:val="0"/>
          <w:i w:val="1"/>
          <w:iCs w:val="1"/>
          <w:caps w:val="0"/>
          <w:smallCaps w:val="0"/>
          <w:noProof w:val="0"/>
          <w:color w:val="000000" w:themeColor="text1" w:themeTint="FF" w:themeShade="FF"/>
          <w:sz w:val="24"/>
          <w:szCs w:val="24"/>
          <w:lang w:val="en-GB"/>
        </w:rPr>
        <w:t>Journal of International Social Research</w:t>
      </w: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 10(51), pp.994-1006.</w:t>
      </w:r>
    </w:p>
    <w:p xmlns:wp14="http://schemas.microsoft.com/office/word/2010/wordml" w:rsidP="74A848B6" wp14:paraId="02381EBC" wp14:textId="374D744D">
      <w:pPr>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 xml:space="preserve">Jasper, M., (2013). </w:t>
      </w:r>
      <w:r w:rsidRPr="74A848B6" w:rsidR="5E1DCF56">
        <w:rPr>
          <w:rFonts w:ascii="Arial" w:hAnsi="Arial" w:eastAsia="Arial" w:cs="Arial"/>
          <w:b w:val="0"/>
          <w:bCs w:val="0"/>
          <w:i w:val="1"/>
          <w:iCs w:val="1"/>
          <w:caps w:val="0"/>
          <w:smallCaps w:val="0"/>
          <w:noProof w:val="0"/>
          <w:color w:val="000000" w:themeColor="text1" w:themeTint="FF" w:themeShade="FF"/>
          <w:sz w:val="24"/>
          <w:szCs w:val="24"/>
          <w:lang w:val="en-GB"/>
        </w:rPr>
        <w:t>Beginning reflective practice</w:t>
      </w: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 Nelson Thornes.</w:t>
      </w:r>
    </w:p>
    <w:p xmlns:wp14="http://schemas.microsoft.com/office/word/2010/wordml" w:rsidP="74A848B6" wp14:paraId="35D520C9" wp14:textId="1581E6F0">
      <w:pPr>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 xml:space="preserve">Kolb, D.A., (1984). </w:t>
      </w:r>
      <w:r w:rsidRPr="74A848B6" w:rsidR="5E1DCF56">
        <w:rPr>
          <w:rFonts w:ascii="Arial" w:hAnsi="Arial" w:eastAsia="Arial" w:cs="Arial"/>
          <w:b w:val="0"/>
          <w:bCs w:val="0"/>
          <w:i w:val="1"/>
          <w:iCs w:val="1"/>
          <w:caps w:val="0"/>
          <w:smallCaps w:val="0"/>
          <w:noProof w:val="0"/>
          <w:color w:val="000000" w:themeColor="text1" w:themeTint="FF" w:themeShade="FF"/>
          <w:sz w:val="24"/>
          <w:szCs w:val="24"/>
          <w:lang w:val="en-GB"/>
        </w:rPr>
        <w:t>Experiential learning: Experience as the source of learning and development</w:t>
      </w: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 Prentice-Hall.</w:t>
      </w:r>
    </w:p>
    <w:p xmlns:wp14="http://schemas.microsoft.com/office/word/2010/wordml" w:rsidP="74A848B6" wp14:paraId="6480A7ED" wp14:textId="7483BE08">
      <w:pPr>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 xml:space="preserve">Moon, J.A., (2004). </w:t>
      </w:r>
      <w:r w:rsidRPr="74A848B6" w:rsidR="5E1DCF56">
        <w:rPr>
          <w:rFonts w:ascii="Arial" w:hAnsi="Arial" w:eastAsia="Arial" w:cs="Arial"/>
          <w:b w:val="0"/>
          <w:bCs w:val="0"/>
          <w:i w:val="1"/>
          <w:iCs w:val="1"/>
          <w:caps w:val="0"/>
          <w:smallCaps w:val="0"/>
          <w:noProof w:val="0"/>
          <w:color w:val="000000" w:themeColor="text1" w:themeTint="FF" w:themeShade="FF"/>
          <w:sz w:val="24"/>
          <w:szCs w:val="24"/>
          <w:lang w:val="en-GB"/>
        </w:rPr>
        <w:t>A handbook of reflective and experiential learning: Theory and practice</w:t>
      </w: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 Routledge.</w:t>
      </w:r>
    </w:p>
    <w:p xmlns:wp14="http://schemas.microsoft.com/office/word/2010/wordml" w:rsidP="74A848B6" wp14:paraId="755F29E4" wp14:textId="719E77DB">
      <w:pPr>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 xml:space="preserve">Taylor, K., (2010). Personal development plans (PDPs): Insights from project led higher education. </w:t>
      </w:r>
      <w:r w:rsidRPr="74A848B6" w:rsidR="5E1DCF56">
        <w:rPr>
          <w:rFonts w:ascii="Arial" w:hAnsi="Arial" w:eastAsia="Arial" w:cs="Arial"/>
          <w:b w:val="0"/>
          <w:bCs w:val="0"/>
          <w:i w:val="1"/>
          <w:iCs w:val="1"/>
          <w:caps w:val="0"/>
          <w:smallCaps w:val="0"/>
          <w:noProof w:val="0"/>
          <w:color w:val="000000" w:themeColor="text1" w:themeTint="FF" w:themeShade="FF"/>
          <w:sz w:val="24"/>
          <w:szCs w:val="24"/>
          <w:lang w:val="en-GB"/>
        </w:rPr>
        <w:t>Reflective Practice</w:t>
      </w: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 11(1), pp.47-58.</w:t>
      </w:r>
    </w:p>
    <w:p xmlns:wp14="http://schemas.microsoft.com/office/word/2010/wordml" w:rsidP="74A848B6" wp14:paraId="64D21420" wp14:textId="11BADFCA">
      <w:pPr>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 xml:space="preserve">Tracy, B., (2014). </w:t>
      </w:r>
      <w:r w:rsidRPr="74A848B6" w:rsidR="5E1DCF56">
        <w:rPr>
          <w:rFonts w:ascii="Arial" w:hAnsi="Arial" w:eastAsia="Arial" w:cs="Arial"/>
          <w:b w:val="0"/>
          <w:bCs w:val="0"/>
          <w:i w:val="1"/>
          <w:iCs w:val="1"/>
          <w:caps w:val="0"/>
          <w:smallCaps w:val="0"/>
          <w:noProof w:val="0"/>
          <w:color w:val="000000" w:themeColor="text1" w:themeTint="FF" w:themeShade="FF"/>
          <w:sz w:val="24"/>
          <w:szCs w:val="24"/>
          <w:lang w:val="en-GB"/>
        </w:rPr>
        <w:t>Time management</w:t>
      </w: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 xml:space="preserve">. AMACOM Div American </w:t>
      </w: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Mgmt</w:t>
      </w:r>
      <w:r w:rsidRPr="74A848B6" w:rsidR="5E1DCF56">
        <w:rPr>
          <w:rFonts w:ascii="Arial" w:hAnsi="Arial" w:eastAsia="Arial" w:cs="Arial"/>
          <w:b w:val="0"/>
          <w:bCs w:val="0"/>
          <w:i w:val="0"/>
          <w:iCs w:val="0"/>
          <w:caps w:val="0"/>
          <w:smallCaps w:val="0"/>
          <w:noProof w:val="0"/>
          <w:color w:val="000000" w:themeColor="text1" w:themeTint="FF" w:themeShade="FF"/>
          <w:sz w:val="24"/>
          <w:szCs w:val="24"/>
          <w:lang w:val="en-GB"/>
        </w:rPr>
        <w:t xml:space="preserve"> Assn.</w:t>
      </w:r>
    </w:p>
    <w:p xmlns:wp14="http://schemas.microsoft.com/office/word/2010/wordml" w:rsidP="74A848B6" wp14:paraId="1696ABC4" wp14:textId="269F3A07">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p14:paraId="2C078E63" wp14:textId="1903E775"/>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461BF63"/>
    <w:rsid w:val="39505246"/>
    <w:rsid w:val="5461BF63"/>
    <w:rsid w:val="5E1DCF56"/>
    <w:rsid w:val="74A848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1BF63"/>
  <w15:chartTrackingRefBased/>
  <w15:docId w15:val="{B0239BCF-B3D3-4C4A-9928-1F3C6BEE45D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2024-10-25T18:49:08.8353537Z</dcterms:created>
  <dcterms:modified xsi:type="dcterms:W3CDTF">2024-10-25T18:52:12.4285802Z</dcterms:modified>
  <dc:creator>Sobia Saeed (2408468)</dc:creator>
  <lastModifiedBy>Sobia Saeed (2408468)</lastModifiedBy>
</coreProperties>
</file>