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255C" w14:textId="277CE8C8" w:rsidR="008A0559" w:rsidRDefault="008A0559" w:rsidP="008A0559">
      <w:pPr>
        <w:spacing w:line="360" w:lineRule="auto"/>
        <w:rPr>
          <w:rFonts w:ascii="Arial" w:hAnsi="Arial" w:cs="Arial"/>
        </w:rPr>
      </w:pPr>
      <w:r>
        <w:rPr>
          <w:rFonts w:ascii="Arial" w:hAnsi="Arial" w:cs="Arial"/>
        </w:rPr>
        <w:t xml:space="preserve">                         Module and code : Managing People – LCBB5004</w:t>
      </w:r>
    </w:p>
    <w:p w14:paraId="248213D4" w14:textId="1C3481DE" w:rsidR="008A0559" w:rsidRDefault="008A0559" w:rsidP="008A0559">
      <w:pPr>
        <w:spacing w:line="360" w:lineRule="auto"/>
        <w:rPr>
          <w:rFonts w:ascii="Arial" w:hAnsi="Arial" w:cs="Arial"/>
        </w:rPr>
      </w:pPr>
      <w:r>
        <w:rPr>
          <w:rFonts w:ascii="Arial" w:hAnsi="Arial" w:cs="Arial"/>
        </w:rPr>
        <w:t xml:space="preserve">                        </w:t>
      </w:r>
    </w:p>
    <w:p w14:paraId="778EE153" w14:textId="71257160" w:rsidR="008A0559" w:rsidRDefault="008A0559" w:rsidP="008A0559">
      <w:pPr>
        <w:spacing w:line="360" w:lineRule="auto"/>
        <w:rPr>
          <w:rFonts w:ascii="Arial" w:hAnsi="Arial" w:cs="Arial"/>
        </w:rPr>
      </w:pPr>
      <w:r>
        <w:rPr>
          <w:rFonts w:ascii="Arial" w:hAnsi="Arial" w:cs="Arial"/>
        </w:rPr>
        <w:t xml:space="preserve">                         Lecturer : Samuel Ofori  </w:t>
      </w:r>
    </w:p>
    <w:p w14:paraId="0A795ADF" w14:textId="77777777" w:rsidR="008A0559" w:rsidRDefault="008A0559" w:rsidP="008A0559">
      <w:pPr>
        <w:spacing w:line="360" w:lineRule="auto"/>
        <w:rPr>
          <w:rFonts w:ascii="Arial" w:hAnsi="Arial" w:cs="Arial"/>
        </w:rPr>
      </w:pPr>
      <w:r>
        <w:rPr>
          <w:rFonts w:ascii="Arial" w:hAnsi="Arial" w:cs="Arial"/>
        </w:rPr>
        <w:t xml:space="preserve">                     </w:t>
      </w:r>
    </w:p>
    <w:p w14:paraId="5F3E62FC" w14:textId="77777777" w:rsidR="008A0559" w:rsidRDefault="008A0559" w:rsidP="008A0559">
      <w:pPr>
        <w:spacing w:line="360" w:lineRule="auto"/>
        <w:rPr>
          <w:rFonts w:ascii="Arial" w:hAnsi="Arial" w:cs="Arial"/>
        </w:rPr>
      </w:pPr>
      <w:r>
        <w:rPr>
          <w:rFonts w:ascii="Arial" w:hAnsi="Arial" w:cs="Arial"/>
        </w:rPr>
        <w:t xml:space="preserve">                         Student : Stefan Cristian Costache </w:t>
      </w:r>
    </w:p>
    <w:p w14:paraId="74891DFA" w14:textId="77777777" w:rsidR="008A0559" w:rsidRDefault="008A0559" w:rsidP="008A0559">
      <w:pPr>
        <w:spacing w:line="360" w:lineRule="auto"/>
        <w:rPr>
          <w:rFonts w:ascii="Arial" w:hAnsi="Arial" w:cs="Arial"/>
        </w:rPr>
      </w:pPr>
    </w:p>
    <w:p w14:paraId="2489675A" w14:textId="7FF63E97" w:rsidR="008A0559" w:rsidRPr="008A0559" w:rsidRDefault="008A0559" w:rsidP="008A0559">
      <w:pPr>
        <w:spacing w:line="360" w:lineRule="auto"/>
        <w:rPr>
          <w:rFonts w:ascii="Arial" w:hAnsi="Arial" w:cs="Arial"/>
        </w:rPr>
      </w:pPr>
      <w:r>
        <w:rPr>
          <w:rFonts w:ascii="Arial" w:hAnsi="Arial" w:cs="Arial"/>
        </w:rPr>
        <w:t xml:space="preserve">                         Student Number :  2126833 </w:t>
      </w:r>
    </w:p>
    <w:p w14:paraId="5D601CDA" w14:textId="77777777" w:rsidR="008A0559" w:rsidRDefault="008A0559" w:rsidP="00B9179F">
      <w:pPr>
        <w:spacing w:line="360" w:lineRule="auto"/>
        <w:jc w:val="center"/>
        <w:rPr>
          <w:rFonts w:ascii="Arial" w:hAnsi="Arial" w:cs="Arial"/>
          <w:sz w:val="22"/>
          <w:szCs w:val="22"/>
        </w:rPr>
      </w:pPr>
    </w:p>
    <w:p w14:paraId="65241BB1" w14:textId="77777777" w:rsidR="008A0559" w:rsidRDefault="008A0559" w:rsidP="00B9179F">
      <w:pPr>
        <w:spacing w:line="360" w:lineRule="auto"/>
        <w:jc w:val="center"/>
        <w:rPr>
          <w:rFonts w:ascii="Arial" w:hAnsi="Arial" w:cs="Arial"/>
          <w:sz w:val="22"/>
          <w:szCs w:val="22"/>
        </w:rPr>
      </w:pPr>
    </w:p>
    <w:p w14:paraId="0780A2E6" w14:textId="77777777" w:rsidR="008A0559" w:rsidRDefault="008A0559" w:rsidP="00B9179F">
      <w:pPr>
        <w:spacing w:line="360" w:lineRule="auto"/>
        <w:jc w:val="center"/>
        <w:rPr>
          <w:rFonts w:ascii="Arial" w:hAnsi="Arial" w:cs="Arial"/>
          <w:sz w:val="22"/>
          <w:szCs w:val="22"/>
        </w:rPr>
      </w:pPr>
    </w:p>
    <w:p w14:paraId="36DDE20D" w14:textId="77777777" w:rsidR="008A0559" w:rsidRDefault="008A0559" w:rsidP="00B9179F">
      <w:pPr>
        <w:spacing w:line="360" w:lineRule="auto"/>
        <w:jc w:val="center"/>
        <w:rPr>
          <w:rFonts w:ascii="Arial" w:hAnsi="Arial" w:cs="Arial"/>
          <w:sz w:val="22"/>
          <w:szCs w:val="22"/>
        </w:rPr>
      </w:pPr>
    </w:p>
    <w:p w14:paraId="2287C33F" w14:textId="77777777" w:rsidR="008A0559" w:rsidRDefault="008A0559" w:rsidP="00B9179F">
      <w:pPr>
        <w:spacing w:line="360" w:lineRule="auto"/>
        <w:jc w:val="center"/>
        <w:rPr>
          <w:rFonts w:ascii="Arial" w:hAnsi="Arial" w:cs="Arial"/>
          <w:sz w:val="22"/>
          <w:szCs w:val="22"/>
        </w:rPr>
      </w:pPr>
    </w:p>
    <w:p w14:paraId="13DE447D" w14:textId="77777777" w:rsidR="008A0559" w:rsidRDefault="008A0559" w:rsidP="00B9179F">
      <w:pPr>
        <w:spacing w:line="360" w:lineRule="auto"/>
        <w:jc w:val="center"/>
        <w:rPr>
          <w:rFonts w:ascii="Arial" w:hAnsi="Arial" w:cs="Arial"/>
          <w:sz w:val="22"/>
          <w:szCs w:val="22"/>
        </w:rPr>
      </w:pPr>
    </w:p>
    <w:p w14:paraId="1051515C" w14:textId="77777777" w:rsidR="008A0559" w:rsidRDefault="008A0559" w:rsidP="00B9179F">
      <w:pPr>
        <w:spacing w:line="360" w:lineRule="auto"/>
        <w:jc w:val="center"/>
        <w:rPr>
          <w:rFonts w:ascii="Arial" w:hAnsi="Arial" w:cs="Arial"/>
          <w:sz w:val="22"/>
          <w:szCs w:val="22"/>
        </w:rPr>
      </w:pPr>
    </w:p>
    <w:p w14:paraId="2C48D24B" w14:textId="77777777" w:rsidR="008A0559" w:rsidRDefault="008A0559" w:rsidP="00B9179F">
      <w:pPr>
        <w:spacing w:line="360" w:lineRule="auto"/>
        <w:jc w:val="center"/>
        <w:rPr>
          <w:rFonts w:ascii="Arial" w:hAnsi="Arial" w:cs="Arial"/>
          <w:sz w:val="22"/>
          <w:szCs w:val="22"/>
        </w:rPr>
      </w:pPr>
    </w:p>
    <w:p w14:paraId="3B3528E4" w14:textId="77777777" w:rsidR="008A0559" w:rsidRDefault="008A0559" w:rsidP="00B9179F">
      <w:pPr>
        <w:spacing w:line="360" w:lineRule="auto"/>
        <w:jc w:val="center"/>
        <w:rPr>
          <w:rFonts w:ascii="Arial" w:hAnsi="Arial" w:cs="Arial"/>
          <w:sz w:val="22"/>
          <w:szCs w:val="22"/>
        </w:rPr>
      </w:pPr>
    </w:p>
    <w:p w14:paraId="07F7E631" w14:textId="77777777" w:rsidR="008A0559" w:rsidRDefault="008A0559" w:rsidP="00B9179F">
      <w:pPr>
        <w:spacing w:line="360" w:lineRule="auto"/>
        <w:jc w:val="center"/>
        <w:rPr>
          <w:rFonts w:ascii="Arial" w:hAnsi="Arial" w:cs="Arial"/>
          <w:sz w:val="22"/>
          <w:szCs w:val="22"/>
        </w:rPr>
      </w:pPr>
    </w:p>
    <w:p w14:paraId="4E729370" w14:textId="77777777" w:rsidR="008A0559" w:rsidRDefault="008A0559" w:rsidP="00B9179F">
      <w:pPr>
        <w:spacing w:line="360" w:lineRule="auto"/>
        <w:jc w:val="center"/>
        <w:rPr>
          <w:rFonts w:ascii="Arial" w:hAnsi="Arial" w:cs="Arial"/>
          <w:sz w:val="22"/>
          <w:szCs w:val="22"/>
        </w:rPr>
      </w:pPr>
    </w:p>
    <w:p w14:paraId="34A44647" w14:textId="77777777" w:rsidR="008A0559" w:rsidRDefault="008A0559" w:rsidP="00B9179F">
      <w:pPr>
        <w:spacing w:line="360" w:lineRule="auto"/>
        <w:jc w:val="center"/>
        <w:rPr>
          <w:rFonts w:ascii="Arial" w:hAnsi="Arial" w:cs="Arial"/>
          <w:sz w:val="22"/>
          <w:szCs w:val="22"/>
        </w:rPr>
      </w:pPr>
    </w:p>
    <w:p w14:paraId="464912FF" w14:textId="77777777" w:rsidR="008A0559" w:rsidRDefault="008A0559" w:rsidP="00B9179F">
      <w:pPr>
        <w:spacing w:line="360" w:lineRule="auto"/>
        <w:jc w:val="center"/>
        <w:rPr>
          <w:rFonts w:ascii="Arial" w:hAnsi="Arial" w:cs="Arial"/>
          <w:sz w:val="22"/>
          <w:szCs w:val="22"/>
        </w:rPr>
      </w:pPr>
    </w:p>
    <w:p w14:paraId="22055CDD" w14:textId="77777777" w:rsidR="008A0559" w:rsidRDefault="008A0559" w:rsidP="00B9179F">
      <w:pPr>
        <w:spacing w:line="360" w:lineRule="auto"/>
        <w:jc w:val="center"/>
        <w:rPr>
          <w:rFonts w:ascii="Arial" w:hAnsi="Arial" w:cs="Arial"/>
          <w:sz w:val="22"/>
          <w:szCs w:val="22"/>
        </w:rPr>
      </w:pPr>
    </w:p>
    <w:p w14:paraId="19631794" w14:textId="77777777" w:rsidR="008A0559" w:rsidRDefault="008A0559" w:rsidP="00B9179F">
      <w:pPr>
        <w:spacing w:line="360" w:lineRule="auto"/>
        <w:jc w:val="center"/>
        <w:rPr>
          <w:rFonts w:ascii="Arial" w:hAnsi="Arial" w:cs="Arial"/>
          <w:sz w:val="22"/>
          <w:szCs w:val="22"/>
        </w:rPr>
      </w:pPr>
    </w:p>
    <w:p w14:paraId="68737434" w14:textId="77777777" w:rsidR="008A0559" w:rsidRDefault="008A0559" w:rsidP="00B9179F">
      <w:pPr>
        <w:spacing w:line="360" w:lineRule="auto"/>
        <w:jc w:val="center"/>
        <w:rPr>
          <w:rFonts w:ascii="Arial" w:hAnsi="Arial" w:cs="Arial"/>
          <w:sz w:val="22"/>
          <w:szCs w:val="22"/>
        </w:rPr>
      </w:pPr>
    </w:p>
    <w:p w14:paraId="51EACA53" w14:textId="77777777" w:rsidR="008A0559" w:rsidRDefault="008A0559" w:rsidP="00B9179F">
      <w:pPr>
        <w:spacing w:line="360" w:lineRule="auto"/>
        <w:jc w:val="center"/>
        <w:rPr>
          <w:rFonts w:ascii="Arial" w:hAnsi="Arial" w:cs="Arial"/>
          <w:sz w:val="22"/>
          <w:szCs w:val="22"/>
        </w:rPr>
      </w:pPr>
    </w:p>
    <w:p w14:paraId="112652CC" w14:textId="77777777" w:rsidR="008A0559" w:rsidRDefault="008A0559" w:rsidP="00B9179F">
      <w:pPr>
        <w:spacing w:line="360" w:lineRule="auto"/>
        <w:jc w:val="center"/>
        <w:rPr>
          <w:rFonts w:ascii="Arial" w:hAnsi="Arial" w:cs="Arial"/>
          <w:sz w:val="22"/>
          <w:szCs w:val="22"/>
        </w:rPr>
      </w:pPr>
    </w:p>
    <w:p w14:paraId="54A5CB94" w14:textId="77777777" w:rsidR="008A0559" w:rsidRDefault="008A0559" w:rsidP="00B9179F">
      <w:pPr>
        <w:spacing w:line="360" w:lineRule="auto"/>
        <w:jc w:val="center"/>
        <w:rPr>
          <w:rFonts w:ascii="Arial" w:hAnsi="Arial" w:cs="Arial"/>
          <w:sz w:val="22"/>
          <w:szCs w:val="22"/>
        </w:rPr>
      </w:pPr>
    </w:p>
    <w:p w14:paraId="7DADA610" w14:textId="77777777" w:rsidR="008A0559" w:rsidRDefault="008A0559" w:rsidP="00B9179F">
      <w:pPr>
        <w:spacing w:line="360" w:lineRule="auto"/>
        <w:jc w:val="center"/>
        <w:rPr>
          <w:rFonts w:ascii="Arial" w:hAnsi="Arial" w:cs="Arial"/>
          <w:sz w:val="22"/>
          <w:szCs w:val="22"/>
        </w:rPr>
      </w:pPr>
    </w:p>
    <w:p w14:paraId="707E73ED" w14:textId="77777777" w:rsidR="008A0559" w:rsidRDefault="008A0559" w:rsidP="00B9179F">
      <w:pPr>
        <w:spacing w:line="360" w:lineRule="auto"/>
        <w:jc w:val="center"/>
        <w:rPr>
          <w:rFonts w:ascii="Arial" w:hAnsi="Arial" w:cs="Arial"/>
          <w:sz w:val="22"/>
          <w:szCs w:val="22"/>
        </w:rPr>
      </w:pPr>
    </w:p>
    <w:p w14:paraId="28A55023" w14:textId="77777777" w:rsidR="008A0559" w:rsidRDefault="008A0559" w:rsidP="00B9179F">
      <w:pPr>
        <w:spacing w:line="360" w:lineRule="auto"/>
        <w:jc w:val="center"/>
        <w:rPr>
          <w:rFonts w:ascii="Arial" w:hAnsi="Arial" w:cs="Arial"/>
          <w:sz w:val="22"/>
          <w:szCs w:val="22"/>
        </w:rPr>
      </w:pPr>
    </w:p>
    <w:p w14:paraId="40D0FE6E" w14:textId="77777777" w:rsidR="008A0559" w:rsidRDefault="008A0559" w:rsidP="00B9179F">
      <w:pPr>
        <w:spacing w:line="360" w:lineRule="auto"/>
        <w:jc w:val="center"/>
        <w:rPr>
          <w:rFonts w:ascii="Arial" w:hAnsi="Arial" w:cs="Arial"/>
          <w:sz w:val="22"/>
          <w:szCs w:val="22"/>
        </w:rPr>
      </w:pPr>
    </w:p>
    <w:p w14:paraId="7FE6C676" w14:textId="77777777" w:rsidR="008A0559" w:rsidRDefault="008A0559" w:rsidP="00B9179F">
      <w:pPr>
        <w:spacing w:line="360" w:lineRule="auto"/>
        <w:jc w:val="center"/>
        <w:rPr>
          <w:rFonts w:ascii="Arial" w:hAnsi="Arial" w:cs="Arial"/>
          <w:sz w:val="22"/>
          <w:szCs w:val="22"/>
        </w:rPr>
      </w:pPr>
    </w:p>
    <w:p w14:paraId="09DC29DF" w14:textId="77777777" w:rsidR="008A0559" w:rsidRDefault="008A0559" w:rsidP="00B9179F">
      <w:pPr>
        <w:spacing w:line="360" w:lineRule="auto"/>
        <w:jc w:val="center"/>
        <w:rPr>
          <w:rFonts w:ascii="Arial" w:hAnsi="Arial" w:cs="Arial"/>
          <w:sz w:val="22"/>
          <w:szCs w:val="22"/>
        </w:rPr>
      </w:pPr>
    </w:p>
    <w:p w14:paraId="350DA635" w14:textId="77777777" w:rsidR="008A0559" w:rsidRDefault="008A0559" w:rsidP="00B9179F">
      <w:pPr>
        <w:spacing w:line="360" w:lineRule="auto"/>
        <w:jc w:val="center"/>
        <w:rPr>
          <w:rFonts w:ascii="Arial" w:hAnsi="Arial" w:cs="Arial"/>
          <w:sz w:val="22"/>
          <w:szCs w:val="22"/>
        </w:rPr>
      </w:pPr>
    </w:p>
    <w:p w14:paraId="0EE9EA7D" w14:textId="77777777" w:rsidR="008A0559" w:rsidRDefault="008A0559" w:rsidP="008A0559">
      <w:pPr>
        <w:spacing w:line="360" w:lineRule="auto"/>
        <w:rPr>
          <w:rFonts w:ascii="Arial" w:hAnsi="Arial" w:cs="Arial"/>
          <w:sz w:val="22"/>
          <w:szCs w:val="22"/>
        </w:rPr>
      </w:pPr>
    </w:p>
    <w:p w14:paraId="20B3FF78" w14:textId="77777777" w:rsidR="008A0559" w:rsidRDefault="008A0559" w:rsidP="00B9179F">
      <w:pPr>
        <w:spacing w:line="360" w:lineRule="auto"/>
        <w:jc w:val="center"/>
        <w:rPr>
          <w:rFonts w:ascii="Arial" w:hAnsi="Arial" w:cs="Arial"/>
          <w:sz w:val="22"/>
          <w:szCs w:val="22"/>
        </w:rPr>
      </w:pPr>
    </w:p>
    <w:p w14:paraId="47483918" w14:textId="77777777" w:rsidR="008A0559" w:rsidRDefault="008A0559" w:rsidP="00B9179F">
      <w:pPr>
        <w:spacing w:line="360" w:lineRule="auto"/>
        <w:jc w:val="center"/>
        <w:rPr>
          <w:rFonts w:ascii="Arial" w:hAnsi="Arial" w:cs="Arial"/>
          <w:sz w:val="22"/>
          <w:szCs w:val="22"/>
        </w:rPr>
      </w:pPr>
    </w:p>
    <w:p w14:paraId="76BD54A1" w14:textId="24CC28DC" w:rsidR="00BE0DE3" w:rsidRPr="00B9179F" w:rsidRDefault="00F27EE9" w:rsidP="00B9179F">
      <w:pPr>
        <w:spacing w:line="360" w:lineRule="auto"/>
        <w:jc w:val="center"/>
        <w:rPr>
          <w:rFonts w:ascii="Arial" w:hAnsi="Arial" w:cs="Arial"/>
          <w:sz w:val="22"/>
          <w:szCs w:val="22"/>
        </w:rPr>
      </w:pPr>
      <w:r w:rsidRPr="00B9179F">
        <w:rPr>
          <w:rFonts w:ascii="Arial" w:hAnsi="Arial" w:cs="Arial"/>
          <w:sz w:val="22"/>
          <w:szCs w:val="22"/>
        </w:rPr>
        <w:t>Managing People</w:t>
      </w:r>
      <w:r w:rsidR="00B9179F" w:rsidRPr="00B9179F">
        <w:rPr>
          <w:rFonts w:ascii="Arial" w:hAnsi="Arial" w:cs="Arial"/>
          <w:sz w:val="22"/>
          <w:szCs w:val="22"/>
        </w:rPr>
        <w:t xml:space="preserve"> - Assessment Component 2 Individual report</w:t>
      </w:r>
    </w:p>
    <w:p w14:paraId="2C893EAE" w14:textId="77777777" w:rsidR="00F27EE9" w:rsidRPr="00B9179F" w:rsidRDefault="00F27EE9" w:rsidP="00B9179F">
      <w:pPr>
        <w:spacing w:line="360" w:lineRule="auto"/>
        <w:rPr>
          <w:rFonts w:ascii="Arial" w:hAnsi="Arial" w:cs="Arial"/>
          <w:sz w:val="22"/>
          <w:szCs w:val="22"/>
        </w:rPr>
      </w:pPr>
    </w:p>
    <w:p w14:paraId="405E7BA2" w14:textId="77777777" w:rsidR="00B9179F" w:rsidRPr="00B9179F" w:rsidRDefault="00B9179F" w:rsidP="00B9179F">
      <w:pPr>
        <w:spacing w:line="360" w:lineRule="auto"/>
        <w:rPr>
          <w:rFonts w:ascii="Arial" w:hAnsi="Arial" w:cs="Arial"/>
          <w:sz w:val="22"/>
          <w:szCs w:val="22"/>
        </w:rPr>
      </w:pPr>
    </w:p>
    <w:p w14:paraId="2342D4F1" w14:textId="25FED605" w:rsidR="00B9179F" w:rsidRPr="00B9179F" w:rsidRDefault="00B9179F" w:rsidP="00B9179F">
      <w:pPr>
        <w:spacing w:line="360" w:lineRule="auto"/>
        <w:rPr>
          <w:rFonts w:ascii="Arial" w:hAnsi="Arial" w:cs="Arial"/>
          <w:sz w:val="22"/>
          <w:szCs w:val="22"/>
        </w:rPr>
      </w:pPr>
      <w:r>
        <w:rPr>
          <w:rFonts w:ascii="Arial" w:hAnsi="Arial" w:cs="Arial"/>
          <w:sz w:val="22"/>
          <w:szCs w:val="22"/>
        </w:rPr>
        <w:t xml:space="preserve">1. </w:t>
      </w:r>
      <w:r w:rsidR="00F27EE9" w:rsidRPr="00B9179F">
        <w:rPr>
          <w:rFonts w:ascii="Arial" w:hAnsi="Arial" w:cs="Arial"/>
          <w:sz w:val="22"/>
          <w:szCs w:val="22"/>
        </w:rPr>
        <w:t>Outlin</w:t>
      </w:r>
      <w:r w:rsidRPr="00B9179F">
        <w:rPr>
          <w:rFonts w:ascii="Arial" w:hAnsi="Arial" w:cs="Arial"/>
          <w:sz w:val="22"/>
          <w:szCs w:val="22"/>
        </w:rPr>
        <w:t xml:space="preserve">e </w:t>
      </w:r>
      <w:r w:rsidR="00F27EE9" w:rsidRPr="00B9179F">
        <w:rPr>
          <w:rFonts w:ascii="Arial" w:hAnsi="Arial" w:cs="Arial"/>
          <w:sz w:val="22"/>
          <w:szCs w:val="22"/>
        </w:rPr>
        <w:t>the benefits of implementing flexible working strategies into the organisation</w:t>
      </w:r>
    </w:p>
    <w:p w14:paraId="6E812B8E" w14:textId="77777777" w:rsidR="00B9179F" w:rsidRPr="00B9179F" w:rsidRDefault="00B9179F" w:rsidP="00B9179F">
      <w:pPr>
        <w:spacing w:line="360" w:lineRule="auto"/>
        <w:rPr>
          <w:rFonts w:ascii="Arial" w:hAnsi="Arial" w:cs="Arial"/>
          <w:sz w:val="22"/>
          <w:szCs w:val="22"/>
        </w:rPr>
      </w:pPr>
    </w:p>
    <w:p w14:paraId="5E5A84D4" w14:textId="55EFE06A" w:rsidR="002451DA" w:rsidRPr="00B9179F" w:rsidRDefault="002451DA" w:rsidP="00B9179F">
      <w:pPr>
        <w:spacing w:line="360" w:lineRule="auto"/>
        <w:ind w:firstLine="720"/>
        <w:rPr>
          <w:rFonts w:ascii="Arial" w:hAnsi="Arial" w:cs="Arial"/>
          <w:sz w:val="22"/>
          <w:szCs w:val="22"/>
        </w:rPr>
      </w:pPr>
      <w:proofErr w:type="spellStart"/>
      <w:r w:rsidRPr="00B9179F">
        <w:rPr>
          <w:rFonts w:ascii="Arial" w:hAnsi="Arial" w:cs="Arial"/>
          <w:sz w:val="22"/>
          <w:szCs w:val="22"/>
        </w:rPr>
        <w:t>GreenCo</w:t>
      </w:r>
      <w:proofErr w:type="spellEnd"/>
      <w:r w:rsidRPr="00B9179F">
        <w:rPr>
          <w:rFonts w:ascii="Arial" w:hAnsi="Arial" w:cs="Arial"/>
          <w:sz w:val="22"/>
          <w:szCs w:val="22"/>
        </w:rPr>
        <w:t xml:space="preserve">, as a manufacturing and retail company, traditionally abides by fixed working hours. However, in the aftermath of the COVID-19 pandemic, a shift towards more flexible working strategies has been observed across various industries, and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could stand to benefit from this trend.</w:t>
      </w:r>
    </w:p>
    <w:p w14:paraId="51A6AE47"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Firstly, flexible working hours enhance employee satisfaction. Studies have demonstrated that when employees are given control over their schedules, they experience higher job satisfaction and lower stress levels (Allen, Johnson, </w:t>
      </w:r>
      <w:proofErr w:type="spellStart"/>
      <w:r w:rsidRPr="00B9179F">
        <w:rPr>
          <w:rFonts w:ascii="Arial" w:hAnsi="Arial" w:cs="Arial"/>
          <w:sz w:val="22"/>
          <w:szCs w:val="22"/>
        </w:rPr>
        <w:t>Kiburz</w:t>
      </w:r>
      <w:proofErr w:type="spellEnd"/>
      <w:r w:rsidRPr="00B9179F">
        <w:rPr>
          <w:rFonts w:ascii="Arial" w:hAnsi="Arial" w:cs="Arial"/>
          <w:sz w:val="22"/>
          <w:szCs w:val="22"/>
        </w:rPr>
        <w:t xml:space="preserve"> &amp; Shockley, 2013). This can result in a more motivated and dedicated workforce, which can boost productivity levels and subsequently the bottom line of the organisation.</w:t>
      </w:r>
    </w:p>
    <w:p w14:paraId="0278BDE7"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The adoption of flexible working arrangements also provides benefits in terms of talent acquisition and retention. In a competitive labour market, flexible working options are increasingly becoming a key factor that prospective employees consider when choosing between job offers (Hill, Miller, Weiner &amp; </w:t>
      </w:r>
      <w:proofErr w:type="spellStart"/>
      <w:r w:rsidRPr="00B9179F">
        <w:rPr>
          <w:rFonts w:ascii="Arial" w:hAnsi="Arial" w:cs="Arial"/>
          <w:sz w:val="22"/>
          <w:szCs w:val="22"/>
        </w:rPr>
        <w:t>Colihan</w:t>
      </w:r>
      <w:proofErr w:type="spellEnd"/>
      <w:r w:rsidRPr="00B9179F">
        <w:rPr>
          <w:rFonts w:ascii="Arial" w:hAnsi="Arial" w:cs="Arial"/>
          <w:sz w:val="22"/>
          <w:szCs w:val="22"/>
        </w:rPr>
        <w:t>, 1998). This flexibility can attract a wider pool of talent, including those with caregiving responsibilities or those who prefer non-traditional work schedules. It can also help retain existing employees, reducing turnover costs and maintaining the institutional knowledge held by long-term staff.</w:t>
      </w:r>
    </w:p>
    <w:p w14:paraId="6D19EDCE"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The environment stands to benefit as well, a factor that is particularly relevant for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given its focus on agriculture. With fewer employees commuting daily, greenhouse gas emissions can be significantly reduced, aligning with our corporate social responsibility goals (</w:t>
      </w:r>
      <w:proofErr w:type="spellStart"/>
      <w:r w:rsidRPr="00B9179F">
        <w:rPr>
          <w:rFonts w:ascii="Arial" w:hAnsi="Arial" w:cs="Arial"/>
          <w:sz w:val="22"/>
          <w:szCs w:val="22"/>
        </w:rPr>
        <w:t>Nilles</w:t>
      </w:r>
      <w:proofErr w:type="spellEnd"/>
      <w:r w:rsidRPr="00B9179F">
        <w:rPr>
          <w:rFonts w:ascii="Arial" w:hAnsi="Arial" w:cs="Arial"/>
          <w:sz w:val="22"/>
          <w:szCs w:val="22"/>
        </w:rPr>
        <w:t>, 1994).</w:t>
      </w:r>
    </w:p>
    <w:p w14:paraId="16C4DC18"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Flexible work also facilitates cost savings. With fewer employees on site at any one time, there may be reduced need for office space, which can result in significant cost savings in terms of real estate, utilities and maintenance expenses (Bloom et al., 2015).</w:t>
      </w:r>
    </w:p>
    <w:p w14:paraId="193C50A0" w14:textId="77777777" w:rsidR="002451DA" w:rsidRPr="00B9179F" w:rsidRDefault="002451DA" w:rsidP="00B9179F">
      <w:pPr>
        <w:spacing w:line="360" w:lineRule="auto"/>
        <w:rPr>
          <w:rFonts w:ascii="Arial" w:hAnsi="Arial" w:cs="Arial"/>
          <w:sz w:val="22"/>
          <w:szCs w:val="22"/>
        </w:rPr>
      </w:pPr>
      <w:r w:rsidRPr="00B9179F">
        <w:rPr>
          <w:rFonts w:ascii="Arial" w:hAnsi="Arial" w:cs="Arial"/>
          <w:sz w:val="22"/>
          <w:szCs w:val="22"/>
        </w:rPr>
        <w:t>Lastly, flexible working strategies can promote diversity and inclusion. Offering flexible work arrangements can help accommodate the needs of a diverse workforce, including those with disabilities, parents, and individuals with other life commitments. It recognises and values the diverse experiences and needs of employees, leading to a more inclusive work environment (Kelly &amp; Moen, 2007).</w:t>
      </w:r>
    </w:p>
    <w:p w14:paraId="39EDBDAD"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In conclusion, implementing flexible working strategies can bring numerous benefits to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including improved employee satisfaction, talent acquisition and retention, environmental impact, cost savings, and diversity and inclusion. Therefore, it is recommended that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takes steps towards integrating flexible working hours into its current work culture.</w:t>
      </w:r>
    </w:p>
    <w:p w14:paraId="448FC82E" w14:textId="77777777" w:rsidR="002451DA" w:rsidRPr="00B9179F" w:rsidRDefault="002451DA" w:rsidP="00B9179F">
      <w:pPr>
        <w:spacing w:line="360" w:lineRule="auto"/>
        <w:rPr>
          <w:rFonts w:ascii="Arial" w:hAnsi="Arial" w:cs="Arial"/>
          <w:sz w:val="22"/>
          <w:szCs w:val="22"/>
        </w:rPr>
      </w:pPr>
    </w:p>
    <w:p w14:paraId="50FD64EF" w14:textId="633F2AFB" w:rsidR="00F27EE9" w:rsidRPr="00B9179F" w:rsidRDefault="00B9179F" w:rsidP="00B9179F">
      <w:pPr>
        <w:spacing w:line="360" w:lineRule="auto"/>
        <w:rPr>
          <w:rFonts w:ascii="Arial" w:hAnsi="Arial" w:cs="Arial"/>
          <w:sz w:val="22"/>
          <w:szCs w:val="22"/>
        </w:rPr>
      </w:pPr>
      <w:r>
        <w:rPr>
          <w:rFonts w:ascii="Arial" w:hAnsi="Arial" w:cs="Arial"/>
          <w:sz w:val="22"/>
          <w:szCs w:val="22"/>
        </w:rPr>
        <w:t xml:space="preserve">2. </w:t>
      </w:r>
      <w:r w:rsidR="00F27EE9" w:rsidRPr="00B9179F">
        <w:rPr>
          <w:rFonts w:ascii="Arial" w:hAnsi="Arial" w:cs="Arial"/>
          <w:sz w:val="22"/>
          <w:szCs w:val="22"/>
        </w:rPr>
        <w:t>Describ</w:t>
      </w:r>
      <w:r>
        <w:rPr>
          <w:rFonts w:ascii="Arial" w:hAnsi="Arial" w:cs="Arial"/>
          <w:sz w:val="22"/>
          <w:szCs w:val="22"/>
        </w:rPr>
        <w:t>e</w:t>
      </w:r>
      <w:r w:rsidR="00F27EE9" w:rsidRPr="00B9179F">
        <w:rPr>
          <w:rFonts w:ascii="Arial" w:hAnsi="Arial" w:cs="Arial"/>
          <w:sz w:val="22"/>
          <w:szCs w:val="22"/>
        </w:rPr>
        <w:t xml:space="preserve"> what the firm, and more specifically the HR department, should consider before implementing flexible working to the employee workforce.</w:t>
      </w:r>
    </w:p>
    <w:p w14:paraId="1F4B413C" w14:textId="77777777" w:rsidR="002451DA" w:rsidRPr="00B9179F" w:rsidRDefault="002451DA" w:rsidP="00B9179F">
      <w:pPr>
        <w:spacing w:line="360" w:lineRule="auto"/>
        <w:rPr>
          <w:rFonts w:ascii="Arial" w:hAnsi="Arial" w:cs="Arial"/>
          <w:sz w:val="22"/>
          <w:szCs w:val="22"/>
        </w:rPr>
      </w:pPr>
    </w:p>
    <w:p w14:paraId="37784955" w14:textId="77777777" w:rsidR="002451DA" w:rsidRPr="00B9179F" w:rsidRDefault="002451DA" w:rsidP="00B9179F">
      <w:pPr>
        <w:spacing w:line="360" w:lineRule="auto"/>
        <w:ind w:firstLine="720"/>
        <w:rPr>
          <w:rFonts w:ascii="Arial" w:hAnsi="Arial" w:cs="Arial"/>
          <w:sz w:val="22"/>
          <w:szCs w:val="22"/>
        </w:rPr>
      </w:pPr>
      <w:proofErr w:type="spellStart"/>
      <w:r w:rsidRPr="00B9179F">
        <w:rPr>
          <w:rFonts w:ascii="Arial" w:hAnsi="Arial" w:cs="Arial"/>
          <w:sz w:val="22"/>
          <w:szCs w:val="22"/>
        </w:rPr>
        <w:t>GreenCo's</w:t>
      </w:r>
      <w:proofErr w:type="spellEnd"/>
      <w:r w:rsidRPr="00B9179F">
        <w:rPr>
          <w:rFonts w:ascii="Arial" w:hAnsi="Arial" w:cs="Arial"/>
          <w:sz w:val="22"/>
          <w:szCs w:val="22"/>
        </w:rPr>
        <w:t xml:space="preserve"> transition to a flexible working model necessitates thorough planning and careful consideration of multiple factors. While the benefits of flexible working are extensive, several considerations must be accounted for by the firm and the HR department to ensure the successful execution of these new policies.</w:t>
      </w:r>
    </w:p>
    <w:p w14:paraId="1CA22370"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The first consideration is to assess the nature of work and roles at </w:t>
      </w:r>
      <w:proofErr w:type="spellStart"/>
      <w:r w:rsidRPr="00B9179F">
        <w:rPr>
          <w:rFonts w:ascii="Arial" w:hAnsi="Arial" w:cs="Arial"/>
          <w:sz w:val="22"/>
          <w:szCs w:val="22"/>
        </w:rPr>
        <w:t>GreenCo</w:t>
      </w:r>
      <w:proofErr w:type="spellEnd"/>
      <w:r w:rsidRPr="00B9179F">
        <w:rPr>
          <w:rFonts w:ascii="Arial" w:hAnsi="Arial" w:cs="Arial"/>
          <w:sz w:val="22"/>
          <w:szCs w:val="22"/>
        </w:rPr>
        <w:t>. Some roles may not lend themselves to flexible working; for instance, roles that require physical presence at the factory may not be suitable for remote work (</w:t>
      </w:r>
      <w:proofErr w:type="spellStart"/>
      <w:r w:rsidRPr="00B9179F">
        <w:rPr>
          <w:rFonts w:ascii="Arial" w:hAnsi="Arial" w:cs="Arial"/>
          <w:sz w:val="22"/>
          <w:szCs w:val="22"/>
        </w:rPr>
        <w:t>Felstead</w:t>
      </w:r>
      <w:proofErr w:type="spellEnd"/>
      <w:r w:rsidRPr="00B9179F">
        <w:rPr>
          <w:rFonts w:ascii="Arial" w:hAnsi="Arial" w:cs="Arial"/>
          <w:sz w:val="22"/>
          <w:szCs w:val="22"/>
        </w:rPr>
        <w:t xml:space="preserve"> &amp; </w:t>
      </w:r>
      <w:proofErr w:type="spellStart"/>
      <w:r w:rsidRPr="00B9179F">
        <w:rPr>
          <w:rFonts w:ascii="Arial" w:hAnsi="Arial" w:cs="Arial"/>
          <w:sz w:val="22"/>
          <w:szCs w:val="22"/>
        </w:rPr>
        <w:t>Henseke</w:t>
      </w:r>
      <w:proofErr w:type="spellEnd"/>
      <w:r w:rsidRPr="00B9179F">
        <w:rPr>
          <w:rFonts w:ascii="Arial" w:hAnsi="Arial" w:cs="Arial"/>
          <w:sz w:val="22"/>
          <w:szCs w:val="22"/>
        </w:rPr>
        <w:t>, 2017). The HR department needs to delineate which roles can and cannot be flexibly conducted, or what level of flexibility can be offered for each role.</w:t>
      </w:r>
    </w:p>
    <w:p w14:paraId="13364633"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Second, the potential impact on productivity should be evaluated. While studies have shown that flexible working can increase productivity, this can depend on effective management and clarity of job roles and expectations (Bloom et al., 2015). The firm must ensure that processes are in place to manage remote teams, set clear objectives, and track productivity effectively.</w:t>
      </w:r>
    </w:p>
    <w:p w14:paraId="242FC315"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Third,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must consider the potential impact on team dynamics and communication. Flexibility could lead to less face-to-face interaction, which might affect team cohesion and the quality of communication (Hinds &amp; Bailey, 2003). The HR department should identify strategies to maintain regular communication and team-building, such as regular video meetings or periodic on-site gatherings.</w:t>
      </w:r>
    </w:p>
    <w:p w14:paraId="575BCB14"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Fourth, the issue of employee wellbeing must be factored in. While flexibility can reduce work-life conflict, extended periods of remote work may lead to feelings of isolation or overwork (Grant, Wallace &amp; Spurgeon, 2013). Therefore, the firm should develop mechanisms to support mental health and wellbeing, such as regular check-ins or the provision of employee assistance programmes.</w:t>
      </w:r>
    </w:p>
    <w:p w14:paraId="778A9EEC"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Fifth, the firm needs to consider the logistical and infrastructure requirements. Employees must have the necessary resources to work effectively from home, including reliable internet access and appropriate equipment (</w:t>
      </w:r>
      <w:proofErr w:type="spellStart"/>
      <w:r w:rsidRPr="00B9179F">
        <w:rPr>
          <w:rFonts w:ascii="Arial" w:hAnsi="Arial" w:cs="Arial"/>
          <w:sz w:val="22"/>
          <w:szCs w:val="22"/>
        </w:rPr>
        <w:t>Pyöriä</w:t>
      </w:r>
      <w:proofErr w:type="spellEnd"/>
      <w:r w:rsidRPr="00B9179F">
        <w:rPr>
          <w:rFonts w:ascii="Arial" w:hAnsi="Arial" w:cs="Arial"/>
          <w:sz w:val="22"/>
          <w:szCs w:val="22"/>
        </w:rPr>
        <w:t>, 2011). The company may need to provide support for these requirements, which could entail additional cost.</w:t>
      </w:r>
    </w:p>
    <w:p w14:paraId="1BFFA9B7"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Finally, regulatory and legal considerations need to be addressed. This includes understanding the legal rights of employees to request flexible working, as well as the implications for health and safety, data protection, and taxation (Steward, 2000).</w:t>
      </w:r>
    </w:p>
    <w:p w14:paraId="3A1E8D33"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In conclusion, while the shift to flexible working presents numerous benefits, the transition requires careful consideration and planning by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and the HR department. By addressing these factors upfront,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can maximise the benefits of flexible working while mitigating potential challenges.</w:t>
      </w:r>
    </w:p>
    <w:p w14:paraId="09985407" w14:textId="77777777" w:rsidR="00B9179F" w:rsidRPr="00B9179F" w:rsidRDefault="00B9179F" w:rsidP="00B9179F">
      <w:pPr>
        <w:spacing w:line="360" w:lineRule="auto"/>
        <w:rPr>
          <w:rFonts w:ascii="Arial" w:hAnsi="Arial" w:cs="Arial"/>
          <w:sz w:val="22"/>
          <w:szCs w:val="22"/>
        </w:rPr>
      </w:pPr>
    </w:p>
    <w:p w14:paraId="2416130C" w14:textId="19C756EF" w:rsidR="00F27EE9" w:rsidRPr="00B9179F" w:rsidRDefault="00B9179F" w:rsidP="00B9179F">
      <w:pPr>
        <w:spacing w:line="360" w:lineRule="auto"/>
        <w:rPr>
          <w:rFonts w:ascii="Arial" w:hAnsi="Arial" w:cs="Arial"/>
          <w:sz w:val="22"/>
          <w:szCs w:val="22"/>
        </w:rPr>
      </w:pPr>
      <w:r>
        <w:rPr>
          <w:rFonts w:ascii="Arial" w:hAnsi="Arial" w:cs="Arial"/>
          <w:sz w:val="22"/>
          <w:szCs w:val="22"/>
        </w:rPr>
        <w:t xml:space="preserve">3. </w:t>
      </w:r>
      <w:r w:rsidR="00F27EE9" w:rsidRPr="00B9179F">
        <w:rPr>
          <w:rFonts w:ascii="Arial" w:hAnsi="Arial" w:cs="Arial"/>
          <w:sz w:val="22"/>
          <w:szCs w:val="22"/>
        </w:rPr>
        <w:t>Discuss how the pay structure may need to be reconfigured if this were to be implemented</w:t>
      </w:r>
    </w:p>
    <w:p w14:paraId="45A0A3FC" w14:textId="77777777" w:rsidR="00B9179F" w:rsidRDefault="00B9179F" w:rsidP="00B9179F">
      <w:pPr>
        <w:spacing w:line="360" w:lineRule="auto"/>
        <w:rPr>
          <w:rFonts w:ascii="Arial" w:hAnsi="Arial" w:cs="Arial"/>
          <w:sz w:val="22"/>
          <w:szCs w:val="22"/>
        </w:rPr>
      </w:pPr>
    </w:p>
    <w:p w14:paraId="569400E0" w14:textId="6640F841"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As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looks to implement flexible working strategies, the company's existing pay structure will likely need </w:t>
      </w:r>
      <w:r w:rsidR="00B9179F" w:rsidRPr="00B9179F">
        <w:rPr>
          <w:rFonts w:ascii="Arial" w:hAnsi="Arial" w:cs="Arial"/>
          <w:sz w:val="22"/>
          <w:szCs w:val="22"/>
        </w:rPr>
        <w:t>re-evaluation</w:t>
      </w:r>
      <w:r w:rsidRPr="00B9179F">
        <w:rPr>
          <w:rFonts w:ascii="Arial" w:hAnsi="Arial" w:cs="Arial"/>
          <w:sz w:val="22"/>
          <w:szCs w:val="22"/>
        </w:rPr>
        <w:t>. The shift towards flexible work might necessitate revisions to compensation systems to align with new ways of working, ensuring fairness, competitiveness, and ongoing motivation among employees.</w:t>
      </w:r>
    </w:p>
    <w:p w14:paraId="06F268BF" w14:textId="62B0CF6C"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Firstly, the company needs to consider if and how performance-based pay will be integrated into the compensation structure. While traditionally, manufacturing work might have employed hourly wage structures, the shift to flexible work might open possibilities for a greater focus on performance-based pay. Here, employees are rewarded based on output, quality, or other metrics of performance rather than the number of hours worked (Gerhart &amp; Fang, 2014). This can incentivi</w:t>
      </w:r>
      <w:r w:rsidR="00B9179F">
        <w:rPr>
          <w:rFonts w:ascii="Arial" w:hAnsi="Arial" w:cs="Arial"/>
          <w:sz w:val="22"/>
          <w:szCs w:val="22"/>
        </w:rPr>
        <w:t>s</w:t>
      </w:r>
      <w:r w:rsidRPr="00B9179F">
        <w:rPr>
          <w:rFonts w:ascii="Arial" w:hAnsi="Arial" w:cs="Arial"/>
          <w:sz w:val="22"/>
          <w:szCs w:val="22"/>
        </w:rPr>
        <w:t xml:space="preserve">e productivity and align employees’ goals with those of the </w:t>
      </w:r>
      <w:r w:rsidR="00B9179F" w:rsidRPr="00B9179F">
        <w:rPr>
          <w:rFonts w:ascii="Arial" w:hAnsi="Arial" w:cs="Arial"/>
          <w:sz w:val="22"/>
          <w:szCs w:val="22"/>
        </w:rPr>
        <w:t>organi</w:t>
      </w:r>
      <w:r w:rsidR="00B9179F">
        <w:rPr>
          <w:rFonts w:ascii="Arial" w:hAnsi="Arial" w:cs="Arial"/>
          <w:sz w:val="22"/>
          <w:szCs w:val="22"/>
        </w:rPr>
        <w:t>s</w:t>
      </w:r>
      <w:r w:rsidR="00B9179F" w:rsidRPr="00B9179F">
        <w:rPr>
          <w:rFonts w:ascii="Arial" w:hAnsi="Arial" w:cs="Arial"/>
          <w:sz w:val="22"/>
          <w:szCs w:val="22"/>
        </w:rPr>
        <w:t>ation but</w:t>
      </w:r>
      <w:r w:rsidRPr="00B9179F">
        <w:rPr>
          <w:rFonts w:ascii="Arial" w:hAnsi="Arial" w:cs="Arial"/>
          <w:sz w:val="22"/>
          <w:szCs w:val="22"/>
        </w:rPr>
        <w:t xml:space="preserve"> must be carefully managed to ensure metrics truly reflect individual contributions and that employees maintain a healthy work-life balance (Pfeffer &amp; Sutton, 2006).</w:t>
      </w:r>
    </w:p>
    <w:p w14:paraId="1CA912EC"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Secondly, the matter of location-based pay becomes pertinent with flexible working arrangements, particularly remote work. In traditional structures, salaries often factor in the cost of living in the company's geographical location. However, with remote work, employees might choose to live in areas with lower costs of living (Bryant &amp; Allen, 2020). This raises questions about whether salaries should be adjusted according to employees' chosen living locations. While such an approach might be more cost-effective for the company, it can potentially lead to issues of perceived fairness among employees.</w:t>
      </w:r>
    </w:p>
    <w:p w14:paraId="1D47AFAB"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Moreover, in a flexible working environment, the definition of overtime may need to be redefined. The classic understanding of overtime—work beyond the standard hours—might not hold in an environment where standard hours themselves are flexible (</w:t>
      </w:r>
      <w:proofErr w:type="spellStart"/>
      <w:r w:rsidRPr="00B9179F">
        <w:rPr>
          <w:rFonts w:ascii="Arial" w:hAnsi="Arial" w:cs="Arial"/>
          <w:sz w:val="22"/>
          <w:szCs w:val="22"/>
        </w:rPr>
        <w:t>Askenazy</w:t>
      </w:r>
      <w:proofErr w:type="spellEnd"/>
      <w:r w:rsidRPr="00B9179F">
        <w:rPr>
          <w:rFonts w:ascii="Arial" w:hAnsi="Arial" w:cs="Arial"/>
          <w:sz w:val="22"/>
          <w:szCs w:val="22"/>
        </w:rPr>
        <w:t>, 2001). The company would need to devise clear policies on how overtime is defined, recorded, and compensated in a flexible work setup.</w:t>
      </w:r>
    </w:p>
    <w:p w14:paraId="622AF4FB"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Further, compensation for expenses incurred by employees as part of their flexible working set up, such as home office equipment or increased utilities costs, may need to be incorporated into the pay structure. Some companies provide a stipend for these expenses, ensuring that employees do not bear these costs out of pocket (</w:t>
      </w:r>
      <w:proofErr w:type="spellStart"/>
      <w:r w:rsidRPr="00B9179F">
        <w:rPr>
          <w:rFonts w:ascii="Arial" w:hAnsi="Arial" w:cs="Arial"/>
          <w:sz w:val="22"/>
          <w:szCs w:val="22"/>
        </w:rPr>
        <w:t>Eurofound</w:t>
      </w:r>
      <w:proofErr w:type="spellEnd"/>
      <w:r w:rsidRPr="00B9179F">
        <w:rPr>
          <w:rFonts w:ascii="Arial" w:hAnsi="Arial" w:cs="Arial"/>
          <w:sz w:val="22"/>
          <w:szCs w:val="22"/>
        </w:rPr>
        <w:t xml:space="preserve"> and the International Labour Office, 2017).</w:t>
      </w:r>
    </w:p>
    <w:p w14:paraId="2505346D" w14:textId="3FC1BB16"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In conclusion, flexible work arrangements will necessitate a thoughtful reconsideration of </w:t>
      </w:r>
      <w:proofErr w:type="spellStart"/>
      <w:r w:rsidRPr="00B9179F">
        <w:rPr>
          <w:rFonts w:ascii="Arial" w:hAnsi="Arial" w:cs="Arial"/>
          <w:sz w:val="22"/>
          <w:szCs w:val="22"/>
        </w:rPr>
        <w:t>GreenCo's</w:t>
      </w:r>
      <w:proofErr w:type="spellEnd"/>
      <w:r w:rsidRPr="00B9179F">
        <w:rPr>
          <w:rFonts w:ascii="Arial" w:hAnsi="Arial" w:cs="Arial"/>
          <w:sz w:val="22"/>
          <w:szCs w:val="22"/>
        </w:rPr>
        <w:t xml:space="preserve"> pay structure. In reconfiguring the pay structure,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should consider elements like performance-based pay, location-based pay, overtime, and compensation for home office expenses. A well-designed pay structure can enhance the benefits of flexible work, keeping employees motivated, and maintaining organi</w:t>
      </w:r>
      <w:r w:rsidR="00B9179F">
        <w:rPr>
          <w:rFonts w:ascii="Arial" w:hAnsi="Arial" w:cs="Arial"/>
          <w:sz w:val="22"/>
          <w:szCs w:val="22"/>
        </w:rPr>
        <w:t>s</w:t>
      </w:r>
      <w:r w:rsidRPr="00B9179F">
        <w:rPr>
          <w:rFonts w:ascii="Arial" w:hAnsi="Arial" w:cs="Arial"/>
          <w:sz w:val="22"/>
          <w:szCs w:val="22"/>
        </w:rPr>
        <w:t>ational competitiveness and fairness.</w:t>
      </w:r>
    </w:p>
    <w:p w14:paraId="3F5B7D06" w14:textId="77777777" w:rsidR="002451DA" w:rsidRPr="00B9179F" w:rsidRDefault="002451DA" w:rsidP="00B9179F">
      <w:pPr>
        <w:spacing w:line="360" w:lineRule="auto"/>
        <w:rPr>
          <w:rFonts w:ascii="Arial" w:hAnsi="Arial" w:cs="Arial"/>
          <w:sz w:val="22"/>
          <w:szCs w:val="22"/>
        </w:rPr>
      </w:pPr>
    </w:p>
    <w:p w14:paraId="7DE56E40" w14:textId="4F2B91BA" w:rsidR="00F27EE9" w:rsidRPr="00B9179F" w:rsidRDefault="00B9179F" w:rsidP="00B9179F">
      <w:pPr>
        <w:spacing w:line="360" w:lineRule="auto"/>
        <w:rPr>
          <w:rFonts w:ascii="Arial" w:hAnsi="Arial" w:cs="Arial"/>
          <w:sz w:val="22"/>
          <w:szCs w:val="22"/>
        </w:rPr>
      </w:pPr>
      <w:r>
        <w:rPr>
          <w:rFonts w:ascii="Arial" w:hAnsi="Arial" w:cs="Arial"/>
          <w:sz w:val="22"/>
          <w:szCs w:val="22"/>
        </w:rPr>
        <w:t xml:space="preserve">4. </w:t>
      </w:r>
      <w:r w:rsidR="00F27EE9" w:rsidRPr="00B9179F">
        <w:rPr>
          <w:rFonts w:ascii="Arial" w:hAnsi="Arial" w:cs="Arial"/>
          <w:sz w:val="22"/>
          <w:szCs w:val="22"/>
        </w:rPr>
        <w:t>Evaluat</w:t>
      </w:r>
      <w:r>
        <w:rPr>
          <w:rFonts w:ascii="Arial" w:hAnsi="Arial" w:cs="Arial"/>
          <w:sz w:val="22"/>
          <w:szCs w:val="22"/>
        </w:rPr>
        <w:t>e</w:t>
      </w:r>
      <w:r w:rsidR="00F27EE9" w:rsidRPr="00B9179F">
        <w:rPr>
          <w:rFonts w:ascii="Arial" w:hAnsi="Arial" w:cs="Arial"/>
          <w:sz w:val="22"/>
          <w:szCs w:val="22"/>
        </w:rPr>
        <w:t xml:space="preserve"> strategies to promote employee engagement whiles implementing flexible working</w:t>
      </w:r>
    </w:p>
    <w:p w14:paraId="34242696" w14:textId="77777777" w:rsidR="002451DA" w:rsidRPr="00B9179F" w:rsidRDefault="002451DA" w:rsidP="00B9179F">
      <w:pPr>
        <w:spacing w:line="360" w:lineRule="auto"/>
        <w:rPr>
          <w:rFonts w:ascii="Arial" w:hAnsi="Arial" w:cs="Arial"/>
          <w:sz w:val="22"/>
          <w:szCs w:val="22"/>
        </w:rPr>
      </w:pPr>
    </w:p>
    <w:p w14:paraId="2E949B1C"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The transition towards flexible working arrangements can bring significant changes in how employees interact with their roles, colleagues, and the organisation as a whole. It's crucial to proactively promote employee engagement during this transition to maintain morale, productivity, and a sense of shared purpose (Kahn, 1990).</w:t>
      </w:r>
    </w:p>
    <w:p w14:paraId="160F541F"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Firstly, clear communication is fundamental to fostering engagement. Employees need to understand why the change is happening, what the expected benefits are, and how it will affect their daily work (Lewis, Hamel, &amp; Richardson, 2001). Transparent, timely, and two-way communication can help address any concerns, clarify expectations, and allow employees to voice their opinions and ideas on the new arrangements.</w:t>
      </w:r>
    </w:p>
    <w:p w14:paraId="651ADFA8"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Secondly, training can play a pivotal role. Training managers to effectively supervise flexible work and to support the mental well-being of remote employees is crucial (Allen, Golden, &amp; Shockley, 2015). Additionally, employees may benefit from training on time management, communication technologies, and self-care strategies to adapt to the new work arrangements (Hill, Ferris, &amp; </w:t>
      </w:r>
      <w:proofErr w:type="spellStart"/>
      <w:r w:rsidRPr="00B9179F">
        <w:rPr>
          <w:rFonts w:ascii="Arial" w:hAnsi="Arial" w:cs="Arial"/>
          <w:sz w:val="22"/>
          <w:szCs w:val="22"/>
        </w:rPr>
        <w:t>Märtinson</w:t>
      </w:r>
      <w:proofErr w:type="spellEnd"/>
      <w:r w:rsidRPr="00B9179F">
        <w:rPr>
          <w:rFonts w:ascii="Arial" w:hAnsi="Arial" w:cs="Arial"/>
          <w:sz w:val="22"/>
          <w:szCs w:val="22"/>
        </w:rPr>
        <w:t>, 2003).</w:t>
      </w:r>
    </w:p>
    <w:p w14:paraId="53032B4A"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Furthermore, creating opportunities for social interaction is essential to foster a sense of community and maintain the informal communication that can be lost in flexible working arrangements (Morrison, 2009). Regular virtual meetings, social media groups, or occasional in-person meetups can facilitate informal interactions and strengthen social bonds, fostering a sense of belonging and engagement (Hinds &amp; Cramton, 2014).</w:t>
      </w:r>
    </w:p>
    <w:p w14:paraId="3BA08801"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The implementation of flexible work should also consider the need for meaningful work. Employees want to feel that their work is meaningful and contributes to the broader organisational goals (Rosso, </w:t>
      </w:r>
      <w:proofErr w:type="spellStart"/>
      <w:r w:rsidRPr="00B9179F">
        <w:rPr>
          <w:rFonts w:ascii="Arial" w:hAnsi="Arial" w:cs="Arial"/>
          <w:sz w:val="22"/>
          <w:szCs w:val="22"/>
        </w:rPr>
        <w:t>Dekas</w:t>
      </w:r>
      <w:proofErr w:type="spellEnd"/>
      <w:r w:rsidRPr="00B9179F">
        <w:rPr>
          <w:rFonts w:ascii="Arial" w:hAnsi="Arial" w:cs="Arial"/>
          <w:sz w:val="22"/>
          <w:szCs w:val="22"/>
        </w:rPr>
        <w:t xml:space="preserve">, &amp; </w:t>
      </w:r>
      <w:proofErr w:type="spellStart"/>
      <w:r w:rsidRPr="00B9179F">
        <w:rPr>
          <w:rFonts w:ascii="Arial" w:hAnsi="Arial" w:cs="Arial"/>
          <w:sz w:val="22"/>
          <w:szCs w:val="22"/>
        </w:rPr>
        <w:t>Wrzesniewski</w:t>
      </w:r>
      <w:proofErr w:type="spellEnd"/>
      <w:r w:rsidRPr="00B9179F">
        <w:rPr>
          <w:rFonts w:ascii="Arial" w:hAnsi="Arial" w:cs="Arial"/>
          <w:sz w:val="22"/>
          <w:szCs w:val="22"/>
        </w:rPr>
        <w:t>, 2010). Aligning individual tasks with organisational objectives, and clearly communicating this alignment, can enhance the sense of purpose and engagement among employees.</w:t>
      </w:r>
    </w:p>
    <w:p w14:paraId="188E6B34"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Finally, recognition is key to engagement. Regular feedback and acknowledgement of employees' efforts and achievements can motivate and create a sense of belonging. This can be achieved through both formal recognition programs and informal acknowledgement in team meetings or one-on-one check-ins (Brun &amp; Dugas, 2008).</w:t>
      </w:r>
    </w:p>
    <w:p w14:paraId="2AB35F64" w14:textId="77777777" w:rsidR="002451DA" w:rsidRPr="00B9179F" w:rsidRDefault="002451DA" w:rsidP="00B9179F">
      <w:pPr>
        <w:spacing w:line="360" w:lineRule="auto"/>
        <w:ind w:firstLine="720"/>
        <w:rPr>
          <w:rFonts w:ascii="Arial" w:hAnsi="Arial" w:cs="Arial"/>
          <w:sz w:val="22"/>
          <w:szCs w:val="22"/>
        </w:rPr>
      </w:pPr>
      <w:r w:rsidRPr="00B9179F">
        <w:rPr>
          <w:rFonts w:ascii="Arial" w:hAnsi="Arial" w:cs="Arial"/>
          <w:sz w:val="22"/>
          <w:szCs w:val="22"/>
        </w:rPr>
        <w:t xml:space="preserve">In conclusion, promoting employee engagement during the transition to flexible working requires a multifaceted approach. Through clear communication, training, fostering social interactions, providing meaningful work, and recognising achievements, </w:t>
      </w:r>
      <w:proofErr w:type="spellStart"/>
      <w:r w:rsidRPr="00B9179F">
        <w:rPr>
          <w:rFonts w:ascii="Arial" w:hAnsi="Arial" w:cs="Arial"/>
          <w:sz w:val="22"/>
          <w:szCs w:val="22"/>
        </w:rPr>
        <w:t>GreenCo</w:t>
      </w:r>
      <w:proofErr w:type="spellEnd"/>
      <w:r w:rsidRPr="00B9179F">
        <w:rPr>
          <w:rFonts w:ascii="Arial" w:hAnsi="Arial" w:cs="Arial"/>
          <w:sz w:val="22"/>
          <w:szCs w:val="22"/>
        </w:rPr>
        <w:t xml:space="preserve"> can ensure that its employees remain engaged and productive amidst the shift to flexible work.</w:t>
      </w:r>
    </w:p>
    <w:p w14:paraId="6DB782DC" w14:textId="77777777" w:rsidR="002451DA" w:rsidRPr="00B9179F" w:rsidRDefault="002451DA" w:rsidP="00B9179F">
      <w:pPr>
        <w:spacing w:line="360" w:lineRule="auto"/>
        <w:rPr>
          <w:rFonts w:ascii="Arial" w:hAnsi="Arial" w:cs="Arial"/>
          <w:sz w:val="22"/>
          <w:szCs w:val="22"/>
        </w:rPr>
      </w:pPr>
    </w:p>
    <w:p w14:paraId="41412EB9" w14:textId="77777777" w:rsidR="00B9179F" w:rsidRPr="00B9179F" w:rsidRDefault="00B9179F" w:rsidP="00B9179F">
      <w:pPr>
        <w:spacing w:line="360" w:lineRule="auto"/>
        <w:rPr>
          <w:rFonts w:ascii="Arial" w:hAnsi="Arial" w:cs="Arial"/>
          <w:sz w:val="22"/>
          <w:szCs w:val="22"/>
        </w:rPr>
      </w:pPr>
    </w:p>
    <w:p w14:paraId="6573D0C2" w14:textId="640C2701" w:rsidR="00E01A07" w:rsidRDefault="00E01A07" w:rsidP="00B9179F">
      <w:pPr>
        <w:spacing w:line="360" w:lineRule="auto"/>
        <w:rPr>
          <w:rFonts w:ascii="Arial" w:hAnsi="Arial" w:cs="Arial"/>
          <w:sz w:val="22"/>
          <w:szCs w:val="22"/>
        </w:rPr>
      </w:pPr>
      <w:r w:rsidRPr="00B9179F">
        <w:rPr>
          <w:rFonts w:ascii="Arial" w:hAnsi="Arial" w:cs="Arial"/>
          <w:sz w:val="22"/>
          <w:szCs w:val="22"/>
        </w:rPr>
        <w:t>Reference List:</w:t>
      </w:r>
    </w:p>
    <w:p w14:paraId="05B9A62B" w14:textId="77777777" w:rsidR="00B9179F" w:rsidRPr="00B9179F" w:rsidRDefault="00B9179F" w:rsidP="00B9179F">
      <w:pPr>
        <w:spacing w:line="360" w:lineRule="auto"/>
        <w:rPr>
          <w:rFonts w:ascii="Arial" w:hAnsi="Arial" w:cs="Arial"/>
          <w:sz w:val="22"/>
          <w:szCs w:val="22"/>
        </w:rPr>
      </w:pPr>
    </w:p>
    <w:p w14:paraId="271C87B5" w14:textId="77777777"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Allen, T. D., Golden, T. D., &amp; Shockley, K. M. (2015). How effective is telecommuting? Assessing the status of our scientific findings. Psychological Science in the Public Interest, 16(2), 40-68.</w:t>
      </w:r>
    </w:p>
    <w:p w14:paraId="2E6D336E" w14:textId="77777777" w:rsidR="00B9179F" w:rsidRDefault="00B9179F" w:rsidP="00B9179F">
      <w:pPr>
        <w:spacing w:line="360" w:lineRule="auto"/>
        <w:rPr>
          <w:rFonts w:ascii="Arial" w:hAnsi="Arial" w:cs="Arial"/>
          <w:sz w:val="22"/>
          <w:szCs w:val="22"/>
        </w:rPr>
      </w:pPr>
    </w:p>
    <w:p w14:paraId="0C8EED72" w14:textId="3E286310" w:rsidR="00E01A07" w:rsidRPr="00B9179F" w:rsidRDefault="00E01A07" w:rsidP="00B9179F">
      <w:pPr>
        <w:spacing w:line="360" w:lineRule="auto"/>
        <w:rPr>
          <w:rFonts w:ascii="Arial" w:hAnsi="Arial" w:cs="Arial"/>
          <w:sz w:val="22"/>
          <w:szCs w:val="22"/>
        </w:rPr>
      </w:pPr>
      <w:proofErr w:type="spellStart"/>
      <w:r w:rsidRPr="00B9179F">
        <w:rPr>
          <w:rFonts w:ascii="Arial" w:hAnsi="Arial" w:cs="Arial"/>
          <w:sz w:val="22"/>
          <w:szCs w:val="22"/>
        </w:rPr>
        <w:t>Askenazy</w:t>
      </w:r>
      <w:proofErr w:type="spellEnd"/>
      <w:r w:rsidRPr="00B9179F">
        <w:rPr>
          <w:rFonts w:ascii="Arial" w:hAnsi="Arial" w:cs="Arial"/>
          <w:sz w:val="22"/>
          <w:szCs w:val="22"/>
        </w:rPr>
        <w:t>, P. (2001). Innovative workplace practices and occupational injuries and illnesses in the United States. Economic and Industrial Democracy, 22(4), 485-516.</w:t>
      </w:r>
    </w:p>
    <w:p w14:paraId="6EB2F7B2" w14:textId="77777777" w:rsidR="00B9179F" w:rsidRDefault="00B9179F" w:rsidP="00B9179F">
      <w:pPr>
        <w:spacing w:line="360" w:lineRule="auto"/>
        <w:rPr>
          <w:rFonts w:ascii="Arial" w:hAnsi="Arial" w:cs="Arial"/>
          <w:sz w:val="22"/>
          <w:szCs w:val="22"/>
        </w:rPr>
      </w:pPr>
    </w:p>
    <w:p w14:paraId="6237D4DA" w14:textId="2E5ADBE7"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Bloom, N., Liang, J., Roberts, J., &amp; Ying, Z. J. (2015). Does working from home work? Evidence from a Chinese experiment. The Quarterly Journal of Economics, 130(1), 165-218.</w:t>
      </w:r>
    </w:p>
    <w:p w14:paraId="2BD6F13F" w14:textId="77777777" w:rsidR="00B9179F" w:rsidRDefault="00B9179F" w:rsidP="00B9179F">
      <w:pPr>
        <w:spacing w:line="360" w:lineRule="auto"/>
        <w:rPr>
          <w:rFonts w:ascii="Arial" w:hAnsi="Arial" w:cs="Arial"/>
          <w:sz w:val="22"/>
          <w:szCs w:val="22"/>
        </w:rPr>
      </w:pPr>
    </w:p>
    <w:p w14:paraId="12ED9001" w14:textId="62D54C24"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Bryant, P. C., &amp; Allen, D. G. (2020). Compensation, benefits and employee turnover: HR strategies for retaining top talent. Compensation &amp; Benefits Review, 52(3), 123-137.</w:t>
      </w:r>
    </w:p>
    <w:p w14:paraId="2B7231CE" w14:textId="77777777" w:rsidR="00B9179F" w:rsidRDefault="00B9179F" w:rsidP="00B9179F">
      <w:pPr>
        <w:spacing w:line="360" w:lineRule="auto"/>
        <w:rPr>
          <w:rFonts w:ascii="Arial" w:hAnsi="Arial" w:cs="Arial"/>
          <w:sz w:val="22"/>
          <w:szCs w:val="22"/>
        </w:rPr>
      </w:pPr>
    </w:p>
    <w:p w14:paraId="3EBA43EA" w14:textId="6FF1D480"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Brun, J. P., &amp; Dugas, N. (2008). An analysis of employee recognition: Perspectives on human resources practices. The International Journal of Human Resource Management, 19(4), 716-730.</w:t>
      </w:r>
    </w:p>
    <w:p w14:paraId="6EEF2962" w14:textId="77777777" w:rsidR="00B9179F" w:rsidRDefault="00B9179F" w:rsidP="00B9179F">
      <w:pPr>
        <w:spacing w:line="360" w:lineRule="auto"/>
        <w:rPr>
          <w:rFonts w:ascii="Arial" w:hAnsi="Arial" w:cs="Arial"/>
          <w:sz w:val="22"/>
          <w:szCs w:val="22"/>
        </w:rPr>
      </w:pPr>
    </w:p>
    <w:p w14:paraId="0ACC41C7" w14:textId="56ED76B0" w:rsidR="00E01A07" w:rsidRPr="00B9179F" w:rsidRDefault="00E01A07" w:rsidP="00B9179F">
      <w:pPr>
        <w:spacing w:line="360" w:lineRule="auto"/>
        <w:rPr>
          <w:rFonts w:ascii="Arial" w:hAnsi="Arial" w:cs="Arial"/>
          <w:sz w:val="22"/>
          <w:szCs w:val="22"/>
        </w:rPr>
      </w:pPr>
      <w:proofErr w:type="spellStart"/>
      <w:r w:rsidRPr="00B9179F">
        <w:rPr>
          <w:rFonts w:ascii="Arial" w:hAnsi="Arial" w:cs="Arial"/>
          <w:sz w:val="22"/>
          <w:szCs w:val="22"/>
        </w:rPr>
        <w:t>Eurofound</w:t>
      </w:r>
      <w:proofErr w:type="spellEnd"/>
      <w:r w:rsidRPr="00B9179F">
        <w:rPr>
          <w:rFonts w:ascii="Arial" w:hAnsi="Arial" w:cs="Arial"/>
          <w:sz w:val="22"/>
          <w:szCs w:val="22"/>
        </w:rPr>
        <w:t xml:space="preserve"> and the International Labour Office. (2017). Working anytime, anywhere: The effects on the world of work. Publications Office of the European Union, Luxembourg, and the International Labour Office, Geneva.</w:t>
      </w:r>
    </w:p>
    <w:p w14:paraId="4F385780" w14:textId="77777777" w:rsidR="00B9179F" w:rsidRDefault="00B9179F" w:rsidP="00B9179F">
      <w:pPr>
        <w:spacing w:line="360" w:lineRule="auto"/>
        <w:rPr>
          <w:rFonts w:ascii="Arial" w:hAnsi="Arial" w:cs="Arial"/>
          <w:sz w:val="22"/>
          <w:szCs w:val="22"/>
        </w:rPr>
      </w:pPr>
    </w:p>
    <w:p w14:paraId="590413A2" w14:textId="68138092"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 xml:space="preserve">Felstead, A., &amp; </w:t>
      </w:r>
      <w:proofErr w:type="spellStart"/>
      <w:r w:rsidRPr="00B9179F">
        <w:rPr>
          <w:rFonts w:ascii="Arial" w:hAnsi="Arial" w:cs="Arial"/>
          <w:sz w:val="22"/>
          <w:szCs w:val="22"/>
        </w:rPr>
        <w:t>Henseke</w:t>
      </w:r>
      <w:proofErr w:type="spellEnd"/>
      <w:r w:rsidRPr="00B9179F">
        <w:rPr>
          <w:rFonts w:ascii="Arial" w:hAnsi="Arial" w:cs="Arial"/>
          <w:sz w:val="22"/>
          <w:szCs w:val="22"/>
        </w:rPr>
        <w:t>, G. (2017). Assessing the growth of remote working and its consequences for effort, well-being and work-life balance. New Technology, Work and Employment, 32(3), 195-212.</w:t>
      </w:r>
    </w:p>
    <w:p w14:paraId="6C63E6C4" w14:textId="77777777" w:rsidR="00B9179F" w:rsidRDefault="00B9179F" w:rsidP="00B9179F">
      <w:pPr>
        <w:spacing w:line="360" w:lineRule="auto"/>
        <w:rPr>
          <w:rFonts w:ascii="Arial" w:hAnsi="Arial" w:cs="Arial"/>
          <w:sz w:val="22"/>
          <w:szCs w:val="22"/>
        </w:rPr>
      </w:pPr>
    </w:p>
    <w:p w14:paraId="0C720B5E" w14:textId="3F81AA02"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Gerhart, B., &amp; Fang, M. (2014). Pay for (individual) performance: Issues, claims, evidence and the role of sorting effects. Human Resource Management Review, 24(1), 41-52.</w:t>
      </w:r>
    </w:p>
    <w:p w14:paraId="358E467F" w14:textId="77777777" w:rsidR="00B9179F" w:rsidRDefault="00B9179F" w:rsidP="00B9179F">
      <w:pPr>
        <w:spacing w:line="360" w:lineRule="auto"/>
        <w:rPr>
          <w:rFonts w:ascii="Arial" w:hAnsi="Arial" w:cs="Arial"/>
          <w:sz w:val="22"/>
          <w:szCs w:val="22"/>
        </w:rPr>
      </w:pPr>
    </w:p>
    <w:p w14:paraId="0E2ABCA4" w14:textId="353519E5"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Grant, C. A., Wallace, L. M., &amp; Spurgeon, P. C. (2013). An exploration of the psychological factors affecting remote e-worker's job effectiveness, well-being and work-life balance. Employee Relations, 35(5), 527-546.</w:t>
      </w:r>
    </w:p>
    <w:p w14:paraId="1BBB5B76" w14:textId="77777777" w:rsidR="00B9179F" w:rsidRDefault="00B9179F" w:rsidP="00B9179F">
      <w:pPr>
        <w:spacing w:line="360" w:lineRule="auto"/>
        <w:rPr>
          <w:rFonts w:ascii="Arial" w:hAnsi="Arial" w:cs="Arial"/>
          <w:sz w:val="22"/>
          <w:szCs w:val="22"/>
        </w:rPr>
      </w:pPr>
    </w:p>
    <w:p w14:paraId="1893887E" w14:textId="512F3970"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 xml:space="preserve">Hill, E. J., Ferris, M., &amp; </w:t>
      </w:r>
      <w:proofErr w:type="spellStart"/>
      <w:r w:rsidRPr="00B9179F">
        <w:rPr>
          <w:rFonts w:ascii="Arial" w:hAnsi="Arial" w:cs="Arial"/>
          <w:sz w:val="22"/>
          <w:szCs w:val="22"/>
        </w:rPr>
        <w:t>Märtinson</w:t>
      </w:r>
      <w:proofErr w:type="spellEnd"/>
      <w:r w:rsidRPr="00B9179F">
        <w:rPr>
          <w:rFonts w:ascii="Arial" w:hAnsi="Arial" w:cs="Arial"/>
          <w:sz w:val="22"/>
          <w:szCs w:val="22"/>
        </w:rPr>
        <w:t xml:space="preserve">, V. (2003). Does it matter where you work? A comparison of how three work venues (traditional office, virtual office, and home office) influence aspects of work and personal/family life. Journal of Vocational </w:t>
      </w:r>
      <w:proofErr w:type="spellStart"/>
      <w:r w:rsidRPr="00B9179F">
        <w:rPr>
          <w:rFonts w:ascii="Arial" w:hAnsi="Arial" w:cs="Arial"/>
          <w:sz w:val="22"/>
          <w:szCs w:val="22"/>
        </w:rPr>
        <w:t>Behavior</w:t>
      </w:r>
      <w:proofErr w:type="spellEnd"/>
      <w:r w:rsidRPr="00B9179F">
        <w:rPr>
          <w:rFonts w:ascii="Arial" w:hAnsi="Arial" w:cs="Arial"/>
          <w:sz w:val="22"/>
          <w:szCs w:val="22"/>
        </w:rPr>
        <w:t>, 63(2), 220-241.</w:t>
      </w:r>
    </w:p>
    <w:p w14:paraId="79B33831" w14:textId="77777777" w:rsidR="00B9179F" w:rsidRDefault="00B9179F" w:rsidP="00B9179F">
      <w:pPr>
        <w:spacing w:line="360" w:lineRule="auto"/>
        <w:rPr>
          <w:rFonts w:ascii="Arial" w:hAnsi="Arial" w:cs="Arial"/>
          <w:sz w:val="22"/>
          <w:szCs w:val="22"/>
        </w:rPr>
      </w:pPr>
    </w:p>
    <w:p w14:paraId="6EE803FD" w14:textId="7DB090E2"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Hinds, P., &amp; Cramton, C. D. (2014). Situated coworker familiarity: How site visits transform relationships among distributed workers. Organization Science, 25(3), 794-814.</w:t>
      </w:r>
    </w:p>
    <w:p w14:paraId="1B36F7A2" w14:textId="77777777" w:rsidR="00B9179F" w:rsidRDefault="00B9179F" w:rsidP="00B9179F">
      <w:pPr>
        <w:spacing w:line="360" w:lineRule="auto"/>
        <w:rPr>
          <w:rFonts w:ascii="Arial" w:hAnsi="Arial" w:cs="Arial"/>
          <w:sz w:val="22"/>
          <w:szCs w:val="22"/>
        </w:rPr>
      </w:pPr>
    </w:p>
    <w:p w14:paraId="55EE0648" w14:textId="6B7FA702"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Hinds, P. J., &amp; Bailey, D. E. (2003). Out of sight, out of sync: Understanding conflict in distributed teams. Organization science, 14(6), 615-632.</w:t>
      </w:r>
    </w:p>
    <w:p w14:paraId="3083250D" w14:textId="77777777" w:rsidR="00B9179F" w:rsidRDefault="00B9179F" w:rsidP="00B9179F">
      <w:pPr>
        <w:spacing w:line="360" w:lineRule="auto"/>
        <w:rPr>
          <w:rFonts w:ascii="Arial" w:hAnsi="Arial" w:cs="Arial"/>
          <w:sz w:val="22"/>
          <w:szCs w:val="22"/>
        </w:rPr>
      </w:pPr>
    </w:p>
    <w:p w14:paraId="2773DE49" w14:textId="26C6B7BA"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Kahn, W. A. (1990). Psychological conditions of personal engagement and disengagement at work. Academy of management journal, 33(4), 692-724.</w:t>
      </w:r>
    </w:p>
    <w:p w14:paraId="237E6CBB" w14:textId="77777777" w:rsidR="00B9179F" w:rsidRDefault="00B9179F" w:rsidP="00B9179F">
      <w:pPr>
        <w:spacing w:line="360" w:lineRule="auto"/>
        <w:rPr>
          <w:rFonts w:ascii="Arial" w:hAnsi="Arial" w:cs="Arial"/>
          <w:sz w:val="22"/>
          <w:szCs w:val="22"/>
        </w:rPr>
      </w:pPr>
    </w:p>
    <w:p w14:paraId="2323601A" w14:textId="32312C54"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Lewis, L. K., Hamel, S. A., &amp; Richardson, B. K. (2001). Communicating change to nonprofit stakeholders: Models and predictors of implementers' approaches. Management Communication Quarterly, 15(1), 5-41.</w:t>
      </w:r>
    </w:p>
    <w:p w14:paraId="505BE0C7" w14:textId="77777777" w:rsidR="00B9179F" w:rsidRDefault="00B9179F" w:rsidP="00B9179F">
      <w:pPr>
        <w:spacing w:line="360" w:lineRule="auto"/>
        <w:rPr>
          <w:rFonts w:ascii="Arial" w:hAnsi="Arial" w:cs="Arial"/>
          <w:sz w:val="22"/>
          <w:szCs w:val="22"/>
        </w:rPr>
      </w:pPr>
    </w:p>
    <w:p w14:paraId="1F2A8729" w14:textId="441E1015"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Morrison, R. L. (2009). Are women tending and befriending in the workplace? Gender differences in the relationship between workplace friendships and organizational outcomes. Sex Roles, 60(1-2), 1-13.</w:t>
      </w:r>
    </w:p>
    <w:p w14:paraId="5A2796D6" w14:textId="77777777" w:rsidR="00B9179F" w:rsidRDefault="00B9179F" w:rsidP="00B9179F">
      <w:pPr>
        <w:spacing w:line="360" w:lineRule="auto"/>
        <w:rPr>
          <w:rFonts w:ascii="Arial" w:hAnsi="Arial" w:cs="Arial"/>
          <w:sz w:val="22"/>
          <w:szCs w:val="22"/>
        </w:rPr>
      </w:pPr>
    </w:p>
    <w:p w14:paraId="3D8FEED6" w14:textId="6FCB0264"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Pfeffer, J., &amp; Sutton, R. I. (2006). Evidence-based management. Harvard Business Review, 84(1), 62-74.</w:t>
      </w:r>
    </w:p>
    <w:p w14:paraId="11E44DE8" w14:textId="77777777" w:rsidR="00B9179F" w:rsidRDefault="00B9179F" w:rsidP="00B9179F">
      <w:pPr>
        <w:spacing w:line="360" w:lineRule="auto"/>
        <w:rPr>
          <w:rFonts w:ascii="Arial" w:hAnsi="Arial" w:cs="Arial"/>
          <w:sz w:val="22"/>
          <w:szCs w:val="22"/>
        </w:rPr>
      </w:pPr>
    </w:p>
    <w:p w14:paraId="55CA5165" w14:textId="3BD267C9" w:rsidR="00E01A07" w:rsidRPr="00B9179F" w:rsidRDefault="00E01A07" w:rsidP="00B9179F">
      <w:pPr>
        <w:spacing w:line="360" w:lineRule="auto"/>
        <w:rPr>
          <w:rFonts w:ascii="Arial" w:hAnsi="Arial" w:cs="Arial"/>
          <w:sz w:val="22"/>
          <w:szCs w:val="22"/>
        </w:rPr>
      </w:pPr>
      <w:proofErr w:type="spellStart"/>
      <w:r w:rsidRPr="00B9179F">
        <w:rPr>
          <w:rFonts w:ascii="Arial" w:hAnsi="Arial" w:cs="Arial"/>
          <w:sz w:val="22"/>
          <w:szCs w:val="22"/>
        </w:rPr>
        <w:t>Pyöriä</w:t>
      </w:r>
      <w:proofErr w:type="spellEnd"/>
      <w:r w:rsidRPr="00B9179F">
        <w:rPr>
          <w:rFonts w:ascii="Arial" w:hAnsi="Arial" w:cs="Arial"/>
          <w:sz w:val="22"/>
          <w:szCs w:val="22"/>
        </w:rPr>
        <w:t>, P. (2011). Managing telework: risks, fears and rules. Management Research Review, 34(4), 386-399.</w:t>
      </w:r>
    </w:p>
    <w:p w14:paraId="166D2EA6" w14:textId="77777777" w:rsidR="00B9179F" w:rsidRDefault="00B9179F" w:rsidP="00B9179F">
      <w:pPr>
        <w:spacing w:line="360" w:lineRule="auto"/>
        <w:rPr>
          <w:rFonts w:ascii="Arial" w:hAnsi="Arial" w:cs="Arial"/>
          <w:sz w:val="22"/>
          <w:szCs w:val="22"/>
        </w:rPr>
      </w:pPr>
    </w:p>
    <w:p w14:paraId="4DA17EBC" w14:textId="7E8D867C" w:rsidR="00E01A07" w:rsidRPr="00B9179F" w:rsidRDefault="00E01A07" w:rsidP="00B9179F">
      <w:pPr>
        <w:spacing w:line="360" w:lineRule="auto"/>
        <w:rPr>
          <w:rFonts w:ascii="Arial" w:hAnsi="Arial" w:cs="Arial"/>
          <w:sz w:val="22"/>
          <w:szCs w:val="22"/>
        </w:rPr>
      </w:pPr>
      <w:r w:rsidRPr="00B9179F">
        <w:rPr>
          <w:rFonts w:ascii="Arial" w:hAnsi="Arial" w:cs="Arial"/>
          <w:sz w:val="22"/>
          <w:szCs w:val="22"/>
        </w:rPr>
        <w:t xml:space="preserve">Rosso, B. D., </w:t>
      </w:r>
      <w:proofErr w:type="spellStart"/>
      <w:r w:rsidRPr="00B9179F">
        <w:rPr>
          <w:rFonts w:ascii="Arial" w:hAnsi="Arial" w:cs="Arial"/>
          <w:sz w:val="22"/>
          <w:szCs w:val="22"/>
        </w:rPr>
        <w:t>Dekas</w:t>
      </w:r>
      <w:proofErr w:type="spellEnd"/>
      <w:r w:rsidRPr="00B9179F">
        <w:rPr>
          <w:rFonts w:ascii="Arial" w:hAnsi="Arial" w:cs="Arial"/>
          <w:sz w:val="22"/>
          <w:szCs w:val="22"/>
        </w:rPr>
        <w:t xml:space="preserve">, K. H., &amp; </w:t>
      </w:r>
      <w:proofErr w:type="spellStart"/>
      <w:r w:rsidRPr="00B9179F">
        <w:rPr>
          <w:rFonts w:ascii="Arial" w:hAnsi="Arial" w:cs="Arial"/>
          <w:sz w:val="22"/>
          <w:szCs w:val="22"/>
        </w:rPr>
        <w:t>Wrzesniewski</w:t>
      </w:r>
      <w:proofErr w:type="spellEnd"/>
      <w:r w:rsidRPr="00B9179F">
        <w:rPr>
          <w:rFonts w:ascii="Arial" w:hAnsi="Arial" w:cs="Arial"/>
          <w:sz w:val="22"/>
          <w:szCs w:val="22"/>
        </w:rPr>
        <w:t xml:space="preserve">, A. (2010). On the meaning of work: A theoretical integration and review. Research in Organizational </w:t>
      </w:r>
      <w:proofErr w:type="spellStart"/>
      <w:r w:rsidRPr="00B9179F">
        <w:rPr>
          <w:rFonts w:ascii="Arial" w:hAnsi="Arial" w:cs="Arial"/>
          <w:sz w:val="22"/>
          <w:szCs w:val="22"/>
        </w:rPr>
        <w:t>Behavior</w:t>
      </w:r>
      <w:proofErr w:type="spellEnd"/>
      <w:r w:rsidRPr="00B9179F">
        <w:rPr>
          <w:rFonts w:ascii="Arial" w:hAnsi="Arial" w:cs="Arial"/>
          <w:sz w:val="22"/>
          <w:szCs w:val="22"/>
        </w:rPr>
        <w:t>, 30, 91-127.</w:t>
      </w:r>
    </w:p>
    <w:p w14:paraId="1360DA32" w14:textId="77777777" w:rsidR="00B9179F" w:rsidRDefault="00B9179F" w:rsidP="00B9179F">
      <w:pPr>
        <w:spacing w:line="360" w:lineRule="auto"/>
        <w:rPr>
          <w:rFonts w:ascii="Arial" w:hAnsi="Arial" w:cs="Arial"/>
          <w:sz w:val="22"/>
          <w:szCs w:val="22"/>
        </w:rPr>
      </w:pPr>
    </w:p>
    <w:p w14:paraId="4C58A65A" w14:textId="345C736A" w:rsidR="00F27EE9" w:rsidRPr="00B9179F" w:rsidRDefault="00E01A07" w:rsidP="00B9179F">
      <w:pPr>
        <w:spacing w:line="360" w:lineRule="auto"/>
        <w:rPr>
          <w:rFonts w:ascii="Arial" w:hAnsi="Arial" w:cs="Arial"/>
          <w:sz w:val="22"/>
          <w:szCs w:val="22"/>
        </w:rPr>
      </w:pPr>
      <w:r w:rsidRPr="00B9179F">
        <w:rPr>
          <w:rFonts w:ascii="Arial" w:hAnsi="Arial" w:cs="Arial"/>
          <w:sz w:val="22"/>
          <w:szCs w:val="22"/>
        </w:rPr>
        <w:t>Steward, B. (2000). Changing times: The meaning, measurement and use of time in teleworking. Time &amp; Society, 9(1), 57-74.</w:t>
      </w:r>
    </w:p>
    <w:sectPr w:rsidR="00F27EE9" w:rsidRPr="00B91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num w:numId="1" w16cid:durableId="350685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E9"/>
    <w:rsid w:val="00121A7F"/>
    <w:rsid w:val="002451DA"/>
    <w:rsid w:val="008A0559"/>
    <w:rsid w:val="00B9179F"/>
    <w:rsid w:val="00BE0DE3"/>
    <w:rsid w:val="00E01A07"/>
    <w:rsid w:val="00F27EE9"/>
    <w:rsid w:val="00FC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258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EE9"/>
    <w:pPr>
      <w:spacing w:after="1" w:line="239" w:lineRule="auto"/>
      <w:ind w:left="720" w:right="209" w:hanging="10"/>
      <w:contextualSpacing/>
      <w:jc w:val="both"/>
    </w:pPr>
    <w:rPr>
      <w:rFonts w:ascii="Arial" w:eastAsia="Arial" w:hAnsi="Arial" w:cs="Arial"/>
      <w:color w:val="000000"/>
      <w:kern w:val="0"/>
      <w:sz w:val="22"/>
      <w:szCs w:val="22"/>
      <w:lang w:eastAsia="en-GB"/>
      <w14:ligatures w14:val="none"/>
    </w:rPr>
  </w:style>
  <w:style w:type="paragraph" w:styleId="NormalWeb">
    <w:name w:val="Normal (Web)"/>
    <w:basedOn w:val="Normal"/>
    <w:uiPriority w:val="99"/>
    <w:semiHidden/>
    <w:unhideWhenUsed/>
    <w:rsid w:val="002451DA"/>
    <w:pPr>
      <w:spacing w:before="100" w:beforeAutospacing="1" w:after="100" w:afterAutospacing="1"/>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E01A07"/>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01A07"/>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E01A07"/>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01A07"/>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08648">
      <w:bodyDiv w:val="1"/>
      <w:marLeft w:val="0"/>
      <w:marRight w:val="0"/>
      <w:marTop w:val="0"/>
      <w:marBottom w:val="0"/>
      <w:divBdr>
        <w:top w:val="none" w:sz="0" w:space="0" w:color="auto"/>
        <w:left w:val="none" w:sz="0" w:space="0" w:color="auto"/>
        <w:bottom w:val="none" w:sz="0" w:space="0" w:color="auto"/>
        <w:right w:val="none" w:sz="0" w:space="0" w:color="auto"/>
      </w:divBdr>
    </w:div>
    <w:div w:id="481971305">
      <w:bodyDiv w:val="1"/>
      <w:marLeft w:val="0"/>
      <w:marRight w:val="0"/>
      <w:marTop w:val="0"/>
      <w:marBottom w:val="0"/>
      <w:divBdr>
        <w:top w:val="none" w:sz="0" w:space="0" w:color="auto"/>
        <w:left w:val="none" w:sz="0" w:space="0" w:color="auto"/>
        <w:bottom w:val="none" w:sz="0" w:space="0" w:color="auto"/>
        <w:right w:val="none" w:sz="0" w:space="0" w:color="auto"/>
      </w:divBdr>
    </w:div>
    <w:div w:id="1164929532">
      <w:bodyDiv w:val="1"/>
      <w:marLeft w:val="0"/>
      <w:marRight w:val="0"/>
      <w:marTop w:val="0"/>
      <w:marBottom w:val="0"/>
      <w:divBdr>
        <w:top w:val="none" w:sz="0" w:space="0" w:color="auto"/>
        <w:left w:val="none" w:sz="0" w:space="0" w:color="auto"/>
        <w:bottom w:val="none" w:sz="0" w:space="0" w:color="auto"/>
        <w:right w:val="none" w:sz="0" w:space="0" w:color="auto"/>
      </w:divBdr>
    </w:div>
    <w:div w:id="1320957632">
      <w:bodyDiv w:val="1"/>
      <w:marLeft w:val="0"/>
      <w:marRight w:val="0"/>
      <w:marTop w:val="0"/>
      <w:marBottom w:val="0"/>
      <w:divBdr>
        <w:top w:val="none" w:sz="0" w:space="0" w:color="auto"/>
        <w:left w:val="none" w:sz="0" w:space="0" w:color="auto"/>
        <w:bottom w:val="none" w:sz="0" w:space="0" w:color="auto"/>
        <w:right w:val="none" w:sz="0" w:space="0" w:color="auto"/>
      </w:divBdr>
    </w:div>
    <w:div w:id="1829898695">
      <w:bodyDiv w:val="1"/>
      <w:marLeft w:val="0"/>
      <w:marRight w:val="0"/>
      <w:marTop w:val="0"/>
      <w:marBottom w:val="0"/>
      <w:divBdr>
        <w:top w:val="none" w:sz="0" w:space="0" w:color="auto"/>
        <w:left w:val="none" w:sz="0" w:space="0" w:color="auto"/>
        <w:bottom w:val="none" w:sz="0" w:space="0" w:color="auto"/>
        <w:right w:val="none" w:sz="0" w:space="0" w:color="auto"/>
      </w:divBdr>
      <w:divsChild>
        <w:div w:id="914780024">
          <w:marLeft w:val="0"/>
          <w:marRight w:val="0"/>
          <w:marTop w:val="0"/>
          <w:marBottom w:val="0"/>
          <w:divBdr>
            <w:top w:val="single" w:sz="2" w:space="0" w:color="D9D9E3"/>
            <w:left w:val="single" w:sz="2" w:space="0" w:color="D9D9E3"/>
            <w:bottom w:val="single" w:sz="2" w:space="0" w:color="D9D9E3"/>
            <w:right w:val="single" w:sz="2" w:space="0" w:color="D9D9E3"/>
          </w:divBdr>
          <w:divsChild>
            <w:div w:id="1845897427">
              <w:marLeft w:val="0"/>
              <w:marRight w:val="0"/>
              <w:marTop w:val="0"/>
              <w:marBottom w:val="0"/>
              <w:divBdr>
                <w:top w:val="single" w:sz="2" w:space="0" w:color="D9D9E3"/>
                <w:left w:val="single" w:sz="2" w:space="0" w:color="D9D9E3"/>
                <w:bottom w:val="single" w:sz="2" w:space="0" w:color="D9D9E3"/>
                <w:right w:val="single" w:sz="2" w:space="0" w:color="D9D9E3"/>
              </w:divBdr>
              <w:divsChild>
                <w:div w:id="1166703971">
                  <w:marLeft w:val="0"/>
                  <w:marRight w:val="0"/>
                  <w:marTop w:val="0"/>
                  <w:marBottom w:val="0"/>
                  <w:divBdr>
                    <w:top w:val="single" w:sz="2" w:space="0" w:color="D9D9E3"/>
                    <w:left w:val="single" w:sz="2" w:space="0" w:color="D9D9E3"/>
                    <w:bottom w:val="single" w:sz="2" w:space="0" w:color="D9D9E3"/>
                    <w:right w:val="single" w:sz="2" w:space="0" w:color="D9D9E3"/>
                  </w:divBdr>
                  <w:divsChild>
                    <w:div w:id="1881698220">
                      <w:marLeft w:val="0"/>
                      <w:marRight w:val="0"/>
                      <w:marTop w:val="0"/>
                      <w:marBottom w:val="0"/>
                      <w:divBdr>
                        <w:top w:val="single" w:sz="2" w:space="0" w:color="D9D9E3"/>
                        <w:left w:val="single" w:sz="2" w:space="0" w:color="D9D9E3"/>
                        <w:bottom w:val="single" w:sz="2" w:space="0" w:color="D9D9E3"/>
                        <w:right w:val="single" w:sz="2" w:space="0" w:color="D9D9E3"/>
                      </w:divBdr>
                      <w:divsChild>
                        <w:div w:id="939333079">
                          <w:marLeft w:val="0"/>
                          <w:marRight w:val="0"/>
                          <w:marTop w:val="0"/>
                          <w:marBottom w:val="0"/>
                          <w:divBdr>
                            <w:top w:val="single" w:sz="2" w:space="0" w:color="auto"/>
                            <w:left w:val="single" w:sz="2" w:space="0" w:color="auto"/>
                            <w:bottom w:val="single" w:sz="6" w:space="0" w:color="auto"/>
                            <w:right w:val="single" w:sz="2" w:space="0" w:color="auto"/>
                          </w:divBdr>
                          <w:divsChild>
                            <w:div w:id="1198153863">
                              <w:marLeft w:val="0"/>
                              <w:marRight w:val="0"/>
                              <w:marTop w:val="100"/>
                              <w:marBottom w:val="100"/>
                              <w:divBdr>
                                <w:top w:val="single" w:sz="2" w:space="0" w:color="D9D9E3"/>
                                <w:left w:val="single" w:sz="2" w:space="0" w:color="D9D9E3"/>
                                <w:bottom w:val="single" w:sz="2" w:space="0" w:color="D9D9E3"/>
                                <w:right w:val="single" w:sz="2" w:space="0" w:color="D9D9E3"/>
                              </w:divBdr>
                              <w:divsChild>
                                <w:div w:id="259997532">
                                  <w:marLeft w:val="0"/>
                                  <w:marRight w:val="0"/>
                                  <w:marTop w:val="0"/>
                                  <w:marBottom w:val="0"/>
                                  <w:divBdr>
                                    <w:top w:val="single" w:sz="2" w:space="0" w:color="D9D9E3"/>
                                    <w:left w:val="single" w:sz="2" w:space="0" w:color="D9D9E3"/>
                                    <w:bottom w:val="single" w:sz="2" w:space="0" w:color="D9D9E3"/>
                                    <w:right w:val="single" w:sz="2" w:space="0" w:color="D9D9E3"/>
                                  </w:divBdr>
                                  <w:divsChild>
                                    <w:div w:id="79497037">
                                      <w:marLeft w:val="0"/>
                                      <w:marRight w:val="0"/>
                                      <w:marTop w:val="0"/>
                                      <w:marBottom w:val="0"/>
                                      <w:divBdr>
                                        <w:top w:val="single" w:sz="2" w:space="0" w:color="D9D9E3"/>
                                        <w:left w:val="single" w:sz="2" w:space="0" w:color="D9D9E3"/>
                                        <w:bottom w:val="single" w:sz="2" w:space="0" w:color="D9D9E3"/>
                                        <w:right w:val="single" w:sz="2" w:space="0" w:color="D9D9E3"/>
                                      </w:divBdr>
                                      <w:divsChild>
                                        <w:div w:id="156311214">
                                          <w:marLeft w:val="0"/>
                                          <w:marRight w:val="0"/>
                                          <w:marTop w:val="0"/>
                                          <w:marBottom w:val="0"/>
                                          <w:divBdr>
                                            <w:top w:val="single" w:sz="2" w:space="0" w:color="D9D9E3"/>
                                            <w:left w:val="single" w:sz="2" w:space="0" w:color="D9D9E3"/>
                                            <w:bottom w:val="single" w:sz="2" w:space="0" w:color="D9D9E3"/>
                                            <w:right w:val="single" w:sz="2" w:space="0" w:color="D9D9E3"/>
                                          </w:divBdr>
                                          <w:divsChild>
                                            <w:div w:id="1325233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5594408">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2023-07-22T15:46:00Z</dcterms:created>
  <dcterms:modified xsi:type="dcterms:W3CDTF">2023-07-22T15:46:00Z</dcterms:modified>
</cp:coreProperties>
</file>