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DD968" w14:textId="4407F9D6" w:rsidR="009F6EFD" w:rsidRPr="00B314E6" w:rsidRDefault="008511A9" w:rsidP="009F6EFD">
      <w:pPr>
        <w:pStyle w:val="NormalWeb"/>
        <w:rPr>
          <w:rStyle w:val="Strong"/>
          <w:rFonts w:asciiTheme="majorHAnsi" w:eastAsiaTheme="majorEastAsia" w:hAnsiTheme="majorHAnsi"/>
          <w:color w:val="000000"/>
        </w:rPr>
      </w:pPr>
      <w:r>
        <w:rPr>
          <w:noProof/>
        </w:rPr>
        <w:drawing>
          <wp:anchor distT="0" distB="0" distL="114300" distR="114300" simplePos="0" relativeHeight="251658240" behindDoc="1" locked="0" layoutInCell="1" allowOverlap="1" wp14:anchorId="606B6C07" wp14:editId="578CC520">
            <wp:simplePos x="0" y="0"/>
            <wp:positionH relativeFrom="column">
              <wp:posOffset>3630930</wp:posOffset>
            </wp:positionH>
            <wp:positionV relativeFrom="paragraph">
              <wp:posOffset>467</wp:posOffset>
            </wp:positionV>
            <wp:extent cx="2900680" cy="1744345"/>
            <wp:effectExtent l="0" t="0" r="0" b="0"/>
            <wp:wrapTight wrapText="bothSides">
              <wp:wrapPolygon edited="0">
                <wp:start x="0" y="0"/>
                <wp:lineTo x="0" y="21388"/>
                <wp:lineTo x="21468" y="21388"/>
                <wp:lineTo x="21468" y="0"/>
                <wp:lineTo x="0" y="0"/>
              </wp:wrapPolygon>
            </wp:wrapTight>
            <wp:docPr id="725734283" name="Picture 1" descr="UWTSD Named UK University of the Ye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xK66aYriMKiahbIPpI7mwAQ_25" descr="UWTSD Named UK University of the Yea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0680" cy="1744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D2372D" w14:textId="31DCF4E1" w:rsidR="009F6EFD" w:rsidRPr="00B314E6" w:rsidRDefault="009F6EFD" w:rsidP="009F6EFD">
      <w:pPr>
        <w:pStyle w:val="NormalWeb"/>
        <w:rPr>
          <w:rStyle w:val="Strong"/>
          <w:rFonts w:asciiTheme="majorHAnsi" w:eastAsiaTheme="majorEastAsia" w:hAnsiTheme="majorHAnsi"/>
          <w:color w:val="000000"/>
        </w:rPr>
      </w:pPr>
    </w:p>
    <w:p w14:paraId="2F69BC12" w14:textId="0A3416C5" w:rsidR="009F6EFD" w:rsidRPr="00B314E6" w:rsidRDefault="009F6EFD" w:rsidP="009F6EFD">
      <w:pPr>
        <w:pStyle w:val="NormalWeb"/>
        <w:rPr>
          <w:rStyle w:val="Strong"/>
          <w:rFonts w:asciiTheme="majorHAnsi" w:eastAsiaTheme="majorEastAsia" w:hAnsiTheme="majorHAnsi"/>
          <w:color w:val="000000"/>
        </w:rPr>
      </w:pPr>
    </w:p>
    <w:p w14:paraId="4AE423B9" w14:textId="2D9C007B" w:rsidR="009F6EFD" w:rsidRPr="00B314E6" w:rsidRDefault="009F6EFD" w:rsidP="009F6EFD">
      <w:pPr>
        <w:pStyle w:val="NormalWeb"/>
        <w:rPr>
          <w:rStyle w:val="Strong"/>
          <w:rFonts w:asciiTheme="majorHAnsi" w:eastAsiaTheme="majorEastAsia" w:hAnsiTheme="majorHAnsi"/>
          <w:color w:val="000000"/>
        </w:rPr>
      </w:pPr>
    </w:p>
    <w:p w14:paraId="564F8322" w14:textId="06960091" w:rsidR="009F6EFD" w:rsidRPr="00B314E6" w:rsidRDefault="009F6EFD" w:rsidP="009F6EFD">
      <w:pPr>
        <w:pStyle w:val="NormalWeb"/>
        <w:rPr>
          <w:rStyle w:val="Strong"/>
          <w:rFonts w:asciiTheme="majorHAnsi" w:eastAsiaTheme="majorEastAsia" w:hAnsiTheme="majorHAnsi"/>
          <w:color w:val="000000"/>
        </w:rPr>
      </w:pPr>
    </w:p>
    <w:p w14:paraId="52EB88F8" w14:textId="0DD7C93C" w:rsidR="009F6EFD" w:rsidRDefault="009F6EFD" w:rsidP="009F6EFD">
      <w:pPr>
        <w:pStyle w:val="NormalWeb"/>
        <w:rPr>
          <w:rStyle w:val="Strong"/>
          <w:rFonts w:asciiTheme="majorHAnsi" w:eastAsiaTheme="majorEastAsia" w:hAnsiTheme="majorHAnsi"/>
          <w:color w:val="000000"/>
        </w:rPr>
      </w:pPr>
    </w:p>
    <w:p w14:paraId="358CFE70" w14:textId="77777777" w:rsidR="008511A9" w:rsidRDefault="008511A9" w:rsidP="009F6EFD">
      <w:pPr>
        <w:pStyle w:val="NormalWeb"/>
        <w:rPr>
          <w:rStyle w:val="Strong"/>
          <w:rFonts w:asciiTheme="majorHAnsi" w:eastAsiaTheme="majorEastAsia" w:hAnsiTheme="majorHAnsi"/>
          <w:color w:val="000000"/>
        </w:rPr>
      </w:pPr>
    </w:p>
    <w:p w14:paraId="21DE0684" w14:textId="77777777" w:rsidR="008511A9" w:rsidRPr="00B314E6" w:rsidRDefault="008511A9" w:rsidP="009F6EFD">
      <w:pPr>
        <w:pStyle w:val="NormalWeb"/>
        <w:rPr>
          <w:rStyle w:val="Strong"/>
          <w:rFonts w:asciiTheme="majorHAnsi" w:eastAsiaTheme="majorEastAsia" w:hAnsiTheme="majorHAnsi"/>
          <w:color w:val="000000"/>
        </w:rPr>
      </w:pPr>
    </w:p>
    <w:p w14:paraId="5E320C5C" w14:textId="66EA80C8" w:rsidR="009F6EFD" w:rsidRPr="00B314E6" w:rsidRDefault="009F6EFD" w:rsidP="009F6EFD">
      <w:pPr>
        <w:pStyle w:val="NormalWeb"/>
        <w:rPr>
          <w:rStyle w:val="Strong"/>
          <w:rFonts w:asciiTheme="majorHAnsi" w:eastAsiaTheme="majorEastAsia" w:hAnsiTheme="majorHAnsi"/>
          <w:color w:val="000000"/>
        </w:rPr>
      </w:pPr>
    </w:p>
    <w:p w14:paraId="7C3F4254" w14:textId="7F4643FD" w:rsidR="009F6EFD" w:rsidRDefault="00B314E6" w:rsidP="00B314E6">
      <w:pPr>
        <w:spacing w:before="100" w:beforeAutospacing="1" w:after="100" w:afterAutospacing="1" w:line="240" w:lineRule="auto"/>
        <w:jc w:val="center"/>
        <w:outlineLvl w:val="0"/>
        <w:rPr>
          <w:rFonts w:asciiTheme="majorHAnsi" w:eastAsia="Times New Roman" w:hAnsiTheme="majorHAnsi" w:cs="Times New Roman"/>
          <w:b/>
          <w:bCs/>
          <w:color w:val="000000"/>
          <w:kern w:val="36"/>
          <w:sz w:val="48"/>
          <w:szCs w:val="48"/>
          <w14:ligatures w14:val="none"/>
        </w:rPr>
      </w:pPr>
      <w:r w:rsidRPr="00B314E6">
        <w:rPr>
          <w:rFonts w:asciiTheme="majorHAnsi" w:eastAsia="Times New Roman" w:hAnsiTheme="majorHAnsi" w:cs="Times New Roman"/>
          <w:b/>
          <w:bCs/>
          <w:color w:val="000000"/>
          <w:kern w:val="36"/>
          <w:sz w:val="48"/>
          <w:szCs w:val="48"/>
          <w14:ligatures w14:val="none"/>
        </w:rPr>
        <w:t>Strategy Formulation Report: Jaguar Land Rover (JLR)</w:t>
      </w:r>
    </w:p>
    <w:p w14:paraId="337FFEAA" w14:textId="63D2DBF2" w:rsidR="00B314E6" w:rsidRDefault="00B314E6" w:rsidP="00B314E6">
      <w:pPr>
        <w:spacing w:before="100" w:beforeAutospacing="1" w:after="100" w:afterAutospacing="1" w:line="240" w:lineRule="auto"/>
        <w:jc w:val="center"/>
        <w:outlineLvl w:val="0"/>
        <w:rPr>
          <w:rFonts w:asciiTheme="majorHAnsi" w:eastAsia="Times New Roman" w:hAnsiTheme="majorHAnsi" w:cs="Times New Roman"/>
          <w:b/>
          <w:bCs/>
          <w:color w:val="000000"/>
          <w:kern w:val="36"/>
          <w:sz w:val="48"/>
          <w:szCs w:val="48"/>
          <w14:ligatures w14:val="none"/>
        </w:rPr>
      </w:pPr>
    </w:p>
    <w:p w14:paraId="14D728C1" w14:textId="35DB95A0" w:rsidR="00B314E6" w:rsidRPr="00B314E6" w:rsidRDefault="00B314E6" w:rsidP="00B314E6">
      <w:pPr>
        <w:spacing w:before="100" w:beforeAutospacing="1" w:after="100" w:afterAutospacing="1" w:line="240" w:lineRule="auto"/>
        <w:jc w:val="center"/>
        <w:outlineLvl w:val="0"/>
        <w:rPr>
          <w:rStyle w:val="Strong"/>
          <w:rFonts w:asciiTheme="majorHAnsi" w:eastAsia="Times New Roman" w:hAnsiTheme="majorHAnsi" w:cs="Times New Roman"/>
          <w:color w:val="000000"/>
          <w:kern w:val="36"/>
          <w:sz w:val="48"/>
          <w:szCs w:val="48"/>
          <w14:ligatures w14:val="none"/>
        </w:rPr>
      </w:pPr>
    </w:p>
    <w:p w14:paraId="2E25511F" w14:textId="390FB790" w:rsidR="009F6EFD" w:rsidRPr="00B314E6" w:rsidRDefault="009F6EFD" w:rsidP="009F6EFD">
      <w:pPr>
        <w:pStyle w:val="NormalWeb"/>
        <w:rPr>
          <w:rStyle w:val="Strong"/>
          <w:rFonts w:asciiTheme="majorHAnsi" w:eastAsiaTheme="majorEastAsia" w:hAnsiTheme="majorHAnsi"/>
          <w:color w:val="000000"/>
        </w:rPr>
      </w:pPr>
    </w:p>
    <w:p w14:paraId="582F09F3" w14:textId="55D782ED" w:rsidR="00B314E6" w:rsidRDefault="008511A9" w:rsidP="009F6EFD">
      <w:pPr>
        <w:pStyle w:val="NormalWeb"/>
        <w:rPr>
          <w:rStyle w:val="Strong"/>
          <w:rFonts w:asciiTheme="majorHAnsi" w:eastAsiaTheme="majorEastAsia" w:hAnsiTheme="majorHAnsi"/>
          <w:color w:val="000000"/>
        </w:rPr>
      </w:pPr>
      <w:r>
        <w:fldChar w:fldCharType="begin"/>
      </w:r>
      <w:r>
        <w:instrText xml:space="preserve"> INCLUDEPICTURE "/Users/jordanchevannes/Library/Group Containers/UBF8T346G9.ms/WebArchiveCopyPasteTempFiles/com.microsoft.Word/9k=" \* MERGEFORMATINET </w:instrText>
      </w:r>
      <w:r>
        <w:fldChar w:fldCharType="separate"/>
      </w:r>
      <w:r>
        <w:fldChar w:fldCharType="end"/>
      </w:r>
    </w:p>
    <w:p w14:paraId="36C26177" w14:textId="202A6101" w:rsidR="00B314E6" w:rsidRDefault="00B314E6" w:rsidP="009F6EFD">
      <w:pPr>
        <w:pStyle w:val="NormalWeb"/>
        <w:rPr>
          <w:rStyle w:val="Strong"/>
          <w:rFonts w:asciiTheme="majorHAnsi" w:eastAsiaTheme="majorEastAsia" w:hAnsiTheme="majorHAnsi"/>
          <w:color w:val="000000"/>
        </w:rPr>
      </w:pPr>
    </w:p>
    <w:p w14:paraId="406252FD" w14:textId="77777777" w:rsidR="009F6EFD" w:rsidRPr="00B314E6" w:rsidRDefault="009F6EFD" w:rsidP="009F6EFD">
      <w:pPr>
        <w:pStyle w:val="NormalWeb"/>
        <w:rPr>
          <w:rStyle w:val="Strong"/>
          <w:rFonts w:asciiTheme="majorHAnsi" w:eastAsiaTheme="majorEastAsia" w:hAnsiTheme="majorHAnsi"/>
          <w:color w:val="000000"/>
        </w:rPr>
      </w:pPr>
    </w:p>
    <w:p w14:paraId="186F55FE" w14:textId="4EDBFA13" w:rsidR="009F6EFD" w:rsidRDefault="009F6EFD" w:rsidP="009F6EFD">
      <w:pPr>
        <w:pStyle w:val="NormalWeb"/>
        <w:rPr>
          <w:rFonts w:asciiTheme="majorHAnsi" w:hAnsiTheme="majorHAnsi"/>
          <w:color w:val="000000"/>
        </w:rPr>
      </w:pPr>
      <w:r w:rsidRPr="00B314E6">
        <w:rPr>
          <w:rStyle w:val="Strong"/>
          <w:rFonts w:asciiTheme="majorHAnsi" w:eastAsiaTheme="majorEastAsia" w:hAnsiTheme="majorHAnsi"/>
          <w:color w:val="000000"/>
        </w:rPr>
        <w:t>Module:</w:t>
      </w:r>
      <w:r w:rsidRPr="00B314E6">
        <w:rPr>
          <w:rStyle w:val="apple-converted-space"/>
          <w:rFonts w:asciiTheme="majorHAnsi" w:eastAsiaTheme="majorEastAsia" w:hAnsiTheme="majorHAnsi"/>
          <w:color w:val="000000"/>
        </w:rPr>
        <w:t> </w:t>
      </w:r>
      <w:r w:rsidRPr="00B314E6">
        <w:rPr>
          <w:rFonts w:asciiTheme="majorHAnsi" w:hAnsiTheme="majorHAnsi"/>
          <w:color w:val="000000"/>
        </w:rPr>
        <w:t>Strategic Management in Automotive Industry</w:t>
      </w:r>
      <w:r w:rsidRPr="00B314E6">
        <w:rPr>
          <w:rFonts w:asciiTheme="majorHAnsi" w:hAnsiTheme="majorHAnsi"/>
          <w:color w:val="000000"/>
        </w:rPr>
        <w:br/>
      </w:r>
      <w:r w:rsidRPr="00B314E6">
        <w:rPr>
          <w:rStyle w:val="Strong"/>
          <w:rFonts w:asciiTheme="majorHAnsi" w:eastAsiaTheme="majorEastAsia" w:hAnsiTheme="majorHAnsi"/>
          <w:color w:val="000000"/>
        </w:rPr>
        <w:t>Assignment:</w:t>
      </w:r>
      <w:r w:rsidRPr="00B314E6">
        <w:rPr>
          <w:rStyle w:val="apple-converted-space"/>
          <w:rFonts w:asciiTheme="majorHAnsi" w:eastAsiaTheme="majorEastAsia" w:hAnsiTheme="majorHAnsi"/>
          <w:color w:val="000000"/>
        </w:rPr>
        <w:t> </w:t>
      </w:r>
      <w:r w:rsidRPr="00B314E6">
        <w:rPr>
          <w:rFonts w:asciiTheme="majorHAnsi" w:hAnsiTheme="majorHAnsi"/>
          <w:color w:val="000000"/>
        </w:rPr>
        <w:t>Strategy Formulation Plan: Jaguar Land Rover</w:t>
      </w:r>
      <w:r w:rsidRPr="00B314E6">
        <w:rPr>
          <w:rFonts w:asciiTheme="majorHAnsi" w:hAnsiTheme="majorHAnsi"/>
          <w:color w:val="000000"/>
        </w:rPr>
        <w:br/>
      </w:r>
      <w:r w:rsidRPr="00B314E6">
        <w:rPr>
          <w:rStyle w:val="Strong"/>
          <w:rFonts w:asciiTheme="majorHAnsi" w:eastAsiaTheme="majorEastAsia" w:hAnsiTheme="majorHAnsi"/>
          <w:color w:val="000000"/>
        </w:rPr>
        <w:t>Student Name:</w:t>
      </w:r>
      <w:r w:rsidRPr="00B314E6">
        <w:rPr>
          <w:rStyle w:val="apple-converted-space"/>
          <w:rFonts w:asciiTheme="majorHAnsi" w:eastAsiaTheme="majorEastAsia" w:hAnsiTheme="majorHAnsi"/>
          <w:color w:val="000000"/>
        </w:rPr>
        <w:t> </w:t>
      </w:r>
      <w:r w:rsidRPr="00B314E6">
        <w:rPr>
          <w:rFonts w:asciiTheme="majorHAnsi" w:hAnsiTheme="majorHAnsi"/>
          <w:color w:val="000000"/>
        </w:rPr>
        <w:t xml:space="preserve">Jordan Chevannes </w:t>
      </w:r>
      <w:r w:rsidRPr="00B314E6">
        <w:rPr>
          <w:rFonts w:asciiTheme="majorHAnsi" w:hAnsiTheme="majorHAnsi"/>
          <w:color w:val="000000"/>
        </w:rPr>
        <w:br/>
      </w:r>
      <w:r w:rsidRPr="00B314E6">
        <w:rPr>
          <w:rStyle w:val="Strong"/>
          <w:rFonts w:asciiTheme="majorHAnsi" w:eastAsiaTheme="majorEastAsia" w:hAnsiTheme="majorHAnsi"/>
          <w:color w:val="000000"/>
        </w:rPr>
        <w:t>Student ID:</w:t>
      </w:r>
      <w:r w:rsidRPr="00B314E6">
        <w:rPr>
          <w:rStyle w:val="apple-converted-space"/>
          <w:rFonts w:asciiTheme="majorHAnsi" w:eastAsiaTheme="majorEastAsia" w:hAnsiTheme="majorHAnsi"/>
          <w:color w:val="000000"/>
        </w:rPr>
        <w:t> </w:t>
      </w:r>
      <w:r w:rsidRPr="00B314E6">
        <w:rPr>
          <w:rFonts w:asciiTheme="majorHAnsi" w:hAnsiTheme="majorHAnsi"/>
          <w:color w:val="000000"/>
        </w:rPr>
        <w:t>2507204</w:t>
      </w:r>
      <w:r w:rsidRPr="00B314E6">
        <w:rPr>
          <w:rFonts w:asciiTheme="majorHAnsi" w:hAnsiTheme="majorHAnsi"/>
          <w:color w:val="000000"/>
        </w:rPr>
        <w:br/>
      </w:r>
      <w:r w:rsidRPr="00B314E6">
        <w:rPr>
          <w:rStyle w:val="Strong"/>
          <w:rFonts w:asciiTheme="majorHAnsi" w:eastAsiaTheme="majorEastAsia" w:hAnsiTheme="majorHAnsi"/>
          <w:color w:val="000000"/>
        </w:rPr>
        <w:t>Date:</w:t>
      </w:r>
      <w:r w:rsidRPr="00B314E6">
        <w:rPr>
          <w:rStyle w:val="apple-converted-space"/>
          <w:rFonts w:asciiTheme="majorHAnsi" w:eastAsiaTheme="majorEastAsia" w:hAnsiTheme="majorHAnsi"/>
          <w:color w:val="000000"/>
        </w:rPr>
        <w:t> </w:t>
      </w:r>
      <w:r w:rsidRPr="00B314E6">
        <w:rPr>
          <w:rFonts w:asciiTheme="majorHAnsi" w:hAnsiTheme="majorHAnsi"/>
          <w:color w:val="000000"/>
        </w:rPr>
        <w:t>29</w:t>
      </w:r>
      <w:r w:rsidRPr="00B314E6">
        <w:rPr>
          <w:rFonts w:asciiTheme="majorHAnsi" w:hAnsiTheme="majorHAnsi"/>
          <w:color w:val="000000"/>
          <w:vertAlign w:val="superscript"/>
        </w:rPr>
        <w:t xml:space="preserve">th </w:t>
      </w:r>
      <w:r w:rsidRPr="00B314E6">
        <w:rPr>
          <w:rFonts w:asciiTheme="majorHAnsi" w:hAnsiTheme="majorHAnsi"/>
          <w:color w:val="000000"/>
        </w:rPr>
        <w:t>March 2026</w:t>
      </w:r>
      <w:r w:rsidRPr="00B314E6">
        <w:rPr>
          <w:rFonts w:asciiTheme="majorHAnsi" w:hAnsiTheme="majorHAnsi"/>
          <w:color w:val="000000"/>
        </w:rPr>
        <w:br/>
      </w:r>
      <w:r w:rsidRPr="00B314E6">
        <w:rPr>
          <w:rStyle w:val="Strong"/>
          <w:rFonts w:asciiTheme="majorHAnsi" w:eastAsiaTheme="majorEastAsia" w:hAnsiTheme="majorHAnsi"/>
          <w:color w:val="000000"/>
        </w:rPr>
        <w:t>Word Count:</w:t>
      </w:r>
      <w:r w:rsidRPr="00B314E6">
        <w:rPr>
          <w:rStyle w:val="apple-converted-space"/>
          <w:rFonts w:asciiTheme="majorHAnsi" w:eastAsiaTheme="majorEastAsia" w:hAnsiTheme="majorHAnsi"/>
          <w:color w:val="000000"/>
        </w:rPr>
        <w:t> </w:t>
      </w:r>
      <w:r w:rsidRPr="00B314E6">
        <w:rPr>
          <w:rFonts w:asciiTheme="majorHAnsi" w:hAnsiTheme="majorHAnsi"/>
          <w:color w:val="000000"/>
        </w:rPr>
        <w:t>2</w:t>
      </w:r>
      <w:r w:rsidR="008511A9">
        <w:rPr>
          <w:rFonts w:asciiTheme="majorHAnsi" w:hAnsiTheme="majorHAnsi"/>
          <w:color w:val="000000"/>
        </w:rPr>
        <w:t>395</w:t>
      </w:r>
      <w:r w:rsidRPr="00B314E6">
        <w:rPr>
          <w:rFonts w:asciiTheme="majorHAnsi" w:hAnsiTheme="majorHAnsi"/>
          <w:color w:val="000000"/>
        </w:rPr>
        <w:t xml:space="preserve"> words</w:t>
      </w:r>
    </w:p>
    <w:p w14:paraId="64C30153" w14:textId="77777777" w:rsidR="005E4B5B" w:rsidRDefault="005E4B5B" w:rsidP="009F6EFD">
      <w:pPr>
        <w:pStyle w:val="NormalWeb"/>
        <w:rPr>
          <w:rFonts w:asciiTheme="majorHAnsi" w:hAnsiTheme="majorHAnsi"/>
          <w:color w:val="000000"/>
        </w:rPr>
      </w:pPr>
    </w:p>
    <w:p w14:paraId="0B6409AB" w14:textId="77777777" w:rsidR="005E4B5B" w:rsidRPr="00B314E6" w:rsidRDefault="005E4B5B" w:rsidP="009F6EFD">
      <w:pPr>
        <w:pStyle w:val="NormalWeb"/>
        <w:rPr>
          <w:rFonts w:asciiTheme="majorHAnsi" w:hAnsiTheme="majorHAnsi"/>
          <w:color w:val="000000"/>
        </w:rPr>
      </w:pPr>
    </w:p>
    <w:p w14:paraId="5D174573" w14:textId="60D032C1" w:rsidR="009F6EFD" w:rsidRPr="00B314E6" w:rsidRDefault="009F6EFD" w:rsidP="009F6EFD">
      <w:pPr>
        <w:pStyle w:val="NormalWeb"/>
        <w:rPr>
          <w:rFonts w:asciiTheme="majorHAnsi" w:hAnsiTheme="majorHAnsi"/>
          <w:i/>
          <w:iCs/>
          <w:color w:val="000000"/>
          <w:sz w:val="40"/>
          <w:szCs w:val="40"/>
          <w:u w:val="single"/>
        </w:rPr>
      </w:pPr>
      <w:r w:rsidRPr="00B314E6">
        <w:rPr>
          <w:rFonts w:asciiTheme="majorHAnsi" w:hAnsiTheme="majorHAnsi"/>
          <w:i/>
          <w:iCs/>
          <w:color w:val="000000"/>
          <w:sz w:val="40"/>
          <w:szCs w:val="40"/>
          <w:u w:val="single"/>
        </w:rPr>
        <w:t xml:space="preserve">Table of contents </w:t>
      </w:r>
    </w:p>
    <w:p w14:paraId="34368738" w14:textId="77777777" w:rsidR="009F6EFD" w:rsidRPr="00B314E6" w:rsidRDefault="009F6EFD" w:rsidP="009F6EFD">
      <w:pPr>
        <w:pStyle w:val="NormalWeb"/>
        <w:rPr>
          <w:rFonts w:asciiTheme="majorHAnsi" w:hAnsiTheme="majorHAnsi"/>
          <w:color w:val="000000"/>
          <w:sz w:val="40"/>
          <w:szCs w:val="40"/>
        </w:rPr>
      </w:pPr>
    </w:p>
    <w:p w14:paraId="2E3CDAB7"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Introduction to Strategy</w:t>
      </w:r>
    </w:p>
    <w:p w14:paraId="6F9F589F"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Overview / Background of the Firm</w:t>
      </w:r>
    </w:p>
    <w:p w14:paraId="4F17CA2A"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Strategic Intent</w:t>
      </w:r>
    </w:p>
    <w:p w14:paraId="5EB39794"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The Company’s Current Performance</w:t>
      </w:r>
    </w:p>
    <w:p w14:paraId="2ACAFF4E"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Strategy Analysis</w:t>
      </w:r>
    </w:p>
    <w:p w14:paraId="48B11473" w14:textId="77777777" w:rsidR="009F6EFD" w:rsidRPr="00B314E6" w:rsidRDefault="009F6EFD" w:rsidP="009F6EFD">
      <w:pPr>
        <w:pStyle w:val="NormalWeb"/>
        <w:numPr>
          <w:ilvl w:val="1"/>
          <w:numId w:val="1"/>
        </w:numPr>
        <w:rPr>
          <w:rFonts w:asciiTheme="majorHAnsi" w:hAnsiTheme="majorHAnsi"/>
          <w:color w:val="000000"/>
          <w:sz w:val="32"/>
          <w:szCs w:val="32"/>
        </w:rPr>
      </w:pPr>
      <w:r w:rsidRPr="00B314E6">
        <w:rPr>
          <w:rFonts w:asciiTheme="majorHAnsi" w:hAnsiTheme="majorHAnsi"/>
          <w:color w:val="000000"/>
          <w:sz w:val="32"/>
          <w:szCs w:val="32"/>
        </w:rPr>
        <w:t>6.1 External Environmental Audit</w:t>
      </w:r>
    </w:p>
    <w:p w14:paraId="4C6A53B2" w14:textId="77777777" w:rsidR="009F6EFD" w:rsidRPr="00B314E6" w:rsidRDefault="009F6EFD" w:rsidP="009F6EFD">
      <w:pPr>
        <w:pStyle w:val="NormalWeb"/>
        <w:numPr>
          <w:ilvl w:val="1"/>
          <w:numId w:val="1"/>
        </w:numPr>
        <w:rPr>
          <w:rFonts w:asciiTheme="majorHAnsi" w:hAnsiTheme="majorHAnsi"/>
          <w:color w:val="000000"/>
          <w:sz w:val="32"/>
          <w:szCs w:val="32"/>
        </w:rPr>
      </w:pPr>
      <w:r w:rsidRPr="00B314E6">
        <w:rPr>
          <w:rFonts w:asciiTheme="majorHAnsi" w:hAnsiTheme="majorHAnsi"/>
          <w:color w:val="000000"/>
          <w:sz w:val="32"/>
          <w:szCs w:val="32"/>
        </w:rPr>
        <w:t>6.2 Internal Environmental Audit</w:t>
      </w:r>
    </w:p>
    <w:p w14:paraId="2619BE4A" w14:textId="77777777" w:rsidR="009F6EFD" w:rsidRPr="00B314E6" w:rsidRDefault="009F6EFD" w:rsidP="009F6EFD">
      <w:pPr>
        <w:pStyle w:val="NormalWeb"/>
        <w:numPr>
          <w:ilvl w:val="2"/>
          <w:numId w:val="1"/>
        </w:numPr>
        <w:rPr>
          <w:rFonts w:asciiTheme="majorHAnsi" w:hAnsiTheme="majorHAnsi"/>
          <w:color w:val="000000"/>
          <w:sz w:val="32"/>
          <w:szCs w:val="32"/>
        </w:rPr>
      </w:pPr>
      <w:r w:rsidRPr="00B314E6">
        <w:rPr>
          <w:rFonts w:asciiTheme="majorHAnsi" w:hAnsiTheme="majorHAnsi"/>
          <w:color w:val="000000"/>
          <w:sz w:val="32"/>
          <w:szCs w:val="32"/>
        </w:rPr>
        <w:t>SWOT Analysis (Table 1)</w:t>
      </w:r>
    </w:p>
    <w:p w14:paraId="44A5E291" w14:textId="77777777" w:rsidR="009F6EFD" w:rsidRPr="00B314E6" w:rsidRDefault="009F6EFD" w:rsidP="009F6EFD">
      <w:pPr>
        <w:pStyle w:val="NormalWeb"/>
        <w:numPr>
          <w:ilvl w:val="2"/>
          <w:numId w:val="1"/>
        </w:numPr>
        <w:rPr>
          <w:rFonts w:asciiTheme="majorHAnsi" w:hAnsiTheme="majorHAnsi"/>
          <w:color w:val="000000"/>
          <w:sz w:val="32"/>
          <w:szCs w:val="32"/>
        </w:rPr>
      </w:pPr>
      <w:r w:rsidRPr="00B314E6">
        <w:rPr>
          <w:rFonts w:asciiTheme="majorHAnsi" w:hAnsiTheme="majorHAnsi"/>
          <w:color w:val="000000"/>
          <w:sz w:val="32"/>
          <w:szCs w:val="32"/>
        </w:rPr>
        <w:t>VRIO Analysis (Table 2)</w:t>
      </w:r>
    </w:p>
    <w:p w14:paraId="2AF1ABAB" w14:textId="77777777" w:rsidR="009F6EFD" w:rsidRPr="00B314E6" w:rsidRDefault="009F6EFD" w:rsidP="009F6EFD">
      <w:pPr>
        <w:pStyle w:val="NormalWeb"/>
        <w:numPr>
          <w:ilvl w:val="2"/>
          <w:numId w:val="1"/>
        </w:numPr>
        <w:rPr>
          <w:rFonts w:asciiTheme="majorHAnsi" w:hAnsiTheme="majorHAnsi"/>
          <w:color w:val="000000"/>
          <w:sz w:val="32"/>
          <w:szCs w:val="32"/>
        </w:rPr>
      </w:pPr>
      <w:r w:rsidRPr="00B314E6">
        <w:rPr>
          <w:rFonts w:asciiTheme="majorHAnsi" w:hAnsiTheme="majorHAnsi"/>
          <w:color w:val="000000"/>
          <w:sz w:val="32"/>
          <w:szCs w:val="32"/>
        </w:rPr>
        <w:t>Value Chain Summary</w:t>
      </w:r>
    </w:p>
    <w:p w14:paraId="1453948B" w14:textId="77777777" w:rsidR="009F6EFD" w:rsidRPr="00B314E6" w:rsidRDefault="009F6EFD" w:rsidP="009F6EFD">
      <w:pPr>
        <w:pStyle w:val="NormalWeb"/>
        <w:numPr>
          <w:ilvl w:val="1"/>
          <w:numId w:val="1"/>
        </w:numPr>
        <w:rPr>
          <w:rFonts w:asciiTheme="majorHAnsi" w:hAnsiTheme="majorHAnsi"/>
          <w:color w:val="000000"/>
          <w:sz w:val="32"/>
          <w:szCs w:val="32"/>
        </w:rPr>
      </w:pPr>
      <w:r w:rsidRPr="00B314E6">
        <w:rPr>
          <w:rFonts w:asciiTheme="majorHAnsi" w:hAnsiTheme="majorHAnsi"/>
          <w:color w:val="000000"/>
          <w:sz w:val="32"/>
          <w:szCs w:val="32"/>
        </w:rPr>
        <w:t>6.3 CAGE Framework Application</w:t>
      </w:r>
    </w:p>
    <w:p w14:paraId="65764EAB" w14:textId="77777777" w:rsidR="009F6EFD" w:rsidRPr="00B314E6" w:rsidRDefault="009F6EFD" w:rsidP="009F6EFD">
      <w:pPr>
        <w:pStyle w:val="NormalWeb"/>
        <w:numPr>
          <w:ilvl w:val="1"/>
          <w:numId w:val="1"/>
        </w:numPr>
        <w:rPr>
          <w:rFonts w:asciiTheme="majorHAnsi" w:hAnsiTheme="majorHAnsi"/>
          <w:color w:val="000000"/>
          <w:sz w:val="32"/>
          <w:szCs w:val="32"/>
        </w:rPr>
      </w:pPr>
      <w:r w:rsidRPr="00B314E6">
        <w:rPr>
          <w:rFonts w:asciiTheme="majorHAnsi" w:hAnsiTheme="majorHAnsi"/>
          <w:color w:val="000000"/>
          <w:sz w:val="32"/>
          <w:szCs w:val="32"/>
        </w:rPr>
        <w:t>6.4 UK-Based Supply Chain &amp; Seven Key Issues (Table 3)</w:t>
      </w:r>
    </w:p>
    <w:p w14:paraId="06B4DC7A"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Strategy Formulation Plan</w:t>
      </w:r>
    </w:p>
    <w:p w14:paraId="637AEC71" w14:textId="77777777" w:rsidR="009F6EFD" w:rsidRPr="00B314E6" w:rsidRDefault="009F6EFD" w:rsidP="009F6EFD">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Conclusion and Recommendation</w:t>
      </w:r>
    </w:p>
    <w:p w14:paraId="617A7DD5" w14:textId="494662DF" w:rsidR="005E4B5B" w:rsidRDefault="009F6EFD" w:rsidP="005E4B5B">
      <w:pPr>
        <w:pStyle w:val="NormalWeb"/>
        <w:numPr>
          <w:ilvl w:val="0"/>
          <w:numId w:val="1"/>
        </w:numPr>
        <w:rPr>
          <w:rFonts w:asciiTheme="majorHAnsi" w:hAnsiTheme="majorHAnsi"/>
          <w:color w:val="000000"/>
          <w:sz w:val="32"/>
          <w:szCs w:val="32"/>
        </w:rPr>
      </w:pPr>
      <w:r w:rsidRPr="00B314E6">
        <w:rPr>
          <w:rFonts w:asciiTheme="majorHAnsi" w:hAnsiTheme="majorHAnsi"/>
          <w:color w:val="000000"/>
          <w:sz w:val="32"/>
          <w:szCs w:val="32"/>
        </w:rPr>
        <w:t>References</w:t>
      </w:r>
    </w:p>
    <w:p w14:paraId="1AFCD7D9" w14:textId="77777777" w:rsidR="005E4B5B" w:rsidRDefault="005E4B5B" w:rsidP="005E4B5B">
      <w:pPr>
        <w:pStyle w:val="NormalWeb"/>
        <w:rPr>
          <w:rFonts w:asciiTheme="majorHAnsi" w:hAnsiTheme="majorHAnsi"/>
          <w:color w:val="000000"/>
          <w:sz w:val="32"/>
          <w:szCs w:val="32"/>
        </w:rPr>
      </w:pPr>
    </w:p>
    <w:p w14:paraId="792C204B" w14:textId="77777777" w:rsidR="005E4B5B" w:rsidRDefault="005E4B5B" w:rsidP="005E4B5B">
      <w:pPr>
        <w:pStyle w:val="NormalWeb"/>
        <w:rPr>
          <w:rFonts w:asciiTheme="majorHAnsi" w:hAnsiTheme="majorHAnsi"/>
          <w:color w:val="000000"/>
          <w:sz w:val="32"/>
          <w:szCs w:val="32"/>
        </w:rPr>
      </w:pPr>
    </w:p>
    <w:p w14:paraId="22989E07" w14:textId="77777777" w:rsidR="005E4B5B" w:rsidRDefault="005E4B5B" w:rsidP="005E4B5B">
      <w:pPr>
        <w:pStyle w:val="NormalWeb"/>
        <w:rPr>
          <w:rFonts w:asciiTheme="majorHAnsi" w:hAnsiTheme="majorHAnsi"/>
          <w:color w:val="000000"/>
          <w:sz w:val="32"/>
          <w:szCs w:val="32"/>
        </w:rPr>
      </w:pPr>
    </w:p>
    <w:p w14:paraId="33AA21C1" w14:textId="77777777" w:rsidR="005E4B5B" w:rsidRDefault="005E4B5B" w:rsidP="005E4B5B">
      <w:pPr>
        <w:pStyle w:val="NormalWeb"/>
        <w:rPr>
          <w:rFonts w:asciiTheme="majorHAnsi" w:hAnsiTheme="majorHAnsi"/>
          <w:color w:val="000000"/>
          <w:sz w:val="32"/>
          <w:szCs w:val="32"/>
        </w:rPr>
      </w:pPr>
    </w:p>
    <w:p w14:paraId="749E728E" w14:textId="77777777" w:rsidR="005E4B5B" w:rsidRDefault="005E4B5B" w:rsidP="005E4B5B">
      <w:pPr>
        <w:pStyle w:val="NormalWeb"/>
        <w:rPr>
          <w:rFonts w:asciiTheme="majorHAnsi" w:hAnsiTheme="majorHAnsi"/>
          <w:color w:val="000000"/>
          <w:sz w:val="32"/>
          <w:szCs w:val="32"/>
        </w:rPr>
      </w:pPr>
    </w:p>
    <w:p w14:paraId="6540F6BF" w14:textId="77777777" w:rsidR="005E4B5B" w:rsidRPr="005E4B5B" w:rsidRDefault="005E4B5B" w:rsidP="005E4B5B">
      <w:pPr>
        <w:pStyle w:val="NormalWeb"/>
        <w:rPr>
          <w:rFonts w:asciiTheme="majorHAnsi" w:hAnsiTheme="majorHAnsi"/>
          <w:color w:val="000000"/>
          <w:sz w:val="32"/>
          <w:szCs w:val="32"/>
        </w:rPr>
      </w:pPr>
    </w:p>
    <w:p w14:paraId="43E80E46" w14:textId="213C3F68" w:rsidR="00B314E6" w:rsidRPr="005E4B5B"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40"/>
          <w:szCs w:val="40"/>
          <w:u w:val="single"/>
          <w14:ligatures w14:val="none"/>
        </w:rPr>
      </w:pPr>
      <w:r w:rsidRPr="00B314E6">
        <w:rPr>
          <w:rFonts w:asciiTheme="majorHAnsi" w:eastAsia="Times New Roman" w:hAnsiTheme="majorHAnsi" w:cs="Times New Roman"/>
          <w:i/>
          <w:iCs/>
          <w:color w:val="000000"/>
          <w:kern w:val="0"/>
          <w:sz w:val="40"/>
          <w:szCs w:val="40"/>
          <w:u w:val="single"/>
          <w14:ligatures w14:val="none"/>
        </w:rPr>
        <w:lastRenderedPageBreak/>
        <w:t xml:space="preserve"> </w:t>
      </w:r>
      <w:r w:rsidRPr="005E4B5B">
        <w:rPr>
          <w:rFonts w:asciiTheme="majorHAnsi" w:eastAsia="Times New Roman" w:hAnsiTheme="majorHAnsi" w:cs="Times New Roman"/>
          <w:i/>
          <w:iCs/>
          <w:color w:val="000000"/>
          <w:kern w:val="0"/>
          <w:sz w:val="40"/>
          <w:szCs w:val="40"/>
          <w:u w:val="single"/>
          <w14:ligatures w14:val="none"/>
        </w:rPr>
        <w:t xml:space="preserve">Introduction </w:t>
      </w:r>
    </w:p>
    <w:p w14:paraId="1E2A329A" w14:textId="23D4BF7F" w:rsidR="005E4B5B" w:rsidRPr="005E4B5B" w:rsidRDefault="00B314E6" w:rsidP="005E4B5B">
      <w:pPr>
        <w:pStyle w:val="NormalWeb"/>
        <w:rPr>
          <w:rFonts w:asciiTheme="majorHAnsi" w:hAnsiTheme="majorHAnsi"/>
          <w:color w:val="000000"/>
        </w:rPr>
      </w:pPr>
      <w:r w:rsidRPr="005E4B5B">
        <w:rPr>
          <w:rFonts w:asciiTheme="majorHAnsi" w:hAnsiTheme="majorHAnsi"/>
          <w:color w:val="000000"/>
        </w:rPr>
        <w:t>Strategic management comprises the systematic analysis, formulation, and implementation of decisions that enable organizations to achieve long</w:t>
      </w:r>
      <w:r w:rsidRPr="005E4B5B">
        <w:rPr>
          <w:rFonts w:asciiTheme="majorHAnsi" w:hAnsiTheme="majorHAnsi"/>
          <w:color w:val="000000"/>
        </w:rPr>
        <w:noBreakHyphen/>
        <w:t xml:space="preserve">term objectives and maintain competitive advantage </w:t>
      </w:r>
      <w:r w:rsidRPr="005E4B5B">
        <w:rPr>
          <w:rFonts w:asciiTheme="majorHAnsi" w:hAnsiTheme="majorHAnsi"/>
          <w:b/>
          <w:bCs/>
          <w:color w:val="000000"/>
        </w:rPr>
        <w:t>(Johnson, Scholes and Whittington, 2020).</w:t>
      </w:r>
      <w:r w:rsidR="005E4B5B" w:rsidRPr="005E4B5B">
        <w:rPr>
          <w:rFonts w:asciiTheme="majorHAnsi" w:hAnsiTheme="majorHAnsi"/>
          <w:color w:val="000000"/>
        </w:rPr>
        <w:t xml:space="preserve"> </w:t>
      </w:r>
      <w:r w:rsidR="005E4B5B" w:rsidRPr="005E4B5B">
        <w:rPr>
          <w:rFonts w:asciiTheme="majorHAnsi" w:hAnsiTheme="majorHAnsi"/>
          <w:color w:val="000000"/>
        </w:rPr>
        <w:t>This perspective aligns with the view that strategic management is fundamentally concerned with aligning internal capabilities with external environmental conditions to achieve sustained competitive advantage (</w:t>
      </w:r>
      <w:r w:rsidR="005E4B5B" w:rsidRPr="005E4B5B">
        <w:rPr>
          <w:rFonts w:asciiTheme="majorHAnsi" w:hAnsiTheme="majorHAnsi"/>
          <w:b/>
          <w:bCs/>
          <w:color w:val="000000"/>
        </w:rPr>
        <w:t>Porter, 2008; Teece et al., 2016).</w:t>
      </w:r>
    </w:p>
    <w:p w14:paraId="387868D9" w14:textId="6E13864E" w:rsidR="00B314E6" w:rsidRPr="005E4B5B"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 In the contemporary automotive industry, strategic management is indispensable due to rapid technological shifts, evolving regulatory regimes, and heightened competitive intensity driven by electrification, digital transformation, and global supply chain volatility </w:t>
      </w:r>
      <w:r w:rsidRPr="00B314E6">
        <w:rPr>
          <w:rFonts w:asciiTheme="majorHAnsi" w:eastAsia="Times New Roman" w:hAnsiTheme="majorHAnsi" w:cs="Times New Roman"/>
          <w:b/>
          <w:bCs/>
          <w:color w:val="000000"/>
          <w:kern w:val="0"/>
          <w14:ligatures w14:val="none"/>
        </w:rPr>
        <w:t>(Sharma and Sharma, 2021</w:t>
      </w:r>
      <w:r>
        <w:rPr>
          <w:rFonts w:asciiTheme="majorHAnsi" w:eastAsia="Times New Roman" w:hAnsiTheme="majorHAnsi" w:cs="Times New Roman"/>
          <w:b/>
          <w:bCs/>
          <w:color w:val="000000"/>
          <w:kern w:val="0"/>
          <w14:ligatures w14:val="none"/>
        </w:rPr>
        <w:t>,</w:t>
      </w:r>
      <w:r w:rsidRPr="00B314E6">
        <w:rPr>
          <w:rFonts w:asciiTheme="majorHAnsi" w:eastAsia="Times New Roman" w:hAnsiTheme="majorHAnsi" w:cs="Times New Roman"/>
          <w:b/>
          <w:bCs/>
          <w:color w:val="000000"/>
          <w:kern w:val="0"/>
          <w14:ligatures w14:val="none"/>
        </w:rPr>
        <w:t xml:space="preserve"> Wiersema and Bowen, 2009).</w:t>
      </w:r>
      <w:r w:rsidR="005E4B5B" w:rsidRPr="005E4B5B">
        <w:rPr>
          <w:rFonts w:ascii="-webkit-standard" w:hAnsi="-webkit-standard"/>
          <w:color w:val="000000"/>
          <w:sz w:val="27"/>
          <w:szCs w:val="27"/>
        </w:rPr>
        <w:t xml:space="preserve"> </w:t>
      </w:r>
      <w:r w:rsidR="005E4B5B" w:rsidRPr="005E4B5B">
        <w:rPr>
          <w:rFonts w:asciiTheme="majorHAnsi" w:hAnsiTheme="majorHAnsi"/>
          <w:color w:val="000000"/>
        </w:rPr>
        <w:t xml:space="preserve">Moreover, the increasing pace of technological disruption has intensified the need for dynamic strategic responses within the automotive sector </w:t>
      </w:r>
      <w:r w:rsidR="005E4B5B" w:rsidRPr="005E4B5B">
        <w:rPr>
          <w:rFonts w:asciiTheme="majorHAnsi" w:hAnsiTheme="majorHAnsi"/>
          <w:b/>
          <w:bCs/>
          <w:color w:val="000000"/>
        </w:rPr>
        <w:t>(Teece et al., 2016).</w:t>
      </w:r>
    </w:p>
    <w:p w14:paraId="7E5B295D" w14:textId="0F04B5EC"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The purpose of this report is to develop a comprehensive strategy formulation plan for Jaguar Land Rover, grounded in rigorous scholarly analysis and supported by credible evidence from academic literature and industry reports. By applying established analytical frameworks including PESTEL, Porter’s Five Forces, SWOT, VRIO, Value Chain and the CAGE framework the report evaluates JLR’s current position, identifies strategic issues, and proposes coherent strategic choices.</w:t>
      </w:r>
    </w:p>
    <w:p w14:paraId="0A4EE181"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The report is structured to first provide an overview of the firm and its strategic intent, followed by an assessment of current performance. It then conducts external and internal environmental audits, applies the CAGE framework to global strategy considerations, and assesses key automotive supply chain issues. Finally, it presents a clearly structured strategy formulation plan and concludes with recommendations.</w:t>
      </w:r>
    </w:p>
    <w:p w14:paraId="0F2DC9FD" w14:textId="10A25855" w:rsidR="00B314E6" w:rsidRDefault="00B314E6" w:rsidP="00B314E6">
      <w:pPr>
        <w:spacing w:after="0" w:line="240" w:lineRule="auto"/>
        <w:rPr>
          <w:rFonts w:asciiTheme="majorHAnsi" w:eastAsia="Times New Roman" w:hAnsiTheme="majorHAnsi" w:cs="Times New Roman"/>
          <w:kern w:val="0"/>
          <w14:ligatures w14:val="none"/>
        </w:rPr>
      </w:pPr>
    </w:p>
    <w:p w14:paraId="24AF7039" w14:textId="77777777" w:rsidR="005E4B5B" w:rsidRDefault="005E4B5B" w:rsidP="00B314E6">
      <w:pPr>
        <w:spacing w:after="0" w:line="240" w:lineRule="auto"/>
        <w:rPr>
          <w:rFonts w:asciiTheme="majorHAnsi" w:eastAsia="Times New Roman" w:hAnsiTheme="majorHAnsi" w:cs="Times New Roman"/>
          <w:kern w:val="0"/>
          <w14:ligatures w14:val="none"/>
        </w:rPr>
      </w:pPr>
    </w:p>
    <w:p w14:paraId="7D71071A" w14:textId="77777777" w:rsidR="005E4B5B" w:rsidRDefault="005E4B5B" w:rsidP="00B314E6">
      <w:pPr>
        <w:spacing w:after="0" w:line="240" w:lineRule="auto"/>
        <w:rPr>
          <w:rFonts w:asciiTheme="majorHAnsi" w:eastAsia="Times New Roman" w:hAnsiTheme="majorHAnsi" w:cs="Times New Roman"/>
          <w:kern w:val="0"/>
          <w14:ligatures w14:val="none"/>
        </w:rPr>
      </w:pPr>
    </w:p>
    <w:p w14:paraId="1D07CCD8" w14:textId="77777777" w:rsidR="005E4B5B" w:rsidRDefault="005E4B5B" w:rsidP="00B314E6">
      <w:pPr>
        <w:spacing w:after="0" w:line="240" w:lineRule="auto"/>
        <w:rPr>
          <w:rFonts w:asciiTheme="majorHAnsi" w:eastAsia="Times New Roman" w:hAnsiTheme="majorHAnsi" w:cs="Times New Roman"/>
          <w:kern w:val="0"/>
          <w14:ligatures w14:val="none"/>
        </w:rPr>
      </w:pPr>
    </w:p>
    <w:p w14:paraId="6F01C9DB" w14:textId="77777777" w:rsidR="005E4B5B" w:rsidRDefault="005E4B5B" w:rsidP="00B314E6">
      <w:pPr>
        <w:spacing w:after="0" w:line="240" w:lineRule="auto"/>
        <w:rPr>
          <w:rFonts w:asciiTheme="majorHAnsi" w:eastAsia="Times New Roman" w:hAnsiTheme="majorHAnsi" w:cs="Times New Roman"/>
          <w:kern w:val="0"/>
          <w14:ligatures w14:val="none"/>
        </w:rPr>
      </w:pPr>
    </w:p>
    <w:p w14:paraId="35A42AFD" w14:textId="77777777" w:rsidR="005E4B5B" w:rsidRDefault="005E4B5B" w:rsidP="00B314E6">
      <w:pPr>
        <w:spacing w:after="0" w:line="240" w:lineRule="auto"/>
        <w:rPr>
          <w:rFonts w:asciiTheme="majorHAnsi" w:eastAsia="Times New Roman" w:hAnsiTheme="majorHAnsi" w:cs="Times New Roman"/>
          <w:kern w:val="0"/>
          <w14:ligatures w14:val="none"/>
        </w:rPr>
      </w:pPr>
    </w:p>
    <w:p w14:paraId="2AFAD95D" w14:textId="77777777" w:rsidR="005E4B5B" w:rsidRDefault="005E4B5B" w:rsidP="00B314E6">
      <w:pPr>
        <w:spacing w:after="0" w:line="240" w:lineRule="auto"/>
        <w:rPr>
          <w:rFonts w:asciiTheme="majorHAnsi" w:eastAsia="Times New Roman" w:hAnsiTheme="majorHAnsi" w:cs="Times New Roman"/>
          <w:kern w:val="0"/>
          <w14:ligatures w14:val="none"/>
        </w:rPr>
      </w:pPr>
    </w:p>
    <w:p w14:paraId="463B2DA9" w14:textId="77777777" w:rsidR="005E4B5B" w:rsidRDefault="005E4B5B" w:rsidP="00B314E6">
      <w:pPr>
        <w:spacing w:after="0" w:line="240" w:lineRule="auto"/>
        <w:rPr>
          <w:rFonts w:asciiTheme="majorHAnsi" w:eastAsia="Times New Roman" w:hAnsiTheme="majorHAnsi" w:cs="Times New Roman"/>
          <w:kern w:val="0"/>
          <w14:ligatures w14:val="none"/>
        </w:rPr>
      </w:pPr>
    </w:p>
    <w:p w14:paraId="07BC5B38" w14:textId="77777777" w:rsidR="005E4B5B" w:rsidRDefault="005E4B5B" w:rsidP="00B314E6">
      <w:pPr>
        <w:spacing w:after="0" w:line="240" w:lineRule="auto"/>
        <w:rPr>
          <w:rFonts w:asciiTheme="majorHAnsi" w:eastAsia="Times New Roman" w:hAnsiTheme="majorHAnsi" w:cs="Times New Roman"/>
          <w:kern w:val="0"/>
          <w14:ligatures w14:val="none"/>
        </w:rPr>
      </w:pPr>
    </w:p>
    <w:p w14:paraId="1891AC23" w14:textId="77777777" w:rsidR="005E4B5B" w:rsidRDefault="005E4B5B" w:rsidP="00B314E6">
      <w:pPr>
        <w:spacing w:after="0" w:line="240" w:lineRule="auto"/>
        <w:rPr>
          <w:rFonts w:asciiTheme="majorHAnsi" w:eastAsia="Times New Roman" w:hAnsiTheme="majorHAnsi" w:cs="Times New Roman"/>
          <w:kern w:val="0"/>
          <w14:ligatures w14:val="none"/>
        </w:rPr>
      </w:pPr>
    </w:p>
    <w:p w14:paraId="492B2E12" w14:textId="77777777" w:rsidR="005E4B5B" w:rsidRDefault="005E4B5B" w:rsidP="00B314E6">
      <w:pPr>
        <w:spacing w:after="0" w:line="240" w:lineRule="auto"/>
        <w:rPr>
          <w:rFonts w:asciiTheme="majorHAnsi" w:eastAsia="Times New Roman" w:hAnsiTheme="majorHAnsi" w:cs="Times New Roman"/>
          <w:kern w:val="0"/>
          <w14:ligatures w14:val="none"/>
        </w:rPr>
      </w:pPr>
    </w:p>
    <w:p w14:paraId="64215803" w14:textId="77777777" w:rsidR="005E4B5B" w:rsidRDefault="005E4B5B" w:rsidP="00B314E6">
      <w:pPr>
        <w:spacing w:after="0" w:line="240" w:lineRule="auto"/>
        <w:rPr>
          <w:rFonts w:asciiTheme="majorHAnsi" w:eastAsia="Times New Roman" w:hAnsiTheme="majorHAnsi" w:cs="Times New Roman"/>
          <w:kern w:val="0"/>
          <w14:ligatures w14:val="none"/>
        </w:rPr>
      </w:pPr>
    </w:p>
    <w:p w14:paraId="4FB4CAA1" w14:textId="77777777" w:rsidR="005E4B5B" w:rsidRDefault="005E4B5B" w:rsidP="00B314E6">
      <w:pPr>
        <w:spacing w:after="0" w:line="240" w:lineRule="auto"/>
        <w:rPr>
          <w:rFonts w:asciiTheme="majorHAnsi" w:eastAsia="Times New Roman" w:hAnsiTheme="majorHAnsi" w:cs="Times New Roman"/>
          <w:kern w:val="0"/>
          <w14:ligatures w14:val="none"/>
        </w:rPr>
      </w:pPr>
    </w:p>
    <w:p w14:paraId="6AAAA442" w14:textId="4791842C"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36"/>
          <w:szCs w:val="36"/>
          <w:u w:val="single"/>
          <w14:ligatures w14:val="none"/>
        </w:rPr>
      </w:pPr>
      <w:r w:rsidRPr="00B314E6">
        <w:rPr>
          <w:rFonts w:asciiTheme="majorHAnsi" w:eastAsia="Times New Roman" w:hAnsiTheme="majorHAnsi" w:cs="Times New Roman"/>
          <w:i/>
          <w:iCs/>
          <w:color w:val="000000"/>
          <w:kern w:val="0"/>
          <w:sz w:val="36"/>
          <w:szCs w:val="36"/>
          <w:u w:val="single"/>
          <w14:ligatures w14:val="none"/>
        </w:rPr>
        <w:lastRenderedPageBreak/>
        <w:t xml:space="preserve"> Overview / Background of the Firm </w:t>
      </w:r>
    </w:p>
    <w:p w14:paraId="2F6C5E68"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Jaguar Land Rover (JLR) is a British multinational automotive manufacturer headquartered in Coventry, United Kingdom, and a wholly owned subsidiary of Tata Motors since 2008. The company operates within the premium and luxury vehicle segment, producing vehicles under two primary brands: Jaguar (sport and luxury cars) and Land Rover (luxury sport utility and off</w:t>
      </w:r>
      <w:r w:rsidRPr="00B314E6">
        <w:rPr>
          <w:rFonts w:asciiTheme="majorHAnsi" w:eastAsia="Times New Roman" w:hAnsiTheme="majorHAnsi" w:cs="Times New Roman"/>
          <w:color w:val="000000"/>
          <w:kern w:val="0"/>
          <w14:ligatures w14:val="none"/>
        </w:rPr>
        <w:noBreakHyphen/>
        <w:t>road vehicles).</w:t>
      </w:r>
    </w:p>
    <w:p w14:paraId="20B99B20" w14:textId="4359464B" w:rsidR="005E4B5B" w:rsidRDefault="00B314E6" w:rsidP="005E4B5B">
      <w:pPr>
        <w:pStyle w:val="NormalWeb"/>
        <w:rPr>
          <w:color w:val="000000"/>
        </w:rPr>
      </w:pPr>
      <w:r w:rsidRPr="00B314E6">
        <w:rPr>
          <w:rFonts w:asciiTheme="majorHAnsi" w:hAnsiTheme="majorHAnsi"/>
          <w:color w:val="000000"/>
        </w:rPr>
        <w:t>JLR’s core activities include vehicle design, engineering, manufacturing, and global distribution. The company’s manufacturing footprint is predominantly UK</w:t>
      </w:r>
      <w:r w:rsidRPr="00B314E6">
        <w:rPr>
          <w:rFonts w:asciiTheme="majorHAnsi" w:hAnsiTheme="majorHAnsi"/>
          <w:color w:val="000000"/>
        </w:rPr>
        <w:noBreakHyphen/>
        <w:t>based, with principal facilities in Solihull, Halewood, and Castle Bromwich. While this concentration provides quality control and reinforces brand heritage, it also exposes JLR to UK</w:t>
      </w:r>
      <w:r w:rsidRPr="00B314E6">
        <w:rPr>
          <w:rFonts w:asciiTheme="majorHAnsi" w:hAnsiTheme="majorHAnsi"/>
          <w:color w:val="000000"/>
        </w:rPr>
        <w:noBreakHyphen/>
        <w:t xml:space="preserve">specific economic and political risks, including impacts from Brexit and currency volatility </w:t>
      </w:r>
      <w:r w:rsidRPr="00B314E6">
        <w:rPr>
          <w:rFonts w:asciiTheme="majorHAnsi" w:hAnsiTheme="majorHAnsi"/>
          <w:b/>
          <w:bCs/>
          <w:color w:val="000000"/>
        </w:rPr>
        <w:t>(Grant, 2022).</w:t>
      </w:r>
      <w:r w:rsidR="005E4B5B" w:rsidRPr="005E4B5B">
        <w:rPr>
          <w:color w:val="000000"/>
        </w:rPr>
        <w:t xml:space="preserve"> </w:t>
      </w:r>
      <w:r w:rsidR="005E4B5B">
        <w:rPr>
          <w:color w:val="000000"/>
        </w:rPr>
        <w:t xml:space="preserve">This concentration risk reflects broader concerns in international business regarding over-reliance on geographically </w:t>
      </w:r>
      <w:r w:rsidR="005E4B5B">
        <w:rPr>
          <w:color w:val="000000"/>
        </w:rPr>
        <w:t>centralized</w:t>
      </w:r>
      <w:r w:rsidR="005E4B5B">
        <w:rPr>
          <w:color w:val="000000"/>
        </w:rPr>
        <w:t xml:space="preserve"> production systems </w:t>
      </w:r>
      <w:r w:rsidR="005E4B5B" w:rsidRPr="005E4B5B">
        <w:rPr>
          <w:rFonts w:asciiTheme="majorHAnsi" w:hAnsiTheme="majorHAnsi"/>
          <w:b/>
          <w:bCs/>
          <w:color w:val="000000"/>
        </w:rPr>
        <w:t>(Ghemawat, 2001).</w:t>
      </w:r>
    </w:p>
    <w:p w14:paraId="6B6E7ADE" w14:textId="0B80D898"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086C949B" w14:textId="121F45A8" w:rsidR="00B314E6" w:rsidRPr="005E4B5B" w:rsidRDefault="00B314E6" w:rsidP="00B314E6">
      <w:pPr>
        <w:spacing w:before="100" w:beforeAutospacing="1" w:after="100" w:afterAutospacing="1" w:line="240" w:lineRule="auto"/>
        <w:rPr>
          <w:rFonts w:asciiTheme="majorHAnsi" w:eastAsia="Times New Roman" w:hAnsiTheme="majorHAnsi" w:cs="Times New Roman"/>
          <w:b/>
          <w:bCs/>
          <w:color w:val="000000"/>
          <w:kern w:val="0"/>
          <w14:ligatures w14:val="none"/>
        </w:rPr>
      </w:pPr>
      <w:r w:rsidRPr="00B314E6">
        <w:rPr>
          <w:rFonts w:asciiTheme="majorHAnsi" w:eastAsia="Times New Roman" w:hAnsiTheme="majorHAnsi" w:cs="Times New Roman"/>
          <w:color w:val="000000"/>
          <w:kern w:val="0"/>
          <w14:ligatures w14:val="none"/>
        </w:rPr>
        <w:t xml:space="preserve">The automotive sector in which JLR operates is </w:t>
      </w:r>
      <w:r w:rsidR="00985FA6" w:rsidRPr="00B314E6">
        <w:rPr>
          <w:rFonts w:asciiTheme="majorHAnsi" w:eastAsia="Times New Roman" w:hAnsiTheme="majorHAnsi" w:cs="Times New Roman"/>
          <w:color w:val="000000"/>
          <w:kern w:val="0"/>
          <w14:ligatures w14:val="none"/>
        </w:rPr>
        <w:t>characterized</w:t>
      </w:r>
      <w:r w:rsidRPr="00B314E6">
        <w:rPr>
          <w:rFonts w:asciiTheme="majorHAnsi" w:eastAsia="Times New Roman" w:hAnsiTheme="majorHAnsi" w:cs="Times New Roman"/>
          <w:color w:val="000000"/>
          <w:kern w:val="0"/>
          <w14:ligatures w14:val="none"/>
        </w:rPr>
        <w:t xml:space="preserve"> by high capital intensity, rapid technological innovation, stringent regulatory standards, and intense competition from both traditional manufacturers such as BMW and Mercedes</w:t>
      </w:r>
      <w:r w:rsidRPr="00B314E6">
        <w:rPr>
          <w:rFonts w:asciiTheme="majorHAnsi" w:eastAsia="Times New Roman" w:hAnsiTheme="majorHAnsi" w:cs="Times New Roman"/>
          <w:color w:val="000000"/>
          <w:kern w:val="0"/>
          <w14:ligatures w14:val="none"/>
        </w:rPr>
        <w:noBreakHyphen/>
        <w:t xml:space="preserve">Benz and emerging actors like Tesla. Additionally, industry dynamics are increasingly shaped by the transition towards electrified </w:t>
      </w:r>
      <w:r w:rsidRPr="005E4B5B">
        <w:rPr>
          <w:rFonts w:asciiTheme="majorHAnsi" w:eastAsia="Times New Roman" w:hAnsiTheme="majorHAnsi" w:cs="Times New Roman"/>
          <w:color w:val="000000"/>
          <w:kern w:val="0"/>
          <w14:ligatures w14:val="none"/>
        </w:rPr>
        <w:t xml:space="preserve">powertrains, digital connectivity, autonomous systems, and sustainability imperatives </w:t>
      </w:r>
      <w:r w:rsidRPr="005E4B5B">
        <w:rPr>
          <w:rFonts w:asciiTheme="majorHAnsi" w:eastAsia="Times New Roman" w:hAnsiTheme="majorHAnsi" w:cs="Times New Roman"/>
          <w:b/>
          <w:bCs/>
          <w:color w:val="000000"/>
          <w:kern w:val="0"/>
          <w14:ligatures w14:val="none"/>
        </w:rPr>
        <w:t>(Sharma and Sharma, 2021).</w:t>
      </w:r>
      <w:r w:rsidR="005E4B5B" w:rsidRPr="005E4B5B">
        <w:rPr>
          <w:rFonts w:asciiTheme="majorHAnsi" w:hAnsiTheme="majorHAnsi"/>
          <w:color w:val="000000"/>
          <w:sz w:val="27"/>
          <w:szCs w:val="27"/>
        </w:rPr>
        <w:t xml:space="preserve"> </w:t>
      </w:r>
      <w:r w:rsidR="005E4B5B" w:rsidRPr="005E4B5B">
        <w:rPr>
          <w:rFonts w:asciiTheme="majorHAnsi" w:hAnsiTheme="majorHAnsi"/>
          <w:color w:val="000000"/>
        </w:rPr>
        <w:t xml:space="preserve">These structural shifts are widely </w:t>
      </w:r>
      <w:r w:rsidR="005E4B5B" w:rsidRPr="005E4B5B">
        <w:rPr>
          <w:rFonts w:asciiTheme="majorHAnsi" w:hAnsiTheme="majorHAnsi"/>
          <w:color w:val="000000"/>
        </w:rPr>
        <w:t>recognized</w:t>
      </w:r>
      <w:r w:rsidR="005E4B5B" w:rsidRPr="005E4B5B">
        <w:rPr>
          <w:rFonts w:asciiTheme="majorHAnsi" w:hAnsiTheme="majorHAnsi"/>
          <w:color w:val="000000"/>
        </w:rPr>
        <w:t xml:space="preserve"> as key drivers of transformation within the global automotive value chain </w:t>
      </w:r>
      <w:r w:rsidR="005E4B5B" w:rsidRPr="005E4B5B">
        <w:rPr>
          <w:rFonts w:asciiTheme="majorHAnsi" w:hAnsiTheme="majorHAnsi"/>
          <w:b/>
          <w:bCs/>
          <w:color w:val="000000"/>
        </w:rPr>
        <w:t>(Deloitte, 2023).</w:t>
      </w:r>
    </w:p>
    <w:p w14:paraId="488DBED2"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The company’s current strategic direction is encapsulated in its “Reimagine” strategy, aimed at transforming JLR into a modern luxury carmaker delivering electrified products and digital services while achieving carbon neutrality across its operations and products by 2039.</w:t>
      </w:r>
    </w:p>
    <w:p w14:paraId="00DE6731" w14:textId="781564EF" w:rsidR="00B314E6" w:rsidRDefault="00B314E6" w:rsidP="00B314E6">
      <w:pPr>
        <w:spacing w:after="0" w:line="240" w:lineRule="auto"/>
        <w:rPr>
          <w:rFonts w:asciiTheme="majorHAnsi" w:eastAsia="Times New Roman" w:hAnsiTheme="majorHAnsi" w:cs="Times New Roman"/>
          <w:kern w:val="0"/>
          <w14:ligatures w14:val="none"/>
        </w:rPr>
      </w:pPr>
    </w:p>
    <w:p w14:paraId="37C75F0D" w14:textId="77777777" w:rsidR="005E4B5B" w:rsidRDefault="005E4B5B" w:rsidP="00B314E6">
      <w:pPr>
        <w:spacing w:after="0" w:line="240" w:lineRule="auto"/>
        <w:rPr>
          <w:rFonts w:asciiTheme="majorHAnsi" w:eastAsia="Times New Roman" w:hAnsiTheme="majorHAnsi" w:cs="Times New Roman"/>
          <w:kern w:val="0"/>
          <w14:ligatures w14:val="none"/>
        </w:rPr>
      </w:pPr>
    </w:p>
    <w:p w14:paraId="7F885834" w14:textId="77777777" w:rsidR="005E4B5B" w:rsidRDefault="005E4B5B" w:rsidP="00B314E6">
      <w:pPr>
        <w:spacing w:after="0" w:line="240" w:lineRule="auto"/>
        <w:rPr>
          <w:rFonts w:asciiTheme="majorHAnsi" w:eastAsia="Times New Roman" w:hAnsiTheme="majorHAnsi" w:cs="Times New Roman"/>
          <w:kern w:val="0"/>
          <w14:ligatures w14:val="none"/>
        </w:rPr>
      </w:pPr>
    </w:p>
    <w:p w14:paraId="7CBF2AB3" w14:textId="77777777" w:rsidR="005E4B5B" w:rsidRDefault="005E4B5B" w:rsidP="00B314E6">
      <w:pPr>
        <w:spacing w:after="0" w:line="240" w:lineRule="auto"/>
        <w:rPr>
          <w:rFonts w:asciiTheme="majorHAnsi" w:eastAsia="Times New Roman" w:hAnsiTheme="majorHAnsi" w:cs="Times New Roman"/>
          <w:kern w:val="0"/>
          <w14:ligatures w14:val="none"/>
        </w:rPr>
      </w:pPr>
    </w:p>
    <w:p w14:paraId="4D7D58A5" w14:textId="77777777" w:rsidR="005E4B5B" w:rsidRDefault="005E4B5B" w:rsidP="00B314E6">
      <w:pPr>
        <w:spacing w:after="0" w:line="240" w:lineRule="auto"/>
        <w:rPr>
          <w:rFonts w:asciiTheme="majorHAnsi" w:eastAsia="Times New Roman" w:hAnsiTheme="majorHAnsi" w:cs="Times New Roman"/>
          <w:kern w:val="0"/>
          <w14:ligatures w14:val="none"/>
        </w:rPr>
      </w:pPr>
    </w:p>
    <w:p w14:paraId="17D10921" w14:textId="77777777" w:rsidR="005E4B5B" w:rsidRDefault="005E4B5B" w:rsidP="00B314E6">
      <w:pPr>
        <w:spacing w:after="0" w:line="240" w:lineRule="auto"/>
        <w:rPr>
          <w:rFonts w:asciiTheme="majorHAnsi" w:eastAsia="Times New Roman" w:hAnsiTheme="majorHAnsi" w:cs="Times New Roman"/>
          <w:kern w:val="0"/>
          <w14:ligatures w14:val="none"/>
        </w:rPr>
      </w:pPr>
    </w:p>
    <w:p w14:paraId="4E2C38FF" w14:textId="77777777" w:rsidR="005E4B5B" w:rsidRDefault="005E4B5B" w:rsidP="00B314E6">
      <w:pPr>
        <w:spacing w:after="0" w:line="240" w:lineRule="auto"/>
        <w:rPr>
          <w:rFonts w:asciiTheme="majorHAnsi" w:eastAsia="Times New Roman" w:hAnsiTheme="majorHAnsi" w:cs="Times New Roman"/>
          <w:kern w:val="0"/>
          <w14:ligatures w14:val="none"/>
        </w:rPr>
      </w:pPr>
    </w:p>
    <w:p w14:paraId="5DD150DD" w14:textId="77777777" w:rsidR="005E4B5B" w:rsidRDefault="005E4B5B" w:rsidP="00B314E6">
      <w:pPr>
        <w:spacing w:after="0" w:line="240" w:lineRule="auto"/>
        <w:rPr>
          <w:rFonts w:asciiTheme="majorHAnsi" w:eastAsia="Times New Roman" w:hAnsiTheme="majorHAnsi" w:cs="Times New Roman"/>
          <w:kern w:val="0"/>
          <w14:ligatures w14:val="none"/>
        </w:rPr>
      </w:pPr>
    </w:p>
    <w:p w14:paraId="30F38EAB" w14:textId="77777777" w:rsidR="005E4B5B" w:rsidRDefault="005E4B5B" w:rsidP="00B314E6">
      <w:pPr>
        <w:spacing w:after="0" w:line="240" w:lineRule="auto"/>
        <w:rPr>
          <w:rFonts w:asciiTheme="majorHAnsi" w:eastAsia="Times New Roman" w:hAnsiTheme="majorHAnsi" w:cs="Times New Roman"/>
          <w:kern w:val="0"/>
          <w14:ligatures w14:val="none"/>
        </w:rPr>
      </w:pPr>
    </w:p>
    <w:p w14:paraId="5A8937B5" w14:textId="77777777" w:rsidR="005E4B5B" w:rsidRDefault="005E4B5B" w:rsidP="00B314E6">
      <w:pPr>
        <w:spacing w:after="0" w:line="240" w:lineRule="auto"/>
        <w:rPr>
          <w:rFonts w:asciiTheme="majorHAnsi" w:eastAsia="Times New Roman" w:hAnsiTheme="majorHAnsi" w:cs="Times New Roman"/>
          <w:kern w:val="0"/>
          <w14:ligatures w14:val="none"/>
        </w:rPr>
      </w:pPr>
    </w:p>
    <w:p w14:paraId="44101469" w14:textId="77777777" w:rsidR="00985FA6" w:rsidRDefault="00985FA6" w:rsidP="00B314E6">
      <w:pPr>
        <w:spacing w:after="0" w:line="240" w:lineRule="auto"/>
        <w:rPr>
          <w:rFonts w:asciiTheme="majorHAnsi" w:eastAsia="Times New Roman" w:hAnsiTheme="majorHAnsi" w:cs="Times New Roman"/>
          <w:kern w:val="0"/>
          <w14:ligatures w14:val="none"/>
        </w:rPr>
      </w:pPr>
    </w:p>
    <w:p w14:paraId="026A4C99" w14:textId="77777777" w:rsidR="00985FA6" w:rsidRPr="00B314E6" w:rsidRDefault="00985FA6" w:rsidP="00B314E6">
      <w:pPr>
        <w:spacing w:after="0" w:line="240" w:lineRule="auto"/>
        <w:rPr>
          <w:rFonts w:asciiTheme="majorHAnsi" w:eastAsia="Times New Roman" w:hAnsiTheme="majorHAnsi" w:cs="Times New Roman"/>
          <w:kern w:val="0"/>
          <w14:ligatures w14:val="none"/>
        </w:rPr>
      </w:pPr>
    </w:p>
    <w:p w14:paraId="6F2981AA" w14:textId="01C7DC5F"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40"/>
          <w:szCs w:val="40"/>
          <w:u w:val="single"/>
          <w14:ligatures w14:val="none"/>
        </w:rPr>
      </w:pPr>
      <w:r w:rsidRPr="00B314E6">
        <w:rPr>
          <w:rFonts w:asciiTheme="majorHAnsi" w:eastAsia="Times New Roman" w:hAnsiTheme="majorHAnsi" w:cs="Times New Roman"/>
          <w:i/>
          <w:iCs/>
          <w:color w:val="000000"/>
          <w:kern w:val="0"/>
          <w:sz w:val="40"/>
          <w:szCs w:val="40"/>
          <w:u w:val="single"/>
          <w14:ligatures w14:val="none"/>
        </w:rPr>
        <w:lastRenderedPageBreak/>
        <w:t xml:space="preserve"> Strategic Intent </w:t>
      </w:r>
    </w:p>
    <w:p w14:paraId="26603FCF" w14:textId="56CE1F39"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JLR’s strategic intent is captured through its “Reimagine” vision to become a leader in sustainable modern luxury mobility. The company seeks to deliver differentiated premium vehicles grounded in innovation, heritage, and environmental responsibility. Its mission </w:t>
      </w:r>
      <w:r w:rsidR="00985FA6" w:rsidRPr="00B314E6">
        <w:rPr>
          <w:rFonts w:asciiTheme="majorHAnsi" w:eastAsia="Times New Roman" w:hAnsiTheme="majorHAnsi" w:cs="Times New Roman"/>
          <w:color w:val="000000"/>
          <w:kern w:val="0"/>
          <w14:ligatures w14:val="none"/>
        </w:rPr>
        <w:t>emphasizes</w:t>
      </w:r>
      <w:r w:rsidRPr="00B314E6">
        <w:rPr>
          <w:rFonts w:asciiTheme="majorHAnsi" w:eastAsia="Times New Roman" w:hAnsiTheme="majorHAnsi" w:cs="Times New Roman"/>
          <w:color w:val="000000"/>
          <w:kern w:val="0"/>
          <w14:ligatures w14:val="none"/>
        </w:rPr>
        <w:t xml:space="preserve"> creating high</w:t>
      </w:r>
      <w:r w:rsidRPr="00B314E6">
        <w:rPr>
          <w:rFonts w:asciiTheme="majorHAnsi" w:eastAsia="Times New Roman" w:hAnsiTheme="majorHAnsi" w:cs="Times New Roman"/>
          <w:color w:val="000000"/>
          <w:kern w:val="0"/>
          <w14:ligatures w14:val="none"/>
        </w:rPr>
        <w:noBreakHyphen/>
        <w:t>quality, technologically advanced, and sustainability</w:t>
      </w:r>
      <w:r w:rsidRPr="00B314E6">
        <w:rPr>
          <w:rFonts w:asciiTheme="majorHAnsi" w:eastAsia="Times New Roman" w:hAnsiTheme="majorHAnsi" w:cs="Times New Roman"/>
          <w:color w:val="000000"/>
          <w:kern w:val="0"/>
          <w14:ligatures w14:val="none"/>
        </w:rPr>
        <w:noBreakHyphen/>
        <w:t>oriented vehicles that resonate with global consumers.</w:t>
      </w:r>
    </w:p>
    <w:p w14:paraId="557CC08A"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Strategic objectives supporting this intent include:</w:t>
      </w:r>
    </w:p>
    <w:p w14:paraId="2DF34DE5" w14:textId="77777777" w:rsidR="00B314E6" w:rsidRPr="00B314E6" w:rsidRDefault="00B314E6" w:rsidP="00B314E6">
      <w:pPr>
        <w:numPr>
          <w:ilvl w:val="0"/>
          <w:numId w:val="2"/>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Transitioning Jaguar to an all</w:t>
      </w:r>
      <w:r w:rsidRPr="00B314E6">
        <w:rPr>
          <w:rFonts w:asciiTheme="majorHAnsi" w:eastAsia="Times New Roman" w:hAnsiTheme="majorHAnsi" w:cs="Times New Roman"/>
          <w:color w:val="000000"/>
          <w:kern w:val="0"/>
          <w14:ligatures w14:val="none"/>
        </w:rPr>
        <w:noBreakHyphen/>
        <w:t xml:space="preserve">electric brand by 2025 </w:t>
      </w:r>
      <w:r w:rsidRPr="00B314E6">
        <w:rPr>
          <w:rFonts w:asciiTheme="majorHAnsi" w:eastAsia="Times New Roman" w:hAnsiTheme="majorHAnsi" w:cs="Times New Roman"/>
          <w:b/>
          <w:bCs/>
          <w:color w:val="000000"/>
          <w:kern w:val="0"/>
          <w14:ligatures w14:val="none"/>
        </w:rPr>
        <w:t>(JLR Annual Report, 2024</w:t>
      </w:r>
      <w:r w:rsidRPr="00B314E6">
        <w:rPr>
          <w:rFonts w:asciiTheme="majorHAnsi" w:eastAsia="Times New Roman" w:hAnsiTheme="majorHAnsi" w:cs="Times New Roman"/>
          <w:color w:val="000000"/>
          <w:kern w:val="0"/>
          <w14:ligatures w14:val="none"/>
        </w:rPr>
        <w:t>).</w:t>
      </w:r>
    </w:p>
    <w:p w14:paraId="6A0002E9" w14:textId="77777777" w:rsidR="00B314E6" w:rsidRPr="00B314E6" w:rsidRDefault="00B314E6" w:rsidP="00B314E6">
      <w:pPr>
        <w:numPr>
          <w:ilvl w:val="0"/>
          <w:numId w:val="2"/>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Achieving net</w:t>
      </w:r>
      <w:r w:rsidRPr="00B314E6">
        <w:rPr>
          <w:rFonts w:asciiTheme="majorHAnsi" w:eastAsia="Times New Roman" w:hAnsiTheme="majorHAnsi" w:cs="Times New Roman"/>
          <w:color w:val="000000"/>
          <w:kern w:val="0"/>
          <w14:ligatures w14:val="none"/>
        </w:rPr>
        <w:noBreakHyphen/>
        <w:t>zero carbon emissions across products and operations by 2039.</w:t>
      </w:r>
    </w:p>
    <w:p w14:paraId="1D7C91BE" w14:textId="77777777" w:rsidR="00B314E6" w:rsidRPr="00B314E6" w:rsidRDefault="00B314E6" w:rsidP="00B314E6">
      <w:pPr>
        <w:numPr>
          <w:ilvl w:val="0"/>
          <w:numId w:val="2"/>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Enhancing digital and software capabilities to support connected and autonomous features.</w:t>
      </w:r>
    </w:p>
    <w:p w14:paraId="4EEFEB7B" w14:textId="77777777" w:rsidR="00B314E6" w:rsidRPr="00B314E6" w:rsidRDefault="00B314E6" w:rsidP="00B314E6">
      <w:pPr>
        <w:numPr>
          <w:ilvl w:val="0"/>
          <w:numId w:val="2"/>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Strengthening supply chain resilience, particularly within the UK manufacturing base.</w:t>
      </w:r>
    </w:p>
    <w:p w14:paraId="6529B622" w14:textId="52F2F839"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From a theoretical standpoint, a clear strategic intent provides direction and coherence, guiding resource allocation and capability development </w:t>
      </w:r>
      <w:r w:rsidRPr="00B314E6">
        <w:rPr>
          <w:rFonts w:asciiTheme="majorHAnsi" w:eastAsia="Times New Roman" w:hAnsiTheme="majorHAnsi" w:cs="Times New Roman"/>
          <w:b/>
          <w:bCs/>
          <w:color w:val="000000"/>
          <w:kern w:val="0"/>
          <w14:ligatures w14:val="none"/>
        </w:rPr>
        <w:t>(Hamel and Prahalad, 1989).</w:t>
      </w:r>
      <w:r w:rsidRPr="00B314E6">
        <w:rPr>
          <w:rFonts w:asciiTheme="majorHAnsi" w:eastAsia="Times New Roman" w:hAnsiTheme="majorHAnsi" w:cs="Times New Roman"/>
          <w:color w:val="000000"/>
          <w:kern w:val="0"/>
          <w14:ligatures w14:val="none"/>
        </w:rPr>
        <w:t xml:space="preserve"> However, achieving this intent requires JLR to build dynamic capabilities that enable adaptation to external environmental change </w:t>
      </w:r>
      <w:r w:rsidRPr="00B314E6">
        <w:rPr>
          <w:rFonts w:asciiTheme="majorHAnsi" w:eastAsia="Times New Roman" w:hAnsiTheme="majorHAnsi" w:cs="Times New Roman"/>
          <w:b/>
          <w:bCs/>
          <w:color w:val="000000"/>
          <w:kern w:val="0"/>
          <w14:ligatures w14:val="none"/>
        </w:rPr>
        <w:t>(Teece, Petera</w:t>
      </w:r>
      <w:r w:rsidR="00985FA6" w:rsidRPr="00985FA6">
        <w:rPr>
          <w:rFonts w:asciiTheme="majorHAnsi" w:eastAsia="Times New Roman" w:hAnsiTheme="majorHAnsi" w:cs="Times New Roman"/>
          <w:b/>
          <w:bCs/>
          <w:color w:val="000000"/>
          <w:kern w:val="0"/>
          <w14:ligatures w14:val="none"/>
        </w:rPr>
        <w:t xml:space="preserve"> </w:t>
      </w:r>
      <w:r w:rsidRPr="00B314E6">
        <w:rPr>
          <w:rFonts w:asciiTheme="majorHAnsi" w:eastAsia="Times New Roman" w:hAnsiTheme="majorHAnsi" w:cs="Times New Roman"/>
          <w:b/>
          <w:bCs/>
          <w:color w:val="000000"/>
          <w:kern w:val="0"/>
          <w14:ligatures w14:val="none"/>
        </w:rPr>
        <w:t>and Leih, 2016).</w:t>
      </w:r>
      <w:r w:rsidRPr="00B314E6">
        <w:rPr>
          <w:rFonts w:asciiTheme="majorHAnsi" w:eastAsia="Times New Roman" w:hAnsiTheme="majorHAnsi" w:cs="Times New Roman"/>
          <w:color w:val="000000"/>
          <w:kern w:val="0"/>
          <w14:ligatures w14:val="none"/>
        </w:rPr>
        <w:t xml:space="preserve"> These capabilities must support both technological transformation such as electrification and smart systems and operational robustness, especially in supply chain management.</w:t>
      </w:r>
    </w:p>
    <w:p w14:paraId="0C3D1823" w14:textId="77777777" w:rsid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Critically, while JLR’s strategic intent aligns with industry megatrends, its feasibility is contingent on execution proficiency and the firm’s ability to manage trade</w:t>
      </w:r>
      <w:r w:rsidRPr="00B314E6">
        <w:rPr>
          <w:rFonts w:asciiTheme="majorHAnsi" w:eastAsia="Times New Roman" w:hAnsiTheme="majorHAnsi" w:cs="Times New Roman"/>
          <w:color w:val="000000"/>
          <w:kern w:val="0"/>
          <w14:ligatures w14:val="none"/>
        </w:rPr>
        <w:noBreakHyphen/>
        <w:t>offs between innovation investment and operational efficiency.</w:t>
      </w:r>
    </w:p>
    <w:p w14:paraId="1FFFB9EC" w14:textId="77777777" w:rsidR="00985FA6" w:rsidRDefault="00985FA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119C29B7" w14:textId="77777777" w:rsidR="00985FA6" w:rsidRDefault="00985FA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573AB741" w14:textId="77777777" w:rsidR="005E4B5B" w:rsidRDefault="005E4B5B"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3021ED93" w14:textId="77777777" w:rsidR="005E4B5B" w:rsidRDefault="005E4B5B"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4D4E2A80" w14:textId="77777777" w:rsidR="005E4B5B" w:rsidRDefault="005E4B5B"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7533B2EE" w14:textId="77777777" w:rsidR="005E4B5B" w:rsidRDefault="005E4B5B"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2093AFF3" w14:textId="77777777" w:rsidR="00985FA6" w:rsidRPr="00B314E6" w:rsidRDefault="00985FA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1ED3ABC4" w14:textId="4AF0DAA1" w:rsidR="00B314E6" w:rsidRPr="00B314E6" w:rsidRDefault="00B314E6" w:rsidP="00B314E6">
      <w:pPr>
        <w:spacing w:after="0" w:line="240" w:lineRule="auto"/>
        <w:rPr>
          <w:rFonts w:asciiTheme="majorHAnsi" w:eastAsia="Times New Roman" w:hAnsiTheme="majorHAnsi" w:cs="Times New Roman"/>
          <w:kern w:val="0"/>
          <w14:ligatures w14:val="none"/>
        </w:rPr>
      </w:pPr>
    </w:p>
    <w:p w14:paraId="397148C2" w14:textId="3B546EC3"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40"/>
          <w:szCs w:val="40"/>
          <w:u w:val="single"/>
          <w14:ligatures w14:val="none"/>
        </w:rPr>
      </w:pPr>
      <w:r w:rsidRPr="00B314E6">
        <w:rPr>
          <w:rFonts w:asciiTheme="majorHAnsi" w:eastAsia="Times New Roman" w:hAnsiTheme="majorHAnsi" w:cs="Times New Roman"/>
          <w:i/>
          <w:iCs/>
          <w:color w:val="000000"/>
          <w:kern w:val="0"/>
          <w:sz w:val="40"/>
          <w:szCs w:val="40"/>
          <w:u w:val="single"/>
          <w14:ligatures w14:val="none"/>
        </w:rPr>
        <w:lastRenderedPageBreak/>
        <w:t xml:space="preserve">The Company’s Current Performance </w:t>
      </w:r>
    </w:p>
    <w:p w14:paraId="4A010A0D"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JLR’s recent performance reflects both resilience and ongoing structural challenges. Financially, the company has reported improved profitability driven by robust demand for high</w:t>
      </w:r>
      <w:r w:rsidRPr="00B314E6">
        <w:rPr>
          <w:rFonts w:asciiTheme="majorHAnsi" w:eastAsia="Times New Roman" w:hAnsiTheme="majorHAnsi" w:cs="Times New Roman"/>
          <w:color w:val="000000"/>
          <w:kern w:val="0"/>
          <w14:ligatures w14:val="none"/>
        </w:rPr>
        <w:noBreakHyphen/>
        <w:t xml:space="preserve">margin luxury SUVs, particularly Range Rover models, which have sustained revenue growth despite market fluctuations </w:t>
      </w:r>
      <w:r w:rsidRPr="00B314E6">
        <w:rPr>
          <w:rFonts w:asciiTheme="majorHAnsi" w:eastAsia="Times New Roman" w:hAnsiTheme="majorHAnsi" w:cs="Times New Roman"/>
          <w:b/>
          <w:bCs/>
          <w:color w:val="000000"/>
          <w:kern w:val="0"/>
          <w14:ligatures w14:val="none"/>
        </w:rPr>
        <w:t>(JLR Annual Report, 2024).</w:t>
      </w:r>
      <w:r w:rsidRPr="00B314E6">
        <w:rPr>
          <w:rFonts w:asciiTheme="majorHAnsi" w:eastAsia="Times New Roman" w:hAnsiTheme="majorHAnsi" w:cs="Times New Roman"/>
          <w:color w:val="000000"/>
          <w:kern w:val="0"/>
          <w14:ligatures w14:val="none"/>
        </w:rPr>
        <w:t xml:space="preserve"> However, profitability remains sensitive to cost pressures and supply chain disruptions, indicating an uneven performance landscape.</w:t>
      </w:r>
    </w:p>
    <w:p w14:paraId="24EB6AD1"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Operationally, a significant constraint has been the global semiconductor shortage, which disrupted production schedules and limited output in 2021–2023. This aligns with research highlighting the vulnerability of automotive manufacturers to supply chain shocks when heavily reliant on external suppliers for critical components </w:t>
      </w:r>
      <w:r w:rsidRPr="00B314E6">
        <w:rPr>
          <w:rFonts w:asciiTheme="majorHAnsi" w:eastAsia="Times New Roman" w:hAnsiTheme="majorHAnsi" w:cs="Times New Roman"/>
          <w:b/>
          <w:bCs/>
          <w:color w:val="000000"/>
          <w:kern w:val="0"/>
          <w14:ligatures w14:val="none"/>
        </w:rPr>
        <w:t>(Christopher, 2016).</w:t>
      </w:r>
      <w:r w:rsidRPr="00B314E6">
        <w:rPr>
          <w:rFonts w:asciiTheme="majorHAnsi" w:eastAsia="Times New Roman" w:hAnsiTheme="majorHAnsi" w:cs="Times New Roman"/>
          <w:color w:val="000000"/>
          <w:kern w:val="0"/>
          <w14:ligatures w14:val="none"/>
        </w:rPr>
        <w:t xml:space="preserve"> The delays affected JLR’s ability to meet market demand, particularly for electrified variants.</w:t>
      </w:r>
    </w:p>
    <w:p w14:paraId="766DA273" w14:textId="73166E56" w:rsidR="00B314E6" w:rsidRPr="00B314E6" w:rsidRDefault="00B314E6" w:rsidP="00B314E6">
      <w:pPr>
        <w:spacing w:before="100" w:beforeAutospacing="1" w:after="100" w:afterAutospacing="1" w:line="240" w:lineRule="auto"/>
        <w:rPr>
          <w:rFonts w:asciiTheme="majorHAnsi" w:eastAsia="Times New Roman" w:hAnsiTheme="majorHAnsi" w:cs="Times New Roman"/>
          <w:b/>
          <w:bCs/>
          <w:color w:val="000000"/>
          <w:kern w:val="0"/>
          <w14:ligatures w14:val="none"/>
        </w:rPr>
      </w:pPr>
      <w:r w:rsidRPr="00B314E6">
        <w:rPr>
          <w:rFonts w:asciiTheme="majorHAnsi" w:eastAsia="Times New Roman" w:hAnsiTheme="majorHAnsi" w:cs="Times New Roman"/>
          <w:color w:val="000000"/>
          <w:kern w:val="0"/>
          <w14:ligatures w14:val="none"/>
        </w:rPr>
        <w:t xml:space="preserve">In terms of market competitiveness, while JLR possesses strong brand appeal in key segments, it has </w:t>
      </w:r>
      <w:r w:rsidR="00A45F66" w:rsidRPr="00B314E6">
        <w:rPr>
          <w:rFonts w:asciiTheme="majorHAnsi" w:eastAsia="Times New Roman" w:hAnsiTheme="majorHAnsi" w:cs="Times New Roman"/>
          <w:color w:val="000000"/>
          <w:kern w:val="0"/>
          <w14:ligatures w14:val="none"/>
        </w:rPr>
        <w:t>lagged</w:t>
      </w:r>
      <w:r w:rsidRPr="00B314E6">
        <w:rPr>
          <w:rFonts w:asciiTheme="majorHAnsi" w:eastAsia="Times New Roman" w:hAnsiTheme="majorHAnsi" w:cs="Times New Roman"/>
          <w:color w:val="000000"/>
          <w:kern w:val="0"/>
          <w14:ligatures w14:val="none"/>
        </w:rPr>
        <w:t xml:space="preserve"> competitors such as Tesla in the pace of electrification and software innovation. Given the industry’s shift towards software</w:t>
      </w:r>
      <w:r w:rsidRPr="00B314E6">
        <w:rPr>
          <w:rFonts w:asciiTheme="majorHAnsi" w:eastAsia="Times New Roman" w:hAnsiTheme="majorHAnsi" w:cs="Times New Roman"/>
          <w:color w:val="000000"/>
          <w:kern w:val="0"/>
          <w14:ligatures w14:val="none"/>
        </w:rPr>
        <w:noBreakHyphen/>
        <w:t xml:space="preserve">defined vehicles and digital services, this gap highlights a strategic imperative for capability enhancement </w:t>
      </w:r>
      <w:r w:rsidRPr="00B314E6">
        <w:rPr>
          <w:rFonts w:asciiTheme="majorHAnsi" w:eastAsia="Times New Roman" w:hAnsiTheme="majorHAnsi" w:cs="Times New Roman"/>
          <w:b/>
          <w:bCs/>
          <w:color w:val="000000"/>
          <w:kern w:val="0"/>
          <w14:ligatures w14:val="none"/>
        </w:rPr>
        <w:t>(Sharma and Sharma, 2021).</w:t>
      </w:r>
    </w:p>
    <w:p w14:paraId="66FDFD67" w14:textId="5F3449B0"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JLR has made progress in sustainability, reflected in investments in electrification infrastructure and carbon reduction initiatives. Nonetheless, achieving net</w:t>
      </w:r>
      <w:r w:rsidRPr="00B314E6">
        <w:rPr>
          <w:rFonts w:asciiTheme="majorHAnsi" w:eastAsia="Times New Roman" w:hAnsiTheme="majorHAnsi" w:cs="Times New Roman"/>
          <w:color w:val="000000"/>
          <w:kern w:val="0"/>
          <w14:ligatures w14:val="none"/>
        </w:rPr>
        <w:noBreakHyphen/>
        <w:t xml:space="preserve">zero commitments requires deeper integration with suppliers and across value chain processes, as </w:t>
      </w:r>
      <w:r w:rsidR="00A45F66" w:rsidRPr="00B314E6">
        <w:rPr>
          <w:rFonts w:asciiTheme="majorHAnsi" w:eastAsia="Times New Roman" w:hAnsiTheme="majorHAnsi" w:cs="Times New Roman"/>
          <w:color w:val="000000"/>
          <w:kern w:val="0"/>
          <w14:ligatures w14:val="none"/>
        </w:rPr>
        <w:t>recognized</w:t>
      </w:r>
      <w:r w:rsidRPr="00B314E6">
        <w:rPr>
          <w:rFonts w:asciiTheme="majorHAnsi" w:eastAsia="Times New Roman" w:hAnsiTheme="majorHAnsi" w:cs="Times New Roman"/>
          <w:color w:val="000000"/>
          <w:kern w:val="0"/>
          <w14:ligatures w14:val="none"/>
        </w:rPr>
        <w:t xml:space="preserve"> by regulatory and consumer expectations </w:t>
      </w:r>
      <w:r w:rsidRPr="00B314E6">
        <w:rPr>
          <w:rFonts w:asciiTheme="majorHAnsi" w:eastAsia="Times New Roman" w:hAnsiTheme="majorHAnsi" w:cs="Times New Roman"/>
          <w:b/>
          <w:bCs/>
          <w:color w:val="000000"/>
          <w:kern w:val="0"/>
          <w14:ligatures w14:val="none"/>
        </w:rPr>
        <w:t>(Deloitte, 2023).</w:t>
      </w:r>
    </w:p>
    <w:p w14:paraId="38EF3A5A" w14:textId="47996BE8"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From a strategic perspective, there exists a gap between JLR’s articulated vision and its current operational realities. While financial performance demonstrates recovery momentum, structural issues particularly supply chain fragility and technology capability lag must be addressed to sustain competitive advantage.</w:t>
      </w:r>
    </w:p>
    <w:p w14:paraId="4C9E51AE" w14:textId="3E4C2C42" w:rsidR="00B314E6" w:rsidRDefault="00B314E6" w:rsidP="00B314E6">
      <w:pPr>
        <w:spacing w:after="0" w:line="240" w:lineRule="auto"/>
        <w:rPr>
          <w:rFonts w:asciiTheme="majorHAnsi" w:eastAsia="Times New Roman" w:hAnsiTheme="majorHAnsi" w:cs="Times New Roman"/>
          <w:kern w:val="0"/>
          <w14:ligatures w14:val="none"/>
        </w:rPr>
      </w:pPr>
    </w:p>
    <w:p w14:paraId="1EC3C815" w14:textId="77777777" w:rsidR="00A45F66" w:rsidRDefault="00A45F66" w:rsidP="00B314E6">
      <w:pPr>
        <w:spacing w:after="0" w:line="240" w:lineRule="auto"/>
        <w:rPr>
          <w:rFonts w:asciiTheme="majorHAnsi" w:eastAsia="Times New Roman" w:hAnsiTheme="majorHAnsi" w:cs="Times New Roman"/>
          <w:kern w:val="0"/>
          <w14:ligatures w14:val="none"/>
        </w:rPr>
      </w:pPr>
    </w:p>
    <w:p w14:paraId="3942829D" w14:textId="77777777" w:rsidR="00A45F66" w:rsidRDefault="00A45F66" w:rsidP="00B314E6">
      <w:pPr>
        <w:spacing w:after="0" w:line="240" w:lineRule="auto"/>
        <w:rPr>
          <w:rFonts w:asciiTheme="majorHAnsi" w:eastAsia="Times New Roman" w:hAnsiTheme="majorHAnsi" w:cs="Times New Roman"/>
          <w:kern w:val="0"/>
          <w14:ligatures w14:val="none"/>
        </w:rPr>
      </w:pPr>
    </w:p>
    <w:p w14:paraId="2F95B799" w14:textId="77777777" w:rsidR="005E4B5B" w:rsidRDefault="005E4B5B" w:rsidP="00B314E6">
      <w:pPr>
        <w:spacing w:after="0" w:line="240" w:lineRule="auto"/>
        <w:rPr>
          <w:rFonts w:asciiTheme="majorHAnsi" w:eastAsia="Times New Roman" w:hAnsiTheme="majorHAnsi" w:cs="Times New Roman"/>
          <w:kern w:val="0"/>
          <w14:ligatures w14:val="none"/>
        </w:rPr>
      </w:pPr>
    </w:p>
    <w:p w14:paraId="3142FDF4" w14:textId="77777777" w:rsidR="005E4B5B" w:rsidRDefault="005E4B5B" w:rsidP="00B314E6">
      <w:pPr>
        <w:spacing w:after="0" w:line="240" w:lineRule="auto"/>
        <w:rPr>
          <w:rFonts w:asciiTheme="majorHAnsi" w:eastAsia="Times New Roman" w:hAnsiTheme="majorHAnsi" w:cs="Times New Roman"/>
          <w:kern w:val="0"/>
          <w14:ligatures w14:val="none"/>
        </w:rPr>
      </w:pPr>
    </w:p>
    <w:p w14:paraId="37C300C3" w14:textId="77777777" w:rsidR="005E4B5B" w:rsidRDefault="005E4B5B" w:rsidP="00B314E6">
      <w:pPr>
        <w:spacing w:after="0" w:line="240" w:lineRule="auto"/>
        <w:rPr>
          <w:rFonts w:asciiTheme="majorHAnsi" w:eastAsia="Times New Roman" w:hAnsiTheme="majorHAnsi" w:cs="Times New Roman"/>
          <w:kern w:val="0"/>
          <w14:ligatures w14:val="none"/>
        </w:rPr>
      </w:pPr>
    </w:p>
    <w:p w14:paraId="7467CF36" w14:textId="77777777" w:rsidR="005E4B5B" w:rsidRDefault="005E4B5B" w:rsidP="00B314E6">
      <w:pPr>
        <w:spacing w:after="0" w:line="240" w:lineRule="auto"/>
        <w:rPr>
          <w:rFonts w:asciiTheme="majorHAnsi" w:eastAsia="Times New Roman" w:hAnsiTheme="majorHAnsi" w:cs="Times New Roman"/>
          <w:kern w:val="0"/>
          <w14:ligatures w14:val="none"/>
        </w:rPr>
      </w:pPr>
    </w:p>
    <w:p w14:paraId="0CAE3663" w14:textId="77777777" w:rsidR="005E4B5B" w:rsidRDefault="005E4B5B" w:rsidP="00B314E6">
      <w:pPr>
        <w:spacing w:after="0" w:line="240" w:lineRule="auto"/>
        <w:rPr>
          <w:rFonts w:asciiTheme="majorHAnsi" w:eastAsia="Times New Roman" w:hAnsiTheme="majorHAnsi" w:cs="Times New Roman"/>
          <w:kern w:val="0"/>
          <w14:ligatures w14:val="none"/>
        </w:rPr>
      </w:pPr>
    </w:p>
    <w:p w14:paraId="65BF1B5E" w14:textId="77777777" w:rsidR="005E4B5B" w:rsidRDefault="005E4B5B" w:rsidP="00B314E6">
      <w:pPr>
        <w:spacing w:after="0" w:line="240" w:lineRule="auto"/>
        <w:rPr>
          <w:rFonts w:asciiTheme="majorHAnsi" w:eastAsia="Times New Roman" w:hAnsiTheme="majorHAnsi" w:cs="Times New Roman"/>
          <w:kern w:val="0"/>
          <w14:ligatures w14:val="none"/>
        </w:rPr>
      </w:pPr>
    </w:p>
    <w:p w14:paraId="181C6046" w14:textId="77777777" w:rsidR="005E4B5B" w:rsidRDefault="005E4B5B" w:rsidP="00B314E6">
      <w:pPr>
        <w:spacing w:after="0" w:line="240" w:lineRule="auto"/>
        <w:rPr>
          <w:rFonts w:asciiTheme="majorHAnsi" w:eastAsia="Times New Roman" w:hAnsiTheme="majorHAnsi" w:cs="Times New Roman"/>
          <w:kern w:val="0"/>
          <w14:ligatures w14:val="none"/>
        </w:rPr>
      </w:pPr>
    </w:p>
    <w:p w14:paraId="6927B4CF" w14:textId="77777777" w:rsidR="005E4B5B" w:rsidRDefault="005E4B5B" w:rsidP="00B314E6">
      <w:pPr>
        <w:spacing w:after="0" w:line="240" w:lineRule="auto"/>
        <w:rPr>
          <w:rFonts w:asciiTheme="majorHAnsi" w:eastAsia="Times New Roman" w:hAnsiTheme="majorHAnsi" w:cs="Times New Roman"/>
          <w:kern w:val="0"/>
          <w14:ligatures w14:val="none"/>
        </w:rPr>
      </w:pPr>
    </w:p>
    <w:p w14:paraId="2A1FDD2F" w14:textId="77777777" w:rsidR="005E4B5B" w:rsidRDefault="005E4B5B" w:rsidP="00B314E6">
      <w:pPr>
        <w:spacing w:after="0" w:line="240" w:lineRule="auto"/>
        <w:rPr>
          <w:rFonts w:asciiTheme="majorHAnsi" w:eastAsia="Times New Roman" w:hAnsiTheme="majorHAnsi" w:cs="Times New Roman"/>
          <w:kern w:val="0"/>
          <w14:ligatures w14:val="none"/>
        </w:rPr>
      </w:pPr>
    </w:p>
    <w:p w14:paraId="687030B8" w14:textId="77777777" w:rsidR="00A45F66" w:rsidRDefault="00A45F66" w:rsidP="00B314E6">
      <w:pPr>
        <w:spacing w:after="0" w:line="240" w:lineRule="auto"/>
        <w:rPr>
          <w:rFonts w:asciiTheme="majorHAnsi" w:eastAsia="Times New Roman" w:hAnsiTheme="majorHAnsi" w:cs="Times New Roman"/>
          <w:kern w:val="0"/>
          <w14:ligatures w14:val="none"/>
        </w:rPr>
      </w:pPr>
    </w:p>
    <w:p w14:paraId="28A46E05" w14:textId="77777777" w:rsidR="00A45F66" w:rsidRPr="00B314E6" w:rsidRDefault="00A45F66" w:rsidP="00B314E6">
      <w:pPr>
        <w:spacing w:after="0" w:line="240" w:lineRule="auto"/>
        <w:rPr>
          <w:rFonts w:asciiTheme="majorHAnsi" w:eastAsia="Times New Roman" w:hAnsiTheme="majorHAnsi" w:cs="Times New Roman"/>
          <w:kern w:val="0"/>
          <w14:ligatures w14:val="none"/>
        </w:rPr>
      </w:pPr>
    </w:p>
    <w:p w14:paraId="70B068E2" w14:textId="1DA8E969"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40"/>
          <w:szCs w:val="40"/>
          <w:u w:val="single"/>
          <w14:ligatures w14:val="none"/>
        </w:rPr>
      </w:pPr>
      <w:r w:rsidRPr="00B314E6">
        <w:rPr>
          <w:rFonts w:asciiTheme="majorHAnsi" w:eastAsia="Times New Roman" w:hAnsiTheme="majorHAnsi" w:cs="Times New Roman"/>
          <w:i/>
          <w:iCs/>
          <w:color w:val="000000"/>
          <w:kern w:val="0"/>
          <w:sz w:val="40"/>
          <w:szCs w:val="40"/>
          <w:u w:val="single"/>
          <w14:ligatures w14:val="none"/>
        </w:rPr>
        <w:lastRenderedPageBreak/>
        <w:t xml:space="preserve">Strategy Analysis </w:t>
      </w:r>
    </w:p>
    <w:p w14:paraId="3AB49CCA"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6.1 External Environmental Audit</w:t>
      </w:r>
    </w:p>
    <w:p w14:paraId="3DEFC06F"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PESTEL Analysis</w:t>
      </w:r>
    </w:p>
    <w:p w14:paraId="31B62E01" w14:textId="77777777" w:rsidR="00B314E6" w:rsidRP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Political:</w:t>
      </w:r>
      <w:r w:rsidRPr="00B314E6">
        <w:rPr>
          <w:rFonts w:asciiTheme="majorHAnsi" w:eastAsia="Times New Roman" w:hAnsiTheme="majorHAnsi" w:cs="Times New Roman"/>
          <w:color w:val="000000"/>
          <w:kern w:val="0"/>
          <w14:ligatures w14:val="none"/>
        </w:rPr>
        <w:t> Brexit has increased trade complexity and cost for UK manufacturers by introducing tariffs and administrative barriers, impacting export</w:t>
      </w:r>
      <w:r w:rsidRPr="00B314E6">
        <w:rPr>
          <w:rFonts w:asciiTheme="majorHAnsi" w:eastAsia="Times New Roman" w:hAnsiTheme="majorHAnsi" w:cs="Times New Roman"/>
          <w:color w:val="000000"/>
          <w:kern w:val="0"/>
          <w14:ligatures w14:val="none"/>
        </w:rPr>
        <w:noBreakHyphen/>
        <w:t xml:space="preserve">oriented operations </w:t>
      </w:r>
      <w:r w:rsidRPr="00B314E6">
        <w:rPr>
          <w:rFonts w:asciiTheme="majorHAnsi" w:eastAsia="Times New Roman" w:hAnsiTheme="majorHAnsi" w:cs="Times New Roman"/>
          <w:b/>
          <w:bCs/>
          <w:color w:val="000000"/>
          <w:kern w:val="0"/>
          <w14:ligatures w14:val="none"/>
        </w:rPr>
        <w:t>(Grant, 2022).</w:t>
      </w:r>
    </w:p>
    <w:p w14:paraId="350FA160" w14:textId="77777777" w:rsidR="00B314E6" w:rsidRP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Economic:</w:t>
      </w:r>
      <w:r w:rsidRPr="00B314E6">
        <w:rPr>
          <w:rFonts w:asciiTheme="majorHAnsi" w:eastAsia="Times New Roman" w:hAnsiTheme="majorHAnsi" w:cs="Times New Roman"/>
          <w:color w:val="000000"/>
          <w:kern w:val="0"/>
          <w14:ligatures w14:val="none"/>
        </w:rPr>
        <w:t> The global economy has experienced inflationary pressures and currency volatility, which affect input costs and consumer demand for premium vehicles.</w:t>
      </w:r>
    </w:p>
    <w:p w14:paraId="33AE9E84" w14:textId="4E3BF89B" w:rsidR="00B314E6" w:rsidRP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Social:</w:t>
      </w:r>
      <w:r w:rsidRPr="00B314E6">
        <w:rPr>
          <w:rFonts w:asciiTheme="majorHAnsi" w:eastAsia="Times New Roman" w:hAnsiTheme="majorHAnsi" w:cs="Times New Roman"/>
          <w:color w:val="000000"/>
          <w:kern w:val="0"/>
          <w14:ligatures w14:val="none"/>
        </w:rPr>
        <w:t xml:space="preserve"> Consumer preferences increasingly </w:t>
      </w:r>
      <w:r w:rsidR="00A45F66" w:rsidRPr="00B314E6">
        <w:rPr>
          <w:rFonts w:asciiTheme="majorHAnsi" w:eastAsia="Times New Roman" w:hAnsiTheme="majorHAnsi" w:cs="Times New Roman"/>
          <w:color w:val="000000"/>
          <w:kern w:val="0"/>
          <w14:ligatures w14:val="none"/>
        </w:rPr>
        <w:t>emphasize</w:t>
      </w:r>
      <w:r w:rsidRPr="00B314E6">
        <w:rPr>
          <w:rFonts w:asciiTheme="majorHAnsi" w:eastAsia="Times New Roman" w:hAnsiTheme="majorHAnsi" w:cs="Times New Roman"/>
          <w:color w:val="000000"/>
          <w:kern w:val="0"/>
          <w14:ligatures w14:val="none"/>
        </w:rPr>
        <w:t xml:space="preserve"> sustainability, driving demand for electrified vehicles and environmentally responsible brands.</w:t>
      </w:r>
    </w:p>
    <w:p w14:paraId="4D040219" w14:textId="77777777" w:rsidR="00B314E6" w:rsidRP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b/>
          <w:bCs/>
          <w:color w:val="000000"/>
          <w:kern w:val="0"/>
          <w14:ligatures w14:val="none"/>
        </w:rPr>
      </w:pPr>
      <w:r w:rsidRPr="00B314E6">
        <w:rPr>
          <w:rFonts w:asciiTheme="majorHAnsi" w:eastAsia="Times New Roman" w:hAnsiTheme="majorHAnsi" w:cs="Times New Roman"/>
          <w:b/>
          <w:bCs/>
          <w:color w:val="000000"/>
          <w:kern w:val="0"/>
          <w14:ligatures w14:val="none"/>
        </w:rPr>
        <w:t>Technological:</w:t>
      </w:r>
      <w:r w:rsidRPr="00B314E6">
        <w:rPr>
          <w:rFonts w:asciiTheme="majorHAnsi" w:eastAsia="Times New Roman" w:hAnsiTheme="majorHAnsi" w:cs="Times New Roman"/>
          <w:color w:val="000000"/>
          <w:kern w:val="0"/>
          <w14:ligatures w14:val="none"/>
        </w:rPr>
        <w:t xml:space="preserve"> Rapid advancements in EV technology, digital connectivity, and autonomous systems elevate competition and require continuous capability development </w:t>
      </w:r>
      <w:r w:rsidRPr="00B314E6">
        <w:rPr>
          <w:rFonts w:asciiTheme="majorHAnsi" w:eastAsia="Times New Roman" w:hAnsiTheme="majorHAnsi" w:cs="Times New Roman"/>
          <w:b/>
          <w:bCs/>
          <w:color w:val="000000"/>
          <w:kern w:val="0"/>
          <w14:ligatures w14:val="none"/>
        </w:rPr>
        <w:t>(Sharma and Sharma, 2021).</w:t>
      </w:r>
    </w:p>
    <w:p w14:paraId="2DD15240" w14:textId="77777777" w:rsidR="00B314E6" w:rsidRP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Environmental:</w:t>
      </w:r>
      <w:r w:rsidRPr="00B314E6">
        <w:rPr>
          <w:rFonts w:asciiTheme="majorHAnsi" w:eastAsia="Times New Roman" w:hAnsiTheme="majorHAnsi" w:cs="Times New Roman"/>
          <w:color w:val="000000"/>
          <w:kern w:val="0"/>
          <w14:ligatures w14:val="none"/>
        </w:rPr>
        <w:t> Regulatory pressures to reduce emissions elevate compliance costs but also create opportunities for first</w:t>
      </w:r>
      <w:r w:rsidRPr="00B314E6">
        <w:rPr>
          <w:rFonts w:asciiTheme="majorHAnsi" w:eastAsia="Times New Roman" w:hAnsiTheme="majorHAnsi" w:cs="Times New Roman"/>
          <w:color w:val="000000"/>
          <w:kern w:val="0"/>
          <w14:ligatures w14:val="none"/>
        </w:rPr>
        <w:noBreakHyphen/>
        <w:t>mover advantage in electrification.</w:t>
      </w:r>
    </w:p>
    <w:p w14:paraId="524D1A92" w14:textId="77777777" w:rsidR="00B314E6" w:rsidRDefault="00B314E6" w:rsidP="00B314E6">
      <w:pPr>
        <w:numPr>
          <w:ilvl w:val="0"/>
          <w:numId w:val="3"/>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Legal:</w:t>
      </w:r>
      <w:r w:rsidRPr="00B314E6">
        <w:rPr>
          <w:rFonts w:asciiTheme="majorHAnsi" w:eastAsia="Times New Roman" w:hAnsiTheme="majorHAnsi" w:cs="Times New Roman"/>
          <w:color w:val="000000"/>
          <w:kern w:val="0"/>
          <w14:ligatures w14:val="none"/>
        </w:rPr>
        <w:t> Compliance with varying international safety and environmental standards increases operational complexity.</w:t>
      </w:r>
    </w:p>
    <w:p w14:paraId="0378DA69" w14:textId="77777777" w:rsidR="00A45F66" w:rsidRPr="00B314E6" w:rsidRDefault="00A45F66" w:rsidP="00A45F66">
      <w:pPr>
        <w:spacing w:before="100" w:beforeAutospacing="1" w:after="100" w:afterAutospacing="1" w:line="240" w:lineRule="auto"/>
        <w:rPr>
          <w:rFonts w:asciiTheme="majorHAnsi" w:eastAsia="Times New Roman" w:hAnsiTheme="majorHAnsi" w:cs="Times New Roman"/>
          <w:color w:val="000000"/>
          <w:kern w:val="0"/>
          <w14:ligatures w14:val="none"/>
        </w:rPr>
      </w:pPr>
    </w:p>
    <w:p w14:paraId="73012B27"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Porter’s Five Forces</w:t>
      </w:r>
    </w:p>
    <w:p w14:paraId="0EE16863" w14:textId="77777777" w:rsidR="00B314E6" w:rsidRPr="00B314E6" w:rsidRDefault="00B314E6" w:rsidP="00B314E6">
      <w:pPr>
        <w:numPr>
          <w:ilvl w:val="0"/>
          <w:numId w:val="4"/>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Competitive Rivalry:</w:t>
      </w:r>
      <w:r w:rsidRPr="00B314E6">
        <w:rPr>
          <w:rFonts w:asciiTheme="majorHAnsi" w:eastAsia="Times New Roman" w:hAnsiTheme="majorHAnsi" w:cs="Times New Roman"/>
          <w:color w:val="000000"/>
          <w:kern w:val="0"/>
          <w14:ligatures w14:val="none"/>
        </w:rPr>
        <w:t> Intense, due to established luxury OEMs and new entrants with strong EV and software capabilities, such as Tesla.</w:t>
      </w:r>
    </w:p>
    <w:p w14:paraId="786E631F" w14:textId="77777777" w:rsidR="00B314E6" w:rsidRPr="00B314E6" w:rsidRDefault="00B314E6" w:rsidP="00B314E6">
      <w:pPr>
        <w:numPr>
          <w:ilvl w:val="0"/>
          <w:numId w:val="4"/>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Threat of New Entrants:</w:t>
      </w:r>
      <w:r w:rsidRPr="00B314E6">
        <w:rPr>
          <w:rFonts w:asciiTheme="majorHAnsi" w:eastAsia="Times New Roman" w:hAnsiTheme="majorHAnsi" w:cs="Times New Roman"/>
          <w:color w:val="000000"/>
          <w:kern w:val="0"/>
          <w14:ligatures w14:val="none"/>
        </w:rPr>
        <w:t> Moderate, high capital requirements limit entry, but tech firms increasing enter through partnerships and alliances.</w:t>
      </w:r>
    </w:p>
    <w:p w14:paraId="3DDD8F34" w14:textId="77777777" w:rsidR="00B314E6" w:rsidRPr="00B314E6" w:rsidRDefault="00B314E6" w:rsidP="00B314E6">
      <w:pPr>
        <w:numPr>
          <w:ilvl w:val="0"/>
          <w:numId w:val="4"/>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Supplier Power:</w:t>
      </w:r>
      <w:r w:rsidRPr="00B314E6">
        <w:rPr>
          <w:rFonts w:asciiTheme="majorHAnsi" w:eastAsia="Times New Roman" w:hAnsiTheme="majorHAnsi" w:cs="Times New Roman"/>
          <w:color w:val="000000"/>
          <w:kern w:val="0"/>
          <w14:ligatures w14:val="none"/>
        </w:rPr>
        <w:t> High for critical components such as semiconductors and batteries, reflecting limited supplier alternatives.</w:t>
      </w:r>
    </w:p>
    <w:p w14:paraId="77CB89CA" w14:textId="77777777" w:rsidR="00B314E6" w:rsidRPr="00B314E6" w:rsidRDefault="00B314E6" w:rsidP="00B314E6">
      <w:pPr>
        <w:numPr>
          <w:ilvl w:val="0"/>
          <w:numId w:val="4"/>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Buyer Power:</w:t>
      </w:r>
      <w:r w:rsidRPr="00B314E6">
        <w:rPr>
          <w:rFonts w:asciiTheme="majorHAnsi" w:eastAsia="Times New Roman" w:hAnsiTheme="majorHAnsi" w:cs="Times New Roman"/>
          <w:color w:val="000000"/>
          <w:kern w:val="0"/>
          <w14:ligatures w14:val="none"/>
        </w:rPr>
        <w:t> Moderate to high, as consumers have expanded choices and elevated expectations for innovation and sustainability.</w:t>
      </w:r>
    </w:p>
    <w:p w14:paraId="56720AA9" w14:textId="77777777" w:rsidR="00B314E6" w:rsidRPr="00B314E6" w:rsidRDefault="00B314E6" w:rsidP="00B314E6">
      <w:pPr>
        <w:numPr>
          <w:ilvl w:val="0"/>
          <w:numId w:val="4"/>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Threat of Substitutes:</w:t>
      </w:r>
      <w:r w:rsidRPr="00B314E6">
        <w:rPr>
          <w:rFonts w:asciiTheme="majorHAnsi" w:eastAsia="Times New Roman" w:hAnsiTheme="majorHAnsi" w:cs="Times New Roman"/>
          <w:color w:val="000000"/>
          <w:kern w:val="0"/>
          <w14:ligatures w14:val="none"/>
        </w:rPr>
        <w:t> Rising, with alternative mobility models such as ride</w:t>
      </w:r>
      <w:r w:rsidRPr="00B314E6">
        <w:rPr>
          <w:rFonts w:asciiTheme="majorHAnsi" w:eastAsia="Times New Roman" w:hAnsiTheme="majorHAnsi" w:cs="Times New Roman"/>
          <w:color w:val="000000"/>
          <w:kern w:val="0"/>
          <w14:ligatures w14:val="none"/>
        </w:rPr>
        <w:noBreakHyphen/>
        <w:t>sharing and subscription services influencing ownership trends.</w:t>
      </w:r>
    </w:p>
    <w:p w14:paraId="700FCE08"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This analysis underscores a challenging external environment where competitive intensity, supplier constraints, and technological disruption coalesce to shape strategic imperatives.</w:t>
      </w:r>
    </w:p>
    <w:p w14:paraId="2960048A" w14:textId="6DBD28D9" w:rsidR="00B314E6" w:rsidRDefault="00B314E6" w:rsidP="00B314E6">
      <w:pPr>
        <w:spacing w:after="0" w:line="240" w:lineRule="auto"/>
        <w:rPr>
          <w:rFonts w:asciiTheme="majorHAnsi" w:eastAsia="Times New Roman" w:hAnsiTheme="majorHAnsi" w:cs="Times New Roman"/>
          <w:kern w:val="0"/>
          <w14:ligatures w14:val="none"/>
        </w:rPr>
      </w:pPr>
    </w:p>
    <w:p w14:paraId="5FFF4C3B" w14:textId="77777777" w:rsidR="005E4B5B" w:rsidRDefault="005E4B5B" w:rsidP="00B314E6">
      <w:pPr>
        <w:spacing w:after="0" w:line="240" w:lineRule="auto"/>
        <w:rPr>
          <w:rFonts w:asciiTheme="majorHAnsi" w:eastAsia="Times New Roman" w:hAnsiTheme="majorHAnsi" w:cs="Times New Roman"/>
          <w:kern w:val="0"/>
          <w14:ligatures w14:val="none"/>
        </w:rPr>
      </w:pPr>
    </w:p>
    <w:p w14:paraId="3D0BD738" w14:textId="77777777" w:rsidR="005E4B5B" w:rsidRDefault="005E4B5B" w:rsidP="00B314E6">
      <w:pPr>
        <w:spacing w:after="0" w:line="240" w:lineRule="auto"/>
        <w:rPr>
          <w:rFonts w:asciiTheme="majorHAnsi" w:eastAsia="Times New Roman" w:hAnsiTheme="majorHAnsi" w:cs="Times New Roman"/>
          <w:kern w:val="0"/>
          <w14:ligatures w14:val="none"/>
        </w:rPr>
      </w:pPr>
    </w:p>
    <w:p w14:paraId="639AF0BB"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lastRenderedPageBreak/>
        <w:t>6.2 Internal Environmental Audit</w:t>
      </w:r>
    </w:p>
    <w:p w14:paraId="4A122487"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SWOT Analysis</w:t>
      </w:r>
    </w:p>
    <w:p w14:paraId="35102CC7" w14:textId="77777777" w:rsidR="00B314E6" w:rsidRPr="00B314E6" w:rsidRDefault="00B314E6" w:rsidP="00B314E6">
      <w:pPr>
        <w:numPr>
          <w:ilvl w:val="0"/>
          <w:numId w:val="5"/>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Strengths:</w:t>
      </w:r>
      <w:r w:rsidRPr="00B314E6">
        <w:rPr>
          <w:rFonts w:asciiTheme="majorHAnsi" w:eastAsia="Times New Roman" w:hAnsiTheme="majorHAnsi" w:cs="Times New Roman"/>
          <w:color w:val="000000"/>
          <w:kern w:val="0"/>
          <w14:ligatures w14:val="none"/>
        </w:rPr>
        <w:t> Strong brand equity; premium market positioning; engineering expertise; UK manufacturing heritage.</w:t>
      </w:r>
    </w:p>
    <w:p w14:paraId="4892B10C" w14:textId="77777777" w:rsidR="00B314E6" w:rsidRPr="00B314E6" w:rsidRDefault="00B314E6" w:rsidP="00B314E6">
      <w:pPr>
        <w:numPr>
          <w:ilvl w:val="0"/>
          <w:numId w:val="5"/>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Weaknesses:</w:t>
      </w:r>
      <w:r w:rsidRPr="00B314E6">
        <w:rPr>
          <w:rFonts w:asciiTheme="majorHAnsi" w:eastAsia="Times New Roman" w:hAnsiTheme="majorHAnsi" w:cs="Times New Roman"/>
          <w:color w:val="000000"/>
          <w:kern w:val="0"/>
          <w14:ligatures w14:val="none"/>
        </w:rPr>
        <w:t> Slow EV adoption relative to competitors; supply chain dependency on critical suppliers; limited software ecosystem.</w:t>
      </w:r>
    </w:p>
    <w:p w14:paraId="3E9F02A2" w14:textId="77777777" w:rsidR="00B314E6" w:rsidRPr="00B314E6" w:rsidRDefault="00B314E6" w:rsidP="00B314E6">
      <w:pPr>
        <w:numPr>
          <w:ilvl w:val="0"/>
          <w:numId w:val="5"/>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Opportunities:</w:t>
      </w:r>
      <w:r w:rsidRPr="00B314E6">
        <w:rPr>
          <w:rFonts w:asciiTheme="majorHAnsi" w:eastAsia="Times New Roman" w:hAnsiTheme="majorHAnsi" w:cs="Times New Roman"/>
          <w:color w:val="000000"/>
          <w:kern w:val="0"/>
          <w14:ligatures w14:val="none"/>
        </w:rPr>
        <w:t> Electrification growth; digital and connected services; partnership leverage.</w:t>
      </w:r>
    </w:p>
    <w:p w14:paraId="7534E28E" w14:textId="77777777" w:rsidR="00B314E6" w:rsidRPr="00B314E6" w:rsidRDefault="00B314E6" w:rsidP="00B314E6">
      <w:pPr>
        <w:numPr>
          <w:ilvl w:val="0"/>
          <w:numId w:val="5"/>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Threats:</w:t>
      </w:r>
      <w:r w:rsidRPr="00B314E6">
        <w:rPr>
          <w:rFonts w:asciiTheme="majorHAnsi" w:eastAsia="Times New Roman" w:hAnsiTheme="majorHAnsi" w:cs="Times New Roman"/>
          <w:color w:val="000000"/>
          <w:kern w:val="0"/>
          <w14:ligatures w14:val="none"/>
        </w:rPr>
        <w:t> Intense competition; regulatory pressures; supply chain volatility.</w:t>
      </w:r>
    </w:p>
    <w:p w14:paraId="08E45C66"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VRIO Analysis</w:t>
      </w:r>
    </w:p>
    <w:p w14:paraId="3BB95D71"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Using VRIO </w:t>
      </w:r>
      <w:r w:rsidRPr="00B314E6">
        <w:rPr>
          <w:rFonts w:asciiTheme="majorHAnsi" w:eastAsia="Times New Roman" w:hAnsiTheme="majorHAnsi" w:cs="Times New Roman"/>
          <w:b/>
          <w:bCs/>
          <w:color w:val="000000"/>
          <w:kern w:val="0"/>
          <w14:ligatures w14:val="none"/>
        </w:rPr>
        <w:t>(Barney, 1991):</w:t>
      </w:r>
    </w:p>
    <w:p w14:paraId="51428E38" w14:textId="77777777" w:rsidR="00B314E6" w:rsidRPr="00B314E6" w:rsidRDefault="00B314E6" w:rsidP="00B314E6">
      <w:pPr>
        <w:numPr>
          <w:ilvl w:val="0"/>
          <w:numId w:val="6"/>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Valuable:</w:t>
      </w:r>
      <w:r w:rsidRPr="00B314E6">
        <w:rPr>
          <w:rFonts w:asciiTheme="majorHAnsi" w:eastAsia="Times New Roman" w:hAnsiTheme="majorHAnsi" w:cs="Times New Roman"/>
          <w:color w:val="000000"/>
          <w:kern w:val="0"/>
          <w14:ligatures w14:val="none"/>
        </w:rPr>
        <w:t> Brand reputation and engineering capabilities create customer value.</w:t>
      </w:r>
    </w:p>
    <w:p w14:paraId="0156CFD7" w14:textId="77777777" w:rsidR="00B314E6" w:rsidRPr="00B314E6" w:rsidRDefault="00B314E6" w:rsidP="00B314E6">
      <w:pPr>
        <w:numPr>
          <w:ilvl w:val="0"/>
          <w:numId w:val="6"/>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Rare:</w:t>
      </w:r>
      <w:r w:rsidRPr="00B314E6">
        <w:rPr>
          <w:rFonts w:asciiTheme="majorHAnsi" w:eastAsia="Times New Roman" w:hAnsiTheme="majorHAnsi" w:cs="Times New Roman"/>
          <w:color w:val="000000"/>
          <w:kern w:val="0"/>
          <w14:ligatures w14:val="none"/>
        </w:rPr>
        <w:t> Heritage luxury positioning is distinctive.</w:t>
      </w:r>
    </w:p>
    <w:p w14:paraId="7A70283E" w14:textId="77777777" w:rsidR="00B314E6" w:rsidRPr="00B314E6" w:rsidRDefault="00B314E6" w:rsidP="00B314E6">
      <w:pPr>
        <w:numPr>
          <w:ilvl w:val="0"/>
          <w:numId w:val="6"/>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Inimitable:</w:t>
      </w:r>
      <w:r w:rsidRPr="00B314E6">
        <w:rPr>
          <w:rFonts w:asciiTheme="majorHAnsi" w:eastAsia="Times New Roman" w:hAnsiTheme="majorHAnsi" w:cs="Times New Roman"/>
          <w:color w:val="000000"/>
          <w:kern w:val="0"/>
          <w14:ligatures w14:val="none"/>
        </w:rPr>
        <w:t> Difficult but rival brands possess similar premium capability sets.</w:t>
      </w:r>
    </w:p>
    <w:p w14:paraId="3BC4DB1F" w14:textId="102B5808" w:rsidR="00B314E6" w:rsidRPr="00B314E6" w:rsidRDefault="00A45F66" w:rsidP="00B314E6">
      <w:pPr>
        <w:numPr>
          <w:ilvl w:val="0"/>
          <w:numId w:val="6"/>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Organized</w:t>
      </w:r>
      <w:r w:rsidR="00B314E6" w:rsidRPr="00B314E6">
        <w:rPr>
          <w:rFonts w:asciiTheme="majorHAnsi" w:eastAsia="Times New Roman" w:hAnsiTheme="majorHAnsi" w:cs="Times New Roman"/>
          <w:b/>
          <w:bCs/>
          <w:color w:val="000000"/>
          <w:kern w:val="0"/>
          <w14:ligatures w14:val="none"/>
        </w:rPr>
        <w:t>:</w:t>
      </w:r>
      <w:r w:rsidR="00B314E6" w:rsidRPr="00B314E6">
        <w:rPr>
          <w:rFonts w:asciiTheme="majorHAnsi" w:eastAsia="Times New Roman" w:hAnsiTheme="majorHAnsi" w:cs="Times New Roman"/>
          <w:color w:val="000000"/>
          <w:kern w:val="0"/>
          <w14:ligatures w14:val="none"/>
        </w:rPr>
        <w:t> Structures exist but require upgrade for electrification and digital capabilities.</w:t>
      </w:r>
    </w:p>
    <w:p w14:paraId="0A16F83A"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b/>
          <w:bCs/>
          <w:color w:val="000000"/>
          <w:kern w:val="0"/>
          <w14:ligatures w14:val="none"/>
        </w:rPr>
      </w:pPr>
      <w:r w:rsidRPr="00B314E6">
        <w:rPr>
          <w:rFonts w:asciiTheme="majorHAnsi" w:eastAsia="Times New Roman" w:hAnsiTheme="majorHAnsi" w:cs="Times New Roman"/>
          <w:color w:val="000000"/>
          <w:kern w:val="0"/>
          <w14:ligatures w14:val="none"/>
        </w:rPr>
        <w:t>Thus, while resources are valuable and rare, they offer </w:t>
      </w:r>
      <w:r w:rsidRPr="00B314E6">
        <w:rPr>
          <w:rFonts w:asciiTheme="majorHAnsi" w:eastAsia="Times New Roman" w:hAnsiTheme="majorHAnsi" w:cs="Times New Roman"/>
          <w:b/>
          <w:bCs/>
          <w:color w:val="000000"/>
          <w:kern w:val="0"/>
          <w14:ligatures w14:val="none"/>
        </w:rPr>
        <w:t>temporary competitive advantage</w:t>
      </w:r>
      <w:r w:rsidRPr="00B314E6">
        <w:rPr>
          <w:rFonts w:asciiTheme="majorHAnsi" w:eastAsia="Times New Roman" w:hAnsiTheme="majorHAnsi" w:cs="Times New Roman"/>
          <w:color w:val="000000"/>
          <w:kern w:val="0"/>
          <w14:ligatures w14:val="none"/>
        </w:rPr>
        <w:t> but not </w:t>
      </w:r>
      <w:r w:rsidRPr="00B314E6">
        <w:rPr>
          <w:rFonts w:asciiTheme="majorHAnsi" w:eastAsia="Times New Roman" w:hAnsiTheme="majorHAnsi" w:cs="Times New Roman"/>
          <w:b/>
          <w:bCs/>
          <w:color w:val="000000"/>
          <w:kern w:val="0"/>
          <w14:ligatures w14:val="none"/>
        </w:rPr>
        <w:t>sustained</w:t>
      </w:r>
      <w:r w:rsidRPr="00B314E6">
        <w:rPr>
          <w:rFonts w:asciiTheme="majorHAnsi" w:eastAsia="Times New Roman" w:hAnsiTheme="majorHAnsi" w:cs="Times New Roman"/>
          <w:color w:val="000000"/>
          <w:kern w:val="0"/>
          <w14:ligatures w14:val="none"/>
        </w:rPr>
        <w:t xml:space="preserve"> advantage unless capabilities are enhanced </w:t>
      </w:r>
      <w:r w:rsidRPr="00B314E6">
        <w:rPr>
          <w:rFonts w:asciiTheme="majorHAnsi" w:eastAsia="Times New Roman" w:hAnsiTheme="majorHAnsi" w:cs="Times New Roman"/>
          <w:b/>
          <w:bCs/>
          <w:color w:val="000000"/>
          <w:kern w:val="0"/>
          <w14:ligatures w14:val="none"/>
        </w:rPr>
        <w:t>(Barney, 1991; Teece et al., 2016).</w:t>
      </w:r>
    </w:p>
    <w:p w14:paraId="2E3D72E2"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Value Chain Analysis</w:t>
      </w:r>
    </w:p>
    <w:p w14:paraId="066D0938"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Primary activities such as manufacturing and logistics are concentrated in the UK, enhancing quality control but increasing exposure to geographic and regulatory risk. Procurement activities reveal dependence on global suppliers for critical components, limiting control over cost and reliability.</w:t>
      </w:r>
    </w:p>
    <w:p w14:paraId="549DA02D"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6.3 CAGE Framework Application</w:t>
      </w:r>
    </w:p>
    <w:p w14:paraId="3E16CA65"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The </w:t>
      </w:r>
      <w:r w:rsidRPr="00B314E6">
        <w:rPr>
          <w:rFonts w:asciiTheme="majorHAnsi" w:eastAsia="Times New Roman" w:hAnsiTheme="majorHAnsi" w:cs="Times New Roman"/>
          <w:b/>
          <w:bCs/>
          <w:color w:val="000000"/>
          <w:kern w:val="0"/>
          <w14:ligatures w14:val="none"/>
        </w:rPr>
        <w:t>CAGE framework</w:t>
      </w:r>
      <w:r w:rsidRPr="00B314E6">
        <w:rPr>
          <w:rFonts w:asciiTheme="majorHAnsi" w:eastAsia="Times New Roman" w:hAnsiTheme="majorHAnsi" w:cs="Times New Roman"/>
          <w:color w:val="000000"/>
          <w:kern w:val="0"/>
          <w14:ligatures w14:val="none"/>
        </w:rPr>
        <w:t> </w:t>
      </w:r>
      <w:r w:rsidRPr="00B314E6">
        <w:rPr>
          <w:rFonts w:asciiTheme="majorHAnsi" w:eastAsia="Times New Roman" w:hAnsiTheme="majorHAnsi" w:cs="Times New Roman"/>
          <w:b/>
          <w:bCs/>
          <w:color w:val="000000"/>
          <w:kern w:val="0"/>
          <w14:ligatures w14:val="none"/>
        </w:rPr>
        <w:t>(Ghemawat, 2001)</w:t>
      </w:r>
      <w:r w:rsidRPr="00B314E6">
        <w:rPr>
          <w:rFonts w:asciiTheme="majorHAnsi" w:eastAsia="Times New Roman" w:hAnsiTheme="majorHAnsi" w:cs="Times New Roman"/>
          <w:color w:val="000000"/>
          <w:kern w:val="0"/>
          <w14:ligatures w14:val="none"/>
        </w:rPr>
        <w:t xml:space="preserve"> assesses distance factors in global strategy:</w:t>
      </w:r>
    </w:p>
    <w:p w14:paraId="0B5F5BB0" w14:textId="77777777" w:rsidR="00B314E6" w:rsidRPr="00B314E6" w:rsidRDefault="00B314E6" w:rsidP="00B314E6">
      <w:pPr>
        <w:numPr>
          <w:ilvl w:val="0"/>
          <w:numId w:val="7"/>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Cultural Distance:</w:t>
      </w:r>
      <w:r w:rsidRPr="00B314E6">
        <w:rPr>
          <w:rFonts w:asciiTheme="majorHAnsi" w:eastAsia="Times New Roman" w:hAnsiTheme="majorHAnsi" w:cs="Times New Roman"/>
          <w:color w:val="000000"/>
          <w:kern w:val="0"/>
          <w14:ligatures w14:val="none"/>
        </w:rPr>
        <w:t> JLR’s British luxury identity requires adaptation in culturally diverse markets such as China and India.</w:t>
      </w:r>
    </w:p>
    <w:p w14:paraId="644D1DFE" w14:textId="77777777" w:rsidR="00B314E6" w:rsidRPr="00B314E6" w:rsidRDefault="00B314E6" w:rsidP="00B314E6">
      <w:pPr>
        <w:numPr>
          <w:ilvl w:val="0"/>
          <w:numId w:val="7"/>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Administrative Distance:</w:t>
      </w:r>
      <w:r w:rsidRPr="00B314E6">
        <w:rPr>
          <w:rFonts w:asciiTheme="majorHAnsi" w:eastAsia="Times New Roman" w:hAnsiTheme="majorHAnsi" w:cs="Times New Roman"/>
          <w:color w:val="000000"/>
          <w:kern w:val="0"/>
          <w14:ligatures w14:val="none"/>
        </w:rPr>
        <w:t> Post</w:t>
      </w:r>
      <w:r w:rsidRPr="00B314E6">
        <w:rPr>
          <w:rFonts w:asciiTheme="majorHAnsi" w:eastAsia="Times New Roman" w:hAnsiTheme="majorHAnsi" w:cs="Times New Roman"/>
          <w:color w:val="000000"/>
          <w:kern w:val="0"/>
          <w14:ligatures w14:val="none"/>
        </w:rPr>
        <w:noBreakHyphen/>
        <w:t>Brexit regulatory divergence has complicated trade with the EU, elevating administrative barriers.</w:t>
      </w:r>
    </w:p>
    <w:p w14:paraId="7D8475CE" w14:textId="77777777" w:rsidR="00B314E6" w:rsidRPr="00B314E6" w:rsidRDefault="00B314E6" w:rsidP="00B314E6">
      <w:pPr>
        <w:numPr>
          <w:ilvl w:val="0"/>
          <w:numId w:val="7"/>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Geographic Distance:</w:t>
      </w:r>
      <w:r w:rsidRPr="00B314E6">
        <w:rPr>
          <w:rFonts w:asciiTheme="majorHAnsi" w:eastAsia="Times New Roman" w:hAnsiTheme="majorHAnsi" w:cs="Times New Roman"/>
          <w:color w:val="000000"/>
          <w:kern w:val="0"/>
          <w14:ligatures w14:val="none"/>
        </w:rPr>
        <w:t> UK</w:t>
      </w:r>
      <w:r w:rsidRPr="00B314E6">
        <w:rPr>
          <w:rFonts w:asciiTheme="majorHAnsi" w:eastAsia="Times New Roman" w:hAnsiTheme="majorHAnsi" w:cs="Times New Roman"/>
          <w:color w:val="000000"/>
          <w:kern w:val="0"/>
          <w14:ligatures w14:val="none"/>
        </w:rPr>
        <w:noBreakHyphen/>
        <w:t>centric production increases logistics costs and lead times to key markets outside Europe.</w:t>
      </w:r>
    </w:p>
    <w:p w14:paraId="5DA86C8D" w14:textId="77777777" w:rsidR="00B314E6" w:rsidRPr="00B314E6" w:rsidRDefault="00B314E6" w:rsidP="00B314E6">
      <w:pPr>
        <w:numPr>
          <w:ilvl w:val="0"/>
          <w:numId w:val="7"/>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Economic Distance:</w:t>
      </w:r>
      <w:r w:rsidRPr="00B314E6">
        <w:rPr>
          <w:rFonts w:asciiTheme="majorHAnsi" w:eastAsia="Times New Roman" w:hAnsiTheme="majorHAnsi" w:cs="Times New Roman"/>
          <w:color w:val="000000"/>
          <w:kern w:val="0"/>
          <w14:ligatures w14:val="none"/>
        </w:rPr>
        <w:t> Demand for premium vehicles varies by market income levels, influencing pricing and market</w:t>
      </w:r>
      <w:r w:rsidRPr="00B314E6">
        <w:rPr>
          <w:rFonts w:asciiTheme="majorHAnsi" w:eastAsia="Times New Roman" w:hAnsiTheme="majorHAnsi" w:cs="Times New Roman"/>
          <w:color w:val="000000"/>
          <w:kern w:val="0"/>
          <w14:ligatures w14:val="none"/>
        </w:rPr>
        <w:noBreakHyphen/>
        <w:t>entry strategies.</w:t>
      </w:r>
    </w:p>
    <w:p w14:paraId="21593BB6"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lastRenderedPageBreak/>
        <w:t>This framework highlights that JLR’s global strategy must balance global brand coherence with regional adaptation.</w:t>
      </w:r>
    </w:p>
    <w:p w14:paraId="7C853DA7"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6.4 UK-Based Supply Chain &amp; Seven Key Issues</w:t>
      </w:r>
    </w:p>
    <w:p w14:paraId="1E9B3B90"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JLR’s supply chain is heavily UK</w:t>
      </w:r>
      <w:r w:rsidRPr="00B314E6">
        <w:rPr>
          <w:rFonts w:asciiTheme="majorHAnsi" w:eastAsia="Times New Roman" w:hAnsiTheme="majorHAnsi" w:cs="Times New Roman"/>
          <w:color w:val="000000"/>
          <w:kern w:val="0"/>
          <w14:ligatures w14:val="none"/>
        </w:rPr>
        <w:noBreakHyphen/>
        <w:t>based, offering quality oversight but exposing it to several vulnerabilities. Seven key issues identified are:</w:t>
      </w:r>
    </w:p>
    <w:p w14:paraId="4448BB95"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Geopolitical Risk:</w:t>
      </w:r>
      <w:r w:rsidRPr="00B314E6">
        <w:rPr>
          <w:rFonts w:asciiTheme="majorHAnsi" w:eastAsia="Times New Roman" w:hAnsiTheme="majorHAnsi" w:cs="Times New Roman"/>
          <w:color w:val="000000"/>
          <w:kern w:val="0"/>
          <w14:ligatures w14:val="none"/>
        </w:rPr>
        <w:t> Brexit</w:t>
      </w:r>
      <w:r w:rsidRPr="00B314E6">
        <w:rPr>
          <w:rFonts w:asciiTheme="majorHAnsi" w:eastAsia="Times New Roman" w:hAnsiTheme="majorHAnsi" w:cs="Times New Roman"/>
          <w:color w:val="000000"/>
          <w:kern w:val="0"/>
          <w14:ligatures w14:val="none"/>
        </w:rPr>
        <w:noBreakHyphen/>
        <w:t>related trade barriers and global tensions.</w:t>
      </w:r>
    </w:p>
    <w:p w14:paraId="35512CC7"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Supplier Dependency:</w:t>
      </w:r>
      <w:r w:rsidRPr="00B314E6">
        <w:rPr>
          <w:rFonts w:asciiTheme="majorHAnsi" w:eastAsia="Times New Roman" w:hAnsiTheme="majorHAnsi" w:cs="Times New Roman"/>
          <w:color w:val="000000"/>
          <w:kern w:val="0"/>
          <w14:ligatures w14:val="none"/>
        </w:rPr>
        <w:t> Reliance on limited suppliers for semiconductors and batteries.</w:t>
      </w:r>
    </w:p>
    <w:p w14:paraId="062FAC7B"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Sustainability Pressures:</w:t>
      </w:r>
      <w:r w:rsidRPr="00B314E6">
        <w:rPr>
          <w:rFonts w:asciiTheme="majorHAnsi" w:eastAsia="Times New Roman" w:hAnsiTheme="majorHAnsi" w:cs="Times New Roman"/>
          <w:color w:val="000000"/>
          <w:kern w:val="0"/>
          <w14:ligatures w14:val="none"/>
        </w:rPr>
        <w:t> Need to meet environmental standards and carbon reduction targets.</w:t>
      </w:r>
    </w:p>
    <w:p w14:paraId="6DF8AA85"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Technological Disruption:</w:t>
      </w:r>
      <w:r w:rsidRPr="00B314E6">
        <w:rPr>
          <w:rFonts w:asciiTheme="majorHAnsi" w:eastAsia="Times New Roman" w:hAnsiTheme="majorHAnsi" w:cs="Times New Roman"/>
          <w:color w:val="000000"/>
          <w:kern w:val="0"/>
          <w14:ligatures w14:val="none"/>
        </w:rPr>
        <w:t> Rapid evolution of EV and digital components.</w:t>
      </w:r>
    </w:p>
    <w:p w14:paraId="77B2A739"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Cost Volatility:</w:t>
      </w:r>
      <w:r w:rsidRPr="00B314E6">
        <w:rPr>
          <w:rFonts w:asciiTheme="majorHAnsi" w:eastAsia="Times New Roman" w:hAnsiTheme="majorHAnsi" w:cs="Times New Roman"/>
          <w:color w:val="000000"/>
          <w:kern w:val="0"/>
          <w14:ligatures w14:val="none"/>
        </w:rPr>
        <w:t> Fluctuating prices for raw materials and energy.</w:t>
      </w:r>
    </w:p>
    <w:p w14:paraId="1BC6401A"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Logistics Disruptions:</w:t>
      </w:r>
      <w:r w:rsidRPr="00B314E6">
        <w:rPr>
          <w:rFonts w:asciiTheme="majorHAnsi" w:eastAsia="Times New Roman" w:hAnsiTheme="majorHAnsi" w:cs="Times New Roman"/>
          <w:color w:val="000000"/>
          <w:kern w:val="0"/>
          <w14:ligatures w14:val="none"/>
        </w:rPr>
        <w:t> Transportation delays and port congestion risks.</w:t>
      </w:r>
    </w:p>
    <w:p w14:paraId="1F95EBCE" w14:textId="77777777" w:rsidR="00B314E6" w:rsidRPr="00B314E6" w:rsidRDefault="00B314E6" w:rsidP="00B314E6">
      <w:pPr>
        <w:numPr>
          <w:ilvl w:val="0"/>
          <w:numId w:val="8"/>
        </w:num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14:ligatures w14:val="none"/>
        </w:rPr>
        <w:t>Limited Visibility:</w:t>
      </w:r>
      <w:r w:rsidRPr="00B314E6">
        <w:rPr>
          <w:rFonts w:asciiTheme="majorHAnsi" w:eastAsia="Times New Roman" w:hAnsiTheme="majorHAnsi" w:cs="Times New Roman"/>
          <w:color w:val="000000"/>
          <w:kern w:val="0"/>
          <w14:ligatures w14:val="none"/>
        </w:rPr>
        <w:t> Inadequate transparency in multi</w:t>
      </w:r>
      <w:r w:rsidRPr="00B314E6">
        <w:rPr>
          <w:rFonts w:asciiTheme="majorHAnsi" w:eastAsia="Times New Roman" w:hAnsiTheme="majorHAnsi" w:cs="Times New Roman"/>
          <w:color w:val="000000"/>
          <w:kern w:val="0"/>
          <w14:ligatures w14:val="none"/>
        </w:rPr>
        <w:noBreakHyphen/>
        <w:t>tier supply networks.</w:t>
      </w:r>
    </w:p>
    <w:p w14:paraId="558406D1" w14:textId="324D08CE" w:rsid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By </w:t>
      </w:r>
      <w:r w:rsidR="00A45F66" w:rsidRPr="00B314E6">
        <w:rPr>
          <w:rFonts w:asciiTheme="majorHAnsi" w:eastAsia="Times New Roman" w:hAnsiTheme="majorHAnsi" w:cs="Times New Roman"/>
          <w:color w:val="000000"/>
          <w:kern w:val="0"/>
          <w14:ligatures w14:val="none"/>
        </w:rPr>
        <w:t>analyzing</w:t>
      </w:r>
      <w:r w:rsidRPr="00B314E6">
        <w:rPr>
          <w:rFonts w:asciiTheme="majorHAnsi" w:eastAsia="Times New Roman" w:hAnsiTheme="majorHAnsi" w:cs="Times New Roman"/>
          <w:color w:val="000000"/>
          <w:kern w:val="0"/>
          <w14:ligatures w14:val="none"/>
        </w:rPr>
        <w:t xml:space="preserve"> these issues, it is evident that supply chain resiliency is a strategic priority requiring targeted interventions.</w:t>
      </w:r>
    </w:p>
    <w:p w14:paraId="57CB5D3A"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1B944F25"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3E1CC6C8"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136B851F"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5DFD5686"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57813F9C"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78DD3C84"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53D686D4"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48315F5C"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6B6983AC" w14:textId="77777777" w:rsidR="00FC30C9"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309AACD8" w14:textId="77777777" w:rsidR="00FC30C9" w:rsidRPr="00B314E6" w:rsidRDefault="00FC30C9" w:rsidP="00B314E6">
      <w:pPr>
        <w:spacing w:before="100" w:beforeAutospacing="1" w:after="100" w:afterAutospacing="1" w:line="240" w:lineRule="auto"/>
        <w:rPr>
          <w:rFonts w:asciiTheme="majorHAnsi" w:eastAsia="Times New Roman" w:hAnsiTheme="majorHAnsi" w:cs="Times New Roman"/>
          <w:color w:val="000000"/>
          <w:kern w:val="0"/>
          <w14:ligatures w14:val="none"/>
        </w:rPr>
      </w:pPr>
    </w:p>
    <w:p w14:paraId="4506569E" w14:textId="5A79F9B1" w:rsidR="00B314E6" w:rsidRPr="00B314E6" w:rsidRDefault="00B314E6" w:rsidP="00B314E6">
      <w:pPr>
        <w:spacing w:after="0" w:line="240" w:lineRule="auto"/>
        <w:rPr>
          <w:rFonts w:asciiTheme="majorHAnsi" w:eastAsia="Times New Roman" w:hAnsiTheme="majorHAnsi" w:cs="Times New Roman"/>
          <w:kern w:val="0"/>
          <w14:ligatures w14:val="none"/>
        </w:rPr>
      </w:pPr>
    </w:p>
    <w:p w14:paraId="1F35CB4F" w14:textId="38219E2D"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b/>
          <w:bCs/>
          <w:color w:val="000000"/>
          <w:kern w:val="0"/>
          <w:sz w:val="36"/>
          <w:szCs w:val="36"/>
          <w14:ligatures w14:val="none"/>
        </w:rPr>
      </w:pPr>
      <w:r w:rsidRPr="00B314E6">
        <w:rPr>
          <w:rFonts w:asciiTheme="majorHAnsi" w:eastAsia="Times New Roman" w:hAnsiTheme="majorHAnsi" w:cs="Times New Roman"/>
          <w:b/>
          <w:bCs/>
          <w:color w:val="000000"/>
          <w:kern w:val="0"/>
          <w:sz w:val="36"/>
          <w:szCs w:val="36"/>
          <w14:ligatures w14:val="none"/>
        </w:rPr>
        <w:lastRenderedPageBreak/>
        <w:t xml:space="preserve">7. Strategy Formulation Plan </w:t>
      </w:r>
    </w:p>
    <w:p w14:paraId="6DC55C5B"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Based on the preceding analysis, JLR should adopt a </w:t>
      </w:r>
      <w:r w:rsidRPr="00B314E6">
        <w:rPr>
          <w:rFonts w:asciiTheme="majorHAnsi" w:eastAsia="Times New Roman" w:hAnsiTheme="majorHAnsi" w:cs="Times New Roman"/>
          <w:b/>
          <w:bCs/>
          <w:color w:val="000000"/>
          <w:kern w:val="0"/>
          <w14:ligatures w14:val="none"/>
        </w:rPr>
        <w:t>differentiation</w:t>
      </w:r>
      <w:r w:rsidRPr="00B314E6">
        <w:rPr>
          <w:rFonts w:asciiTheme="majorHAnsi" w:eastAsia="Times New Roman" w:hAnsiTheme="majorHAnsi" w:cs="Times New Roman"/>
          <w:b/>
          <w:bCs/>
          <w:color w:val="000000"/>
          <w:kern w:val="0"/>
          <w14:ligatures w14:val="none"/>
        </w:rPr>
        <w:noBreakHyphen/>
        <w:t>focused hybrid strategy</w:t>
      </w:r>
      <w:r w:rsidRPr="00B314E6">
        <w:rPr>
          <w:rFonts w:asciiTheme="majorHAnsi" w:eastAsia="Times New Roman" w:hAnsiTheme="majorHAnsi" w:cs="Times New Roman"/>
          <w:color w:val="000000"/>
          <w:kern w:val="0"/>
          <w14:ligatures w14:val="none"/>
        </w:rPr>
        <w:t> that integrates sustainable innovation with enhanced supply chain resilience and technological capability.</w:t>
      </w:r>
    </w:p>
    <w:p w14:paraId="4774F3E9"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7.1 Strategic Direction (Business</w:t>
      </w:r>
      <w:r w:rsidRPr="00B314E6">
        <w:rPr>
          <w:rFonts w:asciiTheme="majorHAnsi" w:eastAsia="Times New Roman" w:hAnsiTheme="majorHAnsi" w:cs="Times New Roman"/>
          <w:b/>
          <w:bCs/>
          <w:color w:val="000000"/>
          <w:kern w:val="0"/>
          <w:sz w:val="27"/>
          <w:szCs w:val="27"/>
          <w14:ligatures w14:val="none"/>
        </w:rPr>
        <w:noBreakHyphen/>
        <w:t>Level Strategy)</w:t>
      </w:r>
    </w:p>
    <w:p w14:paraId="6CBE1E37"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JLR should pursue a differentiation</w:t>
      </w:r>
      <w:r w:rsidRPr="00B314E6">
        <w:rPr>
          <w:rFonts w:asciiTheme="majorHAnsi" w:eastAsia="Times New Roman" w:hAnsiTheme="majorHAnsi" w:cs="Times New Roman"/>
          <w:b/>
          <w:bCs/>
          <w:color w:val="000000"/>
          <w:kern w:val="0"/>
          <w14:ligatures w14:val="none"/>
        </w:rPr>
        <w:t xml:space="preserve"> </w:t>
      </w:r>
      <w:r w:rsidRPr="00B314E6">
        <w:rPr>
          <w:rFonts w:asciiTheme="majorHAnsi" w:eastAsia="Times New Roman" w:hAnsiTheme="majorHAnsi" w:cs="Times New Roman"/>
          <w:color w:val="000000"/>
          <w:kern w:val="0"/>
          <w14:ligatures w14:val="none"/>
        </w:rPr>
        <w:t>strategy </w:t>
      </w:r>
      <w:r w:rsidRPr="00B314E6">
        <w:rPr>
          <w:rFonts w:asciiTheme="majorHAnsi" w:eastAsia="Times New Roman" w:hAnsiTheme="majorHAnsi" w:cs="Times New Roman"/>
          <w:b/>
          <w:bCs/>
          <w:color w:val="000000"/>
          <w:kern w:val="0"/>
          <w14:ligatures w14:val="none"/>
        </w:rPr>
        <w:t>(Porter, 2008),</w:t>
      </w:r>
      <w:r w:rsidRPr="00B314E6">
        <w:rPr>
          <w:rFonts w:asciiTheme="majorHAnsi" w:eastAsia="Times New Roman" w:hAnsiTheme="majorHAnsi" w:cs="Times New Roman"/>
          <w:color w:val="000000"/>
          <w:kern w:val="0"/>
          <w14:ligatures w14:val="none"/>
        </w:rPr>
        <w:t xml:space="preserve"> leveraging its premium brand to deliver high</w:t>
      </w:r>
      <w:r w:rsidRPr="00B314E6">
        <w:rPr>
          <w:rFonts w:asciiTheme="majorHAnsi" w:eastAsia="Times New Roman" w:hAnsiTheme="majorHAnsi" w:cs="Times New Roman"/>
          <w:color w:val="000000"/>
          <w:kern w:val="0"/>
          <w14:ligatures w14:val="none"/>
        </w:rPr>
        <w:noBreakHyphen/>
        <w:t>value electric vehicles that integrate sustainability and digital sophistication. This aligns with consumer trends toward environmentally responsible luxury products and supports achievement of strategic intent.</w:t>
      </w:r>
    </w:p>
    <w:p w14:paraId="33CD85E6"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7.2 Supply Chain Strategy (Core Priority)</w:t>
      </w:r>
    </w:p>
    <w:p w14:paraId="24AE2D40" w14:textId="77777777" w:rsidR="00FC30C9" w:rsidRDefault="00B314E6" w:rsidP="00FC30C9">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Given supply chain vulnerabilities, JLR should </w:t>
      </w:r>
      <w:r w:rsidR="00A45F66" w:rsidRPr="00B314E6">
        <w:rPr>
          <w:rFonts w:asciiTheme="majorHAnsi" w:eastAsia="Times New Roman" w:hAnsiTheme="majorHAnsi" w:cs="Times New Roman"/>
          <w:color w:val="000000"/>
          <w:kern w:val="0"/>
          <w14:ligatures w14:val="none"/>
        </w:rPr>
        <w:t>prioritize</w:t>
      </w:r>
      <w:r w:rsidRPr="00B314E6">
        <w:rPr>
          <w:rFonts w:asciiTheme="majorHAnsi" w:eastAsia="Times New Roman" w:hAnsiTheme="majorHAnsi" w:cs="Times New Roman"/>
          <w:color w:val="000000"/>
          <w:kern w:val="0"/>
          <w14:ligatures w14:val="none"/>
        </w:rPr>
        <w:t> </w:t>
      </w:r>
      <w:r w:rsidRPr="00B314E6">
        <w:rPr>
          <w:rFonts w:asciiTheme="majorHAnsi" w:eastAsia="Times New Roman" w:hAnsiTheme="majorHAnsi" w:cs="Times New Roman"/>
          <w:b/>
          <w:bCs/>
          <w:color w:val="000000"/>
          <w:kern w:val="0"/>
          <w14:ligatures w14:val="none"/>
        </w:rPr>
        <w:t>UK</w:t>
      </w:r>
      <w:r w:rsidRPr="00B314E6">
        <w:rPr>
          <w:rFonts w:asciiTheme="majorHAnsi" w:eastAsia="Times New Roman" w:hAnsiTheme="majorHAnsi" w:cs="Times New Roman"/>
          <w:b/>
          <w:bCs/>
          <w:color w:val="000000"/>
          <w:kern w:val="0"/>
          <w14:ligatures w14:val="none"/>
        </w:rPr>
        <w:noBreakHyphen/>
        <w:t xml:space="preserve">based supply chain </w:t>
      </w:r>
      <w:r w:rsidR="00A45F66" w:rsidRPr="00B314E6">
        <w:rPr>
          <w:rFonts w:asciiTheme="majorHAnsi" w:eastAsia="Times New Roman" w:hAnsiTheme="majorHAnsi" w:cs="Times New Roman"/>
          <w:b/>
          <w:bCs/>
          <w:color w:val="000000"/>
          <w:kern w:val="0"/>
          <w14:ligatures w14:val="none"/>
        </w:rPr>
        <w:t>localization</w:t>
      </w:r>
      <w:r w:rsidRPr="00B314E6">
        <w:rPr>
          <w:rFonts w:asciiTheme="majorHAnsi" w:eastAsia="Times New Roman" w:hAnsiTheme="majorHAnsi" w:cs="Times New Roman"/>
          <w:b/>
          <w:bCs/>
          <w:color w:val="000000"/>
          <w:kern w:val="0"/>
          <w14:ligatures w14:val="none"/>
        </w:rPr>
        <w:t xml:space="preserve"> and selective vertical integration</w:t>
      </w:r>
      <w:r w:rsidRPr="00B314E6">
        <w:rPr>
          <w:rFonts w:asciiTheme="majorHAnsi" w:eastAsia="Times New Roman" w:hAnsiTheme="majorHAnsi" w:cs="Times New Roman"/>
          <w:color w:val="000000"/>
          <w:kern w:val="0"/>
          <w14:ligatures w14:val="none"/>
        </w:rPr>
        <w:t xml:space="preserve"> in battery production. Vertical integration reduces dependence on external suppliers for critical components and enhances control over quality and cost. However, consistent with </w:t>
      </w:r>
      <w:r w:rsidRPr="00B314E6">
        <w:rPr>
          <w:rFonts w:asciiTheme="majorHAnsi" w:eastAsia="Times New Roman" w:hAnsiTheme="majorHAnsi" w:cs="Times New Roman"/>
          <w:b/>
          <w:bCs/>
          <w:color w:val="000000"/>
          <w:kern w:val="0"/>
          <w14:ligatures w14:val="none"/>
        </w:rPr>
        <w:t>Christopher (2016),</w:t>
      </w:r>
      <w:r w:rsidRPr="00B314E6">
        <w:rPr>
          <w:rFonts w:asciiTheme="majorHAnsi" w:eastAsia="Times New Roman" w:hAnsiTheme="majorHAnsi" w:cs="Times New Roman"/>
          <w:color w:val="000000"/>
          <w:kern w:val="0"/>
          <w14:ligatures w14:val="none"/>
        </w:rPr>
        <w:t xml:space="preserve"> full </w:t>
      </w:r>
      <w:r w:rsidR="00A45F66" w:rsidRPr="00B314E6">
        <w:rPr>
          <w:rFonts w:asciiTheme="majorHAnsi" w:eastAsia="Times New Roman" w:hAnsiTheme="majorHAnsi" w:cs="Times New Roman"/>
          <w:color w:val="000000"/>
          <w:kern w:val="0"/>
          <w14:ligatures w14:val="none"/>
        </w:rPr>
        <w:t>localization</w:t>
      </w:r>
      <w:r w:rsidRPr="00B314E6">
        <w:rPr>
          <w:rFonts w:asciiTheme="majorHAnsi" w:eastAsia="Times New Roman" w:hAnsiTheme="majorHAnsi" w:cs="Times New Roman"/>
          <w:color w:val="000000"/>
          <w:kern w:val="0"/>
          <w14:ligatures w14:val="none"/>
        </w:rPr>
        <w:t xml:space="preserve"> should be balanced with global sourcing to avoid excessive cost burdens.</w:t>
      </w:r>
    </w:p>
    <w:p w14:paraId="17E0FD7D" w14:textId="79C20E5E" w:rsidR="00B314E6" w:rsidRPr="00B314E6" w:rsidRDefault="00B314E6" w:rsidP="00FC30C9">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b/>
          <w:bCs/>
          <w:color w:val="000000"/>
          <w:kern w:val="0"/>
          <w:sz w:val="27"/>
          <w:szCs w:val="27"/>
          <w14:ligatures w14:val="none"/>
        </w:rPr>
        <w:t>7.3 Technology and Innovation Strategy</w:t>
      </w:r>
    </w:p>
    <w:p w14:paraId="2D696DD7"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To address capability gaps, JLR should establish </w:t>
      </w:r>
      <w:r w:rsidRPr="00B314E6">
        <w:rPr>
          <w:rFonts w:asciiTheme="majorHAnsi" w:eastAsia="Times New Roman" w:hAnsiTheme="majorHAnsi" w:cs="Times New Roman"/>
          <w:b/>
          <w:bCs/>
          <w:color w:val="000000"/>
          <w:kern w:val="0"/>
          <w14:ligatures w14:val="none"/>
        </w:rPr>
        <w:t>strategic partnerships with technology firms</w:t>
      </w:r>
      <w:r w:rsidRPr="00B314E6">
        <w:rPr>
          <w:rFonts w:asciiTheme="majorHAnsi" w:eastAsia="Times New Roman" w:hAnsiTheme="majorHAnsi" w:cs="Times New Roman"/>
          <w:color w:val="000000"/>
          <w:kern w:val="0"/>
          <w14:ligatures w14:val="none"/>
        </w:rPr>
        <w:t> to accelerate software</w:t>
      </w:r>
      <w:r w:rsidRPr="00B314E6">
        <w:rPr>
          <w:rFonts w:asciiTheme="majorHAnsi" w:eastAsia="Times New Roman" w:hAnsiTheme="majorHAnsi" w:cs="Times New Roman"/>
          <w:color w:val="000000"/>
          <w:kern w:val="0"/>
          <w14:ligatures w14:val="none"/>
        </w:rPr>
        <w:noBreakHyphen/>
        <w:t>defined vehicle development. Collaboration will reduce development risk and provide access to advanced digital platforms and AI enhancements.</w:t>
      </w:r>
    </w:p>
    <w:p w14:paraId="7B615711"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7.4 Operations Strategy (Flexibility and Efficiency)</w:t>
      </w:r>
    </w:p>
    <w:p w14:paraId="60561671"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JLR should implement </w:t>
      </w:r>
      <w:r w:rsidRPr="00B314E6">
        <w:rPr>
          <w:rFonts w:asciiTheme="majorHAnsi" w:eastAsia="Times New Roman" w:hAnsiTheme="majorHAnsi" w:cs="Times New Roman"/>
          <w:b/>
          <w:bCs/>
          <w:color w:val="000000"/>
          <w:kern w:val="0"/>
          <w14:ligatures w14:val="none"/>
        </w:rPr>
        <w:t>flexible manufacturing systems</w:t>
      </w:r>
      <w:r w:rsidRPr="00B314E6">
        <w:rPr>
          <w:rFonts w:asciiTheme="majorHAnsi" w:eastAsia="Times New Roman" w:hAnsiTheme="majorHAnsi" w:cs="Times New Roman"/>
          <w:color w:val="000000"/>
          <w:kern w:val="0"/>
          <w14:ligatures w14:val="none"/>
        </w:rPr>
        <w:t> capable of producing internal combustion, hybrid, and EV platforms on shared lines. This enhances operational agility and responsiveness to market shifts.</w:t>
      </w:r>
    </w:p>
    <w:p w14:paraId="00C4799E"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7.5 International Strategy (CAGE</w:t>
      </w:r>
      <w:r w:rsidRPr="00B314E6">
        <w:rPr>
          <w:rFonts w:asciiTheme="majorHAnsi" w:eastAsia="Times New Roman" w:hAnsiTheme="majorHAnsi" w:cs="Times New Roman"/>
          <w:b/>
          <w:bCs/>
          <w:color w:val="000000"/>
          <w:kern w:val="0"/>
          <w:sz w:val="27"/>
          <w:szCs w:val="27"/>
          <w14:ligatures w14:val="none"/>
        </w:rPr>
        <w:noBreakHyphen/>
        <w:t>Informed)</w:t>
      </w:r>
    </w:p>
    <w:p w14:paraId="0C7A6490"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Informed by the CAGE analysis, JLR should adopt a </w:t>
      </w:r>
      <w:r w:rsidRPr="00B314E6">
        <w:rPr>
          <w:rFonts w:asciiTheme="majorHAnsi" w:eastAsia="Times New Roman" w:hAnsiTheme="majorHAnsi" w:cs="Times New Roman"/>
          <w:b/>
          <w:bCs/>
          <w:color w:val="000000"/>
          <w:kern w:val="0"/>
          <w14:ligatures w14:val="none"/>
        </w:rPr>
        <w:t>regional production strategy</w:t>
      </w:r>
      <w:r w:rsidRPr="00B314E6">
        <w:rPr>
          <w:rFonts w:asciiTheme="majorHAnsi" w:eastAsia="Times New Roman" w:hAnsiTheme="majorHAnsi" w:cs="Times New Roman"/>
          <w:color w:val="000000"/>
          <w:kern w:val="0"/>
          <w14:ligatures w14:val="none"/>
        </w:rPr>
        <w:t> with additional manufacturing presence within the European Union to mitigate trade barriers and logistics costs.</w:t>
      </w:r>
    </w:p>
    <w:p w14:paraId="535177D2" w14:textId="77777777" w:rsidR="00B314E6" w:rsidRPr="00B314E6" w:rsidRDefault="00B314E6" w:rsidP="00B314E6">
      <w:pPr>
        <w:spacing w:before="100" w:beforeAutospacing="1" w:after="100" w:afterAutospacing="1" w:line="240" w:lineRule="auto"/>
        <w:outlineLvl w:val="2"/>
        <w:rPr>
          <w:rFonts w:asciiTheme="majorHAnsi" w:eastAsia="Times New Roman" w:hAnsiTheme="majorHAnsi" w:cs="Times New Roman"/>
          <w:b/>
          <w:bCs/>
          <w:color w:val="000000"/>
          <w:kern w:val="0"/>
          <w:sz w:val="27"/>
          <w:szCs w:val="27"/>
          <w14:ligatures w14:val="none"/>
        </w:rPr>
      </w:pPr>
      <w:r w:rsidRPr="00B314E6">
        <w:rPr>
          <w:rFonts w:asciiTheme="majorHAnsi" w:eastAsia="Times New Roman" w:hAnsiTheme="majorHAnsi" w:cs="Times New Roman"/>
          <w:b/>
          <w:bCs/>
          <w:color w:val="000000"/>
          <w:kern w:val="0"/>
          <w:sz w:val="27"/>
          <w:szCs w:val="27"/>
          <w14:ligatures w14:val="none"/>
        </w:rPr>
        <w:t>7.6 Implementation Priority</w:t>
      </w:r>
    </w:p>
    <w:p w14:paraId="6248BA59" w14:textId="217522CF" w:rsidR="00FC30C9" w:rsidRPr="00FC30C9" w:rsidRDefault="00B314E6" w:rsidP="00FC30C9">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Short</w:t>
      </w:r>
      <w:r w:rsidRPr="00B314E6">
        <w:rPr>
          <w:rFonts w:asciiTheme="majorHAnsi" w:eastAsia="Times New Roman" w:hAnsiTheme="majorHAnsi" w:cs="Times New Roman"/>
          <w:color w:val="000000"/>
          <w:kern w:val="0"/>
          <w14:ligatures w14:val="none"/>
        </w:rPr>
        <w:noBreakHyphen/>
        <w:t xml:space="preserve">term focus should be on supply chain </w:t>
      </w:r>
      <w:r w:rsidR="00FC30C9" w:rsidRPr="00B314E6">
        <w:rPr>
          <w:rFonts w:asciiTheme="majorHAnsi" w:eastAsia="Times New Roman" w:hAnsiTheme="majorHAnsi" w:cs="Times New Roman"/>
          <w:color w:val="000000"/>
          <w:kern w:val="0"/>
          <w14:ligatures w14:val="none"/>
        </w:rPr>
        <w:t>stabilization</w:t>
      </w:r>
      <w:r w:rsidRPr="00B314E6">
        <w:rPr>
          <w:rFonts w:asciiTheme="majorHAnsi" w:eastAsia="Times New Roman" w:hAnsiTheme="majorHAnsi" w:cs="Times New Roman"/>
          <w:color w:val="000000"/>
          <w:kern w:val="0"/>
          <w14:ligatures w14:val="none"/>
        </w:rPr>
        <w:t>, partnership formation, and manufacturing flexibility. Long</w:t>
      </w:r>
      <w:r w:rsidRPr="00B314E6">
        <w:rPr>
          <w:rFonts w:asciiTheme="majorHAnsi" w:eastAsia="Times New Roman" w:hAnsiTheme="majorHAnsi" w:cs="Times New Roman"/>
          <w:color w:val="000000"/>
          <w:kern w:val="0"/>
          <w14:ligatures w14:val="none"/>
        </w:rPr>
        <w:noBreakHyphen/>
        <w:t>term priorities include regionally diversified production and sustained investment in electrification and digital capabilities</w:t>
      </w:r>
    </w:p>
    <w:p w14:paraId="2B5572AF" w14:textId="77777777" w:rsidR="00FC30C9" w:rsidRDefault="00FC30C9" w:rsidP="00B314E6">
      <w:pPr>
        <w:spacing w:before="100" w:beforeAutospacing="1" w:after="100" w:afterAutospacing="1" w:line="240" w:lineRule="auto"/>
        <w:outlineLvl w:val="1"/>
        <w:rPr>
          <w:rFonts w:asciiTheme="majorHAnsi" w:eastAsia="Times New Roman" w:hAnsiTheme="majorHAnsi" w:cs="Times New Roman"/>
          <w:i/>
          <w:iCs/>
          <w:color w:val="000000"/>
          <w:kern w:val="0"/>
          <w:sz w:val="36"/>
          <w:szCs w:val="36"/>
          <w:u w:val="single"/>
          <w14:ligatures w14:val="none"/>
        </w:rPr>
      </w:pPr>
    </w:p>
    <w:p w14:paraId="5F9E7B2F" w14:textId="081D6537"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36"/>
          <w:szCs w:val="36"/>
          <w:u w:val="single"/>
          <w14:ligatures w14:val="none"/>
        </w:rPr>
      </w:pPr>
      <w:r w:rsidRPr="00B314E6">
        <w:rPr>
          <w:rFonts w:asciiTheme="majorHAnsi" w:eastAsia="Times New Roman" w:hAnsiTheme="majorHAnsi" w:cs="Times New Roman"/>
          <w:i/>
          <w:iCs/>
          <w:color w:val="000000"/>
          <w:kern w:val="0"/>
          <w:sz w:val="36"/>
          <w:szCs w:val="36"/>
          <w:u w:val="single"/>
          <w14:ligatures w14:val="none"/>
        </w:rPr>
        <w:t xml:space="preserve">Conclusion and Recommendation </w:t>
      </w:r>
    </w:p>
    <w:p w14:paraId="5DE8B481"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This report has critically assessed Jaguar Land Rover’s strategic position within a complex and rapidly evolving automotive industry. The analysis demonstrates that while the company possesses strong brand equity and a coherent strategic vision, it faces significant challenges related to supply chain vulnerabilities, technological capability gaps, and competitive intensity.</w:t>
      </w:r>
    </w:p>
    <w:p w14:paraId="4361B16C" w14:textId="1C2DE184"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The application of multiple strategic frameworks highlights the need for a balanced approach that integrates sustainable innovation with operational resilience. Specifically, supply chain </w:t>
      </w:r>
      <w:r w:rsidR="00FC30C9" w:rsidRPr="00B314E6">
        <w:rPr>
          <w:rFonts w:asciiTheme="majorHAnsi" w:eastAsia="Times New Roman" w:hAnsiTheme="majorHAnsi" w:cs="Times New Roman"/>
          <w:color w:val="000000"/>
          <w:kern w:val="0"/>
          <w14:ligatures w14:val="none"/>
        </w:rPr>
        <w:t>localization</w:t>
      </w:r>
      <w:r w:rsidRPr="00B314E6">
        <w:rPr>
          <w:rFonts w:asciiTheme="majorHAnsi" w:eastAsia="Times New Roman" w:hAnsiTheme="majorHAnsi" w:cs="Times New Roman"/>
          <w:color w:val="000000"/>
          <w:kern w:val="0"/>
          <w14:ligatures w14:val="none"/>
        </w:rPr>
        <w:t xml:space="preserve"> and selective vertical integration, strategic technological partnerships, flexible manufacturing, and regionally diversified production strategies are essential for sustained competitive advantage.</w:t>
      </w:r>
    </w:p>
    <w:p w14:paraId="15E0600B" w14:textId="77777777"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To achieve its long</w:t>
      </w:r>
      <w:r w:rsidRPr="00B314E6">
        <w:rPr>
          <w:rFonts w:asciiTheme="majorHAnsi" w:eastAsia="Times New Roman" w:hAnsiTheme="majorHAnsi" w:cs="Times New Roman"/>
          <w:color w:val="000000"/>
          <w:kern w:val="0"/>
          <w14:ligatures w14:val="none"/>
        </w:rPr>
        <w:noBreakHyphen/>
        <w:t>term objectives, JLR must align its strategic priorities with its capabilities, build dynamic competencies in electrification and digital systems, and enhance supply chain transparency and adaptability.</w:t>
      </w:r>
    </w:p>
    <w:p w14:paraId="5BD1375F" w14:textId="2579EF34" w:rsidR="00B314E6" w:rsidRPr="00B314E6" w:rsidRDefault="00B314E6" w:rsidP="00B314E6">
      <w:pPr>
        <w:spacing w:before="100" w:beforeAutospacing="1" w:after="100" w:afterAutospacing="1" w:line="240" w:lineRule="auto"/>
        <w:rPr>
          <w:rFonts w:asciiTheme="majorHAnsi" w:eastAsia="Times New Roman" w:hAnsiTheme="majorHAnsi" w:cs="Times New Roman"/>
          <w:color w:val="000000"/>
          <w:kern w:val="0"/>
          <w14:ligatures w14:val="none"/>
        </w:rPr>
      </w:pPr>
      <w:r w:rsidRPr="00B314E6">
        <w:rPr>
          <w:rFonts w:asciiTheme="majorHAnsi" w:eastAsia="Times New Roman" w:hAnsiTheme="majorHAnsi" w:cs="Times New Roman"/>
          <w:color w:val="000000"/>
          <w:kern w:val="0"/>
          <w14:ligatures w14:val="none"/>
        </w:rPr>
        <w:t xml:space="preserve">Implementation of the proposed strategy formulation plan offers a pathway for JLR to navigate industry disruptions and </w:t>
      </w:r>
      <w:r w:rsidR="00FC30C9" w:rsidRPr="00B314E6">
        <w:rPr>
          <w:rFonts w:asciiTheme="majorHAnsi" w:eastAsia="Times New Roman" w:hAnsiTheme="majorHAnsi" w:cs="Times New Roman"/>
          <w:color w:val="000000"/>
          <w:kern w:val="0"/>
          <w14:ligatures w14:val="none"/>
        </w:rPr>
        <w:t>capitalize</w:t>
      </w:r>
      <w:r w:rsidRPr="00B314E6">
        <w:rPr>
          <w:rFonts w:asciiTheme="majorHAnsi" w:eastAsia="Times New Roman" w:hAnsiTheme="majorHAnsi" w:cs="Times New Roman"/>
          <w:color w:val="000000"/>
          <w:kern w:val="0"/>
          <w14:ligatures w14:val="none"/>
        </w:rPr>
        <w:t xml:space="preserve"> on emerging opportunities, ensuring long</w:t>
      </w:r>
      <w:r w:rsidRPr="00B314E6">
        <w:rPr>
          <w:rFonts w:asciiTheme="majorHAnsi" w:eastAsia="Times New Roman" w:hAnsiTheme="majorHAnsi" w:cs="Times New Roman"/>
          <w:color w:val="000000"/>
          <w:kern w:val="0"/>
          <w14:ligatures w14:val="none"/>
        </w:rPr>
        <w:noBreakHyphen/>
        <w:t>term growth and strategic resilience.</w:t>
      </w:r>
    </w:p>
    <w:p w14:paraId="4C60A194"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16E268A6"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433FED0B"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673609C4"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682BA145"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07949883"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50F6A65E"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76F9AC99"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5C64AD0B"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0AF859EC"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7CB84C4B" w14:textId="77777777" w:rsidR="00B314E6" w:rsidRDefault="00B314E6" w:rsidP="00B314E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p>
    <w:p w14:paraId="131C6CF1" w14:textId="28BE4035" w:rsidR="00B314E6" w:rsidRPr="00B314E6" w:rsidRDefault="00B314E6" w:rsidP="00B314E6">
      <w:pPr>
        <w:spacing w:before="100" w:beforeAutospacing="1" w:after="100" w:afterAutospacing="1" w:line="240" w:lineRule="auto"/>
        <w:outlineLvl w:val="1"/>
        <w:rPr>
          <w:rFonts w:asciiTheme="majorHAnsi" w:eastAsia="Times New Roman" w:hAnsiTheme="majorHAnsi" w:cs="Times New Roman"/>
          <w:i/>
          <w:iCs/>
          <w:color w:val="000000"/>
          <w:kern w:val="0"/>
          <w:sz w:val="36"/>
          <w:szCs w:val="36"/>
          <w:u w:val="single"/>
          <w14:ligatures w14:val="none"/>
        </w:rPr>
      </w:pPr>
      <w:r w:rsidRPr="00B314E6">
        <w:rPr>
          <w:rFonts w:asciiTheme="majorHAnsi" w:eastAsia="Times New Roman" w:hAnsiTheme="majorHAnsi" w:cs="Times New Roman"/>
          <w:i/>
          <w:iCs/>
          <w:color w:val="000000"/>
          <w:kern w:val="0"/>
          <w:sz w:val="36"/>
          <w:szCs w:val="36"/>
          <w:u w:val="single"/>
          <w14:ligatures w14:val="none"/>
        </w:rPr>
        <w:t xml:space="preserve"> Reference List </w:t>
      </w:r>
    </w:p>
    <w:p w14:paraId="448C1D49"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Barney, J. (1991) ‘Firm resources and sustained competitive advantage’, </w:t>
      </w:r>
      <w:r w:rsidRPr="00B314E6">
        <w:rPr>
          <w:rFonts w:ascii="Times New Roman" w:eastAsia="Times New Roman" w:hAnsi="Times New Roman" w:cs="Times New Roman"/>
          <w:i/>
          <w:iCs/>
          <w:color w:val="000000"/>
          <w:kern w:val="0"/>
          <w14:ligatures w14:val="none"/>
        </w:rPr>
        <w:t>Journal of Management</w:t>
      </w:r>
      <w:r w:rsidRPr="00B314E6">
        <w:rPr>
          <w:rFonts w:ascii="Times New Roman" w:eastAsia="Times New Roman" w:hAnsi="Times New Roman" w:cs="Times New Roman"/>
          <w:color w:val="000000"/>
          <w:kern w:val="0"/>
          <w14:ligatures w14:val="none"/>
        </w:rPr>
        <w:t>, 17(1), pp. 99–120.</w:t>
      </w:r>
    </w:p>
    <w:p w14:paraId="4E4C5B27"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Christopher, M. (2016) </w:t>
      </w:r>
      <w:r w:rsidRPr="00B314E6">
        <w:rPr>
          <w:rFonts w:ascii="Times New Roman" w:eastAsia="Times New Roman" w:hAnsi="Times New Roman" w:cs="Times New Roman"/>
          <w:i/>
          <w:iCs/>
          <w:color w:val="000000"/>
          <w:kern w:val="0"/>
          <w14:ligatures w14:val="none"/>
        </w:rPr>
        <w:t>Logistics and Supply Chain Management</w:t>
      </w:r>
      <w:r w:rsidRPr="00B314E6">
        <w:rPr>
          <w:rFonts w:ascii="Times New Roman" w:eastAsia="Times New Roman" w:hAnsi="Times New Roman" w:cs="Times New Roman"/>
          <w:color w:val="000000"/>
          <w:kern w:val="0"/>
          <w14:ligatures w14:val="none"/>
        </w:rPr>
        <w:t xml:space="preserve">. 5th </w:t>
      </w:r>
      <w:proofErr w:type="spellStart"/>
      <w:r w:rsidRPr="00B314E6">
        <w:rPr>
          <w:rFonts w:ascii="Times New Roman" w:eastAsia="Times New Roman" w:hAnsi="Times New Roman" w:cs="Times New Roman"/>
          <w:color w:val="000000"/>
          <w:kern w:val="0"/>
          <w14:ligatures w14:val="none"/>
        </w:rPr>
        <w:t>edn</w:t>
      </w:r>
      <w:proofErr w:type="spellEnd"/>
      <w:r w:rsidRPr="00B314E6">
        <w:rPr>
          <w:rFonts w:ascii="Times New Roman" w:eastAsia="Times New Roman" w:hAnsi="Times New Roman" w:cs="Times New Roman"/>
          <w:color w:val="000000"/>
          <w:kern w:val="0"/>
          <w14:ligatures w14:val="none"/>
        </w:rPr>
        <w:t>. Harlow: Pearson.</w:t>
      </w:r>
    </w:p>
    <w:p w14:paraId="6251B4A4"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Deloitte (2023) </w:t>
      </w:r>
      <w:r w:rsidRPr="00B314E6">
        <w:rPr>
          <w:rFonts w:ascii="Times New Roman" w:eastAsia="Times New Roman" w:hAnsi="Times New Roman" w:cs="Times New Roman"/>
          <w:i/>
          <w:iCs/>
          <w:color w:val="000000"/>
          <w:kern w:val="0"/>
          <w14:ligatures w14:val="none"/>
        </w:rPr>
        <w:t>Global Automotive Consumer Study</w:t>
      </w:r>
      <w:r w:rsidRPr="00B314E6">
        <w:rPr>
          <w:rFonts w:ascii="Times New Roman" w:eastAsia="Times New Roman" w:hAnsi="Times New Roman" w:cs="Times New Roman"/>
          <w:color w:val="000000"/>
          <w:kern w:val="0"/>
          <w14:ligatures w14:val="none"/>
        </w:rPr>
        <w:t>. Available at: </w:t>
      </w:r>
      <w:hyperlink r:id="rId6" w:tgtFrame="_new" w:history="1">
        <w:r w:rsidRPr="00B314E6">
          <w:rPr>
            <w:rFonts w:ascii="Times New Roman" w:eastAsia="Times New Roman" w:hAnsi="Times New Roman" w:cs="Times New Roman"/>
            <w:color w:val="0000FF"/>
            <w:kern w:val="0"/>
            <w:u w:val="single"/>
            <w14:ligatures w14:val="none"/>
          </w:rPr>
          <w:t>https://www2.deloitte.com</w:t>
        </w:r>
      </w:hyperlink>
      <w:r w:rsidRPr="00B314E6">
        <w:rPr>
          <w:rFonts w:ascii="Times New Roman" w:eastAsia="Times New Roman" w:hAnsi="Times New Roman" w:cs="Times New Roman"/>
          <w:color w:val="000000"/>
          <w:kern w:val="0"/>
          <w14:ligatures w14:val="none"/>
        </w:rPr>
        <w:t> (Accessed: 15 March 2026).</w:t>
      </w:r>
    </w:p>
    <w:p w14:paraId="738BF0BC"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Ghemawat, P. (2001) ‘Distance still matters’, </w:t>
      </w:r>
      <w:r w:rsidRPr="00B314E6">
        <w:rPr>
          <w:rFonts w:ascii="Times New Roman" w:eastAsia="Times New Roman" w:hAnsi="Times New Roman" w:cs="Times New Roman"/>
          <w:i/>
          <w:iCs/>
          <w:color w:val="000000"/>
          <w:kern w:val="0"/>
          <w14:ligatures w14:val="none"/>
        </w:rPr>
        <w:t>Harvard Business Review</w:t>
      </w:r>
      <w:r w:rsidRPr="00B314E6">
        <w:rPr>
          <w:rFonts w:ascii="Times New Roman" w:eastAsia="Times New Roman" w:hAnsi="Times New Roman" w:cs="Times New Roman"/>
          <w:color w:val="000000"/>
          <w:kern w:val="0"/>
          <w14:ligatures w14:val="none"/>
        </w:rPr>
        <w:t>, 79(8), pp. 137–147.</w:t>
      </w:r>
    </w:p>
    <w:p w14:paraId="5A9F517C"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Grant, R. (2022) </w:t>
      </w:r>
      <w:r w:rsidRPr="00B314E6">
        <w:rPr>
          <w:rFonts w:ascii="Times New Roman" w:eastAsia="Times New Roman" w:hAnsi="Times New Roman" w:cs="Times New Roman"/>
          <w:i/>
          <w:iCs/>
          <w:color w:val="000000"/>
          <w:kern w:val="0"/>
          <w14:ligatures w14:val="none"/>
        </w:rPr>
        <w:t>Contemporary Strategy Analysis</w:t>
      </w:r>
      <w:r w:rsidRPr="00B314E6">
        <w:rPr>
          <w:rFonts w:ascii="Times New Roman" w:eastAsia="Times New Roman" w:hAnsi="Times New Roman" w:cs="Times New Roman"/>
          <w:color w:val="000000"/>
          <w:kern w:val="0"/>
          <w14:ligatures w14:val="none"/>
        </w:rPr>
        <w:t xml:space="preserve">. 11th </w:t>
      </w:r>
      <w:proofErr w:type="spellStart"/>
      <w:r w:rsidRPr="00B314E6">
        <w:rPr>
          <w:rFonts w:ascii="Times New Roman" w:eastAsia="Times New Roman" w:hAnsi="Times New Roman" w:cs="Times New Roman"/>
          <w:color w:val="000000"/>
          <w:kern w:val="0"/>
          <w14:ligatures w14:val="none"/>
        </w:rPr>
        <w:t>edn</w:t>
      </w:r>
      <w:proofErr w:type="spellEnd"/>
      <w:r w:rsidRPr="00B314E6">
        <w:rPr>
          <w:rFonts w:ascii="Times New Roman" w:eastAsia="Times New Roman" w:hAnsi="Times New Roman" w:cs="Times New Roman"/>
          <w:color w:val="000000"/>
          <w:kern w:val="0"/>
          <w14:ligatures w14:val="none"/>
        </w:rPr>
        <w:t>. Hoboken: Wiley.</w:t>
      </w:r>
    </w:p>
    <w:p w14:paraId="2D05DF2F"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Hamel, G. and Prahalad, C.K. (1989) </w:t>
      </w:r>
      <w:r w:rsidRPr="00B314E6">
        <w:rPr>
          <w:rFonts w:ascii="Times New Roman" w:eastAsia="Times New Roman" w:hAnsi="Times New Roman" w:cs="Times New Roman"/>
          <w:i/>
          <w:iCs/>
          <w:color w:val="000000"/>
          <w:kern w:val="0"/>
          <w14:ligatures w14:val="none"/>
        </w:rPr>
        <w:t>Strategic Intent</w:t>
      </w:r>
      <w:r w:rsidRPr="00B314E6">
        <w:rPr>
          <w:rFonts w:ascii="Times New Roman" w:eastAsia="Times New Roman" w:hAnsi="Times New Roman" w:cs="Times New Roman"/>
          <w:color w:val="000000"/>
          <w:kern w:val="0"/>
          <w14:ligatures w14:val="none"/>
        </w:rPr>
        <w:t>. Harvard Business School Press.</w:t>
      </w:r>
    </w:p>
    <w:p w14:paraId="554FDF72"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Jaguar Land Rover (2024) </w:t>
      </w:r>
      <w:r w:rsidRPr="00B314E6">
        <w:rPr>
          <w:rFonts w:ascii="Times New Roman" w:eastAsia="Times New Roman" w:hAnsi="Times New Roman" w:cs="Times New Roman"/>
          <w:i/>
          <w:iCs/>
          <w:color w:val="000000"/>
          <w:kern w:val="0"/>
          <w14:ligatures w14:val="none"/>
        </w:rPr>
        <w:t>Annual Report</w:t>
      </w:r>
      <w:r w:rsidRPr="00B314E6">
        <w:rPr>
          <w:rFonts w:ascii="Times New Roman" w:eastAsia="Times New Roman" w:hAnsi="Times New Roman" w:cs="Times New Roman"/>
          <w:color w:val="000000"/>
          <w:kern w:val="0"/>
          <w14:ligatures w14:val="none"/>
        </w:rPr>
        <w:t>. Coventry: JLR.</w:t>
      </w:r>
    </w:p>
    <w:p w14:paraId="743BFC4A"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Johnson, G., Scholes, K. and Whittington, R. (2020) </w:t>
      </w:r>
      <w:r w:rsidRPr="00B314E6">
        <w:rPr>
          <w:rFonts w:ascii="Times New Roman" w:eastAsia="Times New Roman" w:hAnsi="Times New Roman" w:cs="Times New Roman"/>
          <w:i/>
          <w:iCs/>
          <w:color w:val="000000"/>
          <w:kern w:val="0"/>
          <w14:ligatures w14:val="none"/>
        </w:rPr>
        <w:t>Exploring Strategy: Text and Cases</w:t>
      </w:r>
      <w:r w:rsidRPr="00B314E6">
        <w:rPr>
          <w:rFonts w:ascii="Times New Roman" w:eastAsia="Times New Roman" w:hAnsi="Times New Roman" w:cs="Times New Roman"/>
          <w:color w:val="000000"/>
          <w:kern w:val="0"/>
          <w14:ligatures w14:val="none"/>
        </w:rPr>
        <w:t xml:space="preserve">. 12th </w:t>
      </w:r>
      <w:proofErr w:type="spellStart"/>
      <w:r w:rsidRPr="00B314E6">
        <w:rPr>
          <w:rFonts w:ascii="Times New Roman" w:eastAsia="Times New Roman" w:hAnsi="Times New Roman" w:cs="Times New Roman"/>
          <w:color w:val="000000"/>
          <w:kern w:val="0"/>
          <w14:ligatures w14:val="none"/>
        </w:rPr>
        <w:t>edn</w:t>
      </w:r>
      <w:proofErr w:type="spellEnd"/>
      <w:r w:rsidRPr="00B314E6">
        <w:rPr>
          <w:rFonts w:ascii="Times New Roman" w:eastAsia="Times New Roman" w:hAnsi="Times New Roman" w:cs="Times New Roman"/>
          <w:color w:val="000000"/>
          <w:kern w:val="0"/>
          <w14:ligatures w14:val="none"/>
        </w:rPr>
        <w:t>. Harlow: Pearson.</w:t>
      </w:r>
    </w:p>
    <w:p w14:paraId="3C4AA7F5"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Porter, M.E. (2008) ‘The five competitive forces that shape strategy’, </w:t>
      </w:r>
      <w:r w:rsidRPr="00B314E6">
        <w:rPr>
          <w:rFonts w:ascii="Times New Roman" w:eastAsia="Times New Roman" w:hAnsi="Times New Roman" w:cs="Times New Roman"/>
          <w:i/>
          <w:iCs/>
          <w:color w:val="000000"/>
          <w:kern w:val="0"/>
          <w14:ligatures w14:val="none"/>
        </w:rPr>
        <w:t>Harvard Business Review</w:t>
      </w:r>
      <w:r w:rsidRPr="00B314E6">
        <w:rPr>
          <w:rFonts w:ascii="Times New Roman" w:eastAsia="Times New Roman" w:hAnsi="Times New Roman" w:cs="Times New Roman"/>
          <w:color w:val="000000"/>
          <w:kern w:val="0"/>
          <w14:ligatures w14:val="none"/>
        </w:rPr>
        <w:t>, 86(1), pp. 78–93.</w:t>
      </w:r>
    </w:p>
    <w:p w14:paraId="171A2C43"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Sharma, R. and Sharma, A. (2021) ‘Strategic responses to digital transformation in automotive industry’, </w:t>
      </w:r>
      <w:r w:rsidRPr="00B314E6">
        <w:rPr>
          <w:rFonts w:ascii="Times New Roman" w:eastAsia="Times New Roman" w:hAnsi="Times New Roman" w:cs="Times New Roman"/>
          <w:i/>
          <w:iCs/>
          <w:color w:val="000000"/>
          <w:kern w:val="0"/>
          <w14:ligatures w14:val="none"/>
        </w:rPr>
        <w:t>International Journal of Automotive Technology and Management</w:t>
      </w:r>
      <w:r w:rsidRPr="00B314E6">
        <w:rPr>
          <w:rFonts w:ascii="Times New Roman" w:eastAsia="Times New Roman" w:hAnsi="Times New Roman" w:cs="Times New Roman"/>
          <w:color w:val="000000"/>
          <w:kern w:val="0"/>
          <w14:ligatures w14:val="none"/>
        </w:rPr>
        <w:t>, 21(2), pp. 117–140.</w:t>
      </w:r>
    </w:p>
    <w:p w14:paraId="6220BA0A"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 xml:space="preserve">Teece, D.J., </w:t>
      </w:r>
      <w:proofErr w:type="spellStart"/>
      <w:r w:rsidRPr="00B314E6">
        <w:rPr>
          <w:rFonts w:ascii="Times New Roman" w:eastAsia="Times New Roman" w:hAnsi="Times New Roman" w:cs="Times New Roman"/>
          <w:color w:val="000000"/>
          <w:kern w:val="0"/>
          <w14:ligatures w14:val="none"/>
        </w:rPr>
        <w:t>Peteraf</w:t>
      </w:r>
      <w:proofErr w:type="spellEnd"/>
      <w:r w:rsidRPr="00B314E6">
        <w:rPr>
          <w:rFonts w:ascii="Times New Roman" w:eastAsia="Times New Roman" w:hAnsi="Times New Roman" w:cs="Times New Roman"/>
          <w:color w:val="000000"/>
          <w:kern w:val="0"/>
          <w14:ligatures w14:val="none"/>
        </w:rPr>
        <w:t xml:space="preserve">, M. and Leih, S. (2016) ‘Dynamic capabilities and </w:t>
      </w:r>
      <w:proofErr w:type="spellStart"/>
      <w:r w:rsidRPr="00B314E6">
        <w:rPr>
          <w:rFonts w:ascii="Times New Roman" w:eastAsia="Times New Roman" w:hAnsi="Times New Roman" w:cs="Times New Roman"/>
          <w:color w:val="000000"/>
          <w:kern w:val="0"/>
          <w14:ligatures w14:val="none"/>
        </w:rPr>
        <w:t>organisational</w:t>
      </w:r>
      <w:proofErr w:type="spellEnd"/>
      <w:r w:rsidRPr="00B314E6">
        <w:rPr>
          <w:rFonts w:ascii="Times New Roman" w:eastAsia="Times New Roman" w:hAnsi="Times New Roman" w:cs="Times New Roman"/>
          <w:color w:val="000000"/>
          <w:kern w:val="0"/>
          <w14:ligatures w14:val="none"/>
        </w:rPr>
        <w:t xml:space="preserve"> agility: risk, uncertainty, and strategy in the innovation economy’, </w:t>
      </w:r>
      <w:r w:rsidRPr="00B314E6">
        <w:rPr>
          <w:rFonts w:ascii="Times New Roman" w:eastAsia="Times New Roman" w:hAnsi="Times New Roman" w:cs="Times New Roman"/>
          <w:i/>
          <w:iCs/>
          <w:color w:val="000000"/>
          <w:kern w:val="0"/>
          <w14:ligatures w14:val="none"/>
        </w:rPr>
        <w:t>California Management Review</w:t>
      </w:r>
      <w:r w:rsidRPr="00B314E6">
        <w:rPr>
          <w:rFonts w:ascii="Times New Roman" w:eastAsia="Times New Roman" w:hAnsi="Times New Roman" w:cs="Times New Roman"/>
          <w:color w:val="000000"/>
          <w:kern w:val="0"/>
          <w14:ligatures w14:val="none"/>
        </w:rPr>
        <w:t>, 58(4), pp. 13–35.</w:t>
      </w:r>
    </w:p>
    <w:p w14:paraId="1C8DF836" w14:textId="77777777" w:rsidR="00B314E6" w:rsidRPr="00B314E6" w:rsidRDefault="00B314E6" w:rsidP="00B314E6">
      <w:pPr>
        <w:spacing w:before="100" w:beforeAutospacing="1" w:after="100" w:afterAutospacing="1" w:line="240" w:lineRule="auto"/>
        <w:rPr>
          <w:rFonts w:ascii="Times New Roman" w:eastAsia="Times New Roman" w:hAnsi="Times New Roman" w:cs="Times New Roman"/>
          <w:color w:val="000000"/>
          <w:kern w:val="0"/>
          <w14:ligatures w14:val="none"/>
        </w:rPr>
      </w:pPr>
      <w:r w:rsidRPr="00B314E6">
        <w:rPr>
          <w:rFonts w:ascii="Times New Roman" w:eastAsia="Times New Roman" w:hAnsi="Times New Roman" w:cs="Times New Roman"/>
          <w:color w:val="000000"/>
          <w:kern w:val="0"/>
          <w14:ligatures w14:val="none"/>
        </w:rPr>
        <w:t>Wiersema, M.F. and Bowen, H.P. (2009) ‘The use of limited dependent variable techniques in strategy research’, </w:t>
      </w:r>
      <w:r w:rsidRPr="00B314E6">
        <w:rPr>
          <w:rFonts w:ascii="Times New Roman" w:eastAsia="Times New Roman" w:hAnsi="Times New Roman" w:cs="Times New Roman"/>
          <w:i/>
          <w:iCs/>
          <w:color w:val="000000"/>
          <w:kern w:val="0"/>
          <w14:ligatures w14:val="none"/>
        </w:rPr>
        <w:t>Strategic Management Journal</w:t>
      </w:r>
      <w:r w:rsidRPr="00B314E6">
        <w:rPr>
          <w:rFonts w:ascii="Times New Roman" w:eastAsia="Times New Roman" w:hAnsi="Times New Roman" w:cs="Times New Roman"/>
          <w:color w:val="000000"/>
          <w:kern w:val="0"/>
          <w14:ligatures w14:val="none"/>
        </w:rPr>
        <w:t>, 30(6), pp. 679–692.</w:t>
      </w:r>
    </w:p>
    <w:p w14:paraId="53938BCD" w14:textId="77777777" w:rsidR="009F6EFD" w:rsidRDefault="009F6EFD" w:rsidP="009F6EFD">
      <w:pPr>
        <w:pStyle w:val="NormalWeb"/>
        <w:rPr>
          <w:rFonts w:asciiTheme="majorHAnsi" w:hAnsiTheme="majorHAnsi"/>
          <w:i/>
          <w:iCs/>
          <w:color w:val="000000"/>
          <w:sz w:val="40"/>
          <w:szCs w:val="40"/>
          <w:u w:val="single"/>
        </w:rPr>
      </w:pPr>
    </w:p>
    <w:p w14:paraId="3557817B" w14:textId="77777777" w:rsidR="009F6EFD" w:rsidRDefault="009F6EFD" w:rsidP="009F6EFD">
      <w:pPr>
        <w:pStyle w:val="NormalWeb"/>
        <w:rPr>
          <w:rFonts w:asciiTheme="majorHAnsi" w:hAnsiTheme="majorHAnsi"/>
          <w:i/>
          <w:iCs/>
          <w:color w:val="000000"/>
          <w:sz w:val="40"/>
          <w:szCs w:val="40"/>
          <w:u w:val="single"/>
        </w:rPr>
      </w:pPr>
    </w:p>
    <w:p w14:paraId="562AAB53" w14:textId="77777777" w:rsidR="009F6EFD" w:rsidRDefault="009F6EFD" w:rsidP="009F6EFD">
      <w:pPr>
        <w:pStyle w:val="NormalWeb"/>
        <w:rPr>
          <w:rFonts w:asciiTheme="majorHAnsi" w:hAnsiTheme="majorHAnsi"/>
          <w:i/>
          <w:iCs/>
          <w:color w:val="000000"/>
          <w:sz w:val="40"/>
          <w:szCs w:val="40"/>
          <w:u w:val="single"/>
        </w:rPr>
      </w:pPr>
    </w:p>
    <w:p w14:paraId="70F7A9F1" w14:textId="77777777" w:rsidR="009F6EFD" w:rsidRDefault="009F6EFD" w:rsidP="009F6EFD">
      <w:pPr>
        <w:pStyle w:val="NormalWeb"/>
        <w:rPr>
          <w:rFonts w:asciiTheme="majorHAnsi" w:hAnsiTheme="majorHAnsi"/>
          <w:i/>
          <w:iCs/>
          <w:color w:val="000000"/>
          <w:sz w:val="40"/>
          <w:szCs w:val="40"/>
          <w:u w:val="single"/>
        </w:rPr>
      </w:pPr>
    </w:p>
    <w:p w14:paraId="6776B8A2" w14:textId="77777777" w:rsidR="009F6EFD" w:rsidRDefault="009F6EFD" w:rsidP="009F6EFD">
      <w:pPr>
        <w:pStyle w:val="NormalWeb"/>
        <w:rPr>
          <w:rFonts w:asciiTheme="majorHAnsi" w:hAnsiTheme="majorHAnsi"/>
          <w:i/>
          <w:iCs/>
          <w:color w:val="000000"/>
          <w:sz w:val="40"/>
          <w:szCs w:val="40"/>
          <w:u w:val="single"/>
        </w:rPr>
      </w:pPr>
    </w:p>
    <w:p w14:paraId="29211A0C" w14:textId="77777777" w:rsidR="009F6EFD" w:rsidRDefault="009F6EFD" w:rsidP="009F6EFD">
      <w:pPr>
        <w:pStyle w:val="NormalWeb"/>
        <w:rPr>
          <w:rFonts w:asciiTheme="majorHAnsi" w:hAnsiTheme="majorHAnsi"/>
          <w:i/>
          <w:iCs/>
          <w:color w:val="000000"/>
          <w:sz w:val="40"/>
          <w:szCs w:val="40"/>
          <w:u w:val="single"/>
        </w:rPr>
      </w:pPr>
    </w:p>
    <w:p w14:paraId="3897039D" w14:textId="77777777" w:rsidR="009F6EFD" w:rsidRDefault="009F6EFD" w:rsidP="009F6EFD">
      <w:pPr>
        <w:pStyle w:val="NormalWeb"/>
        <w:rPr>
          <w:rFonts w:asciiTheme="majorHAnsi" w:hAnsiTheme="majorHAnsi"/>
          <w:i/>
          <w:iCs/>
          <w:color w:val="000000"/>
          <w:sz w:val="40"/>
          <w:szCs w:val="40"/>
          <w:u w:val="single"/>
        </w:rPr>
      </w:pPr>
    </w:p>
    <w:p w14:paraId="02B908BA" w14:textId="77777777" w:rsidR="009F6EFD" w:rsidRDefault="009F6EFD" w:rsidP="009F6EFD">
      <w:pPr>
        <w:pStyle w:val="NormalWeb"/>
        <w:rPr>
          <w:rFonts w:asciiTheme="majorHAnsi" w:hAnsiTheme="majorHAnsi"/>
          <w:i/>
          <w:iCs/>
          <w:color w:val="000000"/>
          <w:sz w:val="40"/>
          <w:szCs w:val="40"/>
          <w:u w:val="single"/>
        </w:rPr>
      </w:pPr>
    </w:p>
    <w:p w14:paraId="37513011" w14:textId="77777777" w:rsidR="009F6EFD" w:rsidRDefault="009F6EFD" w:rsidP="009F6EFD">
      <w:pPr>
        <w:pStyle w:val="NormalWeb"/>
        <w:rPr>
          <w:rFonts w:asciiTheme="majorHAnsi" w:hAnsiTheme="majorHAnsi"/>
          <w:i/>
          <w:iCs/>
          <w:color w:val="000000"/>
          <w:sz w:val="40"/>
          <w:szCs w:val="40"/>
          <w:u w:val="single"/>
        </w:rPr>
      </w:pPr>
    </w:p>
    <w:p w14:paraId="653DA88D" w14:textId="77777777" w:rsidR="009F6EFD" w:rsidRDefault="009F6EFD" w:rsidP="009F6EFD">
      <w:pPr>
        <w:pStyle w:val="NormalWeb"/>
        <w:rPr>
          <w:rFonts w:asciiTheme="majorHAnsi" w:hAnsiTheme="majorHAnsi"/>
          <w:i/>
          <w:iCs/>
          <w:color w:val="000000"/>
          <w:sz w:val="40"/>
          <w:szCs w:val="40"/>
          <w:u w:val="single"/>
        </w:rPr>
      </w:pPr>
    </w:p>
    <w:p w14:paraId="5CA16868" w14:textId="77777777" w:rsidR="009F6EFD" w:rsidRDefault="009F6EFD" w:rsidP="009F6EFD">
      <w:pPr>
        <w:pStyle w:val="NormalWeb"/>
        <w:rPr>
          <w:rFonts w:asciiTheme="majorHAnsi" w:hAnsiTheme="majorHAnsi"/>
          <w:i/>
          <w:iCs/>
          <w:color w:val="000000"/>
          <w:sz w:val="40"/>
          <w:szCs w:val="40"/>
          <w:u w:val="single"/>
        </w:rPr>
      </w:pPr>
    </w:p>
    <w:p w14:paraId="291C8472" w14:textId="77777777" w:rsidR="009F6EFD" w:rsidRDefault="009F6EFD" w:rsidP="009F6EFD">
      <w:pPr>
        <w:pStyle w:val="NormalWeb"/>
        <w:rPr>
          <w:rFonts w:asciiTheme="majorHAnsi" w:hAnsiTheme="majorHAnsi"/>
          <w:i/>
          <w:iCs/>
          <w:color w:val="000000"/>
          <w:sz w:val="40"/>
          <w:szCs w:val="40"/>
          <w:u w:val="single"/>
        </w:rPr>
      </w:pPr>
    </w:p>
    <w:p w14:paraId="335CD36C" w14:textId="77777777" w:rsidR="009F6EFD" w:rsidRDefault="009F6EFD" w:rsidP="009F6EFD">
      <w:pPr>
        <w:pStyle w:val="NormalWeb"/>
        <w:rPr>
          <w:rFonts w:asciiTheme="majorHAnsi" w:hAnsiTheme="majorHAnsi"/>
          <w:i/>
          <w:iCs/>
          <w:color w:val="000000"/>
          <w:sz w:val="40"/>
          <w:szCs w:val="40"/>
          <w:u w:val="single"/>
        </w:rPr>
      </w:pPr>
    </w:p>
    <w:p w14:paraId="099B1D1C" w14:textId="77777777" w:rsidR="009F6EFD" w:rsidRDefault="009F6EFD" w:rsidP="009F6EFD">
      <w:pPr>
        <w:pStyle w:val="NormalWeb"/>
        <w:rPr>
          <w:rFonts w:asciiTheme="majorHAnsi" w:hAnsiTheme="majorHAnsi"/>
          <w:i/>
          <w:iCs/>
          <w:color w:val="000000"/>
          <w:sz w:val="40"/>
          <w:szCs w:val="40"/>
          <w:u w:val="single"/>
        </w:rPr>
      </w:pPr>
    </w:p>
    <w:p w14:paraId="2293DDD6" w14:textId="77777777" w:rsidR="009F6EFD" w:rsidRDefault="009F6EFD" w:rsidP="009F6EFD">
      <w:pPr>
        <w:pStyle w:val="NormalWeb"/>
        <w:rPr>
          <w:rFonts w:asciiTheme="majorHAnsi" w:hAnsiTheme="majorHAnsi"/>
          <w:i/>
          <w:iCs/>
          <w:color w:val="000000"/>
          <w:sz w:val="40"/>
          <w:szCs w:val="40"/>
          <w:u w:val="single"/>
        </w:rPr>
      </w:pPr>
    </w:p>
    <w:p w14:paraId="53AA2293" w14:textId="77777777" w:rsidR="009F6EFD" w:rsidRDefault="009F6EFD" w:rsidP="009F6EFD">
      <w:pPr>
        <w:pStyle w:val="NormalWeb"/>
        <w:rPr>
          <w:rFonts w:asciiTheme="majorHAnsi" w:hAnsiTheme="majorHAnsi"/>
          <w:i/>
          <w:iCs/>
          <w:color w:val="000000"/>
          <w:sz w:val="40"/>
          <w:szCs w:val="40"/>
          <w:u w:val="single"/>
        </w:rPr>
      </w:pPr>
    </w:p>
    <w:p w14:paraId="4EAE217F" w14:textId="557EA7CF" w:rsidR="009F6EFD" w:rsidRDefault="00B314E6" w:rsidP="009F6EFD">
      <w:pPr>
        <w:pStyle w:val="NormalWeb"/>
        <w:rPr>
          <w:rFonts w:asciiTheme="majorHAnsi" w:hAnsiTheme="majorHAnsi"/>
          <w:i/>
          <w:iCs/>
          <w:color w:val="000000"/>
          <w:sz w:val="40"/>
          <w:szCs w:val="40"/>
          <w:u w:val="single"/>
        </w:rPr>
      </w:pPr>
      <w:r w:rsidRPr="00B314E6">
        <w:rPr>
          <w:rFonts w:asciiTheme="majorHAnsi" w:hAnsiTheme="majorHAnsi"/>
          <w:i/>
          <w:iCs/>
          <w:color w:val="000000"/>
          <w:sz w:val="40"/>
          <w:szCs w:val="40"/>
          <w:u w:val="single"/>
        </w:rPr>
        <w:t>Introduction to Strategy</w:t>
      </w:r>
    </w:p>
    <w:p w14:paraId="00FD0CD6" w14:textId="77777777" w:rsidR="00B314E6" w:rsidRDefault="00B314E6" w:rsidP="009F6EFD">
      <w:pPr>
        <w:pStyle w:val="NormalWeb"/>
        <w:rPr>
          <w:rFonts w:asciiTheme="majorHAnsi" w:hAnsiTheme="majorHAnsi"/>
          <w:i/>
          <w:iCs/>
          <w:color w:val="000000"/>
          <w:sz w:val="40"/>
          <w:szCs w:val="40"/>
          <w:u w:val="single"/>
        </w:rPr>
      </w:pPr>
    </w:p>
    <w:p w14:paraId="2CCACB63" w14:textId="77777777" w:rsidR="00B314E6" w:rsidRDefault="00B314E6" w:rsidP="009F6EFD">
      <w:pPr>
        <w:pStyle w:val="NormalWeb"/>
        <w:rPr>
          <w:rFonts w:asciiTheme="majorHAnsi" w:hAnsiTheme="majorHAnsi"/>
          <w:i/>
          <w:iCs/>
          <w:color w:val="000000"/>
          <w:sz w:val="40"/>
          <w:szCs w:val="40"/>
          <w:u w:val="single"/>
        </w:rPr>
      </w:pPr>
    </w:p>
    <w:p w14:paraId="7D26B494" w14:textId="77777777" w:rsidR="00B314E6" w:rsidRPr="00B314E6" w:rsidRDefault="00B314E6" w:rsidP="009F6EFD">
      <w:pPr>
        <w:pStyle w:val="NormalWeb"/>
        <w:rPr>
          <w:rFonts w:asciiTheme="majorHAnsi" w:hAnsiTheme="majorHAnsi"/>
          <w:i/>
          <w:iCs/>
          <w:color w:val="000000"/>
          <w:sz w:val="40"/>
          <w:szCs w:val="40"/>
          <w:u w:val="single"/>
        </w:rPr>
      </w:pPr>
    </w:p>
    <w:p w14:paraId="24DD5305" w14:textId="77777777" w:rsidR="009F6EFD" w:rsidRPr="009F6EFD" w:rsidRDefault="009F6EFD" w:rsidP="009F6EFD">
      <w:pPr>
        <w:pStyle w:val="NormalWeb"/>
        <w:rPr>
          <w:rFonts w:asciiTheme="majorHAnsi" w:hAnsiTheme="majorHAnsi"/>
          <w:i/>
          <w:iCs/>
          <w:color w:val="000000"/>
          <w:sz w:val="40"/>
          <w:szCs w:val="40"/>
          <w:u w:val="single"/>
        </w:rPr>
      </w:pPr>
    </w:p>
    <w:p w14:paraId="60A68276" w14:textId="77777777" w:rsidR="009F6EFD" w:rsidRDefault="009F6EFD" w:rsidP="009F6EFD">
      <w:pPr>
        <w:pStyle w:val="NormalWeb"/>
        <w:rPr>
          <w:rFonts w:asciiTheme="majorHAnsi" w:hAnsiTheme="majorHAnsi"/>
          <w:color w:val="000000"/>
        </w:rPr>
      </w:pPr>
    </w:p>
    <w:p w14:paraId="6DF69384" w14:textId="77777777" w:rsidR="009F6EFD" w:rsidRPr="009F6EFD" w:rsidRDefault="009F6EFD" w:rsidP="009F6EFD">
      <w:pPr>
        <w:pStyle w:val="NormalWeb"/>
        <w:rPr>
          <w:rFonts w:asciiTheme="majorHAnsi" w:hAnsiTheme="majorHAnsi"/>
          <w:color w:val="000000"/>
        </w:rPr>
      </w:pPr>
    </w:p>
    <w:p w14:paraId="52BDE49A" w14:textId="77777777" w:rsidR="009F6EFD" w:rsidRPr="009F6EFD" w:rsidRDefault="009F6EFD" w:rsidP="009F6EFD">
      <w:pPr>
        <w:pStyle w:val="NormalWeb"/>
        <w:rPr>
          <w:rFonts w:asciiTheme="majorHAnsi" w:hAnsiTheme="majorHAnsi"/>
          <w:color w:val="000000"/>
        </w:rPr>
      </w:pPr>
    </w:p>
    <w:p w14:paraId="24DEEA80" w14:textId="77777777" w:rsidR="009F6EFD" w:rsidRPr="009F6EFD" w:rsidRDefault="009F6EFD">
      <w:pPr>
        <w:rPr>
          <w:rFonts w:asciiTheme="majorHAnsi" w:hAnsiTheme="majorHAnsi"/>
        </w:rPr>
      </w:pPr>
    </w:p>
    <w:sectPr w:rsidR="009F6EFD" w:rsidRPr="009F6EFD" w:rsidSect="00B314E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21BA0"/>
    <w:multiLevelType w:val="multilevel"/>
    <w:tmpl w:val="DA92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91827"/>
    <w:multiLevelType w:val="multilevel"/>
    <w:tmpl w:val="7FA6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D362B"/>
    <w:multiLevelType w:val="multilevel"/>
    <w:tmpl w:val="928C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D366A"/>
    <w:multiLevelType w:val="multilevel"/>
    <w:tmpl w:val="7374C3E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9947EFC"/>
    <w:multiLevelType w:val="multilevel"/>
    <w:tmpl w:val="C7A4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63F35"/>
    <w:multiLevelType w:val="multilevel"/>
    <w:tmpl w:val="210E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1429DC"/>
    <w:multiLevelType w:val="multilevel"/>
    <w:tmpl w:val="17B4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71AA4"/>
    <w:multiLevelType w:val="multilevel"/>
    <w:tmpl w:val="93B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9491291">
    <w:abstractNumId w:val="3"/>
  </w:num>
  <w:num w:numId="2" w16cid:durableId="577666939">
    <w:abstractNumId w:val="5"/>
  </w:num>
  <w:num w:numId="3" w16cid:durableId="748960218">
    <w:abstractNumId w:val="7"/>
  </w:num>
  <w:num w:numId="4" w16cid:durableId="1996571839">
    <w:abstractNumId w:val="2"/>
  </w:num>
  <w:num w:numId="5" w16cid:durableId="744765031">
    <w:abstractNumId w:val="0"/>
  </w:num>
  <w:num w:numId="6" w16cid:durableId="949555951">
    <w:abstractNumId w:val="6"/>
  </w:num>
  <w:num w:numId="7" w16cid:durableId="899361444">
    <w:abstractNumId w:val="4"/>
  </w:num>
  <w:num w:numId="8" w16cid:durableId="966469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EFD"/>
    <w:rsid w:val="00291BFF"/>
    <w:rsid w:val="005E4B5B"/>
    <w:rsid w:val="008511A9"/>
    <w:rsid w:val="00882A86"/>
    <w:rsid w:val="00985FA6"/>
    <w:rsid w:val="009F6EFD"/>
    <w:rsid w:val="00A45F66"/>
    <w:rsid w:val="00B314E6"/>
    <w:rsid w:val="00CA46ED"/>
    <w:rsid w:val="00E136BD"/>
    <w:rsid w:val="00E80882"/>
    <w:rsid w:val="00FC30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4FC2"/>
  <w15:chartTrackingRefBased/>
  <w15:docId w15:val="{4635C5FA-3FF1-0E4A-9FA9-50F3903FA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6E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E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E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E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E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E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E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E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E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6E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E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E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E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E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E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EFD"/>
    <w:rPr>
      <w:rFonts w:eastAsiaTheme="majorEastAsia" w:cstheme="majorBidi"/>
      <w:color w:val="272727" w:themeColor="text1" w:themeTint="D8"/>
    </w:rPr>
  </w:style>
  <w:style w:type="paragraph" w:styleId="Title">
    <w:name w:val="Title"/>
    <w:basedOn w:val="Normal"/>
    <w:next w:val="Normal"/>
    <w:link w:val="TitleChar"/>
    <w:uiPriority w:val="10"/>
    <w:qFormat/>
    <w:rsid w:val="009F6E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E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E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E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EFD"/>
    <w:pPr>
      <w:spacing w:before="160"/>
      <w:jc w:val="center"/>
    </w:pPr>
    <w:rPr>
      <w:i/>
      <w:iCs/>
      <w:color w:val="404040" w:themeColor="text1" w:themeTint="BF"/>
    </w:rPr>
  </w:style>
  <w:style w:type="character" w:customStyle="1" w:styleId="QuoteChar">
    <w:name w:val="Quote Char"/>
    <w:basedOn w:val="DefaultParagraphFont"/>
    <w:link w:val="Quote"/>
    <w:uiPriority w:val="29"/>
    <w:rsid w:val="009F6EFD"/>
    <w:rPr>
      <w:i/>
      <w:iCs/>
      <w:color w:val="404040" w:themeColor="text1" w:themeTint="BF"/>
    </w:rPr>
  </w:style>
  <w:style w:type="paragraph" w:styleId="ListParagraph">
    <w:name w:val="List Paragraph"/>
    <w:basedOn w:val="Normal"/>
    <w:uiPriority w:val="34"/>
    <w:qFormat/>
    <w:rsid w:val="009F6EFD"/>
    <w:pPr>
      <w:ind w:left="720"/>
      <w:contextualSpacing/>
    </w:pPr>
  </w:style>
  <w:style w:type="character" w:styleId="IntenseEmphasis">
    <w:name w:val="Intense Emphasis"/>
    <w:basedOn w:val="DefaultParagraphFont"/>
    <w:uiPriority w:val="21"/>
    <w:qFormat/>
    <w:rsid w:val="009F6EFD"/>
    <w:rPr>
      <w:i/>
      <w:iCs/>
      <w:color w:val="0F4761" w:themeColor="accent1" w:themeShade="BF"/>
    </w:rPr>
  </w:style>
  <w:style w:type="paragraph" w:styleId="IntenseQuote">
    <w:name w:val="Intense Quote"/>
    <w:basedOn w:val="Normal"/>
    <w:next w:val="Normal"/>
    <w:link w:val="IntenseQuoteChar"/>
    <w:uiPriority w:val="30"/>
    <w:qFormat/>
    <w:rsid w:val="009F6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EFD"/>
    <w:rPr>
      <w:i/>
      <w:iCs/>
      <w:color w:val="0F4761" w:themeColor="accent1" w:themeShade="BF"/>
    </w:rPr>
  </w:style>
  <w:style w:type="character" w:styleId="IntenseReference">
    <w:name w:val="Intense Reference"/>
    <w:basedOn w:val="DefaultParagraphFont"/>
    <w:uiPriority w:val="32"/>
    <w:qFormat/>
    <w:rsid w:val="009F6EFD"/>
    <w:rPr>
      <w:b/>
      <w:bCs/>
      <w:smallCaps/>
      <w:color w:val="0F4761" w:themeColor="accent1" w:themeShade="BF"/>
      <w:spacing w:val="5"/>
    </w:rPr>
  </w:style>
  <w:style w:type="paragraph" w:styleId="NormalWeb">
    <w:name w:val="Normal (Web)"/>
    <w:basedOn w:val="Normal"/>
    <w:uiPriority w:val="99"/>
    <w:unhideWhenUsed/>
    <w:rsid w:val="009F6EF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F6EFD"/>
    <w:rPr>
      <w:b/>
      <w:bCs/>
    </w:rPr>
  </w:style>
  <w:style w:type="character" w:customStyle="1" w:styleId="apple-converted-space">
    <w:name w:val="apple-converted-space"/>
    <w:basedOn w:val="DefaultParagraphFont"/>
    <w:rsid w:val="009F6EFD"/>
  </w:style>
  <w:style w:type="character" w:customStyle="1" w:styleId="whitespace-normal">
    <w:name w:val="whitespace-normal"/>
    <w:basedOn w:val="DefaultParagraphFont"/>
    <w:rsid w:val="00B314E6"/>
  </w:style>
  <w:style w:type="character" w:styleId="Emphasis">
    <w:name w:val="Emphasis"/>
    <w:basedOn w:val="DefaultParagraphFont"/>
    <w:uiPriority w:val="20"/>
    <w:qFormat/>
    <w:rsid w:val="00B314E6"/>
    <w:rPr>
      <w:i/>
      <w:iCs/>
    </w:rPr>
  </w:style>
  <w:style w:type="character" w:styleId="Hyperlink">
    <w:name w:val="Hyperlink"/>
    <w:basedOn w:val="DefaultParagraphFont"/>
    <w:uiPriority w:val="99"/>
    <w:semiHidden/>
    <w:unhideWhenUsed/>
    <w:rsid w:val="00B314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deloitte.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2026-03-23T12:06:00Z</dcterms:created>
  <dcterms:modified xsi:type="dcterms:W3CDTF">2026-03-23T12:06:00Z</dcterms:modified>
</cp:coreProperties>
</file>