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2155B27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106DE">
              <w:rPr>
                <w:rFonts w:ascii="Times New Roman" w:hAnsi="Times New Roman" w:cs="Times New Roman"/>
                <w:b/>
                <w:color w:val="auto"/>
                <w:sz w:val="48"/>
              </w:rPr>
              <w:t>Charlene Murdoch</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951855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proofErr w:type="gramStart"/>
            <w:r>
              <w:rPr>
                <w:rFonts w:ascii="Times New Roman" w:hAnsi="Times New Roman" w:cs="Times New Roman"/>
                <w:b/>
                <w:color w:val="auto"/>
                <w:sz w:val="48"/>
              </w:rPr>
              <w:t>address:</w:t>
            </w:r>
            <w:r w:rsidR="007106DE">
              <w:rPr>
                <w:rFonts w:ascii="Times New Roman" w:hAnsi="Times New Roman" w:cs="Times New Roman"/>
                <w:b/>
                <w:color w:val="auto"/>
                <w:sz w:val="48"/>
              </w:rPr>
              <w:t>Charlene.murdoch@powys.gov.uk</w:t>
            </w:r>
            <w:proofErr w:type="gram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39E771AF" w14:textId="77777777" w:rsidR="0024522D" w:rsidRPr="005D3F07" w:rsidRDefault="0024522D" w:rsidP="0024522D">
            <w:pPr>
              <w:ind w:right="-957"/>
              <w:rPr>
                <w:rFonts w:ascii="Times New Roman" w:hAnsi="Times New Roman" w:cs="Times New Roman"/>
                <w:b/>
                <w:sz w:val="48"/>
              </w:rPr>
            </w:pPr>
            <w:hyperlink r:id="rId11" w:history="1">
              <w:r w:rsidRPr="0046648C">
                <w:rPr>
                  <w:rStyle w:val="Hyperlink"/>
                  <w:rFonts w:ascii="Times New Roman" w:hAnsi="Times New Roman" w:cs="Times New Roman"/>
                  <w:b/>
                  <w:sz w:val="48"/>
                </w:rPr>
                <w:t>1700077</w:t>
              </w:r>
            </w:hyperlink>
          </w:p>
          <w:p w14:paraId="78679C63" w14:textId="77777777" w:rsidR="0024522D" w:rsidRPr="005D3F07" w:rsidRDefault="0024522D" w:rsidP="005D3F07">
            <w:pPr>
              <w:overflowPunct/>
              <w:autoSpaceDE/>
              <w:autoSpaceDN/>
              <w:adjustRightInd/>
              <w:ind w:right="-957"/>
              <w:textAlignment w:val="auto"/>
              <w:rPr>
                <w:rFonts w:ascii="Times New Roman" w:hAnsi="Times New Roman" w:cs="Times New Roman"/>
                <w:b/>
                <w:color w:val="auto"/>
                <w:sz w:val="48"/>
              </w:rPr>
            </w:pP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6DF79CA9" w14:textId="77777777" w:rsidR="005F38FB" w:rsidRDefault="005F38FB" w:rsidP="005F38FB">
      <w:pPr>
        <w:overflowPunct/>
        <w:autoSpaceDE/>
        <w:autoSpaceDN/>
        <w:adjustRightInd/>
        <w:ind w:right="-957"/>
        <w:textAlignment w:val="auto"/>
        <w:rPr>
          <w:rFonts w:ascii="Times New Roman" w:hAnsi="Times New Roman" w:cs="Times New Roman"/>
          <w:b/>
          <w:color w:val="auto"/>
          <w:sz w:val="48"/>
        </w:rPr>
      </w:pPr>
    </w:p>
    <w:p w14:paraId="2F624013" w14:textId="77777777" w:rsidR="005F38FB" w:rsidRDefault="005F38FB" w:rsidP="005F38FB">
      <w:pPr>
        <w:overflowPunct/>
        <w:autoSpaceDE/>
        <w:autoSpaceDN/>
        <w:adjustRightInd/>
        <w:ind w:right="-957"/>
        <w:textAlignment w:val="auto"/>
        <w:rPr>
          <w:rFonts w:ascii="Times New Roman" w:hAnsi="Times New Roman" w:cs="Times New Roman"/>
          <w:b/>
          <w:color w:val="auto"/>
          <w:sz w:val="48"/>
        </w:rPr>
      </w:pPr>
    </w:p>
    <w:p w14:paraId="5A670606" w14:textId="4F41EE5D" w:rsidR="00F546D1" w:rsidRPr="005F38FB" w:rsidRDefault="007374EF" w:rsidP="005F38FB">
      <w:pPr>
        <w:overflowPunct/>
        <w:autoSpaceDE/>
        <w:autoSpaceDN/>
        <w:adjustRightInd/>
        <w:ind w:left="3600" w:right="-957" w:firstLine="720"/>
        <w:textAlignment w:val="auto"/>
        <w:rPr>
          <w:rFonts w:ascii="Times New Roman" w:hAnsi="Times New Roman" w:cs="Times New Roman"/>
          <w:b/>
          <w:color w:val="auto"/>
          <w:sz w:val="48"/>
        </w:rPr>
      </w:pPr>
      <w:r w:rsidRPr="00EE5BC3">
        <w:rPr>
          <w:b/>
          <w:sz w:val="28"/>
          <w:szCs w:val="28"/>
        </w:rPr>
        <w:lastRenderedPageBreak/>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0384CC11" w14:textId="77777777" w:rsidR="00D8671C" w:rsidRPr="00D8671C" w:rsidRDefault="00D8671C" w:rsidP="00D8671C">
            <w:pPr>
              <w:rPr>
                <w:sz w:val="24"/>
                <w:szCs w:val="24"/>
              </w:rPr>
            </w:pPr>
            <w:r w:rsidRPr="00D8671C">
              <w:rPr>
                <w:sz w:val="24"/>
                <w:szCs w:val="24"/>
              </w:rPr>
              <w:t>This assignment will critically reflect on my involvement as a social worker within the Through Care 14+ Team, supporting a White Welsh looked after adolescent, who will be referred to throughout this assignment as 3 to maintain confidentiality.</w:t>
            </w:r>
          </w:p>
          <w:p w14:paraId="189569BE" w14:textId="77777777" w:rsidR="00D8671C" w:rsidRDefault="00D8671C" w:rsidP="00D8671C">
            <w:pPr>
              <w:rPr>
                <w:sz w:val="24"/>
                <w:szCs w:val="24"/>
              </w:rPr>
            </w:pPr>
            <w:r w:rsidRPr="00D8671C">
              <w:rPr>
                <w:sz w:val="24"/>
                <w:szCs w:val="24"/>
              </w:rPr>
              <w:t>At the time of my involvement, 3 was living outside of Wales in a foster placement with carers who were also caring for other younger children.</w:t>
            </w:r>
            <w:r w:rsidRPr="00D8671C">
              <w:rPr>
                <w:rFonts w:ascii="Segoe UI" w:hAnsi="Segoe UI" w:cs="Segoe UI"/>
                <w:sz w:val="24"/>
                <w:szCs w:val="24"/>
              </w:rPr>
              <w:t xml:space="preserve"> </w:t>
            </w:r>
            <w:r w:rsidRPr="00D8671C">
              <w:rPr>
                <w:sz w:val="24"/>
                <w:szCs w:val="24"/>
              </w:rPr>
              <w:t xml:space="preserve">An additional complexity within this case was, although 3 was a child looked after by a Welsh local authority, he was placed in England. This required consideration of cross-border working arrangements and the different legislative frameworks operating within Wales and England. Whilst the welfare of the child remains paramount under both the </w:t>
            </w:r>
            <w:r w:rsidRPr="00D8671C">
              <w:rPr>
                <w:i/>
                <w:iCs/>
                <w:sz w:val="24"/>
                <w:szCs w:val="24"/>
              </w:rPr>
              <w:t>Social Services and Well-being (Wales) Act 2014</w:t>
            </w:r>
            <w:r w:rsidRPr="00D8671C">
              <w:rPr>
                <w:sz w:val="24"/>
                <w:szCs w:val="24"/>
              </w:rPr>
              <w:t xml:space="preserve"> and the </w:t>
            </w:r>
            <w:r w:rsidRPr="00D8671C">
              <w:rPr>
                <w:i/>
                <w:iCs/>
                <w:sz w:val="24"/>
                <w:szCs w:val="24"/>
              </w:rPr>
              <w:t>Children Act 1989</w:t>
            </w:r>
            <w:r w:rsidRPr="00D8671C">
              <w:rPr>
                <w:sz w:val="24"/>
                <w:szCs w:val="24"/>
              </w:rPr>
              <w:t xml:space="preserve">, Wales places a greater emphasis on wellbeing, strengths-based practice, voice and control, and co-production within decision-making. In contrast, English safeguarding practice continues to be primarily underpinned by the </w:t>
            </w:r>
            <w:r w:rsidRPr="00D8671C">
              <w:rPr>
                <w:i/>
                <w:iCs/>
                <w:sz w:val="24"/>
                <w:szCs w:val="24"/>
              </w:rPr>
              <w:t>Children Act 1989</w:t>
            </w:r>
            <w:r w:rsidRPr="00D8671C">
              <w:rPr>
                <w:sz w:val="24"/>
                <w:szCs w:val="24"/>
              </w:rPr>
              <w:t xml:space="preserve"> and </w:t>
            </w:r>
            <w:r w:rsidRPr="00D8671C">
              <w:rPr>
                <w:i/>
                <w:iCs/>
                <w:sz w:val="24"/>
                <w:szCs w:val="24"/>
              </w:rPr>
              <w:t>Working Together to Safeguard Children</w:t>
            </w:r>
            <w:r w:rsidRPr="00D8671C">
              <w:rPr>
                <w:sz w:val="24"/>
                <w:szCs w:val="24"/>
              </w:rPr>
              <w:t xml:space="preserve"> (HM Government, 2023). Reflecting on this, I recognised the importance of remaining mindful of the Welsh legislative framework that guides my practice, whilst also working collaboratively with professionals operating within a different system.</w:t>
            </w:r>
          </w:p>
          <w:p w14:paraId="7CA9022F" w14:textId="77777777" w:rsidR="00D8671C" w:rsidRPr="00D8671C" w:rsidRDefault="00D8671C" w:rsidP="00D8671C">
            <w:pPr>
              <w:rPr>
                <w:rFonts w:cs="Segoe UI"/>
                <w:sz w:val="24"/>
                <w:szCs w:val="24"/>
              </w:rPr>
            </w:pPr>
          </w:p>
          <w:p w14:paraId="37064F07" w14:textId="77777777" w:rsidR="00D8671C" w:rsidRPr="00D8671C" w:rsidRDefault="00D8671C" w:rsidP="00D8671C">
            <w:pPr>
              <w:rPr>
                <w:sz w:val="24"/>
                <w:szCs w:val="24"/>
              </w:rPr>
            </w:pPr>
            <w:r w:rsidRPr="00D8671C">
              <w:rPr>
                <w:sz w:val="24"/>
                <w:szCs w:val="24"/>
              </w:rPr>
              <w:t>A Multi-Agency Referral Form (MARF) was submitted following concerns about 3’s escalating behaviours and a rising pattern of absconding episodes. These incidents increased concerns regarding his safety and wellbeing, indicating heightened vulnerability and prompting consideration of whether his current placement was sufficiently equipped to meet his complex needs and provide appropriate support and protection.</w:t>
            </w:r>
          </w:p>
          <w:p w14:paraId="08129171" w14:textId="77777777" w:rsidR="00D8671C" w:rsidRDefault="00D8671C" w:rsidP="00D8671C">
            <w:pPr>
              <w:rPr>
                <w:sz w:val="24"/>
                <w:szCs w:val="24"/>
              </w:rPr>
            </w:pPr>
            <w:r w:rsidRPr="00D8671C">
              <w:rPr>
                <w:sz w:val="24"/>
                <w:szCs w:val="24"/>
              </w:rPr>
              <w:t xml:space="preserve">Prior to receipt of the MARF, concerns had already been identified by professionals that 3’s current foster placement was struggling to meet his needs effectively. Consequently, a </w:t>
            </w:r>
            <w:r w:rsidRPr="00D8671C">
              <w:rPr>
                <w:sz w:val="24"/>
                <w:szCs w:val="24"/>
              </w:rPr>
              <w:lastRenderedPageBreak/>
              <w:t>placement search had been initiated to identify a more suitable environment capable of managing the risks associated with his presentation. The presence of younger children within the foster home further heightened concerns regarding placement stability and safeguarding, reinforcing the need for a placement able to provide a greater level of support and risk management. These discussions formed part of a Placement Stability meeting and significantly informed the assessment process. As 3’s allocated social worker, my knowledge of his personal history, lived experiences, current presentation and identified needs contributed to the analysis of risk and protective factors, supporting a more holistic and evidence-informed assessment of his circumstances.</w:t>
            </w:r>
          </w:p>
          <w:p w14:paraId="11B4F4F4" w14:textId="77777777" w:rsidR="00D8671C" w:rsidRPr="00D8671C" w:rsidRDefault="00D8671C" w:rsidP="00D8671C">
            <w:pPr>
              <w:rPr>
                <w:sz w:val="24"/>
                <w:szCs w:val="24"/>
              </w:rPr>
            </w:pPr>
          </w:p>
          <w:p w14:paraId="4B6263FB" w14:textId="77777777" w:rsidR="00D8671C" w:rsidRPr="00D8671C" w:rsidRDefault="00D8671C" w:rsidP="00D8671C">
            <w:pPr>
              <w:rPr>
                <w:sz w:val="24"/>
                <w:szCs w:val="24"/>
              </w:rPr>
            </w:pPr>
            <w:r w:rsidRPr="00D8671C">
              <w:rPr>
                <w:sz w:val="24"/>
                <w:szCs w:val="24"/>
              </w:rPr>
              <w:t xml:space="preserve">This case presented several complexities, requiring ongoing assessment, risk analysis and multi-agency collaboration to understand the factors contributing to 3's behaviour and to identify the most appropriate interventions. Through the development of a relationship with 3, it became evident his presentation was influenced by a range of social, emotional and environmental factors that required careful consideration when planning support. </w:t>
            </w:r>
          </w:p>
          <w:p w14:paraId="18A27C69" w14:textId="77777777" w:rsidR="00D8671C" w:rsidRDefault="00D8671C" w:rsidP="00D8671C">
            <w:pPr>
              <w:rPr>
                <w:sz w:val="24"/>
                <w:szCs w:val="24"/>
              </w:rPr>
            </w:pPr>
            <w:r w:rsidRPr="00D8671C">
              <w:rPr>
                <w:sz w:val="24"/>
                <w:szCs w:val="24"/>
              </w:rPr>
              <w:t>Bronfenbrenner's Ecological Systems Theory (1979) provided a useful framework for understanding 3's circumstances. Rather than viewing his absconding episodes solely as problematic behaviour, the theory encouraged consideration of the wider systems influencing his development, including his foster placement, peer relationships, education, professional networks and the challenges associated with living outside of Wales. This reinforced the importance of adopting a holistic assessment and highlighted the need for a coordinated multi-agency response.</w:t>
            </w:r>
          </w:p>
          <w:p w14:paraId="5A827353" w14:textId="77777777" w:rsidR="00D8671C" w:rsidRPr="00D8671C" w:rsidRDefault="00D8671C" w:rsidP="00D8671C">
            <w:pPr>
              <w:rPr>
                <w:sz w:val="24"/>
                <w:szCs w:val="24"/>
              </w:rPr>
            </w:pPr>
          </w:p>
          <w:p w14:paraId="2C8B9506" w14:textId="77777777" w:rsidR="00D8671C" w:rsidRDefault="00D8671C" w:rsidP="00D8671C">
            <w:pPr>
              <w:rPr>
                <w:sz w:val="24"/>
                <w:szCs w:val="24"/>
              </w:rPr>
            </w:pPr>
            <w:r w:rsidRPr="00D8671C">
              <w:rPr>
                <w:sz w:val="24"/>
                <w:szCs w:val="24"/>
              </w:rPr>
              <w:t>Furthermore, Attachment Theory suggests children's behaviours can often be understood within the context of their relationships and previous experiences of attachment disruption (Bowlby, 1969). As a child looked after experiencing instability and uncertainty regarding his future, 3’s absconding episodes could be viewed not only as a safeguarding concern but also as a possible expression of underlying emotional distress. This encouraged me to consider the emotional meaning behind his behaviour rather than focusing solely on risk management.</w:t>
            </w:r>
          </w:p>
          <w:p w14:paraId="60D66E95" w14:textId="77777777" w:rsidR="00D8671C" w:rsidRPr="00D8671C" w:rsidRDefault="00D8671C" w:rsidP="00D8671C">
            <w:pPr>
              <w:rPr>
                <w:sz w:val="24"/>
                <w:szCs w:val="24"/>
              </w:rPr>
            </w:pPr>
          </w:p>
          <w:p w14:paraId="01E0C899" w14:textId="77777777" w:rsidR="00D8671C" w:rsidRDefault="00D8671C" w:rsidP="00D8671C">
            <w:pPr>
              <w:rPr>
                <w:sz w:val="24"/>
                <w:szCs w:val="24"/>
              </w:rPr>
            </w:pPr>
            <w:r w:rsidRPr="00D8671C">
              <w:rPr>
                <w:sz w:val="24"/>
                <w:szCs w:val="24"/>
              </w:rPr>
              <w:t>Using relevant legislation, theory, research and reflective practice, this assignment will critically examine my assessment, analysis and intervention with 3, paying particular attention to the application of professional judgement, relationship-based practice and multi-agency working. It will also consider the effectiveness of the interventions implemented and the learning gained from this experience in informing my ongoing development as a social worker.</w:t>
            </w:r>
          </w:p>
          <w:p w14:paraId="1A5925D6" w14:textId="77777777" w:rsidR="00D8671C" w:rsidRPr="00D8671C" w:rsidRDefault="00D8671C" w:rsidP="00D8671C">
            <w:pPr>
              <w:rPr>
                <w:sz w:val="24"/>
                <w:szCs w:val="24"/>
              </w:rPr>
            </w:pPr>
          </w:p>
          <w:p w14:paraId="277C38A6" w14:textId="77777777" w:rsidR="00D8671C" w:rsidRPr="00D8671C" w:rsidRDefault="00D8671C" w:rsidP="00D8671C">
            <w:pPr>
              <w:rPr>
                <w:sz w:val="24"/>
                <w:szCs w:val="24"/>
              </w:rPr>
            </w:pPr>
            <w:r w:rsidRPr="00D8671C">
              <w:rPr>
                <w:sz w:val="24"/>
                <w:szCs w:val="24"/>
              </w:rPr>
              <w:t>The National Occupational Standards for Social Work emphasise the importance of effective partnership working and information sharing with other professionals to safeguard individuals and promote their wellbeing (Social Care Wales, 2022). The Missing Strategy Discussion highlighted the value of collaborative working and professional challenge in reaching a shared decision regarding 3's safeguarding needs.</w:t>
            </w:r>
          </w:p>
          <w:p w14:paraId="63961272" w14:textId="64AB9510" w:rsidR="00D8671C" w:rsidRDefault="00D8671C" w:rsidP="00D8671C">
            <w:pPr>
              <w:rPr>
                <w:sz w:val="24"/>
                <w:szCs w:val="24"/>
              </w:rPr>
            </w:pPr>
            <w:r w:rsidRPr="00D8671C">
              <w:rPr>
                <w:sz w:val="24"/>
                <w:szCs w:val="24"/>
              </w:rPr>
              <w:t xml:space="preserve">Following receipt of the MARF, the concerns were reviewed by </w:t>
            </w:r>
            <w:proofErr w:type="gramStart"/>
            <w:r w:rsidRPr="00D8671C">
              <w:rPr>
                <w:sz w:val="24"/>
                <w:szCs w:val="24"/>
              </w:rPr>
              <w:t>management</w:t>
            </w:r>
            <w:proofErr w:type="gramEnd"/>
            <w:r w:rsidRPr="00D8671C">
              <w:rPr>
                <w:sz w:val="24"/>
                <w:szCs w:val="24"/>
              </w:rPr>
              <w:t xml:space="preserve"> and it was agreed threshold had been met for a Missing Strategy Discussion due to the frequency of 3's absconding episodes and the associated safeguarding risks. This decision was informed </w:t>
            </w:r>
            <w:r w:rsidRPr="00D8671C">
              <w:rPr>
                <w:sz w:val="24"/>
                <w:szCs w:val="24"/>
              </w:rPr>
              <w:lastRenderedPageBreak/>
              <w:t xml:space="preserve">by the </w:t>
            </w:r>
            <w:r w:rsidRPr="00D8671C">
              <w:rPr>
                <w:i/>
                <w:iCs/>
                <w:sz w:val="24"/>
                <w:szCs w:val="24"/>
              </w:rPr>
              <w:t>Social Services and Well-being (Wales) Act 2014</w:t>
            </w:r>
            <w:r w:rsidRPr="00D8671C">
              <w:rPr>
                <w:sz w:val="24"/>
                <w:szCs w:val="24"/>
              </w:rPr>
              <w:t xml:space="preserve">, which places a duty on local authorities and partner agencies to safeguard and promote the welfare of children who may be at risk of harm. Furthermore, </w:t>
            </w:r>
            <w:r w:rsidRPr="00D8671C">
              <w:rPr>
                <w:i/>
                <w:iCs/>
                <w:sz w:val="24"/>
                <w:szCs w:val="24"/>
              </w:rPr>
              <w:t>Safeguarding Children Who Go Missing from Home or Care</w:t>
            </w:r>
            <w:r w:rsidRPr="00D8671C">
              <w:rPr>
                <w:sz w:val="24"/>
                <w:szCs w:val="24"/>
              </w:rPr>
              <w:t xml:space="preserve"> highlights that children who repeatedly go missing are particularly vulnerable to significant harm. This harm can include exploitation and emphasises the importance of timely multi-agency information sharing, risk assessment and coordinated intervention to reduce risk and improve outcomes for children and young people (Social Services and Well-being (Wales) Act 2014; Safeguarding Wales, 2021)</w:t>
            </w:r>
            <w:r>
              <w:rPr>
                <w:sz w:val="24"/>
                <w:szCs w:val="24"/>
              </w:rPr>
              <w:t>.</w:t>
            </w:r>
          </w:p>
          <w:p w14:paraId="3C5003B9" w14:textId="77777777" w:rsidR="00D8671C" w:rsidRPr="00D8671C" w:rsidRDefault="00D8671C" w:rsidP="00D8671C">
            <w:pPr>
              <w:rPr>
                <w:sz w:val="24"/>
                <w:szCs w:val="24"/>
              </w:rPr>
            </w:pPr>
          </w:p>
          <w:p w14:paraId="0F4E7D9A" w14:textId="77777777" w:rsidR="00D8671C" w:rsidRDefault="00D8671C" w:rsidP="00D8671C">
            <w:pPr>
              <w:rPr>
                <w:sz w:val="24"/>
                <w:szCs w:val="24"/>
              </w:rPr>
            </w:pPr>
            <w:r w:rsidRPr="00D8671C">
              <w:rPr>
                <w:sz w:val="24"/>
                <w:szCs w:val="24"/>
              </w:rPr>
              <w:t xml:space="preserve">A multi-agency strategy discussion was considered necessary to analyse the nature and level of risk, consider potential indicators of exploitation, review the suitability of his current placement and agree actions to safeguard his welfare. This approach was consistent with the </w:t>
            </w:r>
            <w:r w:rsidRPr="00D8671C">
              <w:rPr>
                <w:i/>
                <w:iCs/>
                <w:sz w:val="24"/>
                <w:szCs w:val="24"/>
              </w:rPr>
              <w:t>Wales Safeguarding Procedures</w:t>
            </w:r>
            <w:r w:rsidRPr="00D8671C">
              <w:rPr>
                <w:sz w:val="24"/>
                <w:szCs w:val="24"/>
              </w:rPr>
              <w:t xml:space="preserve">, which promote collaborative working, effective information sharing and proactive intervention where a child may be at risk of significant harm (Welsh Government, 2019). The strategy discussion also provided an opportunity to explore the factors contributing to 3's absconding behaviour and identify protective measures to reduce future risk, ensuring his welfare and best interests remained central to all decision-making, in line with the principles of the </w:t>
            </w:r>
            <w:r w:rsidRPr="00D8671C">
              <w:rPr>
                <w:i/>
                <w:iCs/>
                <w:sz w:val="24"/>
                <w:szCs w:val="24"/>
              </w:rPr>
              <w:t>United Nations Convention on the Rights of the Child</w:t>
            </w:r>
            <w:r w:rsidRPr="00D8671C">
              <w:rPr>
                <w:sz w:val="24"/>
                <w:szCs w:val="24"/>
              </w:rPr>
              <w:t xml:space="preserve"> (United Nations, 1989).</w:t>
            </w:r>
          </w:p>
          <w:p w14:paraId="1B181AEA" w14:textId="77777777" w:rsidR="00D8671C" w:rsidRPr="00D8671C" w:rsidRDefault="00D8671C" w:rsidP="00D8671C">
            <w:pPr>
              <w:rPr>
                <w:sz w:val="24"/>
                <w:szCs w:val="24"/>
              </w:rPr>
            </w:pPr>
          </w:p>
          <w:p w14:paraId="51353CC9" w14:textId="77777777" w:rsidR="00D8671C" w:rsidRDefault="00D8671C" w:rsidP="00D8671C">
            <w:pPr>
              <w:rPr>
                <w:sz w:val="24"/>
                <w:szCs w:val="24"/>
              </w:rPr>
            </w:pPr>
            <w:r w:rsidRPr="00D8671C">
              <w:rPr>
                <w:sz w:val="24"/>
                <w:szCs w:val="24"/>
              </w:rPr>
              <w:t xml:space="preserve">The Missing Strategy Discussion was attended by myself as 3's social worker, my team manager, representatives from health and the police, and was chaired by Children's Services within the local authority where 3 resided. The purpose of the meeting was to facilitate information sharing, assess the level of risk and determine whether further safeguarding action was required in line with the </w:t>
            </w:r>
            <w:r w:rsidRPr="00D8671C">
              <w:rPr>
                <w:i/>
                <w:iCs/>
                <w:sz w:val="24"/>
                <w:szCs w:val="24"/>
              </w:rPr>
              <w:t>Wales Safeguarding Procedures</w:t>
            </w:r>
            <w:r w:rsidRPr="00D8671C">
              <w:rPr>
                <w:sz w:val="24"/>
                <w:szCs w:val="24"/>
              </w:rPr>
              <w:t xml:space="preserve"> (Welsh Government, 2019). During the discussion, there was a difference of professional opinion regarding the most appropriate course of action. Representatives from health and the police considered that the threshold for a Section 47 enquiry had been met due to the frequency of 3's missing episodes and the associated safeguarding concerns. A Section 47 enquiry is a statutory investigation undertaken where there is reasonable cause to suspect that a child is suffering, or is likely to suffer, significant harm (</w:t>
            </w:r>
            <w:r w:rsidRPr="00D8671C">
              <w:rPr>
                <w:i/>
                <w:iCs/>
                <w:sz w:val="24"/>
                <w:szCs w:val="24"/>
              </w:rPr>
              <w:t>Children Act 1989</w:t>
            </w:r>
            <w:r w:rsidRPr="00D8671C">
              <w:rPr>
                <w:sz w:val="24"/>
                <w:szCs w:val="24"/>
              </w:rPr>
              <w:t xml:space="preserve">). </w:t>
            </w:r>
          </w:p>
          <w:p w14:paraId="0979672E" w14:textId="77777777" w:rsidR="00D8671C" w:rsidRPr="00D8671C" w:rsidRDefault="00D8671C" w:rsidP="00D8671C">
            <w:pPr>
              <w:rPr>
                <w:sz w:val="24"/>
                <w:szCs w:val="24"/>
              </w:rPr>
            </w:pPr>
          </w:p>
          <w:p w14:paraId="0269BB92" w14:textId="77777777" w:rsidR="00D8671C" w:rsidRPr="00D8671C" w:rsidRDefault="00D8671C" w:rsidP="00D8671C">
            <w:pPr>
              <w:rPr>
                <w:sz w:val="24"/>
                <w:szCs w:val="24"/>
              </w:rPr>
            </w:pPr>
            <w:r w:rsidRPr="00D8671C">
              <w:rPr>
                <w:sz w:val="24"/>
                <w:szCs w:val="24"/>
              </w:rPr>
              <w:t xml:space="preserve">My analysis of the available information however, suggested that the concerns did not indicate new evidence of significant harm requiring a Section 47 enquiry. Rather, the risks had already been identified through previous </w:t>
            </w:r>
            <w:proofErr w:type="gramStart"/>
            <w:r w:rsidRPr="00D8671C">
              <w:rPr>
                <w:sz w:val="24"/>
                <w:szCs w:val="24"/>
              </w:rPr>
              <w:t>assessments</w:t>
            </w:r>
            <w:proofErr w:type="gramEnd"/>
            <w:r w:rsidRPr="00D8671C">
              <w:rPr>
                <w:sz w:val="24"/>
                <w:szCs w:val="24"/>
              </w:rPr>
              <w:t xml:space="preserve"> and a safeguarding plan was already in place. Therefore, I concluded an urgent placement move would be a more proportionate intervention rather than initiating additional statutory processes.</w:t>
            </w:r>
          </w:p>
          <w:p w14:paraId="2D4D8DA2" w14:textId="77777777" w:rsidR="00D8671C" w:rsidRDefault="00D8671C" w:rsidP="00D8671C">
            <w:pPr>
              <w:rPr>
                <w:sz w:val="24"/>
                <w:szCs w:val="24"/>
              </w:rPr>
            </w:pPr>
            <w:r w:rsidRPr="00D8671C">
              <w:rPr>
                <w:sz w:val="24"/>
                <w:szCs w:val="24"/>
              </w:rPr>
              <w:t>My manager, the chair and I concluded the threshold had not been met at that stage. This did course some conflict within the discussion.</w:t>
            </w:r>
          </w:p>
          <w:p w14:paraId="09DB0037" w14:textId="77777777" w:rsidR="00D8671C" w:rsidRPr="00D8671C" w:rsidRDefault="00D8671C" w:rsidP="00D8671C">
            <w:pPr>
              <w:rPr>
                <w:sz w:val="24"/>
                <w:szCs w:val="24"/>
              </w:rPr>
            </w:pPr>
          </w:p>
          <w:p w14:paraId="133F3F2C" w14:textId="77777777" w:rsidR="00D8671C" w:rsidRDefault="00D8671C" w:rsidP="00D8671C">
            <w:pPr>
              <w:rPr>
                <w:sz w:val="24"/>
                <w:szCs w:val="24"/>
              </w:rPr>
            </w:pPr>
            <w:r w:rsidRPr="00D8671C">
              <w:rPr>
                <w:sz w:val="24"/>
                <w:szCs w:val="24"/>
              </w:rPr>
              <w:t xml:space="preserve">Reflecting on this discussion, I recognised the importance of professional judgement and constructive challenge within multi-agency practice. The National Occupational Standards for Social Work require practitioners to exercise professional judgement in complex situations and make proportionate decisions based on the available evidence (Social Care Wales, 2022). Reflecting on the differing professional opinions within the strategy discussion </w:t>
            </w:r>
            <w:r w:rsidRPr="00D8671C">
              <w:rPr>
                <w:sz w:val="24"/>
                <w:szCs w:val="24"/>
              </w:rPr>
              <w:lastRenderedPageBreak/>
              <w:t>reinforced the importance of critically analysing risk, considering alternative perspectives and clearly evidencing the rationale for decisions.</w:t>
            </w:r>
          </w:p>
          <w:p w14:paraId="444A382B" w14:textId="77777777" w:rsidR="00D8671C" w:rsidRPr="00D8671C" w:rsidRDefault="00D8671C" w:rsidP="00D8671C">
            <w:pPr>
              <w:rPr>
                <w:sz w:val="24"/>
                <w:szCs w:val="24"/>
              </w:rPr>
            </w:pPr>
          </w:p>
          <w:p w14:paraId="7C6731C1" w14:textId="77777777" w:rsidR="00D8671C" w:rsidRDefault="00D8671C" w:rsidP="00D8671C">
            <w:pPr>
              <w:rPr>
                <w:sz w:val="24"/>
                <w:szCs w:val="24"/>
              </w:rPr>
            </w:pPr>
            <w:r w:rsidRPr="00D8671C">
              <w:rPr>
                <w:sz w:val="24"/>
                <w:szCs w:val="24"/>
              </w:rPr>
              <w:t>Ecological Systems Theory (Bronfenbrenner, 1979) further supports the importance of multi-agency working, as children's experiences are shaped by multiple interacting systems. Consequently, it was essential decisions regarding 3's welfare incorporated perspectives from health, police, social care and placement providers to ensure a comprehensive understanding of risk and protective factors.</w:t>
            </w:r>
          </w:p>
          <w:p w14:paraId="020B7E95" w14:textId="77777777" w:rsidR="00D8671C" w:rsidRPr="00D8671C" w:rsidRDefault="00D8671C" w:rsidP="00D8671C">
            <w:pPr>
              <w:rPr>
                <w:sz w:val="24"/>
                <w:szCs w:val="24"/>
              </w:rPr>
            </w:pPr>
          </w:p>
          <w:p w14:paraId="1DECB0DA" w14:textId="77777777" w:rsidR="00D8671C" w:rsidRDefault="00D8671C" w:rsidP="00D8671C">
            <w:pPr>
              <w:rPr>
                <w:sz w:val="24"/>
                <w:szCs w:val="24"/>
              </w:rPr>
            </w:pPr>
            <w:r w:rsidRPr="00D8671C">
              <w:rPr>
                <w:sz w:val="24"/>
                <w:szCs w:val="24"/>
              </w:rPr>
              <w:t xml:space="preserve"> Whilst 3's absconding episodes presented a clear safeguarding </w:t>
            </w:r>
            <w:proofErr w:type="gramStart"/>
            <w:r w:rsidRPr="00D8671C">
              <w:rPr>
                <w:sz w:val="24"/>
                <w:szCs w:val="24"/>
              </w:rPr>
              <w:t>concern,</w:t>
            </w:r>
            <w:proofErr w:type="gramEnd"/>
            <w:r w:rsidRPr="00D8671C">
              <w:rPr>
                <w:sz w:val="24"/>
                <w:szCs w:val="24"/>
              </w:rPr>
              <w:t xml:space="preserve"> the risks had already been identified and were being actively addressed through care planning and risk management processes. Placement stability meetings had already taken place prior to the MARF being received.  The local authority had concluded 3’s foster placement was no longer able to meet his needs effectively due to his escalating behaviours and associated risks. As a result, a placement search had already been initiated and a placement was identified. During the strategy discussion, it was agreed that this should be escalated to an urgent placement move to an identified suitable placement capable of meeting his needs and managing the risks he presented followed.</w:t>
            </w:r>
          </w:p>
          <w:p w14:paraId="446EF3E9" w14:textId="77777777" w:rsidR="00D8671C" w:rsidRPr="00D8671C" w:rsidRDefault="00D8671C" w:rsidP="00D8671C">
            <w:pPr>
              <w:rPr>
                <w:sz w:val="24"/>
                <w:szCs w:val="24"/>
              </w:rPr>
            </w:pPr>
          </w:p>
          <w:p w14:paraId="1C4958DD" w14:textId="77777777" w:rsidR="00D8671C" w:rsidRDefault="00D8671C" w:rsidP="00D8671C">
            <w:pPr>
              <w:rPr>
                <w:sz w:val="24"/>
                <w:szCs w:val="24"/>
              </w:rPr>
            </w:pPr>
            <w:r w:rsidRPr="00D8671C">
              <w:rPr>
                <w:sz w:val="24"/>
                <w:szCs w:val="24"/>
              </w:rPr>
              <w:t xml:space="preserve">In reaching this decision, professionals considered the principles of proportionality and necessity within safeguarding practice. The </w:t>
            </w:r>
            <w:r w:rsidRPr="00D8671C">
              <w:rPr>
                <w:i/>
                <w:iCs/>
                <w:sz w:val="24"/>
                <w:szCs w:val="24"/>
              </w:rPr>
              <w:t>Social Services and Well-being (Wales) Act 2014</w:t>
            </w:r>
            <w:r w:rsidRPr="00D8671C">
              <w:rPr>
                <w:sz w:val="24"/>
                <w:szCs w:val="24"/>
              </w:rPr>
              <w:t xml:space="preserve"> emphasises the importance of promoting the wellbeing of children through timely and proportionate intervention, whilst the </w:t>
            </w:r>
            <w:r w:rsidRPr="00D8671C">
              <w:rPr>
                <w:i/>
                <w:iCs/>
                <w:sz w:val="24"/>
                <w:szCs w:val="24"/>
              </w:rPr>
              <w:t>Safeguarding Children Who Go Missing from Home or Care: Practice Guide</w:t>
            </w:r>
            <w:r w:rsidRPr="00D8671C">
              <w:rPr>
                <w:sz w:val="24"/>
                <w:szCs w:val="24"/>
              </w:rPr>
              <w:t xml:space="preserve"> highlights the need for coordinated responses to reduce risk and safeguard vulnerable children (Safeguarding Wales, 2021). It was therefore felt that a Section 47 enquiry was unlikely to provide additional information or interventions beyond those already identified through existing assessments and planning.</w:t>
            </w:r>
          </w:p>
          <w:p w14:paraId="066E2AB2" w14:textId="77777777" w:rsidR="00D8671C" w:rsidRPr="00D8671C" w:rsidRDefault="00D8671C" w:rsidP="00D8671C">
            <w:pPr>
              <w:rPr>
                <w:sz w:val="24"/>
                <w:szCs w:val="24"/>
              </w:rPr>
            </w:pPr>
          </w:p>
          <w:p w14:paraId="44E2DC91" w14:textId="77777777" w:rsidR="00D8671C" w:rsidRDefault="00D8671C" w:rsidP="00D8671C">
            <w:pPr>
              <w:rPr>
                <w:sz w:val="24"/>
                <w:szCs w:val="24"/>
              </w:rPr>
            </w:pPr>
            <w:r w:rsidRPr="00D8671C">
              <w:rPr>
                <w:sz w:val="24"/>
                <w:szCs w:val="24"/>
              </w:rPr>
              <w:t>Professionals concluded the most proportionate and effective safeguarding response was to expedite the identified placement move. This decision reflected an analysis of the available evidence, which suggested 3's presenting risks were largely associated with the limitations of his current placement in managing his escalating behaviours and safeguarding needs. Consequently, a move to a placement specifically equipped to provide a higher level of support was considered more likely to reduce risk and promote stability than further investigative intervention. This demonstrates the importance of ensuring that safeguarding responses are purposeful and outcome-focused rather than solely procedural.</w:t>
            </w:r>
          </w:p>
          <w:p w14:paraId="057AAF46" w14:textId="77777777" w:rsidR="00D8671C" w:rsidRPr="00D8671C" w:rsidRDefault="00D8671C" w:rsidP="00D8671C">
            <w:pPr>
              <w:rPr>
                <w:sz w:val="24"/>
                <w:szCs w:val="24"/>
              </w:rPr>
            </w:pPr>
          </w:p>
          <w:p w14:paraId="4E348F0D" w14:textId="77777777" w:rsidR="00D8671C" w:rsidRDefault="00D8671C" w:rsidP="00D8671C">
            <w:pPr>
              <w:rPr>
                <w:sz w:val="24"/>
                <w:szCs w:val="24"/>
              </w:rPr>
            </w:pPr>
            <w:r w:rsidRPr="00D8671C">
              <w:rPr>
                <w:sz w:val="24"/>
                <w:szCs w:val="24"/>
              </w:rPr>
              <w:t>As part of the agreed plan, I was required to undertake a direct work visit with 3 to discuss the proposed move, explain the rationale underpinning the decision, and provide him with an opportunity to express his views and wishes. Reflecting on this task, I recognised the potential tension between safeguarding responsibilities and promoting participation. Whilst the proposed move had been determined to be in 3's best interests, in line with welfare and risk management considerations, it was essential that his voice remained central to the process. This required careful communication to balance honesty about the decision that had been reached with a commitment to respecting his autonomy and right to be involved in decisions affecting his life.</w:t>
            </w:r>
          </w:p>
          <w:p w14:paraId="57369673" w14:textId="77777777" w:rsidR="00D8671C" w:rsidRPr="00D8671C" w:rsidRDefault="00D8671C" w:rsidP="00D8671C">
            <w:pPr>
              <w:rPr>
                <w:sz w:val="24"/>
                <w:szCs w:val="24"/>
              </w:rPr>
            </w:pPr>
          </w:p>
          <w:p w14:paraId="4EA5FA0D" w14:textId="77777777" w:rsidR="00D8671C" w:rsidRDefault="00D8671C" w:rsidP="00D8671C">
            <w:pPr>
              <w:rPr>
                <w:sz w:val="24"/>
                <w:szCs w:val="24"/>
              </w:rPr>
            </w:pPr>
            <w:r w:rsidRPr="00D8671C">
              <w:rPr>
                <w:sz w:val="24"/>
                <w:szCs w:val="24"/>
              </w:rPr>
              <w:t xml:space="preserve">Informing 3 he would be moving from a placement outside Wales to one within Wales represented a significant transition with potential emotional implications, particularly given the disruption and uncertainty that placement changes can create for children looked after. This prompted me to critically consider how change can be experienced from the young person's perspective and reinforced the importance of relationship-based practice. By adopting a child-centred approach, I sought to ensure that the safeguarding intervention was not only protective in nature but also attentive to 3's emotional wellbeing, identity, and sense of belonging. </w:t>
            </w:r>
          </w:p>
          <w:p w14:paraId="75232426" w14:textId="77777777" w:rsidR="00D8671C" w:rsidRDefault="00D8671C" w:rsidP="00D8671C">
            <w:pPr>
              <w:rPr>
                <w:sz w:val="24"/>
                <w:szCs w:val="24"/>
              </w:rPr>
            </w:pPr>
          </w:p>
          <w:p w14:paraId="5160C089" w14:textId="602EC242" w:rsidR="00D8671C" w:rsidRDefault="00D8671C" w:rsidP="00D8671C">
            <w:pPr>
              <w:rPr>
                <w:sz w:val="24"/>
                <w:szCs w:val="24"/>
              </w:rPr>
            </w:pPr>
            <w:r w:rsidRPr="00D8671C">
              <w:rPr>
                <w:sz w:val="24"/>
                <w:szCs w:val="24"/>
              </w:rPr>
              <w:t>This experience highlighted the complexity of balancing risk, welfare</w:t>
            </w:r>
            <w:r>
              <w:rPr>
                <w:sz w:val="24"/>
                <w:szCs w:val="24"/>
              </w:rPr>
              <w:t xml:space="preserve"> </w:t>
            </w:r>
            <w:r w:rsidRPr="00D8671C">
              <w:rPr>
                <w:sz w:val="24"/>
                <w:szCs w:val="24"/>
              </w:rPr>
              <w:t>and participation within social work decision-making and demonstrated how effective safeguarding requires both analytical judgement and meaningful engagement with the child.</w:t>
            </w:r>
          </w:p>
          <w:p w14:paraId="06CA8AF0" w14:textId="77777777" w:rsidR="001C5D46" w:rsidRPr="00D8671C" w:rsidRDefault="001C5D46" w:rsidP="00D8671C">
            <w:pPr>
              <w:rPr>
                <w:sz w:val="24"/>
                <w:szCs w:val="24"/>
              </w:rPr>
            </w:pPr>
          </w:p>
          <w:p w14:paraId="07C7274F" w14:textId="77777777" w:rsidR="00D8671C" w:rsidRDefault="00D8671C" w:rsidP="00D8671C">
            <w:pPr>
              <w:rPr>
                <w:sz w:val="24"/>
                <w:szCs w:val="24"/>
              </w:rPr>
            </w:pPr>
            <w:r w:rsidRPr="00D8671C">
              <w:rPr>
                <w:sz w:val="24"/>
                <w:szCs w:val="24"/>
              </w:rPr>
              <w:t xml:space="preserve">I recognised the importance of professional judgement and constructive challenge within multi-agency practice. Whilst 3's absconding episodes presented a clear safeguarding </w:t>
            </w:r>
            <w:proofErr w:type="gramStart"/>
            <w:r w:rsidRPr="00D8671C">
              <w:rPr>
                <w:sz w:val="24"/>
                <w:szCs w:val="24"/>
              </w:rPr>
              <w:t>concern,</w:t>
            </w:r>
            <w:proofErr w:type="gramEnd"/>
            <w:r w:rsidRPr="00D8671C">
              <w:rPr>
                <w:sz w:val="24"/>
                <w:szCs w:val="24"/>
              </w:rPr>
              <w:t xml:space="preserve"> the risks had been identified and were being actively addressed through care planning and risk management processes. However, it was equally important to recognise the protective factors that remained in place. 3's foster carers continued to provide a safe and stable home environment and demonstrated a strong commitment to safeguarding his welfare. Measures such as CCTV enabled them to monitor 3's movements, particularly during the night when he was at greater risk of absconding. The carers reported absconding episodes to the police promptly, ensuring that safeguarding procedures could be initiated without delay. In addition, the police responded appropriately to concerns and worked collaboratively with professionals to reduce risk. </w:t>
            </w:r>
          </w:p>
          <w:p w14:paraId="099654CF" w14:textId="77777777" w:rsidR="001C5D46" w:rsidRPr="00D8671C" w:rsidRDefault="001C5D46" w:rsidP="00D8671C">
            <w:pPr>
              <w:rPr>
                <w:sz w:val="24"/>
                <w:szCs w:val="24"/>
              </w:rPr>
            </w:pPr>
          </w:p>
          <w:p w14:paraId="7E3BA583" w14:textId="77777777" w:rsidR="00D8671C" w:rsidRDefault="00D8671C" w:rsidP="00D8671C">
            <w:pPr>
              <w:rPr>
                <w:sz w:val="24"/>
                <w:szCs w:val="24"/>
              </w:rPr>
            </w:pPr>
            <w:r w:rsidRPr="00D8671C">
              <w:rPr>
                <w:sz w:val="24"/>
                <w:szCs w:val="24"/>
              </w:rPr>
              <w:t>Research suggests positive relationships with caregivers, consistent responses from professionals and effective multi-agency collaboration act as protective factors that can reduce vulnerability and promote resilience in children and young people (Daniel et al., 2011). Furthermore, a strengths-based approach encourages practitioners to recognise existing protective factors and build upon them rather than focusing solely on risk (</w:t>
            </w:r>
            <w:proofErr w:type="spellStart"/>
            <w:r w:rsidRPr="00D8671C">
              <w:rPr>
                <w:sz w:val="24"/>
                <w:szCs w:val="24"/>
              </w:rPr>
              <w:t>Saleebey</w:t>
            </w:r>
            <w:proofErr w:type="spellEnd"/>
            <w:r w:rsidRPr="00D8671C">
              <w:rPr>
                <w:sz w:val="24"/>
                <w:szCs w:val="24"/>
              </w:rPr>
              <w:t>, 2013). Nevertheless, whilst the carers were managing immediate risks effectively, reflection highlighted that the placement was no longer able to meet 3's increasing needs in the longer term. Consequently, professionals agreed that an urgent placement move remained necessary to safeguard his welfare and promote positive outcomes.</w:t>
            </w:r>
          </w:p>
          <w:p w14:paraId="2961281F" w14:textId="77777777" w:rsidR="001C5D46" w:rsidRPr="00D8671C" w:rsidRDefault="001C5D46" w:rsidP="00D8671C">
            <w:pPr>
              <w:rPr>
                <w:sz w:val="24"/>
                <w:szCs w:val="24"/>
              </w:rPr>
            </w:pPr>
          </w:p>
          <w:p w14:paraId="51498C0C" w14:textId="77777777" w:rsidR="00D8671C" w:rsidRDefault="00D8671C" w:rsidP="00D8671C">
            <w:pPr>
              <w:rPr>
                <w:sz w:val="24"/>
                <w:szCs w:val="24"/>
              </w:rPr>
            </w:pPr>
            <w:r w:rsidRPr="00D8671C">
              <w:rPr>
                <w:sz w:val="24"/>
                <w:szCs w:val="24"/>
              </w:rPr>
              <w:t>Information gathered from the MARF, foster carers, police and partner agencies highlighted a pattern of increasing absconding episodes and escalating risk-taking behaviour. However, my analysis extended beyond the presenting concerns and considered both risk and protective factors. This analysis led me to conclude that, although immediate safeguarding measures were reducing risk, the placement was no longer able to meet his increasingly complex needs</w:t>
            </w:r>
          </w:p>
          <w:p w14:paraId="15B7E8EB" w14:textId="77777777" w:rsidR="001C5D46" w:rsidRPr="00D8671C" w:rsidRDefault="001C5D46" w:rsidP="00D8671C">
            <w:pPr>
              <w:rPr>
                <w:sz w:val="24"/>
                <w:szCs w:val="24"/>
              </w:rPr>
            </w:pPr>
          </w:p>
          <w:p w14:paraId="0D8E9323" w14:textId="77777777" w:rsidR="00D8671C" w:rsidRDefault="00D8671C" w:rsidP="00D8671C">
            <w:pPr>
              <w:rPr>
                <w:sz w:val="24"/>
                <w:szCs w:val="24"/>
              </w:rPr>
            </w:pPr>
            <w:r w:rsidRPr="00D8671C">
              <w:rPr>
                <w:sz w:val="24"/>
                <w:szCs w:val="24"/>
              </w:rPr>
              <w:t xml:space="preserve">This experience highlighted the complexities of multi-agency working and reinforced my understanding that safeguarding decisions often involve balancing differing professional perspectives against the available evidence. It also demonstrated the importance of clearly </w:t>
            </w:r>
            <w:r w:rsidRPr="00D8671C">
              <w:rPr>
                <w:sz w:val="24"/>
                <w:szCs w:val="24"/>
              </w:rPr>
              <w:lastRenderedPageBreak/>
              <w:t>evidencing the rationale for decision-making and ensuring that interventions remain child-centred and focused on achieving the best possible outcomes for the young person (Welsh Government, 2019; Social Care Wales, 2025).</w:t>
            </w:r>
          </w:p>
          <w:p w14:paraId="053AB248" w14:textId="77777777" w:rsidR="001C5D46" w:rsidRPr="00D8671C" w:rsidRDefault="001C5D46" w:rsidP="00D8671C">
            <w:pPr>
              <w:rPr>
                <w:sz w:val="24"/>
                <w:szCs w:val="24"/>
              </w:rPr>
            </w:pPr>
          </w:p>
          <w:p w14:paraId="31AF52F9" w14:textId="40F81CD8" w:rsidR="00D8671C" w:rsidRDefault="00D8671C" w:rsidP="00D8671C">
            <w:pPr>
              <w:rPr>
                <w:sz w:val="24"/>
                <w:szCs w:val="24"/>
              </w:rPr>
            </w:pPr>
            <w:r w:rsidRPr="00D8671C">
              <w:rPr>
                <w:sz w:val="24"/>
                <w:szCs w:val="24"/>
              </w:rPr>
              <w:t xml:space="preserve">Although the decision to urgently move 3, it was likely to be distressing for him. I considered it to be a proportionate and necessary response to the risks identified. As social workers, there is often a tension between promoting a young person's rights and autonomy and exercising our duty to protect them from harm. In 3's case, his repeated </w:t>
            </w:r>
            <w:r w:rsidR="005F38FB" w:rsidRPr="00D8671C">
              <w:rPr>
                <w:sz w:val="24"/>
                <w:szCs w:val="24"/>
              </w:rPr>
              <w:t>absconding</w:t>
            </w:r>
            <w:r w:rsidRPr="00D8671C">
              <w:rPr>
                <w:sz w:val="24"/>
                <w:szCs w:val="24"/>
              </w:rPr>
              <w:t xml:space="preserve"> episodes, escalating behaviours and the impact these were having on his placement highlighted his current environment was no longer able to meet his needs safely. Whilst 3's views and wishes were central to the decision-making </w:t>
            </w:r>
            <w:proofErr w:type="gramStart"/>
            <w:r w:rsidRPr="00D8671C">
              <w:rPr>
                <w:sz w:val="24"/>
                <w:szCs w:val="24"/>
              </w:rPr>
              <w:t>process,</w:t>
            </w:r>
            <w:proofErr w:type="gramEnd"/>
            <w:r w:rsidRPr="00D8671C">
              <w:rPr>
                <w:sz w:val="24"/>
                <w:szCs w:val="24"/>
              </w:rPr>
              <w:t xml:space="preserve"> safeguarding professionals also had a responsibility to consider his welfare and longer-term outcomes. This reflects Article 3 of the United Nations Convention on the Rights of the Child (UNCRC), which states that the best interests of the child must be a primary consideration in all decisions affecting them, whilst Article 12 emphasises the child's right to express their views and have them taken into account. </w:t>
            </w:r>
          </w:p>
          <w:p w14:paraId="2EB83825" w14:textId="77777777" w:rsidR="001C5D46" w:rsidRPr="00D8671C" w:rsidRDefault="001C5D46" w:rsidP="00D8671C">
            <w:pPr>
              <w:rPr>
                <w:sz w:val="24"/>
                <w:szCs w:val="24"/>
              </w:rPr>
            </w:pPr>
          </w:p>
          <w:p w14:paraId="2E0EE935" w14:textId="77777777" w:rsidR="00D8671C" w:rsidRDefault="00D8671C" w:rsidP="00D8671C">
            <w:pPr>
              <w:rPr>
                <w:sz w:val="24"/>
                <w:szCs w:val="24"/>
              </w:rPr>
            </w:pPr>
            <w:r w:rsidRPr="00D8671C">
              <w:rPr>
                <w:sz w:val="24"/>
                <w:szCs w:val="24"/>
              </w:rPr>
              <w:t>From an anti-oppressive and anti-discriminatory perspective, it was important 3 was not excluded from decisions about his future simply because he was a child looked after. Anti-oppressive practice requires social workers to recognise power imbalances and actively involve children and young people in decisions that affect their lives. Therefore, I recognised the importance of visiting 3 to explain the proposed move, understand his views and ensure his voice remained central to the planning process. However, participation does not mean a young person's wishes will always determine the outcome. Where there are significant safeguarding concerns, practitioners must balance a child's right to participate with their duty to protect them from harm (Social Care Wales, 2025).</w:t>
            </w:r>
          </w:p>
          <w:p w14:paraId="2114239C" w14:textId="77777777" w:rsidR="001C5D46" w:rsidRPr="00D8671C" w:rsidRDefault="001C5D46" w:rsidP="00D8671C">
            <w:pPr>
              <w:rPr>
                <w:sz w:val="24"/>
                <w:szCs w:val="24"/>
              </w:rPr>
            </w:pPr>
          </w:p>
          <w:p w14:paraId="0D156C6D" w14:textId="77777777" w:rsidR="00D8671C" w:rsidRDefault="00D8671C" w:rsidP="00D8671C">
            <w:pPr>
              <w:rPr>
                <w:sz w:val="24"/>
                <w:szCs w:val="24"/>
              </w:rPr>
            </w:pPr>
            <w:r w:rsidRPr="00D8671C">
              <w:rPr>
                <w:sz w:val="24"/>
                <w:szCs w:val="24"/>
              </w:rPr>
              <w:t xml:space="preserve">It is also important to note that the decision was consistent with Article 8 of the European Convention on Human Rights, which protects an individual's right to respect for their private and family life. Whilst a placement move could be viewed as an interference with this right, Article 8 permits such interference where it is lawful, necessary and proportionate for the protection of health, welfare and the rights of others. In 3's situation, the decision to move him was based on clear evidence that his existing placement was no longer suitable and that an alternative placement was required to better meet his needs and reduce safeguarding risks. </w:t>
            </w:r>
          </w:p>
          <w:p w14:paraId="48FC9DBF" w14:textId="77777777" w:rsidR="001C5D46" w:rsidRPr="00D8671C" w:rsidRDefault="001C5D46" w:rsidP="00D8671C">
            <w:pPr>
              <w:rPr>
                <w:sz w:val="24"/>
                <w:szCs w:val="24"/>
              </w:rPr>
            </w:pPr>
          </w:p>
          <w:p w14:paraId="09ED40BB" w14:textId="77777777" w:rsidR="00D8671C" w:rsidRPr="00D8671C" w:rsidRDefault="00D8671C" w:rsidP="00D8671C">
            <w:pPr>
              <w:rPr>
                <w:sz w:val="24"/>
                <w:szCs w:val="24"/>
              </w:rPr>
            </w:pPr>
            <w:r w:rsidRPr="00D8671C">
              <w:rPr>
                <w:sz w:val="24"/>
                <w:szCs w:val="24"/>
              </w:rPr>
              <w:t xml:space="preserve">Reflecting on this decision, I believe that progressing the placement move as a matter of urgency was proportionate because it balanced 3's rights, wishes and feelings with the responsibility to safeguard him. Whilst he may not have agreed with the move, a rights-based approach required me to ensure he was fully informed, listened to and supported throughout the transition, while also recognising that the overriding consideration remained his safety, wellbeing and best interests. </w:t>
            </w:r>
          </w:p>
          <w:p w14:paraId="6DD90313" w14:textId="77777777" w:rsidR="00D8671C" w:rsidRDefault="00D8671C" w:rsidP="00D8671C">
            <w:pPr>
              <w:rPr>
                <w:sz w:val="24"/>
                <w:szCs w:val="24"/>
              </w:rPr>
            </w:pPr>
            <w:r w:rsidRPr="00D8671C">
              <w:rPr>
                <w:sz w:val="24"/>
                <w:szCs w:val="24"/>
              </w:rPr>
              <w:t xml:space="preserve">I recognised that this decision potentially created a conflict between 3's right to participate in decisions affecting his life and his right to respect for his private and family life, as protected under Article 8 of the European Convention on Human Rights (ECHR). 3 had established relationships within his local community, including friendships, education and professional </w:t>
            </w:r>
            <w:r w:rsidRPr="00D8671C">
              <w:rPr>
                <w:sz w:val="24"/>
                <w:szCs w:val="24"/>
              </w:rPr>
              <w:lastRenderedPageBreak/>
              <w:t>networks, and he may not have wished to leave these connections behind. Therefore, the proposed move had the potential to be experienced as another significant loss of control within a life already characterised by decisions being made by others.</w:t>
            </w:r>
          </w:p>
          <w:p w14:paraId="151FDCEE" w14:textId="77777777" w:rsidR="001C5D46" w:rsidRPr="00D8671C" w:rsidRDefault="001C5D46" w:rsidP="00D8671C">
            <w:pPr>
              <w:rPr>
                <w:sz w:val="24"/>
                <w:szCs w:val="24"/>
              </w:rPr>
            </w:pPr>
          </w:p>
          <w:p w14:paraId="3957D222" w14:textId="77777777" w:rsidR="00D8671C" w:rsidRDefault="00D8671C" w:rsidP="00D8671C">
            <w:pPr>
              <w:rPr>
                <w:sz w:val="24"/>
                <w:szCs w:val="24"/>
              </w:rPr>
            </w:pPr>
            <w:r w:rsidRPr="00D8671C">
              <w:rPr>
                <w:sz w:val="24"/>
                <w:szCs w:val="24"/>
              </w:rPr>
              <w:t>From a rights-based perspective, it was important that 3's wishes and feelings were not only sought but genuinely considered in accordance with Article 12 of the United Nations Convention on the Rights of the Child (UNCRC), which states that children have the right to express their views in matters affecting them (United Nations, 1989). However, Article 3 of the UNCRC also requires that the child's best interests are the primary consideration in decision-making (United Nations, 1989). This created an ethical dilemma whereby respecting 3's preference to remain in his current placement could have conflicted with professionals' responsibility to safeguard him from escalating risks associated with his absconding episodes and the unsuitability of the placement.</w:t>
            </w:r>
          </w:p>
          <w:p w14:paraId="6C3C289C" w14:textId="77777777" w:rsidR="001C5D46" w:rsidRPr="00D8671C" w:rsidRDefault="001C5D46" w:rsidP="00D8671C">
            <w:pPr>
              <w:rPr>
                <w:sz w:val="24"/>
                <w:szCs w:val="24"/>
              </w:rPr>
            </w:pPr>
          </w:p>
          <w:p w14:paraId="79254148" w14:textId="77777777" w:rsidR="00D8671C" w:rsidRDefault="00D8671C" w:rsidP="00D8671C">
            <w:pPr>
              <w:rPr>
                <w:sz w:val="24"/>
                <w:szCs w:val="24"/>
              </w:rPr>
            </w:pPr>
            <w:r w:rsidRPr="00D8671C">
              <w:rPr>
                <w:sz w:val="24"/>
                <w:szCs w:val="24"/>
              </w:rPr>
              <w:t>Reflecting on this decision, I concluded that the proposed move represented a proportionate interference with 3's Article 8 rights because it was lawful, necessary and aimed at protecting his welfare and promoting positive outcomes. Whilst his views may not ultimately have determined the outcome, anti-oppressive practice required that he was treated as an active participant in the process rather than a passive recipient of professional decisions (Dominelli, 2002). Consequently, my role was to ensure that 3 understood the reasons for the move, had opportunities to express his feelings and was supported throughout the transition. I provided 3 with the opportunity to seek clarification on any aspects of the proposed placement move, thereby promoting his understanding and supporting his participation in the decision-making process. Effective communication was central to facilitating 3's participation in discussions regarding the proposed placement move. Miller and Rollnick's motivational interviewing approach emphasises the use of Open-ended questions, Affirmations, Reflections and Summaries (OARS) to develop collaborative conversations and support individuals to explore their own perspectives (Miller and Rollnick, cited in Teater, 2014). By utilising open-ended questions, I sought to create opportunities for 3 to express his views, feelings and concerns about the proposed move in his own words. This approach reflected the participative principles underpinning the Social Services and Well-being (Wales) Act 2014, which emphasises the importance of involving individuals in decisions that affect their lives.</w:t>
            </w:r>
          </w:p>
          <w:p w14:paraId="1AB37EB1" w14:textId="77777777" w:rsidR="001C5D46" w:rsidRPr="00D8671C" w:rsidRDefault="001C5D46" w:rsidP="00D8671C">
            <w:pPr>
              <w:rPr>
                <w:sz w:val="24"/>
                <w:szCs w:val="24"/>
              </w:rPr>
            </w:pPr>
          </w:p>
          <w:p w14:paraId="25466CAE" w14:textId="77777777" w:rsidR="00D8671C" w:rsidRPr="00D8671C" w:rsidRDefault="00D8671C" w:rsidP="00D8671C">
            <w:pPr>
              <w:rPr>
                <w:sz w:val="24"/>
                <w:szCs w:val="24"/>
              </w:rPr>
            </w:pPr>
            <w:r w:rsidRPr="00D8671C">
              <w:rPr>
                <w:sz w:val="24"/>
                <w:szCs w:val="24"/>
              </w:rPr>
              <w:t>Reflecting critically on this interaction, the extent of collaboration was limited by the fact that the decision to progress with the placement move had already been reached through multi-agency discussions. Whilst 3 was given an opportunity to contribute his views and influence how the transition was planned, he was not involved in determining whether the move would occur. This highlights a common tension within statutory social work between promoting participation and exercising professional authority to safeguard children and young people. Although collaborative practice seeks to empower individuals, practitioners must also make decisions that prioritise welfare and safety where risks are significant.</w:t>
            </w:r>
          </w:p>
          <w:p w14:paraId="19C41D10" w14:textId="77777777" w:rsidR="00D8671C" w:rsidRDefault="00D8671C" w:rsidP="00D8671C">
            <w:pPr>
              <w:rPr>
                <w:sz w:val="24"/>
                <w:szCs w:val="24"/>
              </w:rPr>
            </w:pPr>
            <w:r w:rsidRPr="00D8671C">
              <w:rPr>
                <w:sz w:val="24"/>
                <w:szCs w:val="24"/>
              </w:rPr>
              <w:t xml:space="preserve">Relationship-based practice literature suggests that meaningful collaboration is achieved not simply through listening to children and young people but through ensuring their views are genuinely considered within decision-making processes (Lefevre, 2015). Consequently, I sought to ensure that 3 understood the reasons underpinning the move and was </w:t>
            </w:r>
            <w:r w:rsidRPr="00D8671C">
              <w:rPr>
                <w:sz w:val="24"/>
                <w:szCs w:val="24"/>
              </w:rPr>
              <w:lastRenderedPageBreak/>
              <w:t>encouraged to discuss what support he would require during the transition. This shifted the focus from merely informing him of a professional decision towards involving him in planning how the change would be implemented. Reflecting on this experience, I recognised that collaboration exists on a continuum and that, within safeguarding contexts, participation may not always equate to shared decision-making. Nevertheless, creating space for 3's voice to be heard remained essential in promoting his dignity, respecting his rights and strengthening his engagement with the intervention.</w:t>
            </w:r>
          </w:p>
          <w:p w14:paraId="4797E9AE" w14:textId="77777777" w:rsidR="001C5D46" w:rsidRPr="00D8671C" w:rsidRDefault="001C5D46" w:rsidP="00D8671C">
            <w:pPr>
              <w:rPr>
                <w:sz w:val="24"/>
                <w:szCs w:val="24"/>
              </w:rPr>
            </w:pPr>
          </w:p>
          <w:p w14:paraId="139BBE17" w14:textId="77777777" w:rsidR="00D8671C" w:rsidRDefault="00D8671C" w:rsidP="00D8671C">
            <w:pPr>
              <w:rPr>
                <w:sz w:val="24"/>
                <w:szCs w:val="24"/>
              </w:rPr>
            </w:pPr>
            <w:r w:rsidRPr="00D8671C">
              <w:rPr>
                <w:sz w:val="24"/>
                <w:szCs w:val="24"/>
              </w:rPr>
              <w:t>Furthermore, this experience reinforced my understanding that effective collaboration requires practitioners to balance competing priorities, including risk management, statutory responsibilities and the young person's right to participate. Whilst open-ended questioning assisted in gaining insight into 3's experiences and perspectives, I recognised that some prompts may have appeared overly information-gathering in nature. This highlighted the importance of adapting communication styles to ensure discussions remain supportive and relationship-focused rather than inadvertently becoming perceived as interrogative. In future practice, I would place greater emphasis on exploring the young person's priorities and identifying opportunities for them to exercise greater choice and control within the parameters of safeguarding planning.</w:t>
            </w:r>
          </w:p>
          <w:p w14:paraId="7515FE19" w14:textId="77777777" w:rsidR="001C5D46" w:rsidRPr="00D8671C" w:rsidRDefault="001C5D46" w:rsidP="00D8671C">
            <w:pPr>
              <w:rPr>
                <w:sz w:val="24"/>
                <w:szCs w:val="24"/>
              </w:rPr>
            </w:pPr>
          </w:p>
          <w:p w14:paraId="58D83293" w14:textId="77777777" w:rsidR="00D8671C" w:rsidRDefault="00D8671C" w:rsidP="00D8671C">
            <w:pPr>
              <w:rPr>
                <w:sz w:val="24"/>
                <w:szCs w:val="24"/>
              </w:rPr>
            </w:pPr>
            <w:r w:rsidRPr="00D8671C">
              <w:rPr>
                <w:sz w:val="24"/>
                <w:szCs w:val="24"/>
              </w:rPr>
              <w:t>In addition to supporting the discussion itself, the use of open-ended questions was instrumental in understanding 3's wishes and feelings regarding his future. This approach enabled him to express his views about his current placement, the safeguarding concerns identified by professionals and the proposed move to a new placement in Wales. Ensuring that 3 was given opportunities to express these views reflected a rights-based approach to practice and supported his participation in decisions affecting his life. This is consistent with Article 12 of the United Nations Convention on the Rights of the Child, which states that children have the right to express their views freely in matters affecting them and for those views to be given due weight according to their age and maturity (United Nations, 1989). By utilising open-ended communication and creating opportunities for clarification and discussion, I sought to ensure that 3's voice remained central to the assessment and decision-making process.</w:t>
            </w:r>
          </w:p>
          <w:p w14:paraId="162CB77B" w14:textId="77777777" w:rsidR="001C5D46" w:rsidRPr="00D8671C" w:rsidRDefault="001C5D46" w:rsidP="00D8671C">
            <w:pPr>
              <w:rPr>
                <w:sz w:val="24"/>
                <w:szCs w:val="24"/>
              </w:rPr>
            </w:pPr>
          </w:p>
          <w:p w14:paraId="79191069" w14:textId="77777777" w:rsidR="00D8671C" w:rsidRDefault="00D8671C" w:rsidP="00D8671C">
            <w:pPr>
              <w:rPr>
                <w:sz w:val="24"/>
                <w:szCs w:val="24"/>
              </w:rPr>
            </w:pPr>
            <w:r w:rsidRPr="00D8671C">
              <w:rPr>
                <w:sz w:val="24"/>
                <w:szCs w:val="24"/>
              </w:rPr>
              <w:t xml:space="preserve">The information gathered through these discussions contributed to my analysis of the assessment by providing insight into 3's understanding of his circumstances, his perception of risk and his feelings about the proposed move. This enabled me to consider both the objective information available from other professionals and 3's subjective experience, resulting in a more holistic assessment. Collaborative working with 3 was particularly important in ensuring that decisions were not based solely on professional concerns but were informed by his lived experience and individual needs. However, this also highlighted the complexity of professional decision-making within statutory social work, where a balance must be achieved between respecting a young person's wishes and exercising professional judgement to safeguard their welfare. Although 3's views were carefully considered, the assessment indicated that the risks associated with his current placement remained significant. Therefore, the decision to progress with the placement move was informed by an analysis of the available evidence and the need to promote his long-term safety and wellbeing. Reflecting on this process, I recognised that effective decision-making in complex </w:t>
            </w:r>
            <w:r w:rsidRPr="00D8671C">
              <w:rPr>
                <w:sz w:val="24"/>
                <w:szCs w:val="24"/>
              </w:rPr>
              <w:lastRenderedPageBreak/>
              <w:t>situations requires practitioners to critically evaluate information from multiple sources, work collaboratively with young people and justify decisions that are proportionate, evidence-informed and centred on the child's best interests.</w:t>
            </w:r>
          </w:p>
          <w:p w14:paraId="0B120F25" w14:textId="77777777" w:rsidR="001C5D46" w:rsidRPr="00D8671C" w:rsidRDefault="001C5D46" w:rsidP="00D8671C">
            <w:pPr>
              <w:rPr>
                <w:sz w:val="24"/>
                <w:szCs w:val="24"/>
              </w:rPr>
            </w:pPr>
          </w:p>
          <w:p w14:paraId="51977245" w14:textId="77777777" w:rsidR="00D8671C" w:rsidRDefault="00D8671C" w:rsidP="00D8671C">
            <w:pPr>
              <w:rPr>
                <w:sz w:val="24"/>
                <w:szCs w:val="24"/>
              </w:rPr>
            </w:pPr>
            <w:r w:rsidRPr="00D8671C">
              <w:rPr>
                <w:sz w:val="24"/>
                <w:szCs w:val="24"/>
              </w:rPr>
              <w:t xml:space="preserve">Given 3's history as a child looked after and the instability he had experienced through previous placement moves, Attachment Theory provided a useful framework for understanding his perspective. Maclean and Harrison (2011) suggest that children require secure, stable and consistent relationships with caregivers </w:t>
            </w:r>
            <w:proofErr w:type="gramStart"/>
            <w:r w:rsidRPr="00D8671C">
              <w:rPr>
                <w:sz w:val="24"/>
                <w:szCs w:val="24"/>
              </w:rPr>
              <w:t>in order to</w:t>
            </w:r>
            <w:proofErr w:type="gramEnd"/>
            <w:r w:rsidRPr="00D8671C">
              <w:rPr>
                <w:sz w:val="24"/>
                <w:szCs w:val="24"/>
              </w:rPr>
              <w:t xml:space="preserve"> develop healthy attachment patterns, and that disruptions to these relationships can impact an individual's ability to establish and maintain relationships in later life. Therefore, when considering 3's views and emotional responses, it was important to recognise the significance of attachment relationships and the potential impact that further change and uncertainty could have on his wellbeing. This reinforced the importance of balancing safeguarding considerations with sensitivity to the emotional needs of the young person.</w:t>
            </w:r>
          </w:p>
          <w:p w14:paraId="5F421F27" w14:textId="77777777" w:rsidR="001C5D46" w:rsidRPr="00D8671C" w:rsidRDefault="001C5D46" w:rsidP="00D8671C">
            <w:pPr>
              <w:rPr>
                <w:sz w:val="24"/>
                <w:szCs w:val="24"/>
              </w:rPr>
            </w:pPr>
          </w:p>
          <w:p w14:paraId="3A07B116" w14:textId="77777777" w:rsidR="00D8671C" w:rsidRDefault="00D8671C" w:rsidP="00D8671C">
            <w:pPr>
              <w:rPr>
                <w:sz w:val="24"/>
                <w:szCs w:val="24"/>
              </w:rPr>
            </w:pPr>
            <w:r w:rsidRPr="00D8671C">
              <w:rPr>
                <w:sz w:val="24"/>
                <w:szCs w:val="24"/>
              </w:rPr>
              <w:t>It is also important to note that, adopting a strengths-based perspective enabled me to focus not only on the risks associated with 3's behaviour but also on his resilience and capacity to engage with professionals (</w:t>
            </w:r>
            <w:proofErr w:type="spellStart"/>
            <w:r w:rsidRPr="00D8671C">
              <w:rPr>
                <w:sz w:val="24"/>
                <w:szCs w:val="24"/>
              </w:rPr>
              <w:t>Saleebey</w:t>
            </w:r>
            <w:proofErr w:type="spellEnd"/>
            <w:r w:rsidRPr="00D8671C">
              <w:rPr>
                <w:sz w:val="24"/>
                <w:szCs w:val="24"/>
              </w:rPr>
              <w:t>, 2013). Whilst safeguarding concerns required intervention, recognising and building upon 3's strengths supported a more balanced assessment and helped ensure that planning remained focused on achieving positive outcomes rather than solely managing risk.</w:t>
            </w:r>
          </w:p>
          <w:p w14:paraId="73EBC114" w14:textId="77777777" w:rsidR="001C5D46" w:rsidRPr="00D8671C" w:rsidRDefault="001C5D46" w:rsidP="00D8671C">
            <w:pPr>
              <w:rPr>
                <w:sz w:val="24"/>
                <w:szCs w:val="24"/>
              </w:rPr>
            </w:pPr>
          </w:p>
          <w:p w14:paraId="542161AC" w14:textId="77777777" w:rsidR="00D8671C" w:rsidRDefault="00D8671C" w:rsidP="00D8671C">
            <w:pPr>
              <w:rPr>
                <w:sz w:val="24"/>
                <w:szCs w:val="24"/>
              </w:rPr>
            </w:pPr>
            <w:r w:rsidRPr="00D8671C">
              <w:rPr>
                <w:sz w:val="24"/>
                <w:szCs w:val="24"/>
              </w:rPr>
              <w:t>Throughout my involvement with 3, the National Occupational Standards for Social Work provided a framework to guide my assessment, multi-agency working, safeguarding practice and professional decision-making. Reflecting on this case has reinforced the importance of balancing children's rights, participation and wellbeing with statutory safeguarding responsibilities when working with complex and high-risk situations (Social Care Wales, 2022).</w:t>
            </w:r>
          </w:p>
          <w:p w14:paraId="5CD68200" w14:textId="77777777" w:rsidR="001C5D46" w:rsidRPr="00D8671C" w:rsidRDefault="001C5D46" w:rsidP="00D8671C">
            <w:pPr>
              <w:rPr>
                <w:sz w:val="24"/>
                <w:szCs w:val="24"/>
              </w:rPr>
            </w:pPr>
          </w:p>
          <w:p w14:paraId="1FACE4AB" w14:textId="77777777" w:rsidR="00D8671C" w:rsidRPr="00D8671C" w:rsidRDefault="00D8671C" w:rsidP="00D8671C">
            <w:pPr>
              <w:rPr>
                <w:sz w:val="24"/>
                <w:szCs w:val="24"/>
              </w:rPr>
            </w:pPr>
            <w:r w:rsidRPr="00D8671C">
              <w:rPr>
                <w:sz w:val="24"/>
                <w:szCs w:val="24"/>
              </w:rPr>
              <w:t>Applying Gibbs' Reflective Cycle (1988), this experience provided an opportunity to critically evaluate my practice and identify areas for professional development. During the experience, I recognised that, as a relatively inexperienced social worker, managing complex safeguarding concerns initially affected my confidence. This was particularly evident when balancing risk assessment, professional judgement and multi-agency decision-making. Given that specialist safeguarding teams often lead on safeguarding investigations, opportunities to gain direct experience in this area can be limited. Consequently, I was conscious of my developing knowledge and skills and frequently reflected on whether alternative approaches may have enhanced my practice.</w:t>
            </w:r>
          </w:p>
          <w:p w14:paraId="46CD3E26" w14:textId="77777777" w:rsidR="00D8671C" w:rsidRDefault="00D8671C" w:rsidP="00D8671C">
            <w:pPr>
              <w:rPr>
                <w:sz w:val="24"/>
                <w:szCs w:val="24"/>
              </w:rPr>
            </w:pPr>
            <w:r w:rsidRPr="00D8671C">
              <w:rPr>
                <w:sz w:val="24"/>
                <w:szCs w:val="24"/>
              </w:rPr>
              <w:t>During the evaluation stage of reflection, I recognised that my communication and relationship-based practice skills were effective in engaging 3 and ensuring that his views and wishes remained central to the process. However, analysing the experience highlighted the importance of continuing to develop my confidence and knowledge in safeguarding practice. Gibbs (1988) suggests that reflection should lead to learning and inform future actions. In line with the National Occupational Standards for Social Work, practitioners have a responsibility to continually develop their professional knowledge and skills to ensure safe and effective practice (Social Care Wales, 2022).</w:t>
            </w:r>
          </w:p>
          <w:p w14:paraId="1C33DA13" w14:textId="77777777" w:rsidR="001C5D46" w:rsidRPr="00D8671C" w:rsidRDefault="001C5D46" w:rsidP="00D8671C">
            <w:pPr>
              <w:rPr>
                <w:sz w:val="24"/>
                <w:szCs w:val="24"/>
              </w:rPr>
            </w:pPr>
          </w:p>
          <w:p w14:paraId="4AD62354" w14:textId="77777777" w:rsidR="00D8671C" w:rsidRDefault="00D8671C" w:rsidP="00D8671C">
            <w:pPr>
              <w:rPr>
                <w:sz w:val="24"/>
                <w:szCs w:val="24"/>
              </w:rPr>
            </w:pPr>
            <w:r w:rsidRPr="00D8671C">
              <w:rPr>
                <w:sz w:val="24"/>
                <w:szCs w:val="24"/>
              </w:rPr>
              <w:t>As part of my action plan, I intend to continue learning from experienced colleagues through supervision, peer reflection and opportunities for multi-agency working. My team's monthly reflective practice sessions provide a valuable forum for discussing complex cases, exploring alternative perspectives and strengthening professional judgement. In addition, safeguarding forums, practice reviews and learning resources published by safeguarding partnerships will support my ongoing professional development.</w:t>
            </w:r>
          </w:p>
          <w:p w14:paraId="42E8AC89" w14:textId="77777777" w:rsidR="005F38FB" w:rsidRPr="00D8671C" w:rsidRDefault="005F38FB" w:rsidP="00D8671C">
            <w:pPr>
              <w:rPr>
                <w:sz w:val="24"/>
                <w:szCs w:val="24"/>
              </w:rPr>
            </w:pPr>
          </w:p>
          <w:p w14:paraId="14161A18" w14:textId="77777777" w:rsidR="00D8671C" w:rsidRPr="001C5D46" w:rsidRDefault="00D8671C" w:rsidP="00D8671C">
            <w:pPr>
              <w:rPr>
                <w:sz w:val="24"/>
                <w:szCs w:val="24"/>
              </w:rPr>
            </w:pPr>
            <w:r w:rsidRPr="00D8671C">
              <w:rPr>
                <w:sz w:val="24"/>
                <w:szCs w:val="24"/>
              </w:rPr>
              <w:t>A particularly valuable resource has been the Wales Safeguarding Procedures App. Although the application is not a new resource, as an inexperienced social worker working with complex safeguarding concerns, it has proved invaluable in supporting my practice. The app provides accessible procedural guidance and practice resources, enabling practitioners to access key safeguarding information quickly and consistently. Reflecting on this case, its use helped increase my understanding of safeguarding processes and improved my confidence when applying procedural guidance to practice. Moving forward, I will continue to utilise the app alongside supervision, training and reflective learning opportunities</w:t>
            </w:r>
            <w:r w:rsidRPr="00511EFB">
              <w:t xml:space="preserve"> </w:t>
            </w:r>
            <w:r w:rsidRPr="001C5D46">
              <w:rPr>
                <w:sz w:val="24"/>
                <w:szCs w:val="24"/>
              </w:rPr>
              <w:t>to strengthen my safeguarding knowledge and support my continuing professional development.</w:t>
            </w:r>
          </w:p>
          <w:p w14:paraId="12DC2F24" w14:textId="24094196" w:rsidR="00D3203C" w:rsidRDefault="00D3203C" w:rsidP="00FF7EBB">
            <w:pPr>
              <w:jc w:val="both"/>
              <w:rPr>
                <w:iCs/>
                <w:sz w:val="24"/>
                <w:szCs w:val="24"/>
              </w:rPr>
            </w:pPr>
          </w:p>
          <w:p w14:paraId="4F0C78D1" w14:textId="327F3C7D" w:rsidR="00D8671C" w:rsidRPr="00D8671C" w:rsidRDefault="00D8671C" w:rsidP="00FF7EBB">
            <w:pPr>
              <w:jc w:val="both"/>
              <w:rPr>
                <w:b/>
                <w:bCs/>
                <w:iCs/>
                <w:sz w:val="24"/>
                <w:szCs w:val="24"/>
              </w:rPr>
            </w:pPr>
            <w:r w:rsidRPr="00D8671C">
              <w:rPr>
                <w:b/>
                <w:bCs/>
                <w:iCs/>
                <w:sz w:val="24"/>
                <w:szCs w:val="24"/>
              </w:rPr>
              <w:t>Words: 4400</w:t>
            </w: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09013C" w14:textId="77777777" w:rsidR="0009423A" w:rsidRDefault="0009423A">
      <w:r>
        <w:separator/>
      </w:r>
    </w:p>
  </w:endnote>
  <w:endnote w:type="continuationSeparator" w:id="0">
    <w:p w14:paraId="1815ADB3" w14:textId="77777777" w:rsidR="0009423A" w:rsidRDefault="000942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10B133" w14:textId="77777777" w:rsidR="0009423A" w:rsidRDefault="0009423A">
      <w:r>
        <w:separator/>
      </w:r>
    </w:p>
  </w:footnote>
  <w:footnote w:type="continuationSeparator" w:id="0">
    <w:p w14:paraId="5EF68E32" w14:textId="77777777" w:rsidR="0009423A" w:rsidRDefault="000942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23A"/>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C5D46"/>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522D"/>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235E"/>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0DB1"/>
    <w:rsid w:val="005B271A"/>
    <w:rsid w:val="005B3A2D"/>
    <w:rsid w:val="005C1567"/>
    <w:rsid w:val="005C28D3"/>
    <w:rsid w:val="005C6CE5"/>
    <w:rsid w:val="005D3F07"/>
    <w:rsid w:val="005D4A1E"/>
    <w:rsid w:val="005D4F72"/>
    <w:rsid w:val="005E13EA"/>
    <w:rsid w:val="005E17F1"/>
    <w:rsid w:val="005F38FB"/>
    <w:rsid w:val="005F64AA"/>
    <w:rsid w:val="005F7851"/>
    <w:rsid w:val="006064E9"/>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035E"/>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06DE"/>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4371"/>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671C"/>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002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1327"/>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74B"/>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31%370%30%3077@%73t%75%64ent%2e%75w%74%73%64%2e%61%63%2eu%6b"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c01d9ee1-0eb0-4754-99ae-03ae8a732b50}" enabled="0" method="" siteId="{c01d9ee1-0eb0-4754-99ae-03ae8a732b50}" removed="1"/>
</clbl:labelList>
</file>

<file path=docProps/app.xml><?xml version="1.0" encoding="utf-8"?>
<Properties xmlns="http://schemas.openxmlformats.org/officeDocument/2006/extended-properties" xmlns:vt="http://schemas.openxmlformats.org/officeDocument/2006/docPropsVTypes">
  <Template>Normal</Template>
  <TotalTime>5</TotalTime>
  <Pages>11</Pages>
  <Words>4892</Words>
  <Characters>27887</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32714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Charlene Murdoch</cp:lastModifiedBy>
  <cp:revision>7</cp:revision>
  <cp:lastPrinted>2020-02-11T19:20:00Z</cp:lastPrinted>
  <dcterms:created xsi:type="dcterms:W3CDTF">2026-07-26T11:48:00Z</dcterms:created>
  <dcterms:modified xsi:type="dcterms:W3CDTF">2026-10-06T19:40:00Z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