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51870733"/>
        <w:docPartObj>
          <w:docPartGallery w:val="Cover Pages"/>
          <w:docPartUnique/>
        </w:docPartObj>
      </w:sdtPr>
      <w:sdtContent>
        <w:p w14:paraId="38866299" w14:textId="416A56B1" w:rsidR="00614901" w:rsidRDefault="00614901">
          <w:r>
            <w:rPr>
              <w:noProof/>
            </w:rPr>
            <mc:AlternateContent>
              <mc:Choice Requires="wpg">
                <w:drawing>
                  <wp:anchor distT="0" distB="0" distL="114300" distR="114300" simplePos="0" relativeHeight="251662336" behindDoc="0" locked="0" layoutInCell="1" allowOverlap="1" wp14:anchorId="16816159" wp14:editId="7C805E0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F76E6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3A45CC7" wp14:editId="3388328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78D3A6B" w14:textId="543C479F" w:rsidR="00614901" w:rsidRDefault="00614901">
                                    <w:pPr>
                                      <w:pStyle w:val="NoSpacing"/>
                                      <w:jc w:val="right"/>
                                      <w:rPr>
                                        <w:color w:val="595959" w:themeColor="text1" w:themeTint="A6"/>
                                        <w:sz w:val="28"/>
                                        <w:szCs w:val="28"/>
                                      </w:rPr>
                                    </w:pPr>
                                    <w:r>
                                      <w:rPr>
                                        <w:color w:val="595959" w:themeColor="text1" w:themeTint="A6"/>
                                        <w:sz w:val="28"/>
                                        <w:szCs w:val="28"/>
                                      </w:rPr>
                                      <w:t>James Cawte (2313853)</w:t>
                                    </w:r>
                                  </w:p>
                                </w:sdtContent>
                              </w:sdt>
                              <w:p w14:paraId="4006E307" w14:textId="5F79104C" w:rsidR="00614901" w:rsidRDefault="006149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B75B7">
                                      <w:rPr>
                                        <w:color w:val="595959" w:themeColor="text1" w:themeTint="A6"/>
                                        <w:sz w:val="18"/>
                                        <w:szCs w:val="18"/>
                                      </w:rPr>
                                      <w:t>2313853@student.uwtsd.ac.uk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3A45CC7"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78D3A6B" w14:textId="543C479F" w:rsidR="00614901" w:rsidRDefault="00614901">
                              <w:pPr>
                                <w:pStyle w:val="NoSpacing"/>
                                <w:jc w:val="right"/>
                                <w:rPr>
                                  <w:color w:val="595959" w:themeColor="text1" w:themeTint="A6"/>
                                  <w:sz w:val="28"/>
                                  <w:szCs w:val="28"/>
                                </w:rPr>
                              </w:pPr>
                              <w:r>
                                <w:rPr>
                                  <w:color w:val="595959" w:themeColor="text1" w:themeTint="A6"/>
                                  <w:sz w:val="28"/>
                                  <w:szCs w:val="28"/>
                                </w:rPr>
                                <w:t>James Cawte (2313853)</w:t>
                              </w:r>
                            </w:p>
                          </w:sdtContent>
                        </w:sdt>
                        <w:p w14:paraId="4006E307" w14:textId="5F79104C" w:rsidR="00614901" w:rsidRDefault="006149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B75B7">
                                <w:rPr>
                                  <w:color w:val="595959" w:themeColor="text1" w:themeTint="A6"/>
                                  <w:sz w:val="18"/>
                                  <w:szCs w:val="18"/>
                                </w:rPr>
                                <w:t>2313853@student.uwtsd.ac.uk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FA48BA4" wp14:editId="278C97F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F07B95" w14:textId="1876344A" w:rsidR="00614901" w:rsidRDefault="0061490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011F0">
                                      <w:rPr>
                                        <w:caps/>
                                        <w:color w:val="156082" w:themeColor="accent1"/>
                                        <w:sz w:val="64"/>
                                        <w:szCs w:val="64"/>
                                      </w:rPr>
                                      <w:t xml:space="preserve">Nuclear Safety </w:t>
                                    </w:r>
                                    <w:r>
                                      <w:rPr>
                                        <w:caps/>
                                        <w:color w:val="156082" w:themeColor="accent1"/>
                                        <w:sz w:val="64"/>
                                        <w:szCs w:val="64"/>
                                      </w:rPr>
                                      <w:t>Assignment B</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6C1A991" w14:textId="0A596695" w:rsidR="00614901" w:rsidRDefault="00614901">
                                    <w:pPr>
                                      <w:jc w:val="right"/>
                                      <w:rPr>
                                        <w:smallCaps/>
                                        <w:color w:val="404040" w:themeColor="text1" w:themeTint="BF"/>
                                        <w:sz w:val="36"/>
                                        <w:szCs w:val="36"/>
                                      </w:rPr>
                                    </w:pPr>
                                    <w:r>
                                      <w:rPr>
                                        <w:color w:val="404040" w:themeColor="text1" w:themeTint="BF"/>
                                        <w:sz w:val="36"/>
                                        <w:szCs w:val="36"/>
                                      </w:rPr>
                                      <w:t>James Cawte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A48BA4"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AF07B95" w14:textId="1876344A" w:rsidR="00614901" w:rsidRDefault="0061490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011F0">
                                <w:rPr>
                                  <w:caps/>
                                  <w:color w:val="156082" w:themeColor="accent1"/>
                                  <w:sz w:val="64"/>
                                  <w:szCs w:val="64"/>
                                </w:rPr>
                                <w:t xml:space="preserve">Nuclear Safety </w:t>
                              </w:r>
                              <w:r>
                                <w:rPr>
                                  <w:caps/>
                                  <w:color w:val="156082" w:themeColor="accent1"/>
                                  <w:sz w:val="64"/>
                                  <w:szCs w:val="64"/>
                                </w:rPr>
                                <w:t>Assignment B</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6C1A991" w14:textId="0A596695" w:rsidR="00614901" w:rsidRDefault="00614901">
                              <w:pPr>
                                <w:jc w:val="right"/>
                                <w:rPr>
                                  <w:smallCaps/>
                                  <w:color w:val="404040" w:themeColor="text1" w:themeTint="BF"/>
                                  <w:sz w:val="36"/>
                                  <w:szCs w:val="36"/>
                                </w:rPr>
                              </w:pPr>
                              <w:r>
                                <w:rPr>
                                  <w:color w:val="404040" w:themeColor="text1" w:themeTint="BF"/>
                                  <w:sz w:val="36"/>
                                  <w:szCs w:val="36"/>
                                </w:rPr>
                                <w:t>James Cawte</w:t>
                              </w:r>
                            </w:p>
                          </w:sdtContent>
                        </w:sdt>
                      </w:txbxContent>
                    </v:textbox>
                    <w10:wrap type="square" anchorx="page" anchory="page"/>
                  </v:shape>
                </w:pict>
              </mc:Fallback>
            </mc:AlternateContent>
          </w:r>
        </w:p>
        <w:p w14:paraId="3354999D" w14:textId="291574A0" w:rsidR="00614901" w:rsidRDefault="00614901">
          <w:r>
            <w:br w:type="page"/>
          </w:r>
        </w:p>
      </w:sdtContent>
    </w:sdt>
    <w:sdt>
      <w:sdtPr>
        <w:id w:val="39031609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058D64C" w14:textId="30175EF0" w:rsidR="00614901" w:rsidRDefault="00614901">
          <w:pPr>
            <w:pStyle w:val="TOCHeading"/>
          </w:pPr>
          <w:r>
            <w:t>Contents</w:t>
          </w:r>
        </w:p>
        <w:p w14:paraId="6D77B786" w14:textId="4E718DB3" w:rsidR="001B6384" w:rsidRDefault="006149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9425561" w:history="1">
            <w:r w:rsidR="001B6384" w:rsidRPr="00957FD6">
              <w:rPr>
                <w:rStyle w:val="Hyperlink"/>
                <w:noProof/>
              </w:rPr>
              <w:t>Table of Equations</w:t>
            </w:r>
            <w:r w:rsidR="001B6384">
              <w:rPr>
                <w:noProof/>
                <w:webHidden/>
              </w:rPr>
              <w:tab/>
            </w:r>
            <w:r w:rsidR="001B6384">
              <w:rPr>
                <w:noProof/>
                <w:webHidden/>
              </w:rPr>
              <w:fldChar w:fldCharType="begin"/>
            </w:r>
            <w:r w:rsidR="001B6384">
              <w:rPr>
                <w:noProof/>
                <w:webHidden/>
              </w:rPr>
              <w:instrText xml:space="preserve"> PAGEREF _Toc239425561 \h </w:instrText>
            </w:r>
            <w:r w:rsidR="001B6384">
              <w:rPr>
                <w:noProof/>
                <w:webHidden/>
              </w:rPr>
            </w:r>
            <w:r w:rsidR="001B6384">
              <w:rPr>
                <w:noProof/>
                <w:webHidden/>
              </w:rPr>
              <w:fldChar w:fldCharType="separate"/>
            </w:r>
            <w:r w:rsidR="001B6384">
              <w:rPr>
                <w:noProof/>
                <w:webHidden/>
              </w:rPr>
              <w:t>2</w:t>
            </w:r>
            <w:r w:rsidR="001B6384">
              <w:rPr>
                <w:noProof/>
                <w:webHidden/>
              </w:rPr>
              <w:fldChar w:fldCharType="end"/>
            </w:r>
          </w:hyperlink>
        </w:p>
        <w:p w14:paraId="24C87EE0" w14:textId="79C259F1" w:rsidR="001B6384" w:rsidRDefault="001B6384">
          <w:pPr>
            <w:pStyle w:val="TOC1"/>
            <w:tabs>
              <w:tab w:val="right" w:leader="dot" w:pos="9016"/>
            </w:tabs>
            <w:rPr>
              <w:rFonts w:eastAsiaTheme="minorEastAsia"/>
              <w:noProof/>
              <w:lang w:eastAsia="en-GB"/>
            </w:rPr>
          </w:pPr>
          <w:hyperlink w:anchor="_Toc239425562" w:history="1">
            <w:r w:rsidRPr="00957FD6">
              <w:rPr>
                <w:rStyle w:val="Hyperlink"/>
                <w:noProof/>
              </w:rPr>
              <w:t>Table of Tables</w:t>
            </w:r>
            <w:r>
              <w:rPr>
                <w:noProof/>
                <w:webHidden/>
              </w:rPr>
              <w:tab/>
            </w:r>
            <w:r>
              <w:rPr>
                <w:noProof/>
                <w:webHidden/>
              </w:rPr>
              <w:fldChar w:fldCharType="begin"/>
            </w:r>
            <w:r>
              <w:rPr>
                <w:noProof/>
                <w:webHidden/>
              </w:rPr>
              <w:instrText xml:space="preserve"> PAGEREF _Toc239425562 \h </w:instrText>
            </w:r>
            <w:r>
              <w:rPr>
                <w:noProof/>
                <w:webHidden/>
              </w:rPr>
            </w:r>
            <w:r>
              <w:rPr>
                <w:noProof/>
                <w:webHidden/>
              </w:rPr>
              <w:fldChar w:fldCharType="separate"/>
            </w:r>
            <w:r>
              <w:rPr>
                <w:noProof/>
                <w:webHidden/>
              </w:rPr>
              <w:t>2</w:t>
            </w:r>
            <w:r>
              <w:rPr>
                <w:noProof/>
                <w:webHidden/>
              </w:rPr>
              <w:fldChar w:fldCharType="end"/>
            </w:r>
          </w:hyperlink>
        </w:p>
        <w:p w14:paraId="3AB82022" w14:textId="3F82CB8E" w:rsidR="001B6384" w:rsidRDefault="001B6384">
          <w:pPr>
            <w:pStyle w:val="TOC1"/>
            <w:tabs>
              <w:tab w:val="right" w:leader="dot" w:pos="9016"/>
            </w:tabs>
            <w:rPr>
              <w:rFonts w:eastAsiaTheme="minorEastAsia"/>
              <w:noProof/>
              <w:lang w:eastAsia="en-GB"/>
            </w:rPr>
          </w:pPr>
          <w:hyperlink w:anchor="_Toc239425563" w:history="1">
            <w:r w:rsidRPr="00957FD6">
              <w:rPr>
                <w:rStyle w:val="Hyperlink"/>
                <w:noProof/>
              </w:rPr>
              <w:t>Abstract</w:t>
            </w:r>
            <w:r>
              <w:rPr>
                <w:noProof/>
                <w:webHidden/>
              </w:rPr>
              <w:tab/>
            </w:r>
            <w:r>
              <w:rPr>
                <w:noProof/>
                <w:webHidden/>
              </w:rPr>
              <w:fldChar w:fldCharType="begin"/>
            </w:r>
            <w:r>
              <w:rPr>
                <w:noProof/>
                <w:webHidden/>
              </w:rPr>
              <w:instrText xml:space="preserve"> PAGEREF _Toc239425563 \h </w:instrText>
            </w:r>
            <w:r>
              <w:rPr>
                <w:noProof/>
                <w:webHidden/>
              </w:rPr>
            </w:r>
            <w:r>
              <w:rPr>
                <w:noProof/>
                <w:webHidden/>
              </w:rPr>
              <w:fldChar w:fldCharType="separate"/>
            </w:r>
            <w:r>
              <w:rPr>
                <w:noProof/>
                <w:webHidden/>
              </w:rPr>
              <w:t>3</w:t>
            </w:r>
            <w:r>
              <w:rPr>
                <w:noProof/>
                <w:webHidden/>
              </w:rPr>
              <w:fldChar w:fldCharType="end"/>
            </w:r>
          </w:hyperlink>
        </w:p>
        <w:p w14:paraId="44B57A23" w14:textId="68EE334B" w:rsidR="001B6384" w:rsidRDefault="001B6384">
          <w:pPr>
            <w:pStyle w:val="TOC1"/>
            <w:tabs>
              <w:tab w:val="right" w:leader="dot" w:pos="9016"/>
            </w:tabs>
            <w:rPr>
              <w:rFonts w:eastAsiaTheme="minorEastAsia"/>
              <w:noProof/>
              <w:lang w:eastAsia="en-GB"/>
            </w:rPr>
          </w:pPr>
          <w:hyperlink w:anchor="_Toc239425564" w:history="1">
            <w:r w:rsidRPr="00957FD6">
              <w:rPr>
                <w:rStyle w:val="Hyperlink"/>
                <w:noProof/>
              </w:rPr>
              <w:t>Section 1: Introduction</w:t>
            </w:r>
            <w:r>
              <w:rPr>
                <w:noProof/>
                <w:webHidden/>
              </w:rPr>
              <w:tab/>
            </w:r>
            <w:r>
              <w:rPr>
                <w:noProof/>
                <w:webHidden/>
              </w:rPr>
              <w:fldChar w:fldCharType="begin"/>
            </w:r>
            <w:r>
              <w:rPr>
                <w:noProof/>
                <w:webHidden/>
              </w:rPr>
              <w:instrText xml:space="preserve"> PAGEREF _Toc239425564 \h </w:instrText>
            </w:r>
            <w:r>
              <w:rPr>
                <w:noProof/>
                <w:webHidden/>
              </w:rPr>
            </w:r>
            <w:r>
              <w:rPr>
                <w:noProof/>
                <w:webHidden/>
              </w:rPr>
              <w:fldChar w:fldCharType="separate"/>
            </w:r>
            <w:r>
              <w:rPr>
                <w:noProof/>
                <w:webHidden/>
              </w:rPr>
              <w:t>4</w:t>
            </w:r>
            <w:r>
              <w:rPr>
                <w:noProof/>
                <w:webHidden/>
              </w:rPr>
              <w:fldChar w:fldCharType="end"/>
            </w:r>
          </w:hyperlink>
        </w:p>
        <w:p w14:paraId="011B7CFE" w14:textId="5787A2DF" w:rsidR="001B6384" w:rsidRDefault="001B6384">
          <w:pPr>
            <w:pStyle w:val="TOC2"/>
            <w:tabs>
              <w:tab w:val="right" w:leader="dot" w:pos="9016"/>
            </w:tabs>
            <w:rPr>
              <w:rFonts w:eastAsiaTheme="minorEastAsia"/>
              <w:noProof/>
              <w:lang w:eastAsia="en-GB"/>
            </w:rPr>
          </w:pPr>
          <w:hyperlink w:anchor="_Toc239425565" w:history="1">
            <w:r w:rsidRPr="00957FD6">
              <w:rPr>
                <w:rStyle w:val="Hyperlink"/>
                <w:noProof/>
              </w:rPr>
              <w:t>1.1: Source</w:t>
            </w:r>
            <w:r>
              <w:rPr>
                <w:noProof/>
                <w:webHidden/>
              </w:rPr>
              <w:tab/>
            </w:r>
            <w:r>
              <w:rPr>
                <w:noProof/>
                <w:webHidden/>
              </w:rPr>
              <w:fldChar w:fldCharType="begin"/>
            </w:r>
            <w:r>
              <w:rPr>
                <w:noProof/>
                <w:webHidden/>
              </w:rPr>
              <w:instrText xml:space="preserve"> PAGEREF _Toc239425565 \h </w:instrText>
            </w:r>
            <w:r>
              <w:rPr>
                <w:noProof/>
                <w:webHidden/>
              </w:rPr>
            </w:r>
            <w:r>
              <w:rPr>
                <w:noProof/>
                <w:webHidden/>
              </w:rPr>
              <w:fldChar w:fldCharType="separate"/>
            </w:r>
            <w:r>
              <w:rPr>
                <w:noProof/>
                <w:webHidden/>
              </w:rPr>
              <w:t>4</w:t>
            </w:r>
            <w:r>
              <w:rPr>
                <w:noProof/>
                <w:webHidden/>
              </w:rPr>
              <w:fldChar w:fldCharType="end"/>
            </w:r>
          </w:hyperlink>
        </w:p>
        <w:p w14:paraId="1696BB72" w14:textId="1426779E" w:rsidR="001B6384" w:rsidRDefault="001B6384">
          <w:pPr>
            <w:pStyle w:val="TOC2"/>
            <w:tabs>
              <w:tab w:val="right" w:leader="dot" w:pos="9016"/>
            </w:tabs>
            <w:rPr>
              <w:rFonts w:eastAsiaTheme="minorEastAsia"/>
              <w:noProof/>
              <w:lang w:eastAsia="en-GB"/>
            </w:rPr>
          </w:pPr>
          <w:hyperlink w:anchor="_Toc239425566" w:history="1">
            <w:r w:rsidRPr="00957FD6">
              <w:rPr>
                <w:rStyle w:val="Hyperlink"/>
                <w:noProof/>
              </w:rPr>
              <w:t>1.2: Personnel</w:t>
            </w:r>
            <w:r>
              <w:rPr>
                <w:noProof/>
                <w:webHidden/>
              </w:rPr>
              <w:tab/>
            </w:r>
            <w:r>
              <w:rPr>
                <w:noProof/>
                <w:webHidden/>
              </w:rPr>
              <w:fldChar w:fldCharType="begin"/>
            </w:r>
            <w:r>
              <w:rPr>
                <w:noProof/>
                <w:webHidden/>
              </w:rPr>
              <w:instrText xml:space="preserve"> PAGEREF _Toc239425566 \h </w:instrText>
            </w:r>
            <w:r>
              <w:rPr>
                <w:noProof/>
                <w:webHidden/>
              </w:rPr>
            </w:r>
            <w:r>
              <w:rPr>
                <w:noProof/>
                <w:webHidden/>
              </w:rPr>
              <w:fldChar w:fldCharType="separate"/>
            </w:r>
            <w:r>
              <w:rPr>
                <w:noProof/>
                <w:webHidden/>
              </w:rPr>
              <w:t>4</w:t>
            </w:r>
            <w:r>
              <w:rPr>
                <w:noProof/>
                <w:webHidden/>
              </w:rPr>
              <w:fldChar w:fldCharType="end"/>
            </w:r>
          </w:hyperlink>
        </w:p>
        <w:p w14:paraId="2FA1CD79" w14:textId="6265677F" w:rsidR="001B6384" w:rsidRDefault="001B6384">
          <w:pPr>
            <w:pStyle w:val="TOC2"/>
            <w:tabs>
              <w:tab w:val="right" w:leader="dot" w:pos="9016"/>
            </w:tabs>
            <w:rPr>
              <w:rFonts w:eastAsiaTheme="minorEastAsia"/>
              <w:noProof/>
              <w:lang w:eastAsia="en-GB"/>
            </w:rPr>
          </w:pPr>
          <w:hyperlink w:anchor="_Toc239425567" w:history="1">
            <w:r w:rsidRPr="00957FD6">
              <w:rPr>
                <w:rStyle w:val="Hyperlink"/>
                <w:noProof/>
              </w:rPr>
              <w:t>1.3: Area Safey</w:t>
            </w:r>
            <w:r>
              <w:rPr>
                <w:noProof/>
                <w:webHidden/>
              </w:rPr>
              <w:tab/>
            </w:r>
            <w:r>
              <w:rPr>
                <w:noProof/>
                <w:webHidden/>
              </w:rPr>
              <w:fldChar w:fldCharType="begin"/>
            </w:r>
            <w:r>
              <w:rPr>
                <w:noProof/>
                <w:webHidden/>
              </w:rPr>
              <w:instrText xml:space="preserve"> PAGEREF _Toc239425567 \h </w:instrText>
            </w:r>
            <w:r>
              <w:rPr>
                <w:noProof/>
                <w:webHidden/>
              </w:rPr>
            </w:r>
            <w:r>
              <w:rPr>
                <w:noProof/>
                <w:webHidden/>
              </w:rPr>
              <w:fldChar w:fldCharType="separate"/>
            </w:r>
            <w:r>
              <w:rPr>
                <w:noProof/>
                <w:webHidden/>
              </w:rPr>
              <w:t>4</w:t>
            </w:r>
            <w:r>
              <w:rPr>
                <w:noProof/>
                <w:webHidden/>
              </w:rPr>
              <w:fldChar w:fldCharType="end"/>
            </w:r>
          </w:hyperlink>
        </w:p>
        <w:p w14:paraId="6D545DC1" w14:textId="2C8D59B0" w:rsidR="001B6384" w:rsidRDefault="001B6384">
          <w:pPr>
            <w:pStyle w:val="TOC2"/>
            <w:tabs>
              <w:tab w:val="right" w:leader="dot" w:pos="9016"/>
            </w:tabs>
            <w:rPr>
              <w:rFonts w:eastAsiaTheme="minorEastAsia"/>
              <w:noProof/>
              <w:lang w:eastAsia="en-GB"/>
            </w:rPr>
          </w:pPr>
          <w:hyperlink w:anchor="_Toc239425568" w:history="1">
            <w:r w:rsidRPr="00957FD6">
              <w:rPr>
                <w:rStyle w:val="Hyperlink"/>
                <w:noProof/>
              </w:rPr>
              <w:t>1.4: Incident</w:t>
            </w:r>
            <w:r>
              <w:rPr>
                <w:noProof/>
                <w:webHidden/>
              </w:rPr>
              <w:tab/>
            </w:r>
            <w:r>
              <w:rPr>
                <w:noProof/>
                <w:webHidden/>
              </w:rPr>
              <w:fldChar w:fldCharType="begin"/>
            </w:r>
            <w:r>
              <w:rPr>
                <w:noProof/>
                <w:webHidden/>
              </w:rPr>
              <w:instrText xml:space="preserve"> PAGEREF _Toc239425568 \h </w:instrText>
            </w:r>
            <w:r>
              <w:rPr>
                <w:noProof/>
                <w:webHidden/>
              </w:rPr>
            </w:r>
            <w:r>
              <w:rPr>
                <w:noProof/>
                <w:webHidden/>
              </w:rPr>
              <w:fldChar w:fldCharType="separate"/>
            </w:r>
            <w:r>
              <w:rPr>
                <w:noProof/>
                <w:webHidden/>
              </w:rPr>
              <w:t>4</w:t>
            </w:r>
            <w:r>
              <w:rPr>
                <w:noProof/>
                <w:webHidden/>
              </w:rPr>
              <w:fldChar w:fldCharType="end"/>
            </w:r>
          </w:hyperlink>
        </w:p>
        <w:p w14:paraId="589D9F8C" w14:textId="044BBF9A" w:rsidR="001B6384" w:rsidRDefault="001B6384">
          <w:pPr>
            <w:pStyle w:val="TOC1"/>
            <w:tabs>
              <w:tab w:val="right" w:leader="dot" w:pos="9016"/>
            </w:tabs>
            <w:rPr>
              <w:rFonts w:eastAsiaTheme="minorEastAsia"/>
              <w:noProof/>
              <w:lang w:eastAsia="en-GB"/>
            </w:rPr>
          </w:pPr>
          <w:hyperlink w:anchor="_Toc239425569" w:history="1">
            <w:r w:rsidRPr="00957FD6">
              <w:rPr>
                <w:rStyle w:val="Hyperlink"/>
                <w:noProof/>
              </w:rPr>
              <w:t>Section 2: Technical Exposition</w:t>
            </w:r>
            <w:r>
              <w:rPr>
                <w:noProof/>
                <w:webHidden/>
              </w:rPr>
              <w:tab/>
            </w:r>
            <w:r>
              <w:rPr>
                <w:noProof/>
                <w:webHidden/>
              </w:rPr>
              <w:fldChar w:fldCharType="begin"/>
            </w:r>
            <w:r>
              <w:rPr>
                <w:noProof/>
                <w:webHidden/>
              </w:rPr>
              <w:instrText xml:space="preserve"> PAGEREF _Toc239425569 \h </w:instrText>
            </w:r>
            <w:r>
              <w:rPr>
                <w:noProof/>
                <w:webHidden/>
              </w:rPr>
            </w:r>
            <w:r>
              <w:rPr>
                <w:noProof/>
                <w:webHidden/>
              </w:rPr>
              <w:fldChar w:fldCharType="separate"/>
            </w:r>
            <w:r>
              <w:rPr>
                <w:noProof/>
                <w:webHidden/>
              </w:rPr>
              <w:t>5</w:t>
            </w:r>
            <w:r>
              <w:rPr>
                <w:noProof/>
                <w:webHidden/>
              </w:rPr>
              <w:fldChar w:fldCharType="end"/>
            </w:r>
          </w:hyperlink>
        </w:p>
        <w:p w14:paraId="31FEABC8" w14:textId="148F527C" w:rsidR="001B6384" w:rsidRDefault="001B6384">
          <w:pPr>
            <w:pStyle w:val="TOC2"/>
            <w:tabs>
              <w:tab w:val="right" w:leader="dot" w:pos="9016"/>
            </w:tabs>
            <w:rPr>
              <w:rFonts w:eastAsiaTheme="minorEastAsia"/>
              <w:noProof/>
              <w:lang w:eastAsia="en-GB"/>
            </w:rPr>
          </w:pPr>
          <w:hyperlink w:anchor="_Toc239425570" w:history="1">
            <w:r w:rsidRPr="00957FD6">
              <w:rPr>
                <w:rStyle w:val="Hyperlink"/>
                <w:noProof/>
              </w:rPr>
              <w:t>2.1: Iridium</w:t>
            </w:r>
            <w:r>
              <w:rPr>
                <w:noProof/>
                <w:webHidden/>
              </w:rPr>
              <w:tab/>
            </w:r>
            <w:r>
              <w:rPr>
                <w:noProof/>
                <w:webHidden/>
              </w:rPr>
              <w:fldChar w:fldCharType="begin"/>
            </w:r>
            <w:r>
              <w:rPr>
                <w:noProof/>
                <w:webHidden/>
              </w:rPr>
              <w:instrText xml:space="preserve"> PAGEREF _Toc239425570 \h </w:instrText>
            </w:r>
            <w:r>
              <w:rPr>
                <w:noProof/>
                <w:webHidden/>
              </w:rPr>
            </w:r>
            <w:r>
              <w:rPr>
                <w:noProof/>
                <w:webHidden/>
              </w:rPr>
              <w:fldChar w:fldCharType="separate"/>
            </w:r>
            <w:r>
              <w:rPr>
                <w:noProof/>
                <w:webHidden/>
              </w:rPr>
              <w:t>5</w:t>
            </w:r>
            <w:r>
              <w:rPr>
                <w:noProof/>
                <w:webHidden/>
              </w:rPr>
              <w:fldChar w:fldCharType="end"/>
            </w:r>
          </w:hyperlink>
        </w:p>
        <w:p w14:paraId="1210DD0B" w14:textId="3E3C3976" w:rsidR="001B6384" w:rsidRDefault="001B6384">
          <w:pPr>
            <w:pStyle w:val="TOC2"/>
            <w:tabs>
              <w:tab w:val="right" w:leader="dot" w:pos="9016"/>
            </w:tabs>
            <w:rPr>
              <w:rFonts w:eastAsiaTheme="minorEastAsia"/>
              <w:noProof/>
              <w:lang w:eastAsia="en-GB"/>
            </w:rPr>
          </w:pPr>
          <w:hyperlink w:anchor="_Toc239425571" w:history="1">
            <w:r w:rsidRPr="00957FD6">
              <w:rPr>
                <w:rStyle w:val="Hyperlink"/>
                <w:noProof/>
              </w:rPr>
              <w:t>2.2: Dosimetry</w:t>
            </w:r>
            <w:r>
              <w:rPr>
                <w:noProof/>
                <w:webHidden/>
              </w:rPr>
              <w:tab/>
            </w:r>
            <w:r>
              <w:rPr>
                <w:noProof/>
                <w:webHidden/>
              </w:rPr>
              <w:fldChar w:fldCharType="begin"/>
            </w:r>
            <w:r>
              <w:rPr>
                <w:noProof/>
                <w:webHidden/>
              </w:rPr>
              <w:instrText xml:space="preserve"> PAGEREF _Toc239425571 \h </w:instrText>
            </w:r>
            <w:r>
              <w:rPr>
                <w:noProof/>
                <w:webHidden/>
              </w:rPr>
            </w:r>
            <w:r>
              <w:rPr>
                <w:noProof/>
                <w:webHidden/>
              </w:rPr>
              <w:fldChar w:fldCharType="separate"/>
            </w:r>
            <w:r>
              <w:rPr>
                <w:noProof/>
                <w:webHidden/>
              </w:rPr>
              <w:t>5</w:t>
            </w:r>
            <w:r>
              <w:rPr>
                <w:noProof/>
                <w:webHidden/>
              </w:rPr>
              <w:fldChar w:fldCharType="end"/>
            </w:r>
          </w:hyperlink>
        </w:p>
        <w:p w14:paraId="2BFCAA1E" w14:textId="57A7BC1B" w:rsidR="001B6384" w:rsidRDefault="001B6384">
          <w:pPr>
            <w:pStyle w:val="TOC2"/>
            <w:tabs>
              <w:tab w:val="right" w:leader="dot" w:pos="9016"/>
            </w:tabs>
            <w:rPr>
              <w:rFonts w:eastAsiaTheme="minorEastAsia"/>
              <w:noProof/>
              <w:lang w:eastAsia="en-GB"/>
            </w:rPr>
          </w:pPr>
          <w:hyperlink w:anchor="_Toc239425572" w:history="1">
            <w:r w:rsidRPr="00957FD6">
              <w:rPr>
                <w:rStyle w:val="Hyperlink"/>
                <w:noProof/>
              </w:rPr>
              <w:t>2.3: Dose</w:t>
            </w:r>
            <w:r>
              <w:rPr>
                <w:noProof/>
                <w:webHidden/>
              </w:rPr>
              <w:tab/>
            </w:r>
            <w:r>
              <w:rPr>
                <w:noProof/>
                <w:webHidden/>
              </w:rPr>
              <w:fldChar w:fldCharType="begin"/>
            </w:r>
            <w:r>
              <w:rPr>
                <w:noProof/>
                <w:webHidden/>
              </w:rPr>
              <w:instrText xml:space="preserve"> PAGEREF _Toc239425572 \h </w:instrText>
            </w:r>
            <w:r>
              <w:rPr>
                <w:noProof/>
                <w:webHidden/>
              </w:rPr>
            </w:r>
            <w:r>
              <w:rPr>
                <w:noProof/>
                <w:webHidden/>
              </w:rPr>
              <w:fldChar w:fldCharType="separate"/>
            </w:r>
            <w:r>
              <w:rPr>
                <w:noProof/>
                <w:webHidden/>
              </w:rPr>
              <w:t>5</w:t>
            </w:r>
            <w:r>
              <w:rPr>
                <w:noProof/>
                <w:webHidden/>
              </w:rPr>
              <w:fldChar w:fldCharType="end"/>
            </w:r>
          </w:hyperlink>
        </w:p>
        <w:p w14:paraId="17170071" w14:textId="60FBC57F" w:rsidR="001B6384" w:rsidRDefault="001B6384">
          <w:pPr>
            <w:pStyle w:val="TOC1"/>
            <w:tabs>
              <w:tab w:val="right" w:leader="dot" w:pos="9016"/>
            </w:tabs>
            <w:rPr>
              <w:rFonts w:eastAsiaTheme="minorEastAsia"/>
              <w:noProof/>
              <w:lang w:eastAsia="en-GB"/>
            </w:rPr>
          </w:pPr>
          <w:hyperlink w:anchor="_Toc239425573" w:history="1">
            <w:r w:rsidRPr="00957FD6">
              <w:rPr>
                <w:rStyle w:val="Hyperlink"/>
                <w:noProof/>
              </w:rPr>
              <w:t>Section 3: Case Analysis</w:t>
            </w:r>
            <w:r>
              <w:rPr>
                <w:noProof/>
                <w:webHidden/>
              </w:rPr>
              <w:tab/>
            </w:r>
            <w:r>
              <w:rPr>
                <w:noProof/>
                <w:webHidden/>
              </w:rPr>
              <w:fldChar w:fldCharType="begin"/>
            </w:r>
            <w:r>
              <w:rPr>
                <w:noProof/>
                <w:webHidden/>
              </w:rPr>
              <w:instrText xml:space="preserve"> PAGEREF _Toc239425573 \h </w:instrText>
            </w:r>
            <w:r>
              <w:rPr>
                <w:noProof/>
                <w:webHidden/>
              </w:rPr>
            </w:r>
            <w:r>
              <w:rPr>
                <w:noProof/>
                <w:webHidden/>
              </w:rPr>
              <w:fldChar w:fldCharType="separate"/>
            </w:r>
            <w:r>
              <w:rPr>
                <w:noProof/>
                <w:webHidden/>
              </w:rPr>
              <w:t>6</w:t>
            </w:r>
            <w:r>
              <w:rPr>
                <w:noProof/>
                <w:webHidden/>
              </w:rPr>
              <w:fldChar w:fldCharType="end"/>
            </w:r>
          </w:hyperlink>
        </w:p>
        <w:p w14:paraId="6878A3B9" w14:textId="370B9BCA" w:rsidR="001B6384" w:rsidRDefault="001B6384">
          <w:pPr>
            <w:pStyle w:val="TOC2"/>
            <w:tabs>
              <w:tab w:val="right" w:leader="dot" w:pos="9016"/>
            </w:tabs>
            <w:rPr>
              <w:rFonts w:eastAsiaTheme="minorEastAsia"/>
              <w:noProof/>
              <w:lang w:eastAsia="en-GB"/>
            </w:rPr>
          </w:pPr>
          <w:hyperlink w:anchor="_Toc239425574" w:history="1">
            <w:r w:rsidRPr="00957FD6">
              <w:rPr>
                <w:rStyle w:val="Hyperlink"/>
                <w:noProof/>
              </w:rPr>
              <w:t>3.1: Activity</w:t>
            </w:r>
            <w:r>
              <w:rPr>
                <w:noProof/>
                <w:webHidden/>
              </w:rPr>
              <w:tab/>
            </w:r>
            <w:r>
              <w:rPr>
                <w:noProof/>
                <w:webHidden/>
              </w:rPr>
              <w:fldChar w:fldCharType="begin"/>
            </w:r>
            <w:r>
              <w:rPr>
                <w:noProof/>
                <w:webHidden/>
              </w:rPr>
              <w:instrText xml:space="preserve"> PAGEREF _Toc239425574 \h </w:instrText>
            </w:r>
            <w:r>
              <w:rPr>
                <w:noProof/>
                <w:webHidden/>
              </w:rPr>
            </w:r>
            <w:r>
              <w:rPr>
                <w:noProof/>
                <w:webHidden/>
              </w:rPr>
              <w:fldChar w:fldCharType="separate"/>
            </w:r>
            <w:r>
              <w:rPr>
                <w:noProof/>
                <w:webHidden/>
              </w:rPr>
              <w:t>6</w:t>
            </w:r>
            <w:r>
              <w:rPr>
                <w:noProof/>
                <w:webHidden/>
              </w:rPr>
              <w:fldChar w:fldCharType="end"/>
            </w:r>
          </w:hyperlink>
        </w:p>
        <w:p w14:paraId="772DE4A4" w14:textId="4C4D5041" w:rsidR="001B6384" w:rsidRDefault="001B6384">
          <w:pPr>
            <w:pStyle w:val="TOC2"/>
            <w:tabs>
              <w:tab w:val="right" w:leader="dot" w:pos="9016"/>
            </w:tabs>
            <w:rPr>
              <w:rFonts w:eastAsiaTheme="minorEastAsia"/>
              <w:noProof/>
              <w:lang w:eastAsia="en-GB"/>
            </w:rPr>
          </w:pPr>
          <w:hyperlink w:anchor="_Toc239425575" w:history="1">
            <w:r w:rsidRPr="00957FD6">
              <w:rPr>
                <w:rStyle w:val="Hyperlink"/>
                <w:noProof/>
              </w:rPr>
              <w:t>3.2: Exposure</w:t>
            </w:r>
            <w:r>
              <w:rPr>
                <w:noProof/>
                <w:webHidden/>
              </w:rPr>
              <w:tab/>
            </w:r>
            <w:r>
              <w:rPr>
                <w:noProof/>
                <w:webHidden/>
              </w:rPr>
              <w:fldChar w:fldCharType="begin"/>
            </w:r>
            <w:r>
              <w:rPr>
                <w:noProof/>
                <w:webHidden/>
              </w:rPr>
              <w:instrText xml:space="preserve"> PAGEREF _Toc239425575 \h </w:instrText>
            </w:r>
            <w:r>
              <w:rPr>
                <w:noProof/>
                <w:webHidden/>
              </w:rPr>
            </w:r>
            <w:r>
              <w:rPr>
                <w:noProof/>
                <w:webHidden/>
              </w:rPr>
              <w:fldChar w:fldCharType="separate"/>
            </w:r>
            <w:r>
              <w:rPr>
                <w:noProof/>
                <w:webHidden/>
              </w:rPr>
              <w:t>6</w:t>
            </w:r>
            <w:r>
              <w:rPr>
                <w:noProof/>
                <w:webHidden/>
              </w:rPr>
              <w:fldChar w:fldCharType="end"/>
            </w:r>
          </w:hyperlink>
        </w:p>
        <w:p w14:paraId="36A9721F" w14:textId="785E8BDF" w:rsidR="001B6384" w:rsidRDefault="001B6384">
          <w:pPr>
            <w:pStyle w:val="TOC2"/>
            <w:tabs>
              <w:tab w:val="right" w:leader="dot" w:pos="9016"/>
            </w:tabs>
            <w:rPr>
              <w:rFonts w:eastAsiaTheme="minorEastAsia"/>
              <w:noProof/>
              <w:lang w:eastAsia="en-GB"/>
            </w:rPr>
          </w:pPr>
          <w:hyperlink w:anchor="_Toc239425576" w:history="1">
            <w:r w:rsidRPr="00957FD6">
              <w:rPr>
                <w:rStyle w:val="Hyperlink"/>
                <w:noProof/>
              </w:rPr>
              <w:t>3.3: Shielding</w:t>
            </w:r>
            <w:r>
              <w:rPr>
                <w:noProof/>
                <w:webHidden/>
              </w:rPr>
              <w:tab/>
            </w:r>
            <w:r>
              <w:rPr>
                <w:noProof/>
                <w:webHidden/>
              </w:rPr>
              <w:fldChar w:fldCharType="begin"/>
            </w:r>
            <w:r>
              <w:rPr>
                <w:noProof/>
                <w:webHidden/>
              </w:rPr>
              <w:instrText xml:space="preserve"> PAGEREF _Toc239425576 \h </w:instrText>
            </w:r>
            <w:r>
              <w:rPr>
                <w:noProof/>
                <w:webHidden/>
              </w:rPr>
            </w:r>
            <w:r>
              <w:rPr>
                <w:noProof/>
                <w:webHidden/>
              </w:rPr>
              <w:fldChar w:fldCharType="separate"/>
            </w:r>
            <w:r>
              <w:rPr>
                <w:noProof/>
                <w:webHidden/>
              </w:rPr>
              <w:t>7</w:t>
            </w:r>
            <w:r>
              <w:rPr>
                <w:noProof/>
                <w:webHidden/>
              </w:rPr>
              <w:fldChar w:fldCharType="end"/>
            </w:r>
          </w:hyperlink>
        </w:p>
        <w:p w14:paraId="1D8BE38F" w14:textId="61BF7C62" w:rsidR="001B6384" w:rsidRDefault="001B6384">
          <w:pPr>
            <w:pStyle w:val="TOC2"/>
            <w:tabs>
              <w:tab w:val="right" w:leader="dot" w:pos="9016"/>
            </w:tabs>
            <w:rPr>
              <w:rFonts w:eastAsiaTheme="minorEastAsia"/>
              <w:noProof/>
              <w:lang w:eastAsia="en-GB"/>
            </w:rPr>
          </w:pPr>
          <w:hyperlink w:anchor="_Toc239425577" w:history="1">
            <w:r w:rsidRPr="00957FD6">
              <w:rPr>
                <w:rStyle w:val="Hyperlink"/>
                <w:noProof/>
              </w:rPr>
              <w:t>3.4 Regulatory Compliance</w:t>
            </w:r>
            <w:r>
              <w:rPr>
                <w:noProof/>
                <w:webHidden/>
              </w:rPr>
              <w:tab/>
            </w:r>
            <w:r>
              <w:rPr>
                <w:noProof/>
                <w:webHidden/>
              </w:rPr>
              <w:fldChar w:fldCharType="begin"/>
            </w:r>
            <w:r>
              <w:rPr>
                <w:noProof/>
                <w:webHidden/>
              </w:rPr>
              <w:instrText xml:space="preserve"> PAGEREF _Toc239425577 \h </w:instrText>
            </w:r>
            <w:r>
              <w:rPr>
                <w:noProof/>
                <w:webHidden/>
              </w:rPr>
            </w:r>
            <w:r>
              <w:rPr>
                <w:noProof/>
                <w:webHidden/>
              </w:rPr>
              <w:fldChar w:fldCharType="separate"/>
            </w:r>
            <w:r>
              <w:rPr>
                <w:noProof/>
                <w:webHidden/>
              </w:rPr>
              <w:t>7</w:t>
            </w:r>
            <w:r>
              <w:rPr>
                <w:noProof/>
                <w:webHidden/>
              </w:rPr>
              <w:fldChar w:fldCharType="end"/>
            </w:r>
          </w:hyperlink>
        </w:p>
        <w:p w14:paraId="1AA5A5B1" w14:textId="318BC5D9" w:rsidR="001B6384" w:rsidRDefault="001B6384">
          <w:pPr>
            <w:pStyle w:val="TOC1"/>
            <w:tabs>
              <w:tab w:val="right" w:leader="dot" w:pos="9016"/>
            </w:tabs>
            <w:rPr>
              <w:rFonts w:eastAsiaTheme="minorEastAsia"/>
              <w:noProof/>
              <w:lang w:eastAsia="en-GB"/>
            </w:rPr>
          </w:pPr>
          <w:hyperlink w:anchor="_Toc239425578" w:history="1">
            <w:r w:rsidRPr="00957FD6">
              <w:rPr>
                <w:rStyle w:val="Hyperlink"/>
                <w:noProof/>
              </w:rPr>
              <w:t>Section 4: Discussion</w:t>
            </w:r>
            <w:r>
              <w:rPr>
                <w:noProof/>
                <w:webHidden/>
              </w:rPr>
              <w:tab/>
            </w:r>
            <w:r>
              <w:rPr>
                <w:noProof/>
                <w:webHidden/>
              </w:rPr>
              <w:fldChar w:fldCharType="begin"/>
            </w:r>
            <w:r>
              <w:rPr>
                <w:noProof/>
                <w:webHidden/>
              </w:rPr>
              <w:instrText xml:space="preserve"> PAGEREF _Toc239425578 \h </w:instrText>
            </w:r>
            <w:r>
              <w:rPr>
                <w:noProof/>
                <w:webHidden/>
              </w:rPr>
            </w:r>
            <w:r>
              <w:rPr>
                <w:noProof/>
                <w:webHidden/>
              </w:rPr>
              <w:fldChar w:fldCharType="separate"/>
            </w:r>
            <w:r>
              <w:rPr>
                <w:noProof/>
                <w:webHidden/>
              </w:rPr>
              <w:t>8</w:t>
            </w:r>
            <w:r>
              <w:rPr>
                <w:noProof/>
                <w:webHidden/>
              </w:rPr>
              <w:fldChar w:fldCharType="end"/>
            </w:r>
          </w:hyperlink>
        </w:p>
        <w:p w14:paraId="5FD22861" w14:textId="44777CB0" w:rsidR="001B6384" w:rsidRDefault="001B6384">
          <w:pPr>
            <w:pStyle w:val="TOC1"/>
            <w:tabs>
              <w:tab w:val="right" w:leader="dot" w:pos="9016"/>
            </w:tabs>
            <w:rPr>
              <w:rFonts w:eastAsiaTheme="minorEastAsia"/>
              <w:noProof/>
              <w:lang w:eastAsia="en-GB"/>
            </w:rPr>
          </w:pPr>
          <w:hyperlink w:anchor="_Toc239425579" w:history="1">
            <w:r w:rsidRPr="00957FD6">
              <w:rPr>
                <w:rStyle w:val="Hyperlink"/>
                <w:noProof/>
              </w:rPr>
              <w:t>Section 5: Recommendations</w:t>
            </w:r>
            <w:r>
              <w:rPr>
                <w:noProof/>
                <w:webHidden/>
              </w:rPr>
              <w:tab/>
            </w:r>
            <w:r>
              <w:rPr>
                <w:noProof/>
                <w:webHidden/>
              </w:rPr>
              <w:fldChar w:fldCharType="begin"/>
            </w:r>
            <w:r>
              <w:rPr>
                <w:noProof/>
                <w:webHidden/>
              </w:rPr>
              <w:instrText xml:space="preserve"> PAGEREF _Toc239425579 \h </w:instrText>
            </w:r>
            <w:r>
              <w:rPr>
                <w:noProof/>
                <w:webHidden/>
              </w:rPr>
            </w:r>
            <w:r>
              <w:rPr>
                <w:noProof/>
                <w:webHidden/>
              </w:rPr>
              <w:fldChar w:fldCharType="separate"/>
            </w:r>
            <w:r>
              <w:rPr>
                <w:noProof/>
                <w:webHidden/>
              </w:rPr>
              <w:t>9</w:t>
            </w:r>
            <w:r>
              <w:rPr>
                <w:noProof/>
                <w:webHidden/>
              </w:rPr>
              <w:fldChar w:fldCharType="end"/>
            </w:r>
          </w:hyperlink>
        </w:p>
        <w:p w14:paraId="1C63EA1B" w14:textId="47FD4C4D" w:rsidR="001B6384" w:rsidRDefault="001B6384">
          <w:pPr>
            <w:pStyle w:val="TOC1"/>
            <w:tabs>
              <w:tab w:val="right" w:leader="dot" w:pos="9016"/>
            </w:tabs>
            <w:rPr>
              <w:rFonts w:eastAsiaTheme="minorEastAsia"/>
              <w:noProof/>
              <w:lang w:eastAsia="en-GB"/>
            </w:rPr>
          </w:pPr>
          <w:hyperlink w:anchor="_Toc239425580" w:history="1">
            <w:r w:rsidRPr="00957FD6">
              <w:rPr>
                <w:rStyle w:val="Hyperlink"/>
                <w:noProof/>
              </w:rPr>
              <w:t>Section 6: Conclusions</w:t>
            </w:r>
            <w:r>
              <w:rPr>
                <w:noProof/>
                <w:webHidden/>
              </w:rPr>
              <w:tab/>
            </w:r>
            <w:r>
              <w:rPr>
                <w:noProof/>
                <w:webHidden/>
              </w:rPr>
              <w:fldChar w:fldCharType="begin"/>
            </w:r>
            <w:r>
              <w:rPr>
                <w:noProof/>
                <w:webHidden/>
              </w:rPr>
              <w:instrText xml:space="preserve"> PAGEREF _Toc239425580 \h </w:instrText>
            </w:r>
            <w:r>
              <w:rPr>
                <w:noProof/>
                <w:webHidden/>
              </w:rPr>
            </w:r>
            <w:r>
              <w:rPr>
                <w:noProof/>
                <w:webHidden/>
              </w:rPr>
              <w:fldChar w:fldCharType="separate"/>
            </w:r>
            <w:r>
              <w:rPr>
                <w:noProof/>
                <w:webHidden/>
              </w:rPr>
              <w:t>9</w:t>
            </w:r>
            <w:r>
              <w:rPr>
                <w:noProof/>
                <w:webHidden/>
              </w:rPr>
              <w:fldChar w:fldCharType="end"/>
            </w:r>
          </w:hyperlink>
        </w:p>
        <w:p w14:paraId="4018D19E" w14:textId="4B830E12" w:rsidR="001B6384" w:rsidRDefault="001B6384">
          <w:pPr>
            <w:pStyle w:val="TOC1"/>
            <w:tabs>
              <w:tab w:val="right" w:leader="dot" w:pos="9016"/>
            </w:tabs>
            <w:rPr>
              <w:rFonts w:eastAsiaTheme="minorEastAsia"/>
              <w:noProof/>
              <w:lang w:eastAsia="en-GB"/>
            </w:rPr>
          </w:pPr>
          <w:hyperlink w:anchor="_Toc239425581" w:history="1">
            <w:r w:rsidRPr="00957FD6">
              <w:rPr>
                <w:rStyle w:val="Hyperlink"/>
                <w:noProof/>
              </w:rPr>
              <w:t>References</w:t>
            </w:r>
            <w:r>
              <w:rPr>
                <w:noProof/>
                <w:webHidden/>
              </w:rPr>
              <w:tab/>
            </w:r>
            <w:r>
              <w:rPr>
                <w:noProof/>
                <w:webHidden/>
              </w:rPr>
              <w:fldChar w:fldCharType="begin"/>
            </w:r>
            <w:r>
              <w:rPr>
                <w:noProof/>
                <w:webHidden/>
              </w:rPr>
              <w:instrText xml:space="preserve"> PAGEREF _Toc239425581 \h </w:instrText>
            </w:r>
            <w:r>
              <w:rPr>
                <w:noProof/>
                <w:webHidden/>
              </w:rPr>
            </w:r>
            <w:r>
              <w:rPr>
                <w:noProof/>
                <w:webHidden/>
              </w:rPr>
              <w:fldChar w:fldCharType="separate"/>
            </w:r>
            <w:r>
              <w:rPr>
                <w:noProof/>
                <w:webHidden/>
              </w:rPr>
              <w:t>10</w:t>
            </w:r>
            <w:r>
              <w:rPr>
                <w:noProof/>
                <w:webHidden/>
              </w:rPr>
              <w:fldChar w:fldCharType="end"/>
            </w:r>
          </w:hyperlink>
        </w:p>
        <w:p w14:paraId="132E8300" w14:textId="3E8B34F8" w:rsidR="001B6384" w:rsidRDefault="001B6384">
          <w:pPr>
            <w:pStyle w:val="TOC1"/>
            <w:tabs>
              <w:tab w:val="right" w:leader="dot" w:pos="9016"/>
            </w:tabs>
            <w:rPr>
              <w:rFonts w:eastAsiaTheme="minorEastAsia"/>
              <w:noProof/>
              <w:lang w:eastAsia="en-GB"/>
            </w:rPr>
          </w:pPr>
          <w:hyperlink w:anchor="_Toc239425582" w:history="1">
            <w:r w:rsidRPr="00957FD6">
              <w:rPr>
                <w:rStyle w:val="Hyperlink"/>
                <w:noProof/>
              </w:rPr>
              <w:t>ANNEX A – Detailed Calculations</w:t>
            </w:r>
            <w:r>
              <w:rPr>
                <w:noProof/>
                <w:webHidden/>
              </w:rPr>
              <w:tab/>
            </w:r>
            <w:r>
              <w:rPr>
                <w:noProof/>
                <w:webHidden/>
              </w:rPr>
              <w:fldChar w:fldCharType="begin"/>
            </w:r>
            <w:r>
              <w:rPr>
                <w:noProof/>
                <w:webHidden/>
              </w:rPr>
              <w:instrText xml:space="preserve"> PAGEREF _Toc239425582 \h </w:instrText>
            </w:r>
            <w:r>
              <w:rPr>
                <w:noProof/>
                <w:webHidden/>
              </w:rPr>
            </w:r>
            <w:r>
              <w:rPr>
                <w:noProof/>
                <w:webHidden/>
              </w:rPr>
              <w:fldChar w:fldCharType="separate"/>
            </w:r>
            <w:r>
              <w:rPr>
                <w:noProof/>
                <w:webHidden/>
              </w:rPr>
              <w:t>11</w:t>
            </w:r>
            <w:r>
              <w:rPr>
                <w:noProof/>
                <w:webHidden/>
              </w:rPr>
              <w:fldChar w:fldCharType="end"/>
            </w:r>
          </w:hyperlink>
        </w:p>
        <w:p w14:paraId="5B21DFE0" w14:textId="7A64605A" w:rsidR="00614901" w:rsidRDefault="00614901">
          <w:r>
            <w:rPr>
              <w:b/>
              <w:bCs/>
              <w:noProof/>
            </w:rPr>
            <w:fldChar w:fldCharType="end"/>
          </w:r>
        </w:p>
      </w:sdtContent>
    </w:sdt>
    <w:p w14:paraId="65E46849" w14:textId="285DB44F" w:rsidR="00614901" w:rsidRDefault="00614901"/>
    <w:p w14:paraId="2DDAFE96" w14:textId="5B6E08FB" w:rsidR="001A23EE" w:rsidRDefault="00614901">
      <w:r>
        <w:br w:type="page"/>
      </w:r>
    </w:p>
    <w:p w14:paraId="15D284EA" w14:textId="07A042F5" w:rsidR="001A23EE" w:rsidRDefault="001A23EE" w:rsidP="001A23EE">
      <w:pPr>
        <w:pStyle w:val="Heading1"/>
      </w:pPr>
      <w:bookmarkStart w:id="0" w:name="_Toc239425561"/>
      <w:r>
        <w:lastRenderedPageBreak/>
        <w:t>Table of Equations</w:t>
      </w:r>
      <w:bookmarkEnd w:id="0"/>
    </w:p>
    <w:p w14:paraId="33962115" w14:textId="4E5916FC" w:rsidR="001B6384" w:rsidRDefault="001A23EE">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239425551" w:history="1">
        <w:r w:rsidR="001B6384" w:rsidRPr="00BE36AD">
          <w:rPr>
            <w:rStyle w:val="Hyperlink"/>
            <w:noProof/>
          </w:rPr>
          <w:t>Equation 1 - Activity at time t</w:t>
        </w:r>
        <w:r w:rsidR="001B6384">
          <w:rPr>
            <w:noProof/>
            <w:webHidden/>
          </w:rPr>
          <w:tab/>
        </w:r>
        <w:r w:rsidR="001B6384">
          <w:rPr>
            <w:noProof/>
            <w:webHidden/>
          </w:rPr>
          <w:fldChar w:fldCharType="begin"/>
        </w:r>
        <w:r w:rsidR="001B6384">
          <w:rPr>
            <w:noProof/>
            <w:webHidden/>
          </w:rPr>
          <w:instrText xml:space="preserve"> PAGEREF _Toc239425551 \h </w:instrText>
        </w:r>
        <w:r w:rsidR="001B6384">
          <w:rPr>
            <w:noProof/>
            <w:webHidden/>
          </w:rPr>
        </w:r>
        <w:r w:rsidR="001B6384">
          <w:rPr>
            <w:noProof/>
            <w:webHidden/>
          </w:rPr>
          <w:fldChar w:fldCharType="separate"/>
        </w:r>
        <w:r w:rsidR="001B6384">
          <w:rPr>
            <w:noProof/>
            <w:webHidden/>
          </w:rPr>
          <w:t>11</w:t>
        </w:r>
        <w:r w:rsidR="001B6384">
          <w:rPr>
            <w:noProof/>
            <w:webHidden/>
          </w:rPr>
          <w:fldChar w:fldCharType="end"/>
        </w:r>
      </w:hyperlink>
    </w:p>
    <w:p w14:paraId="217FFA86" w14:textId="32256056" w:rsidR="001B6384" w:rsidRDefault="001B6384">
      <w:pPr>
        <w:pStyle w:val="TableofFigures"/>
        <w:tabs>
          <w:tab w:val="right" w:leader="dot" w:pos="9016"/>
        </w:tabs>
        <w:rPr>
          <w:rFonts w:eastAsiaTheme="minorEastAsia"/>
          <w:noProof/>
          <w:lang w:eastAsia="en-GB"/>
        </w:rPr>
      </w:pPr>
      <w:hyperlink w:anchor="_Toc239425552" w:history="1">
        <w:r w:rsidRPr="00BE36AD">
          <w:rPr>
            <w:rStyle w:val="Hyperlink"/>
            <w:noProof/>
          </w:rPr>
          <w:t>Equation 2 - Flux at distance r</w:t>
        </w:r>
        <w:r>
          <w:rPr>
            <w:noProof/>
            <w:webHidden/>
          </w:rPr>
          <w:tab/>
        </w:r>
        <w:r>
          <w:rPr>
            <w:noProof/>
            <w:webHidden/>
          </w:rPr>
          <w:fldChar w:fldCharType="begin"/>
        </w:r>
        <w:r>
          <w:rPr>
            <w:noProof/>
            <w:webHidden/>
          </w:rPr>
          <w:instrText xml:space="preserve"> PAGEREF _Toc239425552 \h </w:instrText>
        </w:r>
        <w:r>
          <w:rPr>
            <w:noProof/>
            <w:webHidden/>
          </w:rPr>
        </w:r>
        <w:r>
          <w:rPr>
            <w:noProof/>
            <w:webHidden/>
          </w:rPr>
          <w:fldChar w:fldCharType="separate"/>
        </w:r>
        <w:r>
          <w:rPr>
            <w:noProof/>
            <w:webHidden/>
          </w:rPr>
          <w:t>11</w:t>
        </w:r>
        <w:r>
          <w:rPr>
            <w:noProof/>
            <w:webHidden/>
          </w:rPr>
          <w:fldChar w:fldCharType="end"/>
        </w:r>
      </w:hyperlink>
    </w:p>
    <w:p w14:paraId="45BA9CA1" w14:textId="5CF21D53" w:rsidR="001B6384" w:rsidRDefault="001B6384">
      <w:pPr>
        <w:pStyle w:val="TableofFigures"/>
        <w:tabs>
          <w:tab w:val="right" w:leader="dot" w:pos="9016"/>
        </w:tabs>
        <w:rPr>
          <w:rFonts w:eastAsiaTheme="minorEastAsia"/>
          <w:noProof/>
          <w:lang w:eastAsia="en-GB"/>
        </w:rPr>
      </w:pPr>
      <w:hyperlink w:anchor="_Toc239425553" w:history="1">
        <w:r w:rsidRPr="00BE36AD">
          <w:rPr>
            <w:rStyle w:val="Hyperlink"/>
            <w:noProof/>
          </w:rPr>
          <w:t>Equation 3 - Dose Rate</w:t>
        </w:r>
        <w:r>
          <w:rPr>
            <w:noProof/>
            <w:webHidden/>
          </w:rPr>
          <w:tab/>
        </w:r>
        <w:r>
          <w:rPr>
            <w:noProof/>
            <w:webHidden/>
          </w:rPr>
          <w:fldChar w:fldCharType="begin"/>
        </w:r>
        <w:r>
          <w:rPr>
            <w:noProof/>
            <w:webHidden/>
          </w:rPr>
          <w:instrText xml:space="preserve"> PAGEREF _Toc239425553 \h </w:instrText>
        </w:r>
        <w:r>
          <w:rPr>
            <w:noProof/>
            <w:webHidden/>
          </w:rPr>
        </w:r>
        <w:r>
          <w:rPr>
            <w:noProof/>
            <w:webHidden/>
          </w:rPr>
          <w:fldChar w:fldCharType="separate"/>
        </w:r>
        <w:r>
          <w:rPr>
            <w:noProof/>
            <w:webHidden/>
          </w:rPr>
          <w:t>12</w:t>
        </w:r>
        <w:r>
          <w:rPr>
            <w:noProof/>
            <w:webHidden/>
          </w:rPr>
          <w:fldChar w:fldCharType="end"/>
        </w:r>
      </w:hyperlink>
    </w:p>
    <w:p w14:paraId="23179DF0" w14:textId="13B3E9AD" w:rsidR="001B6384" w:rsidRDefault="001B6384">
      <w:pPr>
        <w:pStyle w:val="TableofFigures"/>
        <w:tabs>
          <w:tab w:val="right" w:leader="dot" w:pos="9016"/>
        </w:tabs>
        <w:rPr>
          <w:rFonts w:eastAsiaTheme="minorEastAsia"/>
          <w:noProof/>
          <w:lang w:eastAsia="en-GB"/>
        </w:rPr>
      </w:pPr>
      <w:hyperlink w:anchor="_Toc239425554" w:history="1">
        <w:r w:rsidRPr="00BE36AD">
          <w:rPr>
            <w:rStyle w:val="Hyperlink"/>
            <w:noProof/>
          </w:rPr>
          <w:t>Equation 4  - Absorbed Dose</w:t>
        </w:r>
        <w:r>
          <w:rPr>
            <w:noProof/>
            <w:webHidden/>
          </w:rPr>
          <w:tab/>
        </w:r>
        <w:r>
          <w:rPr>
            <w:noProof/>
            <w:webHidden/>
          </w:rPr>
          <w:fldChar w:fldCharType="begin"/>
        </w:r>
        <w:r>
          <w:rPr>
            <w:noProof/>
            <w:webHidden/>
          </w:rPr>
          <w:instrText xml:space="preserve"> PAGEREF _Toc239425554 \h </w:instrText>
        </w:r>
        <w:r>
          <w:rPr>
            <w:noProof/>
            <w:webHidden/>
          </w:rPr>
        </w:r>
        <w:r>
          <w:rPr>
            <w:noProof/>
            <w:webHidden/>
          </w:rPr>
          <w:fldChar w:fldCharType="separate"/>
        </w:r>
        <w:r>
          <w:rPr>
            <w:noProof/>
            <w:webHidden/>
          </w:rPr>
          <w:t>12</w:t>
        </w:r>
        <w:r>
          <w:rPr>
            <w:noProof/>
            <w:webHidden/>
          </w:rPr>
          <w:fldChar w:fldCharType="end"/>
        </w:r>
      </w:hyperlink>
    </w:p>
    <w:p w14:paraId="5C12C4AC" w14:textId="5927D04B" w:rsidR="001B6384" w:rsidRDefault="001B6384">
      <w:pPr>
        <w:pStyle w:val="TableofFigures"/>
        <w:tabs>
          <w:tab w:val="right" w:leader="dot" w:pos="9016"/>
        </w:tabs>
        <w:rPr>
          <w:rFonts w:eastAsiaTheme="minorEastAsia"/>
          <w:noProof/>
          <w:lang w:eastAsia="en-GB"/>
        </w:rPr>
      </w:pPr>
      <w:hyperlink w:anchor="_Toc239425555" w:history="1">
        <w:r w:rsidRPr="00BE36AD">
          <w:rPr>
            <w:rStyle w:val="Hyperlink"/>
            <w:noProof/>
          </w:rPr>
          <w:t>Equation 5 - Half Value Layer</w:t>
        </w:r>
        <w:r>
          <w:rPr>
            <w:noProof/>
            <w:webHidden/>
          </w:rPr>
          <w:tab/>
        </w:r>
        <w:r>
          <w:rPr>
            <w:noProof/>
            <w:webHidden/>
          </w:rPr>
          <w:fldChar w:fldCharType="begin"/>
        </w:r>
        <w:r>
          <w:rPr>
            <w:noProof/>
            <w:webHidden/>
          </w:rPr>
          <w:instrText xml:space="preserve"> PAGEREF _Toc239425555 \h </w:instrText>
        </w:r>
        <w:r>
          <w:rPr>
            <w:noProof/>
            <w:webHidden/>
          </w:rPr>
        </w:r>
        <w:r>
          <w:rPr>
            <w:noProof/>
            <w:webHidden/>
          </w:rPr>
          <w:fldChar w:fldCharType="separate"/>
        </w:r>
        <w:r>
          <w:rPr>
            <w:noProof/>
            <w:webHidden/>
          </w:rPr>
          <w:t>12</w:t>
        </w:r>
        <w:r>
          <w:rPr>
            <w:noProof/>
            <w:webHidden/>
          </w:rPr>
          <w:fldChar w:fldCharType="end"/>
        </w:r>
      </w:hyperlink>
    </w:p>
    <w:p w14:paraId="570FD512" w14:textId="1CD2F43C" w:rsidR="001B6384" w:rsidRDefault="001B6384">
      <w:pPr>
        <w:pStyle w:val="TableofFigures"/>
        <w:tabs>
          <w:tab w:val="right" w:leader="dot" w:pos="9016"/>
        </w:tabs>
        <w:rPr>
          <w:rFonts w:eastAsiaTheme="minorEastAsia"/>
          <w:noProof/>
          <w:lang w:eastAsia="en-GB"/>
        </w:rPr>
      </w:pPr>
      <w:hyperlink w:anchor="_Toc239425556" w:history="1">
        <w:r w:rsidRPr="00BE36AD">
          <w:rPr>
            <w:rStyle w:val="Hyperlink"/>
            <w:noProof/>
          </w:rPr>
          <w:t>Equation 6 - Dose rate through a shield</w:t>
        </w:r>
        <w:r>
          <w:rPr>
            <w:noProof/>
            <w:webHidden/>
          </w:rPr>
          <w:tab/>
        </w:r>
        <w:r>
          <w:rPr>
            <w:noProof/>
            <w:webHidden/>
          </w:rPr>
          <w:fldChar w:fldCharType="begin"/>
        </w:r>
        <w:r>
          <w:rPr>
            <w:noProof/>
            <w:webHidden/>
          </w:rPr>
          <w:instrText xml:space="preserve"> PAGEREF _Toc239425556 \h </w:instrText>
        </w:r>
        <w:r>
          <w:rPr>
            <w:noProof/>
            <w:webHidden/>
          </w:rPr>
        </w:r>
        <w:r>
          <w:rPr>
            <w:noProof/>
            <w:webHidden/>
          </w:rPr>
          <w:fldChar w:fldCharType="separate"/>
        </w:r>
        <w:r>
          <w:rPr>
            <w:noProof/>
            <w:webHidden/>
          </w:rPr>
          <w:t>13</w:t>
        </w:r>
        <w:r>
          <w:rPr>
            <w:noProof/>
            <w:webHidden/>
          </w:rPr>
          <w:fldChar w:fldCharType="end"/>
        </w:r>
      </w:hyperlink>
    </w:p>
    <w:p w14:paraId="661C0162" w14:textId="156E0489" w:rsidR="00614901" w:rsidRDefault="001A23EE">
      <w:r>
        <w:fldChar w:fldCharType="end"/>
      </w:r>
    </w:p>
    <w:p w14:paraId="730A8214" w14:textId="77777777" w:rsidR="005D49E2" w:rsidRDefault="005D49E2"/>
    <w:p w14:paraId="2E10C532" w14:textId="77777777" w:rsidR="005D49E2" w:rsidRDefault="005D49E2" w:rsidP="005D49E2">
      <w:pPr>
        <w:pStyle w:val="Heading1"/>
      </w:pPr>
      <w:bookmarkStart w:id="1" w:name="_Toc239425562"/>
      <w:r>
        <w:t>Table of Tables</w:t>
      </w:r>
      <w:bookmarkEnd w:id="1"/>
    </w:p>
    <w:p w14:paraId="7246662D" w14:textId="02A37530" w:rsidR="001B6384" w:rsidRDefault="005D49E2">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239425557" w:history="1">
        <w:r w:rsidR="001B6384" w:rsidRPr="00D93A4C">
          <w:rPr>
            <w:rStyle w:val="Hyperlink"/>
            <w:noProof/>
          </w:rPr>
          <w:t>Table 1 - Table of Terms</w:t>
        </w:r>
        <w:r w:rsidR="001B6384">
          <w:rPr>
            <w:noProof/>
            <w:webHidden/>
          </w:rPr>
          <w:tab/>
        </w:r>
        <w:r w:rsidR="001B6384">
          <w:rPr>
            <w:noProof/>
            <w:webHidden/>
          </w:rPr>
          <w:fldChar w:fldCharType="begin"/>
        </w:r>
        <w:r w:rsidR="001B6384">
          <w:rPr>
            <w:noProof/>
            <w:webHidden/>
          </w:rPr>
          <w:instrText xml:space="preserve"> PAGEREF _Toc239425557 \h </w:instrText>
        </w:r>
        <w:r w:rsidR="001B6384">
          <w:rPr>
            <w:noProof/>
            <w:webHidden/>
          </w:rPr>
        </w:r>
        <w:r w:rsidR="001B6384">
          <w:rPr>
            <w:noProof/>
            <w:webHidden/>
          </w:rPr>
          <w:fldChar w:fldCharType="separate"/>
        </w:r>
        <w:r w:rsidR="001B6384">
          <w:rPr>
            <w:noProof/>
            <w:webHidden/>
          </w:rPr>
          <w:t>11</w:t>
        </w:r>
        <w:r w:rsidR="001B6384">
          <w:rPr>
            <w:noProof/>
            <w:webHidden/>
          </w:rPr>
          <w:fldChar w:fldCharType="end"/>
        </w:r>
      </w:hyperlink>
    </w:p>
    <w:p w14:paraId="1D3871EE" w14:textId="11CAC74F" w:rsidR="001A23EE" w:rsidRDefault="005D49E2" w:rsidP="005D49E2">
      <w:r>
        <w:fldChar w:fldCharType="end"/>
      </w:r>
      <w:r w:rsidR="001A23EE">
        <w:br w:type="page"/>
      </w:r>
    </w:p>
    <w:p w14:paraId="6FD0072F" w14:textId="7F488C39" w:rsidR="00CF2169" w:rsidRDefault="00CF2169" w:rsidP="00CF2169">
      <w:pPr>
        <w:pStyle w:val="Heading1"/>
      </w:pPr>
      <w:bookmarkStart w:id="2" w:name="_Toc239425563"/>
      <w:r>
        <w:lastRenderedPageBreak/>
        <w:t>Abstract</w:t>
      </w:r>
      <w:bookmarkEnd w:id="2"/>
    </w:p>
    <w:p w14:paraId="27C1FFCA" w14:textId="77777777" w:rsidR="00F53C2C" w:rsidRDefault="00F53C2C">
      <w:r>
        <w:t>This report covers an incident where an industrial imaging device was being used for routine checks on welding. The worker attempted to move the device into a safe configuration for packing up but the mechanism which moves the radioactive source failed. This led the worker to be exposed to radiation for a period of minutes.</w:t>
      </w:r>
    </w:p>
    <w:p w14:paraId="64821FCB" w14:textId="77777777" w:rsidR="00F53C2C" w:rsidRDefault="00F53C2C">
      <w:r>
        <w:t xml:space="preserve">As part of this report, calculations have been undertaken to estimate the dose received by the worker. With this data, recommendations will be provided to prevent repeat incidents. </w:t>
      </w:r>
    </w:p>
    <w:p w14:paraId="6EDC1F9F" w14:textId="31EE9B33" w:rsidR="008A2A29" w:rsidRDefault="00F53C2C">
      <w:pPr>
        <w:rPr>
          <w:rFonts w:asciiTheme="majorHAnsi" w:eastAsiaTheme="majorEastAsia" w:hAnsiTheme="majorHAnsi" w:cstheme="majorBidi"/>
          <w:color w:val="0F4761" w:themeColor="accent1" w:themeShade="BF"/>
          <w:sz w:val="40"/>
          <w:szCs w:val="40"/>
        </w:rPr>
      </w:pPr>
      <w:r>
        <w:t xml:space="preserve">The findings are that the worker did not breach any legislation or procedure. That the maintenance and inspection of radiation equipment </w:t>
      </w:r>
      <w:proofErr w:type="gramStart"/>
      <w:r>
        <w:t>needs</w:t>
      </w:r>
      <w:proofErr w:type="gramEnd"/>
      <w:r>
        <w:t xml:space="preserve"> to be improved and that the design of the imaging device had a single failure point with no visible or audible indication. The exposure to the worker was minimal but could have been far more severe if the coworker had not arrived.</w:t>
      </w:r>
      <w:r w:rsidR="008A2A29">
        <w:br w:type="page"/>
      </w:r>
    </w:p>
    <w:p w14:paraId="76F3E1EE" w14:textId="65FE7BB1" w:rsidR="00CF2169" w:rsidRPr="00CF2169" w:rsidRDefault="00CF2169" w:rsidP="00CF2169">
      <w:pPr>
        <w:pStyle w:val="Heading1"/>
      </w:pPr>
      <w:bookmarkStart w:id="3" w:name="_Toc239425564"/>
      <w:r>
        <w:lastRenderedPageBreak/>
        <w:t>Section 1: Introduction</w:t>
      </w:r>
      <w:bookmarkEnd w:id="3"/>
    </w:p>
    <w:p w14:paraId="304D8114" w14:textId="173E6BD0" w:rsidR="00614901" w:rsidRDefault="00CF2169" w:rsidP="00CF2169">
      <w:pPr>
        <w:pStyle w:val="Heading2"/>
      </w:pPr>
      <w:bookmarkStart w:id="4" w:name="_Toc239425565"/>
      <w:r>
        <w:t xml:space="preserve">1.1: </w:t>
      </w:r>
      <w:r w:rsidR="00614901">
        <w:t>Source</w:t>
      </w:r>
      <w:bookmarkEnd w:id="4"/>
    </w:p>
    <w:p w14:paraId="0D65BF9F" w14:textId="0825B010" w:rsidR="00614901" w:rsidRDefault="00614901" w:rsidP="00614901">
      <w:r>
        <w:t xml:space="preserve">The system housing the radioactive source was a </w:t>
      </w:r>
      <w:r w:rsidRPr="00614901">
        <w:t>Gamma Radiography Exposure Device (Projector Type B(U))</w:t>
      </w:r>
      <w:r>
        <w:t xml:space="preserve">. This is used in non-destructive testing of welds for internal defects.  </w:t>
      </w:r>
      <w:r w:rsidR="00CF2169">
        <w:t>These systems consist of an ionizing radioactive source contained within a housing built out of a shielding material. This ensures that ionizing radiation does not proliferate in undesired directions and that all radiation is contained while the device is not in use.</w:t>
      </w:r>
      <w:r w:rsidR="00727338">
        <w:t xml:space="preserve"> </w:t>
      </w:r>
    </w:p>
    <w:p w14:paraId="3364497D" w14:textId="086EC011" w:rsidR="00727338" w:rsidRDefault="00727338" w:rsidP="00614901">
      <w:r>
        <w:t>To begin operation, the source is moved with a hand crank so that it protrudes from its housing into the waveguide, which directs the radiation as desired. Once finished, the source is moved with the hand crank back to its original position. The device contains an indicator to show the position of the source and a locking mechanism to prevent it from moving freely.</w:t>
      </w:r>
    </w:p>
    <w:p w14:paraId="2B15C965" w14:textId="3CECDBA6" w:rsidR="00CF2169" w:rsidRDefault="00E019A4" w:rsidP="00E019A4">
      <w:pPr>
        <w:pStyle w:val="Heading2"/>
      </w:pPr>
      <w:bookmarkStart w:id="5" w:name="_Toc239425566"/>
      <w:r>
        <w:t>1.2: Personnel</w:t>
      </w:r>
      <w:bookmarkEnd w:id="5"/>
    </w:p>
    <w:p w14:paraId="68B1E24B" w14:textId="06374997" w:rsidR="00E019A4" w:rsidRDefault="00E019A4" w:rsidP="00E019A4">
      <w:r>
        <w:t xml:space="preserve">There was a single individual working in this scenario. A second worker arrived and noticed the ongoing exposure incident and both workers retreated to a safe distance. In the second worker was present for a negligible </w:t>
      </w:r>
      <w:proofErr w:type="gramStart"/>
      <w:r>
        <w:t>time period</w:t>
      </w:r>
      <w:proofErr w:type="gramEnd"/>
      <w:r>
        <w:t>.</w:t>
      </w:r>
    </w:p>
    <w:p w14:paraId="6007944A" w14:textId="1306A9BB" w:rsidR="00E019A4" w:rsidRDefault="00E019A4" w:rsidP="00E019A4">
      <w:pPr>
        <w:pStyle w:val="Heading2"/>
      </w:pPr>
      <w:bookmarkStart w:id="6" w:name="_Toc239425567"/>
      <w:r>
        <w:t xml:space="preserve">1.3: </w:t>
      </w:r>
      <w:r w:rsidR="00B82C31">
        <w:t xml:space="preserve">Area </w:t>
      </w:r>
      <w:r>
        <w:t>Safey</w:t>
      </w:r>
      <w:bookmarkEnd w:id="6"/>
    </w:p>
    <w:p w14:paraId="5A939D97" w14:textId="2CC18AD7" w:rsidR="00E019A4" w:rsidRPr="00E019A4" w:rsidRDefault="006F1164" w:rsidP="00E019A4">
      <w:r>
        <w:t>A controlled area</w:t>
      </w:r>
      <w:r w:rsidR="00E019A4">
        <w:t xml:space="preserve"> was cordoned off with signage to denote an active radiation hazard in accordance with </w:t>
      </w:r>
      <w:r w:rsidR="00B82C31">
        <w:t xml:space="preserve">the Ionising Radiation Regulations 2017 </w:t>
      </w:r>
      <w:sdt>
        <w:sdtPr>
          <w:id w:val="803579086"/>
          <w:citation/>
        </w:sdtPr>
        <w:sdtContent>
          <w:r w:rsidR="00B82C31">
            <w:fldChar w:fldCharType="begin"/>
          </w:r>
          <w:r w:rsidR="00B82C31">
            <w:instrText xml:space="preserve"> CITATION UKL26 \l 2057 </w:instrText>
          </w:r>
          <w:r w:rsidR="00B82C31">
            <w:fldChar w:fldCharType="separate"/>
          </w:r>
          <w:r w:rsidR="00252D6F" w:rsidRPr="00252D6F">
            <w:rPr>
              <w:noProof/>
            </w:rPr>
            <w:t>(Legislation, 13)</w:t>
          </w:r>
          <w:r w:rsidR="00B82C31">
            <w:fldChar w:fldCharType="end"/>
          </w:r>
        </w:sdtContent>
      </w:sdt>
      <w:r w:rsidR="00B82C31">
        <w:t xml:space="preserve">. Due to this, only authorised personnel were permitted entry to the work area. </w:t>
      </w:r>
    </w:p>
    <w:p w14:paraId="215D8068" w14:textId="77777777" w:rsidR="00F53C2C" w:rsidRDefault="00F53C2C" w:rsidP="00F53C2C">
      <w:pPr>
        <w:pStyle w:val="Heading2"/>
      </w:pPr>
      <w:bookmarkStart w:id="7" w:name="_Toc239425568"/>
      <w:r>
        <w:t>1.4: Incident</w:t>
      </w:r>
      <w:bookmarkEnd w:id="7"/>
    </w:p>
    <w:p w14:paraId="37993886" w14:textId="666D03AF" w:rsidR="0063458D" w:rsidRDefault="00F53C2C" w:rsidP="00F53C2C">
      <w:pPr>
        <w:rPr>
          <w:sz w:val="40"/>
          <w:szCs w:val="40"/>
        </w:rPr>
      </w:pPr>
      <w:r>
        <w:t xml:space="preserve">While working on an evening shift, a worker began the process of disassembling the apparatus. One of the first steps in this process is to retract the radioactive source back into </w:t>
      </w:r>
      <w:proofErr w:type="gramStart"/>
      <w:r>
        <w:t>its</w:t>
      </w:r>
      <w:proofErr w:type="gramEnd"/>
      <w:r>
        <w:t xml:space="preserve"> casing so that it no longer emits along the waveguide. The operator attempted to do this however the mechanism which retracts the source failed while the indicator showed that it had been safely retracted. This led to a period of 5 to 6 minutes where the worker was exposed to an emitting Iridium 192 source until a fellow employee arrived and recognised what was going on.</w:t>
      </w:r>
      <w:r w:rsidR="0063458D">
        <w:br w:type="page"/>
      </w:r>
    </w:p>
    <w:p w14:paraId="7B5BF9C6" w14:textId="031429EE" w:rsidR="00CF2169" w:rsidRDefault="00CF2169" w:rsidP="00CF2169">
      <w:pPr>
        <w:pStyle w:val="Heading1"/>
      </w:pPr>
      <w:bookmarkStart w:id="8" w:name="_Toc239425569"/>
      <w:r>
        <w:lastRenderedPageBreak/>
        <w:t>Section 2: Technical Exposition</w:t>
      </w:r>
      <w:bookmarkEnd w:id="8"/>
    </w:p>
    <w:p w14:paraId="0E3E37B4" w14:textId="448C741D" w:rsidR="00CF2169" w:rsidRDefault="00CF2169" w:rsidP="00CF2169">
      <w:pPr>
        <w:pStyle w:val="Heading2"/>
      </w:pPr>
      <w:bookmarkStart w:id="9" w:name="_Toc239425570"/>
      <w:r>
        <w:t>2.1: Iridium</w:t>
      </w:r>
      <w:bookmarkEnd w:id="9"/>
    </w:p>
    <w:p w14:paraId="0C1C24C9" w14:textId="3D4EBBAA" w:rsidR="00CF2169" w:rsidRPr="00CF2169" w:rsidRDefault="00CF2169" w:rsidP="00CF2169">
      <w:r>
        <w:t>Iridium (</w:t>
      </w:r>
      <w:proofErr w:type="spellStart"/>
      <w:r>
        <w:t>Ir</w:t>
      </w:r>
      <w:proofErr w:type="spellEnd"/>
      <w:r>
        <w:t>) 192 is a</w:t>
      </w:r>
      <w:r w:rsidR="00E76145">
        <w:t>n extremely dense</w:t>
      </w:r>
      <w:r>
        <w:t xml:space="preserve"> radioactive isotope. </w:t>
      </w:r>
      <w:r w:rsidR="00E75B61">
        <w:t>It is commonly used in the medical field to treat cancers</w:t>
      </w:r>
      <w:r w:rsidR="0001394D">
        <w:t xml:space="preserve"> </w:t>
      </w:r>
      <w:sdt>
        <w:sdtPr>
          <w:id w:val="1516268963"/>
          <w:citation/>
        </w:sdtPr>
        <w:sdtContent>
          <w:r w:rsidR="0001394D">
            <w:fldChar w:fldCharType="begin"/>
          </w:r>
          <w:r w:rsidR="0001394D">
            <w:instrText xml:space="preserve"> CITATION Tsi23 \l 2057 </w:instrText>
          </w:r>
          <w:r w:rsidR="0001394D">
            <w:fldChar w:fldCharType="separate"/>
          </w:r>
          <w:r w:rsidR="00252D6F" w:rsidRPr="00252D6F">
            <w:rPr>
              <w:noProof/>
            </w:rPr>
            <w:t>(Tsige Y. Gebremariam, 2023)</w:t>
          </w:r>
          <w:r w:rsidR="0001394D">
            <w:fldChar w:fldCharType="end"/>
          </w:r>
        </w:sdtContent>
      </w:sdt>
      <w:r w:rsidR="00E75B61">
        <w:t>.</w:t>
      </w:r>
      <w:r w:rsidR="0017484B">
        <w:t xml:space="preserve"> In this scenario the material had an activity of 3.2 </w:t>
      </w:r>
      <w:proofErr w:type="spellStart"/>
      <w:r w:rsidR="0017484B">
        <w:t>TBq</w:t>
      </w:r>
      <w:proofErr w:type="spellEnd"/>
      <w:r w:rsidR="0017484B">
        <w:t xml:space="preserve"> when certified on 01/08/2024</w:t>
      </w:r>
      <w:r w:rsidR="00426475">
        <w:t xml:space="preserve">. Iridium has a half-life of 73.83 days </w:t>
      </w:r>
      <w:sdt>
        <w:sdtPr>
          <w:id w:val="-633566813"/>
          <w:citation/>
        </w:sdtPr>
        <w:sdtContent>
          <w:r w:rsidR="00426475">
            <w:fldChar w:fldCharType="begin"/>
          </w:r>
          <w:r w:rsidR="00426475">
            <w:instrText xml:space="preserve"> CITATION Onc26 \l 2057 </w:instrText>
          </w:r>
          <w:r w:rsidR="00426475">
            <w:fldChar w:fldCharType="separate"/>
          </w:r>
          <w:r w:rsidR="00252D6F" w:rsidRPr="00252D6F">
            <w:rPr>
              <w:noProof/>
            </w:rPr>
            <w:t>(Anon., n.d.)</w:t>
          </w:r>
          <w:r w:rsidR="00426475">
            <w:fldChar w:fldCharType="end"/>
          </w:r>
        </w:sdtContent>
      </w:sdt>
      <w:r w:rsidR="0017484B">
        <w:t xml:space="preserve">. </w:t>
      </w:r>
      <w:r w:rsidR="00027988">
        <w:t>The radiation emitted from this isotope is primarily beta minus decay. This is where an unstable nucleus turns one of its neutrons into a proton and electron. Due to the positive nature of the nucleus, the negatively charged electron is emitted with high energy. The other form of decay Ir-192 undergoes is electron capture. In this mode of decay, the nucleus absorbs an electron from one of the inner orbital shells. This then combines with a proton to create a neutron.</w:t>
      </w:r>
    </w:p>
    <w:p w14:paraId="32671601" w14:textId="156D913B" w:rsidR="00CF2169" w:rsidRDefault="00DB0FAC" w:rsidP="00DB0FAC">
      <w:pPr>
        <w:pStyle w:val="Heading2"/>
      </w:pPr>
      <w:bookmarkStart w:id="10" w:name="_Toc239425571"/>
      <w:r>
        <w:t>2.2: Dosimetry</w:t>
      </w:r>
      <w:bookmarkEnd w:id="10"/>
      <w:r>
        <w:t xml:space="preserve">  </w:t>
      </w:r>
    </w:p>
    <w:p w14:paraId="0DBD52DA" w14:textId="10B5B702" w:rsidR="00DB0FAC" w:rsidRDefault="00DB0FAC" w:rsidP="00DB0FAC">
      <w:r>
        <w:t xml:space="preserve">A dosimeter is a device used to track the dose of radiation accrued. Depending on the situation, different types of dosimeters are used. </w:t>
      </w:r>
      <w:r>
        <w:t xml:space="preserve">Electric </w:t>
      </w:r>
      <w:r>
        <w:t>Personal Dosimeters (</w:t>
      </w:r>
      <w:r w:rsidR="007F78FD">
        <w:t>EDPs</w:t>
      </w:r>
      <w:r>
        <w:t xml:space="preserve">) are worn by radiation workers and provide an instant reading at any one time. The often incorporate an audible noise when the dose is increasing providing awareness to the user that they are actively being exposed to ionizing radiation. The drawback of </w:t>
      </w:r>
      <w:r w:rsidR="007F78FD">
        <w:t>EDP</w:t>
      </w:r>
      <w:r>
        <w:t xml:space="preserve"> is that they are less accurate than a </w:t>
      </w:r>
      <w:proofErr w:type="spellStart"/>
      <w:r>
        <w:t>Thermoluminescent</w:t>
      </w:r>
      <w:proofErr w:type="spellEnd"/>
      <w:r>
        <w:t xml:space="preserve"> Dosimeter (TLD). These are often worn in conjunction with a PED so that an instant reading can be viewed and an accurate reading can be </w:t>
      </w:r>
      <w:r w:rsidR="00761932">
        <w:t>recorded. The only way to get the reading of a TLD is to have it sent to a laboratory to undergo a heating process.</w:t>
      </w:r>
    </w:p>
    <w:p w14:paraId="7A3D2732" w14:textId="1F40682F" w:rsidR="00B82C31" w:rsidRDefault="00B82C31" w:rsidP="00B82C31">
      <w:pPr>
        <w:pStyle w:val="Heading2"/>
      </w:pPr>
      <w:bookmarkStart w:id="11" w:name="_Toc239425572"/>
      <w:r>
        <w:t>2.3: Dose</w:t>
      </w:r>
      <w:bookmarkEnd w:id="11"/>
    </w:p>
    <w:p w14:paraId="0DE72061" w14:textId="3D062D09" w:rsidR="00B82C31" w:rsidRPr="00B82C31" w:rsidRDefault="00B82C31" w:rsidP="00B82C31">
      <w:r>
        <w:t xml:space="preserve">The dose received by an individual can be measured in Grayes (Gy) or Sieverts (Sv). A </w:t>
      </w:r>
      <w:proofErr w:type="spellStart"/>
      <w:r>
        <w:t>gray</w:t>
      </w:r>
      <w:proofErr w:type="spellEnd"/>
      <w:r>
        <w:t xml:space="preserve"> measures energy absorbed per unit of mass. This is useful for an estimate to the severity of an exposure but does not </w:t>
      </w:r>
      <w:proofErr w:type="gramStart"/>
      <w:r>
        <w:t>take into account</w:t>
      </w:r>
      <w:proofErr w:type="gramEnd"/>
      <w:r>
        <w:t xml:space="preserve"> the susceptibility of individual tissue types or how different forms of ionizing radiation affect them. Because of this, the sievert is used to quantify biological risk</w:t>
      </w:r>
      <w:r w:rsidR="00A617F8">
        <w:t xml:space="preserve">. This is done with weighting factors decided by the International Commission on Radiological Protection (ICRP) using scientific test data. The most recent </w:t>
      </w:r>
      <w:r w:rsidR="007C2D1C">
        <w:t>revision</w:t>
      </w:r>
      <w:r w:rsidR="00A617F8">
        <w:t xml:space="preserve"> of these weighting factors was released in ICRP Publication 103 in 2007 </w:t>
      </w:r>
      <w:sdt>
        <w:sdtPr>
          <w:id w:val="-2018759603"/>
          <w:citation/>
        </w:sdtPr>
        <w:sdtContent>
          <w:r w:rsidR="00A617F8">
            <w:fldChar w:fldCharType="begin"/>
          </w:r>
          <w:r w:rsidR="00A617F8">
            <w:instrText xml:space="preserve"> CITATION ICR07 \l 2057 </w:instrText>
          </w:r>
          <w:r w:rsidR="00A617F8">
            <w:fldChar w:fldCharType="separate"/>
          </w:r>
          <w:r w:rsidR="00252D6F" w:rsidRPr="00252D6F">
            <w:rPr>
              <w:noProof/>
            </w:rPr>
            <w:t>(ICRP, 2007)</w:t>
          </w:r>
          <w:r w:rsidR="00A617F8">
            <w:fldChar w:fldCharType="end"/>
          </w:r>
        </w:sdtContent>
      </w:sdt>
      <w:r w:rsidR="00A617F8">
        <w:t>.</w:t>
      </w:r>
    </w:p>
    <w:p w14:paraId="6469E383" w14:textId="77777777" w:rsidR="0063458D" w:rsidRDefault="0063458D">
      <w:pPr>
        <w:rPr>
          <w:rFonts w:asciiTheme="majorHAnsi" w:eastAsiaTheme="majorEastAsia" w:hAnsiTheme="majorHAnsi" w:cstheme="majorBidi"/>
          <w:color w:val="0F4761" w:themeColor="accent1" w:themeShade="BF"/>
          <w:sz w:val="40"/>
          <w:szCs w:val="40"/>
        </w:rPr>
      </w:pPr>
      <w:r>
        <w:br w:type="page"/>
      </w:r>
    </w:p>
    <w:p w14:paraId="0E20B475" w14:textId="0C1A34D7" w:rsidR="00CF2169" w:rsidRDefault="00CF2169" w:rsidP="00CF2169">
      <w:pPr>
        <w:pStyle w:val="Heading1"/>
      </w:pPr>
      <w:bookmarkStart w:id="12" w:name="_Toc239425573"/>
      <w:r>
        <w:lastRenderedPageBreak/>
        <w:t>Section 3: Case Analysis</w:t>
      </w:r>
      <w:bookmarkEnd w:id="12"/>
    </w:p>
    <w:p w14:paraId="029086F8" w14:textId="77777777" w:rsidR="008A2A29" w:rsidRPr="008A2A29" w:rsidRDefault="008A2A29" w:rsidP="008A2A29">
      <w:pPr>
        <w:rPr>
          <w:u w:val="single"/>
        </w:rPr>
      </w:pPr>
      <w:r w:rsidRPr="008A2A29">
        <w:rPr>
          <w:u w:val="single"/>
        </w:rPr>
        <w:t>Assumptions:</w:t>
      </w:r>
    </w:p>
    <w:p w14:paraId="7D967949" w14:textId="77777777" w:rsidR="008A2A29" w:rsidRDefault="008A2A29" w:rsidP="008A2A29">
      <w:pPr>
        <w:pStyle w:val="ListParagraph"/>
        <w:numPr>
          <w:ilvl w:val="0"/>
          <w:numId w:val="1"/>
        </w:numPr>
      </w:pPr>
      <w:r>
        <w:t>The worker weighs 75 kilograms and is male</w:t>
      </w:r>
    </w:p>
    <w:p w14:paraId="10B7D146" w14:textId="4597D6BF" w:rsidR="008A2A29" w:rsidRDefault="008A2A29" w:rsidP="008A2A29">
      <w:pPr>
        <w:pStyle w:val="ListParagraph"/>
        <w:numPr>
          <w:ilvl w:val="0"/>
          <w:numId w:val="1"/>
        </w:numPr>
      </w:pPr>
      <w:r>
        <w:t>Average male surface area is 1.9m</w:t>
      </w:r>
      <w:r>
        <w:rPr>
          <w:vertAlign w:val="superscript"/>
        </w:rPr>
        <w:t>2</w:t>
      </w:r>
      <w:r>
        <w:t xml:space="preserve"> </w:t>
      </w:r>
      <w:sdt>
        <w:sdtPr>
          <w:id w:val="143861820"/>
          <w:citation/>
        </w:sdtPr>
        <w:sdtContent>
          <w:r>
            <w:fldChar w:fldCharType="begin"/>
          </w:r>
          <w:r>
            <w:instrText xml:space="preserve"> CITATION BSA26 \l 2057 </w:instrText>
          </w:r>
          <w:r>
            <w:fldChar w:fldCharType="separate"/>
          </w:r>
          <w:r w:rsidR="00252D6F" w:rsidRPr="00252D6F">
            <w:rPr>
              <w:noProof/>
            </w:rPr>
            <w:t>(Anon., 2026)</w:t>
          </w:r>
          <w:r>
            <w:fldChar w:fldCharType="end"/>
          </w:r>
        </w:sdtContent>
      </w:sdt>
      <w:r>
        <w:t xml:space="preserve"> and half of this value was consistently exposed to radiation for the duration of the incident</w:t>
      </w:r>
    </w:p>
    <w:p w14:paraId="76E41642" w14:textId="77777777" w:rsidR="008A2A29" w:rsidRDefault="008A2A29" w:rsidP="008A2A29">
      <w:pPr>
        <w:pStyle w:val="ListParagraph"/>
        <w:numPr>
          <w:ilvl w:val="0"/>
          <w:numId w:val="1"/>
        </w:numPr>
      </w:pPr>
      <w:r>
        <w:t>The worker does not have pre-existing medical conditions</w:t>
      </w:r>
    </w:p>
    <w:p w14:paraId="2736EC25" w14:textId="77777777" w:rsidR="008A2A29" w:rsidRDefault="008A2A29" w:rsidP="008A2A29">
      <w:pPr>
        <w:pStyle w:val="ListParagraph"/>
        <w:numPr>
          <w:ilvl w:val="0"/>
          <w:numId w:val="1"/>
        </w:numPr>
      </w:pPr>
      <w:r>
        <w:t>The worker is above the age of 18</w:t>
      </w:r>
    </w:p>
    <w:p w14:paraId="010E1F30" w14:textId="77777777" w:rsidR="008A2A29" w:rsidRDefault="008A2A29" w:rsidP="008A2A29">
      <w:pPr>
        <w:pStyle w:val="ListParagraph"/>
        <w:numPr>
          <w:ilvl w:val="0"/>
          <w:numId w:val="1"/>
        </w:numPr>
      </w:pPr>
      <w:r>
        <w:t>The worker was exposed for 300 seconds</w:t>
      </w:r>
    </w:p>
    <w:p w14:paraId="15CF1C74" w14:textId="77777777" w:rsidR="008A2A29" w:rsidRDefault="008A2A29" w:rsidP="008A2A29">
      <w:pPr>
        <w:pStyle w:val="ListParagraph"/>
        <w:numPr>
          <w:ilvl w:val="0"/>
          <w:numId w:val="1"/>
        </w:numPr>
      </w:pPr>
      <w:r>
        <w:t>The worker did not deviate from the distance of 0.7 metres for the duration of exposure</w:t>
      </w:r>
    </w:p>
    <w:p w14:paraId="45834178" w14:textId="77777777" w:rsidR="008A2A29" w:rsidRDefault="008A2A29" w:rsidP="008A2A29">
      <w:pPr>
        <w:pStyle w:val="ListParagraph"/>
        <w:numPr>
          <w:ilvl w:val="0"/>
          <w:numId w:val="1"/>
        </w:numPr>
      </w:pPr>
      <w:r>
        <w:t>The second worker received a negligible dose</w:t>
      </w:r>
    </w:p>
    <w:p w14:paraId="577367D4" w14:textId="77777777" w:rsidR="008A2A29" w:rsidRDefault="008A2A29" w:rsidP="008A2A29">
      <w:pPr>
        <w:pStyle w:val="ListParagraph"/>
        <w:numPr>
          <w:ilvl w:val="0"/>
          <w:numId w:val="1"/>
        </w:numPr>
      </w:pPr>
      <w:r>
        <w:t>The exposure was from a point source</w:t>
      </w:r>
    </w:p>
    <w:p w14:paraId="01632043" w14:textId="77777777" w:rsidR="008A2A29" w:rsidRDefault="008A2A29" w:rsidP="008A2A29">
      <w:pPr>
        <w:pStyle w:val="ListParagraph"/>
        <w:numPr>
          <w:ilvl w:val="0"/>
          <w:numId w:val="1"/>
        </w:numPr>
      </w:pPr>
      <w:r>
        <w:t>Each emission from the Ir-192 source has 380 keV of energy</w:t>
      </w:r>
    </w:p>
    <w:p w14:paraId="059716C0" w14:textId="1043303D" w:rsidR="00D4404D" w:rsidRDefault="00D4404D" w:rsidP="008A2A29">
      <w:pPr>
        <w:pStyle w:val="ListParagraph"/>
        <w:numPr>
          <w:ilvl w:val="0"/>
          <w:numId w:val="1"/>
        </w:numPr>
      </w:pPr>
      <w:r>
        <w:t>The atmosphere would provide negligible shielding at the distances in the scenario</w:t>
      </w:r>
    </w:p>
    <w:p w14:paraId="75275FBB" w14:textId="77777777" w:rsidR="008A2A29" w:rsidRPr="008A2A29" w:rsidRDefault="008A2A29" w:rsidP="008A2A29"/>
    <w:p w14:paraId="1B261239" w14:textId="64FE0644" w:rsidR="00CF2169" w:rsidRDefault="0017484B" w:rsidP="0017484B">
      <w:pPr>
        <w:pStyle w:val="Heading2"/>
      </w:pPr>
      <w:bookmarkStart w:id="13" w:name="_Toc239425574"/>
      <w:r>
        <w:t>3.1: Activity</w:t>
      </w:r>
      <w:bookmarkEnd w:id="13"/>
    </w:p>
    <w:p w14:paraId="1E0998EA" w14:textId="640F2EE6" w:rsidR="0017484B" w:rsidRDefault="0017484B" w:rsidP="0017484B">
      <w:r>
        <w:t xml:space="preserve">The source was certified on 01/08/2024 as having an activity of 3.2 </w:t>
      </w:r>
      <w:proofErr w:type="spellStart"/>
      <w:r>
        <w:t>TBq</w:t>
      </w:r>
      <w:proofErr w:type="spellEnd"/>
      <w:r>
        <w:t xml:space="preserve">. On the date of the incident (15/10/2024) this would </w:t>
      </w:r>
      <w:r w:rsidR="00426475">
        <w:t xml:space="preserve">have decreased to 1.58 </w:t>
      </w:r>
      <w:proofErr w:type="spellStart"/>
      <w:r w:rsidR="00426475">
        <w:t>TBq</w:t>
      </w:r>
      <w:proofErr w:type="spellEnd"/>
      <w:r w:rsidR="00426475" w:rsidRPr="000341F5">
        <w:rPr>
          <w:vertAlign w:val="subscript"/>
        </w:rPr>
        <w:t xml:space="preserve"> </w:t>
      </w:r>
      <w:r w:rsidR="000341F5" w:rsidRPr="000341F5">
        <w:rPr>
          <w:vertAlign w:val="subscript"/>
        </w:rPr>
        <w:fldChar w:fldCharType="begin"/>
      </w:r>
      <w:r w:rsidR="000341F5" w:rsidRPr="000341F5">
        <w:rPr>
          <w:vertAlign w:val="subscript"/>
        </w:rPr>
        <w:instrText xml:space="preserve"> PAGEREF _Ref239423380 \h </w:instrText>
      </w:r>
      <w:r w:rsidR="000341F5" w:rsidRPr="000341F5">
        <w:rPr>
          <w:vertAlign w:val="subscript"/>
        </w:rPr>
      </w:r>
      <w:r w:rsidR="000341F5" w:rsidRPr="000341F5">
        <w:rPr>
          <w:vertAlign w:val="subscript"/>
        </w:rPr>
        <w:fldChar w:fldCharType="separate"/>
      </w:r>
      <w:r w:rsidR="000341F5" w:rsidRPr="000341F5">
        <w:rPr>
          <w:noProof/>
          <w:vertAlign w:val="subscript"/>
        </w:rPr>
        <w:t>1</w:t>
      </w:r>
      <w:r w:rsidR="000341F5" w:rsidRPr="000341F5">
        <w:rPr>
          <w:noProof/>
          <w:vertAlign w:val="subscript"/>
        </w:rPr>
        <w:t>2</w:t>
      </w:r>
      <w:r w:rsidR="000341F5" w:rsidRPr="000341F5">
        <w:rPr>
          <w:vertAlign w:val="subscript"/>
        </w:rPr>
        <w:fldChar w:fldCharType="end"/>
      </w:r>
      <w:r w:rsidR="000341F5">
        <w:t xml:space="preserve"> </w:t>
      </w:r>
      <w:r w:rsidR="00426475">
        <w:t xml:space="preserve">due to the 75 days elapsed. Radioactive activity is measured in Becquerels with 1 Becquerel equalling 1 decay per second. </w:t>
      </w:r>
    </w:p>
    <w:p w14:paraId="18F22AC2" w14:textId="72053805" w:rsidR="00426475" w:rsidRDefault="00426475" w:rsidP="00426475">
      <w:pPr>
        <w:pStyle w:val="Heading2"/>
      </w:pPr>
      <w:bookmarkStart w:id="14" w:name="_Toc239425575"/>
      <w:r>
        <w:t>3.2: Exposure</w:t>
      </w:r>
      <w:bookmarkEnd w:id="14"/>
    </w:p>
    <w:p w14:paraId="1ED86DC7" w14:textId="1D081D6B" w:rsidR="00426475" w:rsidRDefault="00761932" w:rsidP="00426475">
      <w:r>
        <w:t xml:space="preserve">The recorded exposure on the EPD recorded a whole-body dose of 27mSv. This is already </w:t>
      </w:r>
      <w:proofErr w:type="gramStart"/>
      <w:r>
        <w:t>in excess of</w:t>
      </w:r>
      <w:proofErr w:type="gramEnd"/>
      <w:r>
        <w:t xml:space="preserve"> the annual allowance for a radiation worker in the UK, which is 20mSv for over </w:t>
      </w:r>
      <w:r w:rsidR="00544B8E">
        <w:t>18-year-olds</w:t>
      </w:r>
      <w:r>
        <w:t xml:space="preserve"> </w:t>
      </w:r>
      <w:sdt>
        <w:sdtPr>
          <w:id w:val="-913005631"/>
          <w:citation/>
        </w:sdtPr>
        <w:sdtContent>
          <w:r>
            <w:fldChar w:fldCharType="begin"/>
          </w:r>
          <w:r w:rsidR="00544B8E">
            <w:instrText xml:space="preserve">CITATION UKL26 \l 2057 </w:instrText>
          </w:r>
          <w:r>
            <w:fldChar w:fldCharType="separate"/>
          </w:r>
          <w:r w:rsidR="00252D6F" w:rsidRPr="00252D6F">
            <w:rPr>
              <w:noProof/>
            </w:rPr>
            <w:t>(Legislation, 13)</w:t>
          </w:r>
          <w:r>
            <w:fldChar w:fldCharType="end"/>
          </w:r>
        </w:sdtContent>
      </w:sdt>
      <w:r>
        <w:t>.</w:t>
      </w:r>
      <w:r w:rsidR="00544B8E">
        <w:t xml:space="preserve"> The operator then sent off the TLD for laboratory analysis. This came back with a reading of 35.6mSv (whole-body dose). </w:t>
      </w:r>
    </w:p>
    <w:p w14:paraId="7FD91A39" w14:textId="5580A0E0" w:rsidR="007F78FD" w:rsidRPr="007F78FD" w:rsidRDefault="00B54120" w:rsidP="00426475">
      <w:r w:rsidRPr="00B54120">
        <w:rPr>
          <w:b/>
          <w:bCs/>
        </w:rPr>
        <w:t xml:space="preserve">Effective Dose: </w:t>
      </w:r>
      <w:r w:rsidR="007F78FD">
        <w:t xml:space="preserve">The worker was in the presence of the exposed source for between 5 and 6 minutes. In all calculations the </w:t>
      </w:r>
      <w:proofErr w:type="gramStart"/>
      <w:r w:rsidR="007F78FD">
        <w:t>worst case</w:t>
      </w:r>
      <w:proofErr w:type="gramEnd"/>
      <w:r w:rsidR="007F78FD">
        <w:t xml:space="preserve"> time of 300 seconds will be used. The dose rate at 0.7 metres is calculated as 0.105 mSvs</w:t>
      </w:r>
      <w:r w:rsidR="007F78FD">
        <w:rPr>
          <w:vertAlign w:val="superscript"/>
        </w:rPr>
        <w:t>-1</w:t>
      </w:r>
      <w:r w:rsidR="007F78FD">
        <w:t xml:space="preserve"> (3.d.p.). For the duration of 300 seconds this gives a result of 31.399 mSv (3.d.p.)</w:t>
      </w:r>
      <w:r w:rsidR="000341F5" w:rsidRPr="000341F5">
        <w:rPr>
          <w:vertAlign w:val="subscript"/>
        </w:rPr>
        <w:fldChar w:fldCharType="begin"/>
      </w:r>
      <w:r w:rsidR="000341F5" w:rsidRPr="000341F5">
        <w:rPr>
          <w:vertAlign w:val="subscript"/>
        </w:rPr>
        <w:instrText xml:space="preserve"> PAGEREF _Ref239423426 \h </w:instrText>
      </w:r>
      <w:r w:rsidR="000341F5" w:rsidRPr="000341F5">
        <w:rPr>
          <w:vertAlign w:val="subscript"/>
        </w:rPr>
      </w:r>
      <w:r w:rsidR="000341F5" w:rsidRPr="000341F5">
        <w:rPr>
          <w:vertAlign w:val="subscript"/>
        </w:rPr>
        <w:fldChar w:fldCharType="separate"/>
      </w:r>
      <w:r w:rsidR="000341F5" w:rsidRPr="000341F5">
        <w:rPr>
          <w:noProof/>
          <w:vertAlign w:val="subscript"/>
        </w:rPr>
        <w:t>13</w:t>
      </w:r>
      <w:r w:rsidR="000341F5" w:rsidRPr="000341F5">
        <w:rPr>
          <w:vertAlign w:val="subscript"/>
        </w:rPr>
        <w:fldChar w:fldCharType="end"/>
      </w:r>
      <w:r w:rsidR="007F78FD">
        <w:t>. This result is above what the EDP recorded and below the reading on the TLD.</w:t>
      </w:r>
    </w:p>
    <w:p w14:paraId="34859634" w14:textId="4A86BD4A" w:rsidR="00027988" w:rsidRDefault="00027988" w:rsidP="00426475">
      <w:r w:rsidRPr="00A21AA0">
        <w:rPr>
          <w:b/>
          <w:bCs/>
        </w:rPr>
        <w:t>Absorbed dose</w:t>
      </w:r>
      <w:r w:rsidR="00706829" w:rsidRPr="00A21AA0">
        <w:rPr>
          <w:b/>
          <w:bCs/>
        </w:rPr>
        <w:t>:</w:t>
      </w:r>
      <w:r w:rsidR="00706829">
        <w:t xml:space="preserve"> The absorbed dose is calculated by taking the average energy of each emission (380keV) and multiplying that by the number of emissions per second (the activity</w:t>
      </w:r>
      <w:r w:rsidR="00A21AA0">
        <w:t xml:space="preserve"> at 0.7m</w:t>
      </w:r>
      <w:r w:rsidR="00706829">
        <w:t>) to get the energy emitted per second – 0.0</w:t>
      </w:r>
      <w:r w:rsidR="0075431A">
        <w:t>15</w:t>
      </w:r>
      <w:r w:rsidR="00706829">
        <w:t xml:space="preserve"> Js</w:t>
      </w:r>
      <w:r w:rsidR="00706829">
        <w:rPr>
          <w:vertAlign w:val="superscript"/>
        </w:rPr>
        <w:t>-1</w:t>
      </w:r>
      <w:r w:rsidR="00706829">
        <w:t xml:space="preserve"> (3.d.p.). This is then multiplied by the duration of exposure (300s) to get the total energy absorbed – </w:t>
      </w:r>
      <w:r w:rsidR="0075431A">
        <w:t>4.457</w:t>
      </w:r>
      <w:r w:rsidR="00706829">
        <w:t xml:space="preserve"> J </w:t>
      </w:r>
      <w:r w:rsidR="00706829">
        <w:lastRenderedPageBreak/>
        <w:t xml:space="preserve">(3.d.p.). Finally, the total energy absorbed is divided by the mass of the individual (75kg) to get </w:t>
      </w:r>
      <w:r w:rsidR="0075431A">
        <w:t>0.059 Gy (3.d.p.)</w:t>
      </w:r>
      <w:r w:rsidR="000341F5" w:rsidRPr="000341F5">
        <w:rPr>
          <w:vertAlign w:val="subscript"/>
        </w:rPr>
        <w:fldChar w:fldCharType="begin"/>
      </w:r>
      <w:r w:rsidR="000341F5" w:rsidRPr="000341F5">
        <w:rPr>
          <w:vertAlign w:val="subscript"/>
        </w:rPr>
        <w:instrText xml:space="preserve"> PAGEREF _Ref239423450 \h </w:instrText>
      </w:r>
      <w:r w:rsidR="000341F5" w:rsidRPr="000341F5">
        <w:rPr>
          <w:vertAlign w:val="subscript"/>
        </w:rPr>
      </w:r>
      <w:r w:rsidR="000341F5" w:rsidRPr="000341F5">
        <w:rPr>
          <w:vertAlign w:val="subscript"/>
        </w:rPr>
        <w:fldChar w:fldCharType="separate"/>
      </w:r>
      <w:r w:rsidR="000341F5" w:rsidRPr="000341F5">
        <w:rPr>
          <w:noProof/>
          <w:vertAlign w:val="subscript"/>
        </w:rPr>
        <w:t>13</w:t>
      </w:r>
      <w:r w:rsidR="000341F5" w:rsidRPr="000341F5">
        <w:rPr>
          <w:vertAlign w:val="subscript"/>
        </w:rPr>
        <w:fldChar w:fldCharType="end"/>
      </w:r>
      <w:r w:rsidR="0075431A">
        <w:t>.</w:t>
      </w:r>
    </w:p>
    <w:p w14:paraId="23C7FED6" w14:textId="61A7438E" w:rsidR="00A21AA0" w:rsidRPr="00706829" w:rsidRDefault="00A21AA0" w:rsidP="00426475">
      <w:r w:rsidRPr="00B83CF6">
        <w:rPr>
          <w:b/>
          <w:bCs/>
        </w:rPr>
        <w:t>Committed effective dose:</w:t>
      </w:r>
      <w:r>
        <w:t xml:space="preserve"> In this incident there were no ingestions, injections or inhalations of radioactive material therefore the committed effective dose is 0 Sv.</w:t>
      </w:r>
    </w:p>
    <w:p w14:paraId="2AF15BBE" w14:textId="77777777" w:rsidR="00027988" w:rsidRDefault="00027988" w:rsidP="00426475"/>
    <w:p w14:paraId="67B9AC6B" w14:textId="3E16331F" w:rsidR="00544B8E" w:rsidRDefault="00544B8E" w:rsidP="00544B8E">
      <w:pPr>
        <w:pStyle w:val="Heading2"/>
      </w:pPr>
      <w:bookmarkStart w:id="15" w:name="_Toc239425576"/>
      <w:r>
        <w:t>3.3: Shielding</w:t>
      </w:r>
      <w:bookmarkEnd w:id="15"/>
    </w:p>
    <w:p w14:paraId="76BB2341" w14:textId="7BF97E84" w:rsidR="00A92CFF" w:rsidRPr="005A751A" w:rsidRDefault="00232C88" w:rsidP="00232C88">
      <w:r>
        <w:t>Contained within stainless steel and depleted uranium (U-238)</w:t>
      </w:r>
      <w:r w:rsidR="004527AD">
        <w:t xml:space="preserve">. Half Value Layers (HVLs) for steel are 12.7mm and for uranium 2.8mm </w:t>
      </w:r>
      <w:sdt>
        <w:sdtPr>
          <w:id w:val="-589856053"/>
          <w:citation/>
        </w:sdtPr>
        <w:sdtContent>
          <w:r w:rsidR="004527AD">
            <w:fldChar w:fldCharType="begin"/>
          </w:r>
          <w:r w:rsidR="004527AD">
            <w:instrText xml:space="preserve"> CITATION Iow26 \l 2057 </w:instrText>
          </w:r>
          <w:r w:rsidR="004527AD">
            <w:fldChar w:fldCharType="separate"/>
          </w:r>
          <w:r w:rsidR="00252D6F" w:rsidRPr="00252D6F">
            <w:rPr>
              <w:noProof/>
            </w:rPr>
            <w:t>(Anon., n.d.)</w:t>
          </w:r>
          <w:r w:rsidR="004527AD">
            <w:fldChar w:fldCharType="end"/>
          </w:r>
        </w:sdtContent>
      </w:sdt>
      <w:r w:rsidR="004527AD">
        <w:rPr>
          <w:rStyle w:val="FootnoteReference"/>
        </w:rPr>
        <w:footnoteReference w:id="1"/>
      </w:r>
      <w:r w:rsidR="00B54120">
        <w:t>.</w:t>
      </w:r>
      <w:r w:rsidR="005A751A">
        <w:t xml:space="preserve"> This can be used to calculate the steel casing would have </w:t>
      </w:r>
      <w:proofErr w:type="gramStart"/>
      <w:r w:rsidR="005A751A">
        <w:t>a</w:t>
      </w:r>
      <w:proofErr w:type="gramEnd"/>
      <w:r w:rsidR="005A751A">
        <w:t xml:space="preserve"> attenuation coefficient of 5.458m</w:t>
      </w:r>
      <w:r w:rsidR="005A751A">
        <w:rPr>
          <w:vertAlign w:val="superscript"/>
        </w:rPr>
        <w:t>-1</w:t>
      </w:r>
      <w:r w:rsidR="005A751A">
        <w:t xml:space="preserve"> (3.d.p.) and the </w:t>
      </w:r>
      <w:proofErr w:type="gramStart"/>
      <w:r w:rsidR="005A751A">
        <w:t>uranium  has</w:t>
      </w:r>
      <w:proofErr w:type="gramEnd"/>
      <w:r w:rsidR="005A751A">
        <w:t xml:space="preserve"> an attenuation coefficient of 24.755m</w:t>
      </w:r>
      <w:r w:rsidR="005A751A">
        <w:rPr>
          <w:vertAlign w:val="superscript"/>
        </w:rPr>
        <w:t>-1</w:t>
      </w:r>
      <w:r w:rsidR="005A751A">
        <w:t xml:space="preserve"> (3.d.p.).</w:t>
      </w:r>
      <w:r w:rsidR="00960FDA">
        <w:t xml:space="preserve"> A similar device to the one in the incident lists the steel thickness ranging from 10mm to 90mm </w:t>
      </w:r>
      <w:sdt>
        <w:sdtPr>
          <w:id w:val="753319024"/>
          <w:citation/>
        </w:sdtPr>
        <w:sdtContent>
          <w:r w:rsidR="00960FDA">
            <w:fldChar w:fldCharType="begin"/>
          </w:r>
          <w:r w:rsidR="00960FDA">
            <w:instrText xml:space="preserve"> CITATION QSA26 \l 2057 </w:instrText>
          </w:r>
          <w:r w:rsidR="00960FDA">
            <w:fldChar w:fldCharType="separate"/>
          </w:r>
          <w:r w:rsidR="00252D6F" w:rsidRPr="00252D6F">
            <w:rPr>
              <w:noProof/>
            </w:rPr>
            <w:t>(Anon., 2026)</w:t>
          </w:r>
          <w:r w:rsidR="00960FDA">
            <w:fldChar w:fldCharType="end"/>
          </w:r>
        </w:sdtContent>
      </w:sdt>
      <w:r w:rsidR="00960FDA">
        <w:t>.</w:t>
      </w:r>
      <w:r w:rsidR="00A92CFF">
        <w:t xml:space="preserve"> At its thinnest the steel would reduce the radioactive output by 40% and at its thickest would reduce the radiation to less than 1% of the initial value.</w:t>
      </w:r>
      <w:r w:rsidR="00252D6F">
        <w:t xml:space="preserve"> If the average is 50mm </w:t>
      </w:r>
      <w:proofErr w:type="gramStart"/>
      <w:r w:rsidR="00252D6F">
        <w:t>thick</w:t>
      </w:r>
      <w:proofErr w:type="gramEnd"/>
      <w:r w:rsidR="00252D6F">
        <w:t xml:space="preserve"> then the dose rate per second approaches 0 </w:t>
      </w:r>
      <w:r w:rsidR="00252D6F" w:rsidRPr="00252D6F">
        <w:rPr>
          <w:vertAlign w:val="subscript"/>
        </w:rPr>
        <w:fldChar w:fldCharType="begin"/>
      </w:r>
      <w:r w:rsidR="00252D6F" w:rsidRPr="00252D6F">
        <w:rPr>
          <w:vertAlign w:val="subscript"/>
        </w:rPr>
        <w:instrText xml:space="preserve"> PAGEREF _Ref239425507 \h </w:instrText>
      </w:r>
      <w:r w:rsidR="00252D6F" w:rsidRPr="00252D6F">
        <w:rPr>
          <w:vertAlign w:val="subscript"/>
        </w:rPr>
      </w:r>
      <w:r w:rsidR="00252D6F" w:rsidRPr="00252D6F">
        <w:rPr>
          <w:vertAlign w:val="subscript"/>
        </w:rPr>
        <w:fldChar w:fldCharType="separate"/>
      </w:r>
      <w:r w:rsidR="00252D6F" w:rsidRPr="00252D6F">
        <w:rPr>
          <w:noProof/>
          <w:vertAlign w:val="subscript"/>
        </w:rPr>
        <w:t>13</w:t>
      </w:r>
      <w:r w:rsidR="00252D6F" w:rsidRPr="00252D6F">
        <w:rPr>
          <w:vertAlign w:val="subscript"/>
        </w:rPr>
        <w:fldChar w:fldCharType="end"/>
      </w:r>
      <w:r w:rsidR="00252D6F">
        <w:t>.</w:t>
      </w:r>
      <w:r w:rsidR="00A92CFF">
        <w:t xml:space="preserve"> The uranium casing is likely very thing but is very dense and will act to catch any radiation that passes through the steel case.</w:t>
      </w:r>
    </w:p>
    <w:p w14:paraId="081C4B7C" w14:textId="00C7EB27" w:rsidR="00313695" w:rsidRPr="00313695" w:rsidRDefault="00313695" w:rsidP="00313695">
      <w:pPr>
        <w:pStyle w:val="Heading2"/>
      </w:pPr>
      <w:bookmarkStart w:id="16" w:name="_Toc239425577"/>
      <w:r>
        <w:t>3.4 Regulatory Compliance</w:t>
      </w:r>
      <w:bookmarkEnd w:id="16"/>
    </w:p>
    <w:p w14:paraId="4562C7A3" w14:textId="206C479B" w:rsidR="008A2A29" w:rsidRDefault="00547A44">
      <w:pPr>
        <w:rPr>
          <w:rFonts w:asciiTheme="majorHAnsi" w:eastAsiaTheme="majorEastAsia" w:hAnsiTheme="majorHAnsi" w:cstheme="majorBidi"/>
          <w:color w:val="0F4761" w:themeColor="accent1" w:themeShade="BF"/>
          <w:sz w:val="40"/>
          <w:szCs w:val="40"/>
        </w:rPr>
      </w:pPr>
      <w:r>
        <w:t>No evidence of regulatory non-compliance in this scenario.</w:t>
      </w:r>
      <w:r w:rsidR="008A2A29">
        <w:br w:type="page"/>
      </w:r>
    </w:p>
    <w:p w14:paraId="189D1C0A" w14:textId="7179BAC1" w:rsidR="00CF2169" w:rsidRPr="008A2A29" w:rsidRDefault="00CF2169" w:rsidP="008A2A29">
      <w:pPr>
        <w:pStyle w:val="Heading1"/>
      </w:pPr>
      <w:bookmarkStart w:id="17" w:name="_Toc239425578"/>
      <w:r>
        <w:lastRenderedPageBreak/>
        <w:t>Section 4: Discussion</w:t>
      </w:r>
      <w:bookmarkEnd w:id="17"/>
    </w:p>
    <w:p w14:paraId="7AEB8000" w14:textId="1508D45E" w:rsidR="00132934" w:rsidRDefault="008A2A29">
      <w:r>
        <w:t>The incident took place on an evening shift. The worker may have been tired and less perceptive than usual. The incident also took place at the end of the operation as the worker was disassembling the system. This also may have contributed as the worker may have been hurrying to complete their work for the day. However, regardless of impairments, the worker saw the indicator show the source was fully enclosed</w:t>
      </w:r>
      <w:r w:rsidR="00132934">
        <w:t>. In this incident, the worker would only have realised the issue if they undertook checks that were not part of normal operations.</w:t>
      </w:r>
    </w:p>
    <w:p w14:paraId="3C97D19B" w14:textId="77777777" w:rsidR="00050833" w:rsidRDefault="00132934">
      <w:r>
        <w:t xml:space="preserve">There is some inaccuracy in the calculated results. The worker would most likely have been continuously moving and changing their profile. This means that the actual dose received would vary from the calculate one, but the model is representative of most possible scenarios. One way the worker may have been exposed to more than estimated is if they every approached closer than the 0.7m assumed during the </w:t>
      </w:r>
      <w:proofErr w:type="gramStart"/>
      <w:r>
        <w:t>6 minute</w:t>
      </w:r>
      <w:proofErr w:type="gramEnd"/>
      <w:r>
        <w:t xml:space="preserve"> period. As radiation emits from a point source it is subject to the inverse square rule. Due to this the dose gets exponentially larger the closer the victim is to the source.</w:t>
      </w:r>
    </w:p>
    <w:p w14:paraId="0431A63E" w14:textId="77777777" w:rsidR="00183537" w:rsidRDefault="00050833">
      <w:r>
        <w:t>Another inconsistency with the mathematical estimations is that the source was emitting from a waveguide. The nature of this is to only allow radiation in a specific direction. Due to this the user would be at less risk than if dealing with an exposed source. Depending on how much of the time they spent in the line of projection, the user may have received a less substantial dose.</w:t>
      </w:r>
    </w:p>
    <w:p w14:paraId="751588A7" w14:textId="5D0440B8" w:rsidR="0001394D" w:rsidRPr="00183537" w:rsidRDefault="00183537">
      <w:r>
        <w:t>The values vary slightly depending on how they were gathered. The 2 dosimeters the worker wore returned 27mSv and 35.6mSv. The calculated dose was 31.399mSv. The electronic dosimeter was worn on the chest pocket while the TLD was worn on the belt. The disparity between the 2 devices suggests that the radiation may have been focus on the worker’s lower half. The disparity between the TLD and the calculated value may be due to the dosimeter having tracked the workers radiation on previous jobs.</w:t>
      </w:r>
      <w:r w:rsidR="0001394D">
        <w:br w:type="page"/>
      </w:r>
    </w:p>
    <w:p w14:paraId="1E2E4CD1" w14:textId="7176C94D" w:rsidR="00426475" w:rsidRDefault="00426475" w:rsidP="00426475">
      <w:pPr>
        <w:pStyle w:val="Heading1"/>
      </w:pPr>
      <w:bookmarkStart w:id="18" w:name="_Toc239425579"/>
      <w:r>
        <w:lastRenderedPageBreak/>
        <w:t>Section 5: Recommendations</w:t>
      </w:r>
      <w:bookmarkEnd w:id="18"/>
    </w:p>
    <w:p w14:paraId="68F823AE" w14:textId="64C4165E" w:rsidR="00426475" w:rsidRDefault="002F6CC2" w:rsidP="00426475">
      <w:r w:rsidRPr="002F6CC2">
        <w:rPr>
          <w:b/>
          <w:bCs/>
        </w:rPr>
        <w:t>Procedural Control:</w:t>
      </w:r>
      <w:r>
        <w:t xml:space="preserve"> </w:t>
      </w:r>
      <w:r w:rsidR="00426475">
        <w:t>The physical cause of this incident was the mechanism failing to retract the source sufficiently.</w:t>
      </w:r>
      <w:r w:rsidR="00A36EB8">
        <w:t xml:space="preserve"> Furthermore, the device contained an indicator which falsely confirmed the source was in a safe condition. To overcome the physical issues of the device, a more robust monitoring and maintenance regime of the mechanism should be employed.</w:t>
      </w:r>
    </w:p>
    <w:p w14:paraId="02EB0B62" w14:textId="1623C32A" w:rsidR="00A36EB8" w:rsidRDefault="002F6CC2" w:rsidP="00426475">
      <w:r>
        <w:rPr>
          <w:b/>
          <w:bCs/>
        </w:rPr>
        <w:t xml:space="preserve">Procedural Control: </w:t>
      </w:r>
      <w:r w:rsidR="00A36EB8">
        <w:t xml:space="preserve">The operator relied only on the physical indicator that the device was in a safe condition. An additional check of testing with a </w:t>
      </w:r>
      <w:r w:rsidR="00A36EB8" w:rsidRPr="00A36EB8">
        <w:t>Geiger–Müller</w:t>
      </w:r>
      <w:r w:rsidR="00A36EB8">
        <w:t xml:space="preserve"> counter </w:t>
      </w:r>
      <w:r w:rsidR="00A36EB8">
        <w:t>(which were available in this situation)</w:t>
      </w:r>
      <w:r w:rsidR="00A36EB8">
        <w:t xml:space="preserve"> to check for beta particles once the operator has fully enclosed the source. This would immediately make a failure of the retraction apparent. This would also make any leaks in the shielding apparent, adding confidence that the device is suitable and safe to use.</w:t>
      </w:r>
    </w:p>
    <w:p w14:paraId="54BEA6D9" w14:textId="29EE1BA7" w:rsidR="00727338" w:rsidRDefault="002F6CC2" w:rsidP="00426475">
      <w:r>
        <w:rPr>
          <w:b/>
          <w:bCs/>
        </w:rPr>
        <w:t xml:space="preserve">Engineering Control: </w:t>
      </w:r>
      <w:r w:rsidR="00727338">
        <w:t xml:space="preserve">The design of the </w:t>
      </w:r>
      <w:r w:rsidR="00727338" w:rsidRPr="00727338">
        <w:t>Gamma Radiography Exposure Device</w:t>
      </w:r>
      <w:r w:rsidR="00727338">
        <w:t xml:space="preserve"> was simplistic and had a single line of defence. When the hand </w:t>
      </w:r>
      <w:proofErr w:type="gramStart"/>
      <w:r w:rsidR="00727338">
        <w:t>crank</w:t>
      </w:r>
      <w:proofErr w:type="gramEnd"/>
      <w:r w:rsidR="00727338">
        <w:t xml:space="preserve"> failed, providing faulty information that the source was back in its housing, there was no alternative indicator to confirm that the source had returned properly. The design should be reviewed and safety indication systems added to provide a second layer of assurance that the source is in the correct location before the assembly is dismantled. Alternatively, an audible or visual indication should be active while ionizing radiation is being transmitted through the waveguide.</w:t>
      </w:r>
    </w:p>
    <w:p w14:paraId="7E5AFB38" w14:textId="484C72EF" w:rsidR="00426475" w:rsidRDefault="00426475" w:rsidP="00426475">
      <w:pPr>
        <w:pStyle w:val="Heading1"/>
      </w:pPr>
      <w:bookmarkStart w:id="19" w:name="_Toc239425580"/>
      <w:r>
        <w:t>Section 6: Conclusions</w:t>
      </w:r>
      <w:bookmarkEnd w:id="19"/>
    </w:p>
    <w:p w14:paraId="457C75A3" w14:textId="749C5A71" w:rsidR="008A2A29" w:rsidRPr="008A2A29" w:rsidRDefault="008A2A29" w:rsidP="008A2A29">
      <w:r>
        <w:t xml:space="preserve">The incident was handled well after the second worker arrived and noticed the fault. All personnel immediately withdrew to a safe </w:t>
      </w:r>
      <w:proofErr w:type="gramStart"/>
      <w:r>
        <w:t>distance</w:t>
      </w:r>
      <w:proofErr w:type="gramEnd"/>
      <w:r>
        <w:t xml:space="preserve"> and the incident was resolved remotely to prevent any further exposure.</w:t>
      </w:r>
    </w:p>
    <w:p w14:paraId="69DA9D4F" w14:textId="77777777" w:rsidR="008A2A29" w:rsidRDefault="00E97337" w:rsidP="00E97337">
      <w:r>
        <w:t xml:space="preserve">The incident will not have a significant adverse effect on the workers life expectancy, nor will there be a significant increase in cancer risk. This is because the absorbed does was below 0.5 Gy. At this level of absorption, visible symptoms are unlikely. The dose recorded by the worker was in excess of the prescribed limit for workers in the UK over the age of 18, however as this was a </w:t>
      </w:r>
      <w:proofErr w:type="spellStart"/>
      <w:proofErr w:type="gramStart"/>
      <w:r>
        <w:t>one time</w:t>
      </w:r>
      <w:proofErr w:type="spellEnd"/>
      <w:proofErr w:type="gramEnd"/>
      <w:r>
        <w:t xml:space="preserve"> acute dose rather than a chronic dose so the effect on the body is more severe than if it had been accrued over a long period of time. </w:t>
      </w:r>
    </w:p>
    <w:p w14:paraId="10D6D4B3" w14:textId="681407C4" w:rsidR="00614901" w:rsidRDefault="00252D6F">
      <w:proofErr w:type="gramStart"/>
      <w:r>
        <w:t>In regards to</w:t>
      </w:r>
      <w:proofErr w:type="gramEnd"/>
      <w:r>
        <w:t xml:space="preserve"> regulations</w:t>
      </w:r>
      <w:r w:rsidR="00E97337">
        <w:t xml:space="preserve">, this </w:t>
      </w:r>
      <w:r>
        <w:t xml:space="preserve">event </w:t>
      </w:r>
      <w:r w:rsidR="00E97337">
        <w:t>breaks the IRR 2017 and as such may be treated as an offence. At the Health and Safety Executive’s</w:t>
      </w:r>
      <w:r>
        <w:t xml:space="preserve"> (HSE)</w:t>
      </w:r>
      <w:r w:rsidR="00E97337">
        <w:t xml:space="preserve"> discretion, an improvement or prohibition notice may be issued to the employer until they are satisfied that operations are safe to continue.</w:t>
      </w:r>
      <w:r w:rsidR="008A2A29">
        <w:t xml:space="preserve"> If it was deemed that either the employee or employer were wilfully acting contrary to legislation or policy, the HSE may peruse criminal prosecution.</w:t>
      </w:r>
    </w:p>
    <w:bookmarkStart w:id="20" w:name="_Toc239425581" w:displacedByCustomXml="next"/>
    <w:sdt>
      <w:sdtPr>
        <w:id w:val="-246582861"/>
        <w:docPartObj>
          <w:docPartGallery w:val="Bibliographies"/>
          <w:docPartUnique/>
        </w:docPartObj>
      </w:sdtPr>
      <w:sdtEndPr>
        <w:rPr>
          <w:rFonts w:asciiTheme="minorHAnsi" w:eastAsiaTheme="minorHAnsi" w:hAnsiTheme="minorHAnsi" w:cstheme="minorBidi"/>
          <w:color w:val="auto"/>
          <w:sz w:val="24"/>
          <w:szCs w:val="24"/>
        </w:rPr>
      </w:sdtEndPr>
      <w:sdtContent>
        <w:p w14:paraId="7EA93469" w14:textId="39B89132" w:rsidR="00614901" w:rsidRDefault="00614901">
          <w:pPr>
            <w:pStyle w:val="Heading1"/>
          </w:pPr>
          <w:r>
            <w:t>References</w:t>
          </w:r>
          <w:bookmarkEnd w:id="20"/>
        </w:p>
        <w:sdt>
          <w:sdtPr>
            <w:id w:val="-573587230"/>
            <w:bibliography/>
          </w:sdtPr>
          <w:sdtContent>
            <w:p w14:paraId="0BA9670D" w14:textId="77777777" w:rsidR="00252D6F" w:rsidRDefault="00614901" w:rsidP="00252D6F">
              <w:pPr>
                <w:pStyle w:val="Bibliography"/>
                <w:rPr>
                  <w:noProof/>
                  <w:kern w:val="0"/>
                  <w14:ligatures w14:val="none"/>
                </w:rPr>
              </w:pPr>
              <w:r>
                <w:fldChar w:fldCharType="begin"/>
              </w:r>
              <w:r>
                <w:instrText xml:space="preserve"> BIBLIOGRAPHY </w:instrText>
              </w:r>
              <w:r>
                <w:fldChar w:fldCharType="separate"/>
              </w:r>
              <w:r w:rsidR="00252D6F">
                <w:rPr>
                  <w:noProof/>
                </w:rPr>
                <w:t xml:space="preserve">Anon., 2026. </w:t>
              </w:r>
              <w:r w:rsidR="00252D6F">
                <w:rPr>
                  <w:i/>
                  <w:iCs/>
                  <w:noProof/>
                </w:rPr>
                <w:t xml:space="preserve">BSA Calculator. </w:t>
              </w:r>
              <w:r w:rsidR="00252D6F">
                <w:rPr>
                  <w:noProof/>
                </w:rPr>
                <w:t xml:space="preserve">[Online] </w:t>
              </w:r>
              <w:r w:rsidR="00252D6F">
                <w:rPr>
                  <w:noProof/>
                </w:rPr>
                <w:br/>
                <w:t xml:space="preserve">Available at: </w:t>
              </w:r>
              <w:r w:rsidR="00252D6F">
                <w:rPr>
                  <w:noProof/>
                  <w:u w:val="single"/>
                </w:rPr>
                <w:t>https://acibademinternational.com/bsa-calculator/</w:t>
              </w:r>
              <w:r w:rsidR="00252D6F">
                <w:rPr>
                  <w:noProof/>
                </w:rPr>
                <w:br/>
                <w:t>[Accessed 30 8 2026].</w:t>
              </w:r>
            </w:p>
            <w:p w14:paraId="7CE30941" w14:textId="77777777" w:rsidR="00252D6F" w:rsidRDefault="00252D6F" w:rsidP="00252D6F">
              <w:pPr>
                <w:pStyle w:val="Bibliography"/>
                <w:rPr>
                  <w:noProof/>
                </w:rPr>
              </w:pPr>
              <w:r>
                <w:rPr>
                  <w:noProof/>
                </w:rPr>
                <w:t xml:space="preserve">Anon., 2026. </w:t>
              </w:r>
              <w:r>
                <w:rPr>
                  <w:i/>
                  <w:iCs/>
                  <w:noProof/>
                </w:rPr>
                <w:t xml:space="preserve">QSA Global. </w:t>
              </w:r>
              <w:r>
                <w:rPr>
                  <w:noProof/>
                </w:rPr>
                <w:t xml:space="preserve">[Online] </w:t>
              </w:r>
              <w:r>
                <w:rPr>
                  <w:noProof/>
                </w:rPr>
                <w:br/>
                <w:t xml:space="preserve">Available at: </w:t>
              </w:r>
              <w:r>
                <w:rPr>
                  <w:noProof/>
                  <w:u w:val="single"/>
                </w:rPr>
                <w:t>https://www.qsa-global.com/iridium-192-sealed-sources</w:t>
              </w:r>
              <w:r>
                <w:rPr>
                  <w:noProof/>
                </w:rPr>
                <w:br/>
                <w:t>[Accessed 3 9 2026].</w:t>
              </w:r>
            </w:p>
            <w:p w14:paraId="2CE6F0E9" w14:textId="77777777" w:rsidR="00252D6F" w:rsidRDefault="00252D6F" w:rsidP="00252D6F">
              <w:pPr>
                <w:pStyle w:val="Bibliography"/>
                <w:rPr>
                  <w:noProof/>
                </w:rPr>
              </w:pPr>
              <w:r>
                <w:rPr>
                  <w:noProof/>
                </w:rPr>
                <w:t xml:space="preserve">Anon., n.d. </w:t>
              </w:r>
              <w:r>
                <w:rPr>
                  <w:i/>
                  <w:iCs/>
                  <w:noProof/>
                </w:rPr>
                <w:t xml:space="preserve">Iowa State University Centre for Non-destructive Testing. </w:t>
              </w:r>
              <w:r>
                <w:rPr>
                  <w:noProof/>
                </w:rPr>
                <w:t xml:space="preserve">[Online] </w:t>
              </w:r>
              <w:r>
                <w:rPr>
                  <w:noProof/>
                </w:rPr>
                <w:br/>
                <w:t xml:space="preserve">Available at: </w:t>
              </w:r>
              <w:r>
                <w:rPr>
                  <w:noProof/>
                  <w:u w:val="single"/>
                </w:rPr>
                <w:t>https://www.nde-ed.org/Physics/X-Ray/HalfValueLayer.xhtml</w:t>
              </w:r>
              <w:r>
                <w:rPr>
                  <w:noProof/>
                </w:rPr>
                <w:br/>
                <w:t>[Accessed 30 8 2026].</w:t>
              </w:r>
            </w:p>
            <w:p w14:paraId="32B4DC82" w14:textId="77777777" w:rsidR="00252D6F" w:rsidRDefault="00252D6F" w:rsidP="00252D6F">
              <w:pPr>
                <w:pStyle w:val="Bibliography"/>
                <w:rPr>
                  <w:noProof/>
                </w:rPr>
              </w:pPr>
              <w:r>
                <w:rPr>
                  <w:noProof/>
                </w:rPr>
                <w:t xml:space="preserve">Anon., n.d. </w:t>
              </w:r>
              <w:r>
                <w:rPr>
                  <w:i/>
                  <w:iCs/>
                  <w:noProof/>
                </w:rPr>
                <w:t xml:space="preserve">Oncology Medical Physics. </w:t>
              </w:r>
              <w:r>
                <w:rPr>
                  <w:noProof/>
                </w:rPr>
                <w:t xml:space="preserve">[Online] </w:t>
              </w:r>
              <w:r>
                <w:rPr>
                  <w:noProof/>
                </w:rPr>
                <w:br/>
                <w:t xml:space="preserve">Available at: </w:t>
              </w:r>
              <w:r>
                <w:rPr>
                  <w:noProof/>
                  <w:u w:val="single"/>
                </w:rPr>
                <w:t>https://oncologymedicalphysics.com/iridium-192/</w:t>
              </w:r>
              <w:r>
                <w:rPr>
                  <w:noProof/>
                </w:rPr>
                <w:br/>
                <w:t>[Accessed 30 08 2026].</w:t>
              </w:r>
            </w:p>
            <w:p w14:paraId="5F7C341A" w14:textId="77777777" w:rsidR="00252D6F" w:rsidRDefault="00252D6F" w:rsidP="00252D6F">
              <w:pPr>
                <w:pStyle w:val="Bibliography"/>
                <w:rPr>
                  <w:noProof/>
                </w:rPr>
              </w:pPr>
              <w:r>
                <w:rPr>
                  <w:noProof/>
                </w:rPr>
                <w:t xml:space="preserve">ICRP, 2007. </w:t>
              </w:r>
              <w:r>
                <w:rPr>
                  <w:i/>
                  <w:iCs/>
                  <w:noProof/>
                </w:rPr>
                <w:t xml:space="preserve">The 2007 Recommendations of the International. </w:t>
              </w:r>
              <w:r>
                <w:rPr>
                  <w:noProof/>
                </w:rPr>
                <w:t>s.l.:ELSEVIER.</w:t>
              </w:r>
            </w:p>
            <w:p w14:paraId="3AE7B139" w14:textId="77777777" w:rsidR="00252D6F" w:rsidRDefault="00252D6F" w:rsidP="00252D6F">
              <w:pPr>
                <w:pStyle w:val="Bibliography"/>
                <w:rPr>
                  <w:noProof/>
                </w:rPr>
              </w:pPr>
              <w:r>
                <w:rPr>
                  <w:noProof/>
                </w:rPr>
                <w:t xml:space="preserve">Legislation, U., 13. </w:t>
              </w:r>
              <w:r>
                <w:rPr>
                  <w:i/>
                  <w:iCs/>
                  <w:noProof/>
                </w:rPr>
                <w:t xml:space="preserve">Legilation.gov.uk. </w:t>
              </w:r>
              <w:r>
                <w:rPr>
                  <w:noProof/>
                </w:rPr>
                <w:t xml:space="preserve">[Online] </w:t>
              </w:r>
              <w:r>
                <w:rPr>
                  <w:noProof/>
                </w:rPr>
                <w:br/>
                <w:t xml:space="preserve">Available at: </w:t>
              </w:r>
              <w:r>
                <w:rPr>
                  <w:noProof/>
                  <w:u w:val="single"/>
                </w:rPr>
                <w:t>https://www.legislation.gov.uk/uksi/2017/1075/schedule/3</w:t>
              </w:r>
              <w:r>
                <w:rPr>
                  <w:noProof/>
                </w:rPr>
                <w:br/>
                <w:t>[Accessed 29 8 2026].</w:t>
              </w:r>
            </w:p>
            <w:p w14:paraId="6586A123" w14:textId="77777777" w:rsidR="00252D6F" w:rsidRDefault="00252D6F" w:rsidP="00252D6F">
              <w:pPr>
                <w:pStyle w:val="Bibliography"/>
                <w:rPr>
                  <w:noProof/>
                </w:rPr>
              </w:pPr>
              <w:r>
                <w:rPr>
                  <w:noProof/>
                </w:rPr>
                <w:t xml:space="preserve">Tsige Y. Gebremariam, G. G. A. G. A. S. G., 2023. Efficacy of Nanoparticles in dose enhancement with high dose rate of Iridium-192 and Cobalt-60 radionuclide sources in the Treatment of Cancer: A systematic review. </w:t>
              </w:r>
              <w:r>
                <w:rPr>
                  <w:i/>
                  <w:iCs/>
                  <w:noProof/>
                </w:rPr>
                <w:t>Journal of Cancer Research and Therapeutics .</w:t>
              </w:r>
            </w:p>
            <w:p w14:paraId="3C4CAD4F" w14:textId="1D2CD5ED" w:rsidR="00614901" w:rsidRDefault="00614901" w:rsidP="00252D6F">
              <w:r>
                <w:rPr>
                  <w:b/>
                  <w:bCs/>
                  <w:noProof/>
                </w:rPr>
                <w:fldChar w:fldCharType="end"/>
              </w:r>
            </w:p>
          </w:sdtContent>
        </w:sdt>
      </w:sdtContent>
    </w:sdt>
    <w:p w14:paraId="78F4057F" w14:textId="1D263C9D" w:rsidR="00F935AE" w:rsidRDefault="00F935AE"/>
    <w:p w14:paraId="5EF01678" w14:textId="77777777" w:rsidR="00F935AE" w:rsidRDefault="00F935AE">
      <w:r>
        <w:br w:type="page"/>
      </w:r>
    </w:p>
    <w:p w14:paraId="5575A420" w14:textId="20FEBBE2" w:rsidR="00614901" w:rsidRDefault="00F935AE" w:rsidP="00F935AE">
      <w:pPr>
        <w:pStyle w:val="Heading1"/>
      </w:pPr>
      <w:bookmarkStart w:id="21" w:name="_Toc239425582"/>
      <w:r>
        <w:lastRenderedPageBreak/>
        <w:t xml:space="preserve">ANNEX A – </w:t>
      </w:r>
      <w:r w:rsidR="0076581F">
        <w:t>Detailed Calculations</w:t>
      </w:r>
      <w:bookmarkEnd w:id="21"/>
    </w:p>
    <w:p w14:paraId="727F1CF4" w14:textId="4FE892AC" w:rsidR="005D49E2" w:rsidRDefault="005D49E2" w:rsidP="005D49E2">
      <w:pPr>
        <w:pStyle w:val="Caption"/>
        <w:keepNext/>
        <w:jc w:val="center"/>
      </w:pPr>
      <w:bookmarkStart w:id="22" w:name="_Toc239425557"/>
      <w:r>
        <w:t xml:space="preserve">Table </w:t>
      </w:r>
      <w:r>
        <w:fldChar w:fldCharType="begin"/>
      </w:r>
      <w:r>
        <w:instrText xml:space="preserve"> SEQ Table \* ARABIC </w:instrText>
      </w:r>
      <w:r>
        <w:fldChar w:fldCharType="separate"/>
      </w:r>
      <w:r>
        <w:rPr>
          <w:noProof/>
        </w:rPr>
        <w:t>1</w:t>
      </w:r>
      <w:r>
        <w:fldChar w:fldCharType="end"/>
      </w:r>
      <w:r>
        <w:t xml:space="preserve"> - Table of Terms</w:t>
      </w:r>
      <w:bookmarkEnd w:id="22"/>
    </w:p>
    <w:tbl>
      <w:tblPr>
        <w:tblStyle w:val="PlainTable1"/>
        <w:tblW w:w="0" w:type="auto"/>
        <w:tblLook w:val="04A0" w:firstRow="1" w:lastRow="0" w:firstColumn="1" w:lastColumn="0" w:noHBand="0" w:noVBand="1"/>
      </w:tblPr>
      <w:tblGrid>
        <w:gridCol w:w="3005"/>
        <w:gridCol w:w="3005"/>
        <w:gridCol w:w="3006"/>
      </w:tblGrid>
      <w:tr w:rsidR="00513536" w14:paraId="4A150BE7" w14:textId="77777777" w:rsidTr="005135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93D0563" w14:textId="27D9DCC8" w:rsidR="00513536" w:rsidRDefault="00513536" w:rsidP="00F07853">
            <w:pPr>
              <w:rPr>
                <w:b w:val="0"/>
                <w:bCs w:val="0"/>
              </w:rPr>
            </w:pPr>
            <w:r>
              <w:rPr>
                <w:b w:val="0"/>
                <w:bCs w:val="0"/>
              </w:rPr>
              <w:t>Symbol</w:t>
            </w:r>
          </w:p>
        </w:tc>
        <w:tc>
          <w:tcPr>
            <w:tcW w:w="3005" w:type="dxa"/>
          </w:tcPr>
          <w:p w14:paraId="3504AA9E" w14:textId="42D6E12B" w:rsidR="00513536" w:rsidRDefault="00513536" w:rsidP="00F07853">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Value</w:t>
            </w:r>
          </w:p>
        </w:tc>
        <w:tc>
          <w:tcPr>
            <w:tcW w:w="3006" w:type="dxa"/>
          </w:tcPr>
          <w:p w14:paraId="0F123F5A" w14:textId="668E5782" w:rsidR="00513536" w:rsidRDefault="00513536" w:rsidP="00F07853">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Note</w:t>
            </w:r>
          </w:p>
        </w:tc>
      </w:tr>
      <w:tr w:rsidR="00513536" w14:paraId="147D7C79" w14:textId="77777777" w:rsidTr="00513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98383BA" w14:textId="25C3FB09" w:rsidR="00513536" w:rsidRPr="00513536" w:rsidRDefault="00513536" w:rsidP="00F07853">
            <w:pPr>
              <w:rPr>
                <w:b w:val="0"/>
                <w:bCs w:val="0"/>
                <w:vertAlign w:val="subscript"/>
              </w:rPr>
            </w:pPr>
            <w:r w:rsidRPr="00513536">
              <w:rPr>
                <w:b w:val="0"/>
                <w:bCs w:val="0"/>
              </w:rPr>
              <w:t>A</w:t>
            </w:r>
            <w:r w:rsidRPr="00513536">
              <w:rPr>
                <w:b w:val="0"/>
                <w:bCs w:val="0"/>
                <w:vertAlign w:val="subscript"/>
              </w:rPr>
              <w:t>0</w:t>
            </w:r>
          </w:p>
        </w:tc>
        <w:tc>
          <w:tcPr>
            <w:tcW w:w="3005" w:type="dxa"/>
          </w:tcPr>
          <w:p w14:paraId="05614D91" w14:textId="60391C05" w:rsidR="00513536" w:rsidRPr="00513536" w:rsidRDefault="00513536" w:rsidP="00F07853">
            <w:pPr>
              <w:cnfStyle w:val="000000100000" w:firstRow="0" w:lastRow="0" w:firstColumn="0" w:lastColumn="0" w:oddVBand="0" w:evenVBand="0" w:oddHBand="1" w:evenHBand="0" w:firstRowFirstColumn="0" w:firstRowLastColumn="0" w:lastRowFirstColumn="0" w:lastRowLastColumn="0"/>
            </w:pPr>
            <m:oMath>
              <m:r>
                <w:rPr>
                  <w:rFonts w:ascii="Cambria Math" w:hAnsi="Cambria Math"/>
                </w:rPr>
                <m:t>3⋅2×</m:t>
              </m:r>
              <m:sSup>
                <m:sSupPr>
                  <m:ctrlPr>
                    <w:rPr>
                      <w:rFonts w:ascii="Cambria Math" w:hAnsi="Cambria Math"/>
                      <w:i/>
                    </w:rPr>
                  </m:ctrlPr>
                </m:sSupPr>
                <m:e>
                  <m:r>
                    <w:rPr>
                      <w:rFonts w:ascii="Cambria Math" w:hAnsi="Cambria Math"/>
                    </w:rPr>
                    <m:t>10</m:t>
                  </m:r>
                </m:e>
                <m:sup>
                  <m:r>
                    <w:rPr>
                      <w:rFonts w:ascii="Cambria Math" w:hAnsi="Cambria Math"/>
                    </w:rPr>
                    <m:t>12</m:t>
                  </m:r>
                </m:sup>
              </m:sSup>
            </m:oMath>
            <w:r>
              <w:rPr>
                <w:rFonts w:eastAsiaTheme="minorEastAsia"/>
              </w:rPr>
              <w:t xml:space="preserve"> Bq</w:t>
            </w:r>
          </w:p>
        </w:tc>
        <w:tc>
          <w:tcPr>
            <w:tcW w:w="3006" w:type="dxa"/>
          </w:tcPr>
          <w:p w14:paraId="00E962BC" w14:textId="52F6ED6E" w:rsidR="00513536" w:rsidRPr="00513536" w:rsidRDefault="00513536" w:rsidP="00F07853">
            <w:pPr>
              <w:cnfStyle w:val="000000100000" w:firstRow="0" w:lastRow="0" w:firstColumn="0" w:lastColumn="0" w:oddVBand="0" w:evenVBand="0" w:oddHBand="1" w:evenHBand="0" w:firstRowFirstColumn="0" w:firstRowLastColumn="0" w:lastRowFirstColumn="0" w:lastRowLastColumn="0"/>
            </w:pPr>
            <w:r>
              <w:t>Certified Activity</w:t>
            </w:r>
          </w:p>
        </w:tc>
      </w:tr>
      <w:tr w:rsidR="00513536" w14:paraId="0FAE8C12" w14:textId="77777777" w:rsidTr="00513536">
        <w:tc>
          <w:tcPr>
            <w:cnfStyle w:val="001000000000" w:firstRow="0" w:lastRow="0" w:firstColumn="1" w:lastColumn="0" w:oddVBand="0" w:evenVBand="0" w:oddHBand="0" w:evenHBand="0" w:firstRowFirstColumn="0" w:firstRowLastColumn="0" w:lastRowFirstColumn="0" w:lastRowLastColumn="0"/>
            <w:tcW w:w="3005" w:type="dxa"/>
          </w:tcPr>
          <w:p w14:paraId="105A2AD0" w14:textId="25A1AD5D" w:rsidR="00513536" w:rsidRPr="00513536" w:rsidRDefault="00513536" w:rsidP="00F07853">
            <w:pPr>
              <w:rPr>
                <w:b w:val="0"/>
                <w:bCs w:val="0"/>
                <w:vertAlign w:val="subscript"/>
              </w:rPr>
            </w:pPr>
            <w:r w:rsidRPr="00513536">
              <w:rPr>
                <w:b w:val="0"/>
                <w:bCs w:val="0"/>
              </w:rPr>
              <w:t>A</w:t>
            </w:r>
            <w:r w:rsidRPr="00513536">
              <w:rPr>
                <w:b w:val="0"/>
                <w:bCs w:val="0"/>
                <w:vertAlign w:val="subscript"/>
              </w:rPr>
              <w:t>t</w:t>
            </w:r>
          </w:p>
        </w:tc>
        <w:tc>
          <w:tcPr>
            <w:tcW w:w="3005" w:type="dxa"/>
          </w:tcPr>
          <w:p w14:paraId="6E292921" w14:textId="55F027C0" w:rsidR="00513536" w:rsidRPr="00513536" w:rsidRDefault="00513536" w:rsidP="00F07853">
            <w:pPr>
              <w:cnfStyle w:val="000000000000" w:firstRow="0" w:lastRow="0" w:firstColumn="0" w:lastColumn="0" w:oddVBand="0" w:evenVBand="0" w:oddHBand="0" w:evenHBand="0" w:firstRowFirstColumn="0" w:firstRowLastColumn="0" w:lastRowFirstColumn="0" w:lastRowLastColumn="0"/>
            </w:pPr>
            <m:oMath>
              <m:r>
                <w:rPr>
                  <w:rFonts w:ascii="Cambria Math" w:hAnsi="Cambria Math"/>
                </w:rPr>
                <m:t>1.582068145</m:t>
              </m:r>
              <m:sSup>
                <m:sSupPr>
                  <m:ctrlPr>
                    <w:rPr>
                      <w:rFonts w:ascii="Cambria Math" w:hAnsi="Cambria Math"/>
                      <w:i/>
                    </w:rPr>
                  </m:ctrlPr>
                </m:sSupPr>
                <m:e>
                  <m:r>
                    <w:rPr>
                      <w:rFonts w:ascii="Cambria Math" w:hAnsi="Cambria Math"/>
                    </w:rPr>
                    <m:t>×</m:t>
                  </m:r>
                </m:e>
                <m:sup>
                  <m:sSup>
                    <m:sSupPr>
                      <m:ctrlPr>
                        <w:rPr>
                          <w:rFonts w:ascii="Cambria Math" w:hAnsi="Cambria Math"/>
                          <w:i/>
                        </w:rPr>
                      </m:ctrlPr>
                    </m:sSupPr>
                    <m:e>
                      <m:r>
                        <w:rPr>
                          <w:rFonts w:ascii="Cambria Math" w:hAnsi="Cambria Math"/>
                        </w:rPr>
                        <m:t>10</m:t>
                      </m:r>
                    </m:e>
                    <m:sup>
                      <m:r>
                        <w:rPr>
                          <w:rFonts w:ascii="Cambria Math" w:hAnsi="Cambria Math"/>
                        </w:rPr>
                        <m:t>12</m:t>
                      </m:r>
                    </m:sup>
                  </m:sSup>
                </m:sup>
              </m:sSup>
            </m:oMath>
            <w:r>
              <w:rPr>
                <w:rFonts w:eastAsiaTheme="minorEastAsia"/>
              </w:rPr>
              <w:t>Bq</w:t>
            </w:r>
          </w:p>
        </w:tc>
        <w:tc>
          <w:tcPr>
            <w:tcW w:w="3006" w:type="dxa"/>
          </w:tcPr>
          <w:p w14:paraId="3C1BC057" w14:textId="726CBBA8" w:rsidR="00513536" w:rsidRPr="00513536" w:rsidRDefault="00513536" w:rsidP="00F07853">
            <w:pPr>
              <w:cnfStyle w:val="000000000000" w:firstRow="0" w:lastRow="0" w:firstColumn="0" w:lastColumn="0" w:oddVBand="0" w:evenVBand="0" w:oddHBand="0" w:evenHBand="0" w:firstRowFirstColumn="0" w:firstRowLastColumn="0" w:lastRowFirstColumn="0" w:lastRowLastColumn="0"/>
            </w:pPr>
            <w:r>
              <w:t>Activity on date of incident</w:t>
            </w:r>
          </w:p>
        </w:tc>
      </w:tr>
      <w:tr w:rsidR="00513536" w14:paraId="079EC392" w14:textId="77777777" w:rsidTr="00513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4E421A3" w14:textId="2AF9BA8F" w:rsidR="00513536" w:rsidRPr="00513536" w:rsidRDefault="00513536" w:rsidP="00F07853">
            <w:pPr>
              <w:rPr>
                <w:b w:val="0"/>
                <w:bCs w:val="0"/>
                <w:iCs/>
              </w:rPr>
            </w:pPr>
            <m:oMathPara>
              <m:oMathParaPr>
                <m:jc m:val="left"/>
              </m:oMathParaPr>
              <m:oMath>
                <m:r>
                  <w:rPr>
                    <w:rFonts w:ascii="Cambria Math" w:hAnsi="Cambria Math"/>
                  </w:rPr>
                  <m:t>ϕ</m:t>
                </m:r>
              </m:oMath>
            </m:oMathPara>
          </w:p>
        </w:tc>
        <w:tc>
          <w:tcPr>
            <w:tcW w:w="3005" w:type="dxa"/>
          </w:tcPr>
          <w:p w14:paraId="6EEB72BB" w14:textId="49E164DC" w:rsidR="00513536" w:rsidRPr="00513536" w:rsidRDefault="00513536" w:rsidP="00F07853">
            <w:pPr>
              <w:cnfStyle w:val="000000100000" w:firstRow="0" w:lastRow="0" w:firstColumn="0" w:lastColumn="0" w:oddVBand="0" w:evenVBand="0" w:oddHBand="1" w:evenHBand="0" w:firstRowFirstColumn="0" w:firstRowLastColumn="0" w:lastRowFirstColumn="0" w:lastRowLastColumn="0"/>
            </w:pPr>
            <m:oMath>
              <m:r>
                <w:rPr>
                  <w:rFonts w:ascii="Cambria Math" w:hAnsi="Cambria Math"/>
                </w:rPr>
                <m:t>2.569326179</m:t>
              </m:r>
            </m:oMath>
            <w:r>
              <w:rPr>
                <w:rFonts w:eastAsiaTheme="minorEastAsia"/>
              </w:rPr>
              <w:t xml:space="preserve"> s</w:t>
            </w:r>
            <w:r>
              <w:rPr>
                <w:rFonts w:eastAsiaTheme="minorEastAsia"/>
                <w:vertAlign w:val="superscript"/>
              </w:rPr>
              <w:t>-1</w:t>
            </w:r>
            <w:r>
              <w:rPr>
                <w:rFonts w:eastAsiaTheme="minorEastAsia"/>
              </w:rPr>
              <w:t>m</w:t>
            </w:r>
            <w:r>
              <w:rPr>
                <w:rFonts w:eastAsiaTheme="minorEastAsia"/>
                <w:vertAlign w:val="superscript"/>
              </w:rPr>
              <w:t>-2</w:t>
            </w:r>
          </w:p>
        </w:tc>
        <w:tc>
          <w:tcPr>
            <w:tcW w:w="3006" w:type="dxa"/>
          </w:tcPr>
          <w:p w14:paraId="599D6E56" w14:textId="548102EA" w:rsidR="00513536" w:rsidRPr="00513536" w:rsidRDefault="00513536" w:rsidP="00F07853">
            <w:pPr>
              <w:cnfStyle w:val="000000100000" w:firstRow="0" w:lastRow="0" w:firstColumn="0" w:lastColumn="0" w:oddVBand="0" w:evenVBand="0" w:oddHBand="1" w:evenHBand="0" w:firstRowFirstColumn="0" w:firstRowLastColumn="0" w:lastRowFirstColumn="0" w:lastRowLastColumn="0"/>
            </w:pPr>
            <w:r>
              <w:t>Number of emissions passing through 1 square metre at 0.7m away</w:t>
            </w:r>
          </w:p>
        </w:tc>
      </w:tr>
      <w:tr w:rsidR="00513536" w14:paraId="62D1CB94" w14:textId="77777777" w:rsidTr="00513536">
        <w:tc>
          <w:tcPr>
            <w:cnfStyle w:val="001000000000" w:firstRow="0" w:lastRow="0" w:firstColumn="1" w:lastColumn="0" w:oddVBand="0" w:evenVBand="0" w:oddHBand="0" w:evenHBand="0" w:firstRowFirstColumn="0" w:firstRowLastColumn="0" w:lastRowFirstColumn="0" w:lastRowLastColumn="0"/>
            <w:tcW w:w="3005" w:type="dxa"/>
          </w:tcPr>
          <w:p w14:paraId="4A4DEAE4" w14:textId="605AB747" w:rsidR="00513536" w:rsidRPr="00513536" w:rsidRDefault="00513536" w:rsidP="00F07853">
            <w:pPr>
              <w:rPr>
                <w:b w:val="0"/>
                <w:bCs w:val="0"/>
              </w:rPr>
            </w:pPr>
            <w:r w:rsidRPr="00513536">
              <w:rPr>
                <w:b w:val="0"/>
                <w:bCs w:val="0"/>
              </w:rPr>
              <w:t>r</w:t>
            </w:r>
          </w:p>
        </w:tc>
        <w:tc>
          <w:tcPr>
            <w:tcW w:w="3005" w:type="dxa"/>
          </w:tcPr>
          <w:p w14:paraId="2A3914C1" w14:textId="55BFD588" w:rsidR="00513536" w:rsidRPr="00513536" w:rsidRDefault="00513536" w:rsidP="00F07853">
            <w:pPr>
              <w:cnfStyle w:val="000000000000" w:firstRow="0" w:lastRow="0" w:firstColumn="0" w:lastColumn="0" w:oddVBand="0" w:evenVBand="0" w:oddHBand="0" w:evenHBand="0" w:firstRowFirstColumn="0" w:firstRowLastColumn="0" w:lastRowFirstColumn="0" w:lastRowLastColumn="0"/>
            </w:pPr>
            <w:r>
              <w:t>0.7m</w:t>
            </w:r>
          </w:p>
        </w:tc>
        <w:tc>
          <w:tcPr>
            <w:tcW w:w="3006" w:type="dxa"/>
          </w:tcPr>
          <w:p w14:paraId="6ADE077A" w14:textId="3CE8BAAF" w:rsidR="00513536" w:rsidRPr="00513536" w:rsidRDefault="00513536" w:rsidP="00F07853">
            <w:pPr>
              <w:cnfStyle w:val="000000000000" w:firstRow="0" w:lastRow="0" w:firstColumn="0" w:lastColumn="0" w:oddVBand="0" w:evenVBand="0" w:oddHBand="0" w:evenHBand="0" w:firstRowFirstColumn="0" w:firstRowLastColumn="0" w:lastRowFirstColumn="0" w:lastRowLastColumn="0"/>
            </w:pPr>
            <w:r>
              <w:t>Distance from source</w:t>
            </w:r>
          </w:p>
        </w:tc>
      </w:tr>
      <w:tr w:rsidR="00513536" w14:paraId="550407B4" w14:textId="77777777" w:rsidTr="00513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2300C30" w14:textId="6E68B93E" w:rsidR="00513536" w:rsidRPr="00513536" w:rsidRDefault="00513536" w:rsidP="00F07853">
            <w:pPr>
              <w:rPr>
                <w:b w:val="0"/>
                <w:bCs w:val="0"/>
                <w:iCs/>
              </w:rPr>
            </w:pPr>
            <m:oMathPara>
              <m:oMathParaPr>
                <m:jc m:val="left"/>
              </m:oMathParaPr>
              <m:oMath>
                <m:r>
                  <w:rPr>
                    <w:rFonts w:ascii="Cambria Math" w:hAnsi="Cambria Math"/>
                  </w:rPr>
                  <m:t>λ</m:t>
                </m:r>
              </m:oMath>
            </m:oMathPara>
          </w:p>
        </w:tc>
        <w:tc>
          <w:tcPr>
            <w:tcW w:w="3005" w:type="dxa"/>
          </w:tcPr>
          <w:p w14:paraId="48505358" w14:textId="0FEF6307" w:rsidR="00513536" w:rsidRPr="006E4A59" w:rsidRDefault="006E4A59" w:rsidP="00F07853">
            <w:pPr>
              <w:cnfStyle w:val="000000100000" w:firstRow="0" w:lastRow="0" w:firstColumn="0" w:lastColumn="0" w:oddVBand="0" w:evenVBand="0" w:oddHBand="1" w:evenHBand="0" w:firstRowFirstColumn="0" w:firstRowLastColumn="0" w:lastRowFirstColumn="0" w:lastRowLastColumn="0"/>
            </w:pPr>
            <m:oMath>
              <m:r>
                <w:rPr>
                  <w:rFonts w:ascii="Cambria Math" w:hAnsi="Cambria Math"/>
                </w:rPr>
                <m:t>1.087064609×</m:t>
              </m:r>
              <m:sSup>
                <m:sSupPr>
                  <m:ctrlPr>
                    <w:rPr>
                      <w:rFonts w:ascii="Cambria Math" w:hAnsi="Cambria Math"/>
                      <w:i/>
                    </w:rPr>
                  </m:ctrlPr>
                </m:sSupPr>
                <m:e>
                  <m:r>
                    <w:rPr>
                      <w:rFonts w:ascii="Cambria Math" w:hAnsi="Cambria Math"/>
                    </w:rPr>
                    <m:t>10</m:t>
                  </m:r>
                </m:e>
                <m:sup>
                  <m:r>
                    <w:rPr>
                      <w:rFonts w:ascii="Cambria Math" w:hAnsi="Cambria Math"/>
                    </w:rPr>
                    <m:t>-7</m:t>
                  </m:r>
                </m:sup>
              </m:sSup>
            </m:oMath>
            <w:r>
              <w:rPr>
                <w:rFonts w:eastAsiaTheme="minorEastAsia"/>
              </w:rPr>
              <w:t>m</w:t>
            </w:r>
          </w:p>
        </w:tc>
        <w:tc>
          <w:tcPr>
            <w:tcW w:w="3006" w:type="dxa"/>
          </w:tcPr>
          <w:p w14:paraId="4C9A42DD" w14:textId="5DDCEE9A" w:rsidR="00513536" w:rsidRPr="00513536" w:rsidRDefault="006E4A59" w:rsidP="00F07853">
            <w:pPr>
              <w:cnfStyle w:val="000000100000" w:firstRow="0" w:lastRow="0" w:firstColumn="0" w:lastColumn="0" w:oddVBand="0" w:evenVBand="0" w:oddHBand="1" w:evenHBand="0" w:firstRowFirstColumn="0" w:firstRowLastColumn="0" w:lastRowFirstColumn="0" w:lastRowLastColumn="0"/>
            </w:pPr>
            <w:r>
              <w:t>Decay constant</w:t>
            </w:r>
          </w:p>
        </w:tc>
      </w:tr>
      <w:tr w:rsidR="00513536" w14:paraId="2C9D73E3" w14:textId="77777777" w:rsidTr="00513536">
        <w:tc>
          <w:tcPr>
            <w:cnfStyle w:val="001000000000" w:firstRow="0" w:lastRow="0" w:firstColumn="1" w:lastColumn="0" w:oddVBand="0" w:evenVBand="0" w:oddHBand="0" w:evenHBand="0" w:firstRowFirstColumn="0" w:firstRowLastColumn="0" w:lastRowFirstColumn="0" w:lastRowLastColumn="0"/>
            <w:tcW w:w="3005" w:type="dxa"/>
          </w:tcPr>
          <w:p w14:paraId="67EA2517" w14:textId="5335034C" w:rsidR="00513536" w:rsidRPr="00513536" w:rsidRDefault="00513536" w:rsidP="00F07853">
            <w:pPr>
              <w:rPr>
                <w:b w:val="0"/>
                <w:bCs w:val="0"/>
              </w:rPr>
            </w:pPr>
            <w:r w:rsidRPr="00513536">
              <w:rPr>
                <w:b w:val="0"/>
                <w:bCs w:val="0"/>
              </w:rPr>
              <w:t>t</w:t>
            </w:r>
          </w:p>
        </w:tc>
        <w:tc>
          <w:tcPr>
            <w:tcW w:w="3005" w:type="dxa"/>
          </w:tcPr>
          <w:p w14:paraId="1C9DE1B0" w14:textId="28453C6D" w:rsidR="00513536" w:rsidRPr="00513536" w:rsidRDefault="006E4A59" w:rsidP="00F07853">
            <w:pPr>
              <w:cnfStyle w:val="000000000000" w:firstRow="0" w:lastRow="0" w:firstColumn="0" w:lastColumn="0" w:oddVBand="0" w:evenVBand="0" w:oddHBand="0" w:evenHBand="0" w:firstRowFirstColumn="0" w:firstRowLastColumn="0" w:lastRowFirstColumn="0" w:lastRowLastColumn="0"/>
            </w:pPr>
            <w:r>
              <w:t>6480000 s</w:t>
            </w:r>
          </w:p>
        </w:tc>
        <w:tc>
          <w:tcPr>
            <w:tcW w:w="3006" w:type="dxa"/>
          </w:tcPr>
          <w:p w14:paraId="6FE7D9DA" w14:textId="35B75235" w:rsidR="00513536" w:rsidRPr="006E4A59" w:rsidRDefault="006E4A59" w:rsidP="00F07853">
            <w:pPr>
              <w:cnfStyle w:val="000000000000" w:firstRow="0" w:lastRow="0" w:firstColumn="0" w:lastColumn="0" w:oddVBand="0" w:evenVBand="0" w:oddHBand="0" w:evenHBand="0" w:firstRowFirstColumn="0" w:firstRowLastColumn="0" w:lastRowFirstColumn="0" w:lastRowLastColumn="0"/>
              <w:rPr>
                <w:vertAlign w:val="subscript"/>
              </w:rPr>
            </w:pPr>
            <w:r>
              <w:t>Time elapsed since A</w:t>
            </w:r>
            <w:r>
              <w:rPr>
                <w:vertAlign w:val="subscript"/>
              </w:rPr>
              <w:t>0</w:t>
            </w:r>
          </w:p>
        </w:tc>
      </w:tr>
      <w:tr w:rsidR="00513536" w14:paraId="328DB1D2" w14:textId="77777777" w:rsidTr="00513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866AD6C" w14:textId="21B01C4C" w:rsidR="00513536" w:rsidRPr="00513536" w:rsidRDefault="00513536" w:rsidP="00F07853">
            <w:pPr>
              <w:rPr>
                <w:b w:val="0"/>
                <w:bCs w:val="0"/>
              </w:rPr>
            </w:pPr>
            <w:r w:rsidRPr="00513536">
              <w:rPr>
                <w:b w:val="0"/>
                <w:bCs w:val="0"/>
              </w:rPr>
              <w:t>D</w:t>
            </w:r>
          </w:p>
        </w:tc>
        <w:tc>
          <w:tcPr>
            <w:tcW w:w="3005" w:type="dxa"/>
          </w:tcPr>
          <w:p w14:paraId="4617F5EE" w14:textId="7B37AF4D" w:rsidR="00513536" w:rsidRPr="006E4A59" w:rsidRDefault="006E4A59" w:rsidP="00F07853">
            <w:pPr>
              <w:cnfStyle w:val="000000100000" w:firstRow="0" w:lastRow="0" w:firstColumn="0" w:lastColumn="0" w:oddVBand="0" w:evenVBand="0" w:oddHBand="1" w:evenHBand="0" w:firstRowFirstColumn="0" w:firstRowLastColumn="0" w:lastRowFirstColumn="0" w:lastRowLastColumn="0"/>
              <w:rPr>
                <w:vertAlign w:val="superscript"/>
              </w:rPr>
            </w:pPr>
            <w:r>
              <w:t>0.104664032 Bqs</w:t>
            </w:r>
            <w:r>
              <w:rPr>
                <w:vertAlign w:val="superscript"/>
              </w:rPr>
              <w:t>-1</w:t>
            </w:r>
          </w:p>
        </w:tc>
        <w:tc>
          <w:tcPr>
            <w:tcW w:w="3006" w:type="dxa"/>
          </w:tcPr>
          <w:p w14:paraId="2042824E" w14:textId="5E867E70" w:rsidR="00513536" w:rsidRPr="00513536" w:rsidRDefault="006E4A59" w:rsidP="00F07853">
            <w:pPr>
              <w:cnfStyle w:val="000000100000" w:firstRow="0" w:lastRow="0" w:firstColumn="0" w:lastColumn="0" w:oddVBand="0" w:evenVBand="0" w:oddHBand="1" w:evenHBand="0" w:firstRowFirstColumn="0" w:firstRowLastColumn="0" w:lastRowFirstColumn="0" w:lastRowLastColumn="0"/>
            </w:pPr>
            <w:r>
              <w:t>Dose rate</w:t>
            </w:r>
          </w:p>
        </w:tc>
      </w:tr>
      <w:tr w:rsidR="00513536" w14:paraId="2D3C58B4" w14:textId="77777777" w:rsidTr="00513536">
        <w:tc>
          <w:tcPr>
            <w:cnfStyle w:val="001000000000" w:firstRow="0" w:lastRow="0" w:firstColumn="1" w:lastColumn="0" w:oddVBand="0" w:evenVBand="0" w:oddHBand="0" w:evenHBand="0" w:firstRowFirstColumn="0" w:firstRowLastColumn="0" w:lastRowFirstColumn="0" w:lastRowLastColumn="0"/>
            <w:tcW w:w="3005" w:type="dxa"/>
          </w:tcPr>
          <w:p w14:paraId="6C31807E" w14:textId="48BB57F0" w:rsidR="00513536" w:rsidRPr="00513536" w:rsidRDefault="00513536" w:rsidP="00F07853">
            <w:pPr>
              <w:rPr>
                <w:b w:val="0"/>
                <w:bCs w:val="0"/>
              </w:rPr>
            </w:pPr>
            <m:oMathPara>
              <m:oMathParaPr>
                <m:jc m:val="left"/>
              </m:oMathParaPr>
              <m:oMath>
                <m:r>
                  <w:rPr>
                    <w:rFonts w:ascii="Cambria Math" w:hAnsi="Cambria Math"/>
                  </w:rPr>
                  <m:t>τ</m:t>
                </m:r>
              </m:oMath>
            </m:oMathPara>
          </w:p>
        </w:tc>
        <w:tc>
          <w:tcPr>
            <w:tcW w:w="3005" w:type="dxa"/>
          </w:tcPr>
          <w:p w14:paraId="421B62CD" w14:textId="248706FA" w:rsidR="00513536" w:rsidRPr="006E4A59" w:rsidRDefault="006E4A59" w:rsidP="00F07853">
            <w:pPr>
              <w:cnfStyle w:val="000000000000" w:firstRow="0" w:lastRow="0" w:firstColumn="0" w:lastColumn="0" w:oddVBand="0" w:evenVBand="0" w:oddHBand="0" w:evenHBand="0" w:firstRowFirstColumn="0" w:firstRowLastColumn="0" w:lastRowFirstColumn="0" w:lastRowLastColumn="0"/>
            </w:pPr>
            <w:r>
              <w:t>0.59163 mSvh</w:t>
            </w:r>
            <w:r>
              <w:rPr>
                <w:vertAlign w:val="superscript"/>
              </w:rPr>
              <w:t>-1</w:t>
            </w:r>
            <w:r>
              <w:t xml:space="preserve"> MBq</w:t>
            </w:r>
            <w:r>
              <w:rPr>
                <w:vertAlign w:val="superscript"/>
              </w:rPr>
              <w:t>-1</w:t>
            </w:r>
          </w:p>
        </w:tc>
        <w:tc>
          <w:tcPr>
            <w:tcW w:w="3006" w:type="dxa"/>
          </w:tcPr>
          <w:p w14:paraId="2FAA2439" w14:textId="0DA21BDF" w:rsidR="00513536" w:rsidRPr="00513536" w:rsidRDefault="006E4A59" w:rsidP="00F07853">
            <w:pPr>
              <w:cnfStyle w:val="000000000000" w:firstRow="0" w:lastRow="0" w:firstColumn="0" w:lastColumn="0" w:oddVBand="0" w:evenVBand="0" w:oddHBand="0" w:evenHBand="0" w:firstRowFirstColumn="0" w:firstRowLastColumn="0" w:lastRowFirstColumn="0" w:lastRowLastColumn="0"/>
            </w:pPr>
            <w:r>
              <w:t>Gamma ray constant</w:t>
            </w:r>
          </w:p>
        </w:tc>
      </w:tr>
      <w:tr w:rsidR="00513536" w14:paraId="4E133092" w14:textId="77777777" w:rsidTr="00513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9AD812C" w14:textId="6B538EEA" w:rsidR="00513536" w:rsidRPr="00A555C8" w:rsidRDefault="00A555C8" w:rsidP="00F07853">
            <w:pPr>
              <w:rPr>
                <w:b w:val="0"/>
                <w:bCs w:val="0"/>
                <w:vertAlign w:val="subscript"/>
              </w:rPr>
            </w:pPr>
            <w:proofErr w:type="spellStart"/>
            <w:r>
              <w:rPr>
                <w:b w:val="0"/>
                <w:bCs w:val="0"/>
              </w:rPr>
              <w:t>HVL</w:t>
            </w:r>
            <w:r>
              <w:rPr>
                <w:b w:val="0"/>
                <w:bCs w:val="0"/>
                <w:vertAlign w:val="subscript"/>
              </w:rPr>
              <w:t>steel</w:t>
            </w:r>
            <w:proofErr w:type="spellEnd"/>
          </w:p>
        </w:tc>
        <w:tc>
          <w:tcPr>
            <w:tcW w:w="3005" w:type="dxa"/>
          </w:tcPr>
          <w:p w14:paraId="70414B60" w14:textId="5B747D2A" w:rsidR="00513536" w:rsidRPr="00513536" w:rsidRDefault="007301F5" w:rsidP="00F07853">
            <w:pPr>
              <w:cnfStyle w:val="000000100000" w:firstRow="0" w:lastRow="0" w:firstColumn="0" w:lastColumn="0" w:oddVBand="0" w:evenVBand="0" w:oddHBand="1" w:evenHBand="0" w:firstRowFirstColumn="0" w:firstRowLastColumn="0" w:lastRowFirstColumn="0" w:lastRowLastColumn="0"/>
            </w:pPr>
            <w:r>
              <w:t>12.7mm</w:t>
            </w:r>
          </w:p>
        </w:tc>
        <w:tc>
          <w:tcPr>
            <w:tcW w:w="3006" w:type="dxa"/>
          </w:tcPr>
          <w:p w14:paraId="13F58C47" w14:textId="471BE125" w:rsidR="00513536" w:rsidRPr="00513536" w:rsidRDefault="007301F5" w:rsidP="00F07853">
            <w:pPr>
              <w:cnfStyle w:val="000000100000" w:firstRow="0" w:lastRow="0" w:firstColumn="0" w:lastColumn="0" w:oddVBand="0" w:evenVBand="0" w:oddHBand="1" w:evenHBand="0" w:firstRowFirstColumn="0" w:firstRowLastColumn="0" w:lastRowFirstColumn="0" w:lastRowLastColumn="0"/>
            </w:pPr>
            <w:r>
              <w:t>Half Value Layer</w:t>
            </w:r>
          </w:p>
        </w:tc>
      </w:tr>
      <w:tr w:rsidR="00513536" w14:paraId="4FA15BE9" w14:textId="77777777" w:rsidTr="00513536">
        <w:tc>
          <w:tcPr>
            <w:cnfStyle w:val="001000000000" w:firstRow="0" w:lastRow="0" w:firstColumn="1" w:lastColumn="0" w:oddVBand="0" w:evenVBand="0" w:oddHBand="0" w:evenHBand="0" w:firstRowFirstColumn="0" w:firstRowLastColumn="0" w:lastRowFirstColumn="0" w:lastRowLastColumn="0"/>
            <w:tcW w:w="3005" w:type="dxa"/>
          </w:tcPr>
          <w:p w14:paraId="2C23A3BF" w14:textId="448E24AC" w:rsidR="00513536" w:rsidRPr="00A555C8" w:rsidRDefault="00A555C8" w:rsidP="00F07853">
            <w:pPr>
              <w:rPr>
                <w:b w:val="0"/>
                <w:bCs w:val="0"/>
                <w:strike/>
                <w:vertAlign w:val="subscript"/>
              </w:rPr>
            </w:pPr>
            <w:proofErr w:type="spellStart"/>
            <w:r>
              <w:rPr>
                <w:b w:val="0"/>
                <w:bCs w:val="0"/>
              </w:rPr>
              <w:t>HVL</w:t>
            </w:r>
            <w:r>
              <w:rPr>
                <w:b w:val="0"/>
                <w:bCs w:val="0"/>
                <w:vertAlign w:val="subscript"/>
              </w:rPr>
              <w:t>uranium</w:t>
            </w:r>
            <w:proofErr w:type="spellEnd"/>
          </w:p>
        </w:tc>
        <w:tc>
          <w:tcPr>
            <w:tcW w:w="3005" w:type="dxa"/>
          </w:tcPr>
          <w:p w14:paraId="6E4DAF40" w14:textId="084C27D1" w:rsidR="00513536" w:rsidRPr="00513536" w:rsidRDefault="007301F5" w:rsidP="00F07853">
            <w:pPr>
              <w:cnfStyle w:val="000000000000" w:firstRow="0" w:lastRow="0" w:firstColumn="0" w:lastColumn="0" w:oddVBand="0" w:evenVBand="0" w:oddHBand="0" w:evenHBand="0" w:firstRowFirstColumn="0" w:firstRowLastColumn="0" w:lastRowFirstColumn="0" w:lastRowLastColumn="0"/>
            </w:pPr>
            <w:r>
              <w:t>2.8mm</w:t>
            </w:r>
          </w:p>
        </w:tc>
        <w:tc>
          <w:tcPr>
            <w:tcW w:w="3006" w:type="dxa"/>
          </w:tcPr>
          <w:p w14:paraId="3549146D" w14:textId="39274895" w:rsidR="00513536" w:rsidRPr="00513536" w:rsidRDefault="007301F5" w:rsidP="00F07853">
            <w:pPr>
              <w:cnfStyle w:val="000000000000" w:firstRow="0" w:lastRow="0" w:firstColumn="0" w:lastColumn="0" w:oddVBand="0" w:evenVBand="0" w:oddHBand="0" w:evenHBand="0" w:firstRowFirstColumn="0" w:firstRowLastColumn="0" w:lastRowFirstColumn="0" w:lastRowLastColumn="0"/>
            </w:pPr>
            <w:r>
              <w:t>Half Value Layer</w:t>
            </w:r>
          </w:p>
        </w:tc>
      </w:tr>
      <w:tr w:rsidR="00513536" w14:paraId="5234F31B" w14:textId="77777777" w:rsidTr="00513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D505325" w14:textId="64CCFE6E" w:rsidR="00513536" w:rsidRPr="00DA5EBD" w:rsidRDefault="007301F5" w:rsidP="00F07853">
            <w:pPr>
              <w:rPr>
                <w:b w:val="0"/>
                <w:bCs w:val="0"/>
                <w:vertAlign w:val="subscript"/>
              </w:rPr>
            </w:pPr>
            <m:oMath>
              <m:r>
                <m:rPr>
                  <m:sty m:val="bi"/>
                </m:rPr>
                <w:rPr>
                  <w:rFonts w:ascii="Cambria Math" w:hAnsi="Cambria Math"/>
                </w:rPr>
                <m:t>μ</m:t>
              </m:r>
            </m:oMath>
            <w:r w:rsidR="00DA5EBD">
              <w:rPr>
                <w:rFonts w:eastAsiaTheme="minorEastAsia"/>
                <w:iCs/>
                <w:vertAlign w:val="subscript"/>
              </w:rPr>
              <w:t>steel</w:t>
            </w:r>
          </w:p>
        </w:tc>
        <w:tc>
          <w:tcPr>
            <w:tcW w:w="3005" w:type="dxa"/>
          </w:tcPr>
          <w:p w14:paraId="2D926CF6" w14:textId="68475A93" w:rsidR="00513536" w:rsidRPr="00DA5EBD" w:rsidRDefault="00DA5EBD" w:rsidP="00F07853">
            <w:pPr>
              <w:cnfStyle w:val="000000100000" w:firstRow="0" w:lastRow="0" w:firstColumn="0" w:lastColumn="0" w:oddVBand="0" w:evenVBand="0" w:oddHBand="1" w:evenHBand="0" w:firstRowFirstColumn="0" w:firstRowLastColumn="0" w:lastRowFirstColumn="0" w:lastRowLastColumn="0"/>
            </w:pPr>
            <m:oMathPara>
              <m:oMathParaPr>
                <m:jc m:val="left"/>
              </m:oMathParaPr>
              <m:oMath>
                <m:r>
                  <w:rPr>
                    <w:rFonts w:ascii="Cambria Math" w:hAnsi="Cambria Math"/>
                  </w:rPr>
                  <m:t>5.457851815</m:t>
                </m:r>
                <m:sSup>
                  <m:sSupPr>
                    <m:ctrlPr>
                      <w:rPr>
                        <w:rFonts w:ascii="Cambria Math" w:hAnsi="Cambria Math"/>
                        <w:i/>
                        <w:iCs/>
                      </w:rPr>
                    </m:ctrlPr>
                  </m:sSupPr>
                  <m:e>
                    <m:r>
                      <w:rPr>
                        <w:rFonts w:ascii="Cambria Math" w:hAnsi="Cambria Math"/>
                      </w:rPr>
                      <m:t>m</m:t>
                    </m:r>
                  </m:e>
                  <m:sup>
                    <m:r>
                      <w:rPr>
                        <w:rFonts w:ascii="Cambria Math" w:hAnsi="Cambria Math"/>
                      </w:rPr>
                      <m:t>-1</m:t>
                    </m:r>
                  </m:sup>
                </m:sSup>
              </m:oMath>
            </m:oMathPara>
          </w:p>
        </w:tc>
        <w:tc>
          <w:tcPr>
            <w:tcW w:w="3006" w:type="dxa"/>
          </w:tcPr>
          <w:p w14:paraId="656AEDE2" w14:textId="62C8E043" w:rsidR="00513536" w:rsidRPr="00513536" w:rsidRDefault="007301F5" w:rsidP="00F07853">
            <w:pPr>
              <w:cnfStyle w:val="000000100000" w:firstRow="0" w:lastRow="0" w:firstColumn="0" w:lastColumn="0" w:oddVBand="0" w:evenVBand="0" w:oddHBand="1" w:evenHBand="0" w:firstRowFirstColumn="0" w:firstRowLastColumn="0" w:lastRowFirstColumn="0" w:lastRowLastColumn="0"/>
            </w:pPr>
            <w:r>
              <w:t xml:space="preserve">Linear attenuation </w:t>
            </w:r>
            <w:r w:rsidR="008067F6">
              <w:t>coefficient</w:t>
            </w:r>
          </w:p>
        </w:tc>
      </w:tr>
      <w:tr w:rsidR="008067F6" w14:paraId="2A3174EE" w14:textId="77777777" w:rsidTr="00513536">
        <w:tc>
          <w:tcPr>
            <w:cnfStyle w:val="001000000000" w:firstRow="0" w:lastRow="0" w:firstColumn="1" w:lastColumn="0" w:oddVBand="0" w:evenVBand="0" w:oddHBand="0" w:evenHBand="0" w:firstRowFirstColumn="0" w:firstRowLastColumn="0" w:lastRowFirstColumn="0" w:lastRowLastColumn="0"/>
            <w:tcW w:w="3005" w:type="dxa"/>
          </w:tcPr>
          <w:p w14:paraId="7AA37AB6" w14:textId="41B31729" w:rsidR="008067F6" w:rsidRPr="00DA5EBD" w:rsidRDefault="008067F6" w:rsidP="008067F6">
            <w:pPr>
              <w:rPr>
                <w:b w:val="0"/>
                <w:bCs w:val="0"/>
                <w:vertAlign w:val="subscript"/>
              </w:rPr>
            </w:pPr>
            <m:oMath>
              <m:r>
                <m:rPr>
                  <m:sty m:val="bi"/>
                </m:rPr>
                <w:rPr>
                  <w:rFonts w:ascii="Cambria Math" w:hAnsi="Cambria Math"/>
                </w:rPr>
                <m:t>μ</m:t>
              </m:r>
            </m:oMath>
            <w:r>
              <w:rPr>
                <w:rFonts w:eastAsiaTheme="minorEastAsia"/>
                <w:iCs/>
                <w:vertAlign w:val="subscript"/>
              </w:rPr>
              <w:t>uranium</w:t>
            </w:r>
          </w:p>
        </w:tc>
        <w:tc>
          <w:tcPr>
            <w:tcW w:w="3005" w:type="dxa"/>
          </w:tcPr>
          <w:p w14:paraId="6CA78D74" w14:textId="5061757F" w:rsidR="008067F6" w:rsidRPr="00513536" w:rsidRDefault="008067F6" w:rsidP="008067F6">
            <w:pPr>
              <w:cnfStyle w:val="000000000000" w:firstRow="0" w:lastRow="0" w:firstColumn="0" w:lastColumn="0" w:oddVBand="0" w:evenVBand="0" w:oddHBand="0" w:evenHBand="0" w:firstRowFirstColumn="0" w:firstRowLastColumn="0" w:lastRowFirstColumn="0" w:lastRowLastColumn="0"/>
            </w:pPr>
            <w:r>
              <w:t>24.75525645</w:t>
            </w:r>
            <m:oMath>
              <m:sSup>
                <m:sSupPr>
                  <m:ctrlPr>
                    <w:rPr>
                      <w:rFonts w:ascii="Cambria Math" w:hAnsi="Cambria Math"/>
                      <w:i/>
                      <w:iCs/>
                    </w:rPr>
                  </m:ctrlPr>
                </m:sSupPr>
                <m:e>
                  <m:r>
                    <w:rPr>
                      <w:rFonts w:ascii="Cambria Math" w:hAnsi="Cambria Math"/>
                    </w:rPr>
                    <m:t>m</m:t>
                  </m:r>
                </m:e>
                <m:sup>
                  <m:r>
                    <w:rPr>
                      <w:rFonts w:ascii="Cambria Math" w:hAnsi="Cambria Math"/>
                    </w:rPr>
                    <m:t>-1</m:t>
                  </m:r>
                </m:sup>
              </m:sSup>
            </m:oMath>
          </w:p>
        </w:tc>
        <w:tc>
          <w:tcPr>
            <w:tcW w:w="3006" w:type="dxa"/>
          </w:tcPr>
          <w:p w14:paraId="72EA865C" w14:textId="718B60BF" w:rsidR="008067F6" w:rsidRPr="00513536" w:rsidRDefault="008067F6" w:rsidP="008067F6">
            <w:pPr>
              <w:cnfStyle w:val="000000000000" w:firstRow="0" w:lastRow="0" w:firstColumn="0" w:lastColumn="0" w:oddVBand="0" w:evenVBand="0" w:oddHBand="0" w:evenHBand="0" w:firstRowFirstColumn="0" w:firstRowLastColumn="0" w:lastRowFirstColumn="0" w:lastRowLastColumn="0"/>
            </w:pPr>
            <w:r>
              <w:t>Linear attenuation coefficient</w:t>
            </w:r>
          </w:p>
        </w:tc>
      </w:tr>
    </w:tbl>
    <w:p w14:paraId="29BA8AD7" w14:textId="77777777" w:rsidR="00513536" w:rsidRDefault="00513536" w:rsidP="00F07853">
      <w:pPr>
        <w:rPr>
          <w:b/>
          <w:bCs/>
        </w:rPr>
      </w:pPr>
    </w:p>
    <w:p w14:paraId="0522C0F6" w14:textId="22D392FC" w:rsidR="00F07853" w:rsidRPr="00F07853" w:rsidRDefault="00F07853" w:rsidP="00F07853">
      <w:pPr>
        <w:rPr>
          <w:b/>
          <w:bCs/>
        </w:rPr>
      </w:pPr>
      <w:r w:rsidRPr="00F07853">
        <w:rPr>
          <w:b/>
          <w:bCs/>
        </w:rPr>
        <w:t>Activity</w:t>
      </w:r>
    </w:p>
    <w:p w14:paraId="7552799F" w14:textId="721CEB29" w:rsidR="00F935AE" w:rsidRPr="006B75B7" w:rsidRDefault="00F07853" w:rsidP="001A23EE">
      <w:pPr>
        <w:keepNext/>
        <w:rPr>
          <w:rFonts w:eastAsiaTheme="minorEastAsia"/>
        </w:rPr>
      </w:pPr>
      <m:oMathPara>
        <m:oMathParaPr>
          <m:jc m:val="left"/>
        </m:oMathParaPr>
        <m:oMath>
          <m:sSub>
            <m:sSubPr>
              <m:ctrlPr>
                <w:rPr>
                  <w:rFonts w:ascii="Cambria Math" w:hAnsi="Cambria Math"/>
                  <w:i/>
                </w:rPr>
              </m:ctrlPr>
            </m:sSubPr>
            <m:e>
              <m:r>
                <w:rPr>
                  <w:rFonts w:ascii="Cambria Math" w:hAnsi="Cambria Math"/>
                </w:rPr>
                <m:t>A</m:t>
              </m:r>
            </m:e>
            <m:sub>
              <m:r>
                <w:rPr>
                  <w:rFonts w:ascii="Cambria Math" w:hAnsi="Cambria Math"/>
                </w:rPr>
                <m:t>t</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0</m:t>
              </m:r>
            </m:sub>
          </m:sSub>
          <m:sSup>
            <m:sSupPr>
              <m:ctrlPr>
                <w:rPr>
                  <w:rFonts w:ascii="Cambria Math" w:hAnsi="Cambria Math"/>
                  <w:i/>
                </w:rPr>
              </m:ctrlPr>
            </m:sSupPr>
            <m:e>
              <m:r>
                <w:rPr>
                  <w:rFonts w:ascii="Cambria Math" w:hAnsi="Cambria Math"/>
                </w:rPr>
                <m:t>ⅇ</m:t>
              </m:r>
            </m:e>
            <m:sup>
              <m:r>
                <w:rPr>
                  <w:rFonts w:ascii="Cambria Math" w:hAnsi="Cambria Math"/>
                </w:rPr>
                <m:t>-λt</m:t>
              </m:r>
            </m:sup>
          </m:sSup>
        </m:oMath>
      </m:oMathPara>
    </w:p>
    <w:p w14:paraId="7CFFEA5E" w14:textId="055E1A5E" w:rsidR="001A23EE" w:rsidRDefault="001A23EE" w:rsidP="001A23EE">
      <w:pPr>
        <w:pStyle w:val="Caption"/>
        <w:jc w:val="right"/>
      </w:pPr>
      <w:bookmarkStart w:id="23" w:name="_Ref239423380"/>
      <w:bookmarkStart w:id="24" w:name="_Toc239425551"/>
      <w:r>
        <w:t xml:space="preserve">Equation </w:t>
      </w:r>
      <w:r>
        <w:fldChar w:fldCharType="begin"/>
      </w:r>
      <w:r>
        <w:instrText xml:space="preserve"> SEQ Equation \* ARABIC </w:instrText>
      </w:r>
      <w:r>
        <w:fldChar w:fldCharType="separate"/>
      </w:r>
      <w:r w:rsidR="00252D6F">
        <w:rPr>
          <w:noProof/>
        </w:rPr>
        <w:t>1</w:t>
      </w:r>
      <w:r>
        <w:fldChar w:fldCharType="end"/>
      </w:r>
      <w:r>
        <w:t xml:space="preserve"> - Activity at time t</w:t>
      </w:r>
      <w:bookmarkEnd w:id="23"/>
      <w:bookmarkEnd w:id="24"/>
    </w:p>
    <w:p w14:paraId="1091F30B" w14:textId="59CF6392" w:rsidR="00F07853" w:rsidRPr="00E01A05" w:rsidRDefault="00F07853" w:rsidP="00F935AE">
      <w:pPr>
        <w:rPr>
          <w:rFonts w:eastAsiaTheme="minorEastAsia"/>
        </w:rPr>
      </w:pPr>
      <m:oMathPara>
        <m:oMathParaPr>
          <m:jc m:val="left"/>
        </m:oMathParaPr>
        <m:oMath>
          <m:sSub>
            <m:sSubPr>
              <m:ctrlPr>
                <w:rPr>
                  <w:rFonts w:ascii="Cambria Math" w:hAnsi="Cambria Math"/>
                  <w:i/>
                </w:rPr>
              </m:ctrlPr>
            </m:sSubPr>
            <m:e>
              <m:r>
                <w:rPr>
                  <w:rFonts w:ascii="Cambria Math" w:hAnsi="Cambria Math"/>
                </w:rPr>
                <m:t>A</m:t>
              </m:r>
            </m:e>
            <m:sub>
              <m:r>
                <w:rPr>
                  <w:rFonts w:ascii="Cambria Math" w:hAnsi="Cambria Math"/>
                </w:rPr>
                <m:t>t</m:t>
              </m:r>
            </m:sub>
          </m:sSub>
          <m:r>
            <w:rPr>
              <w:rFonts w:ascii="Cambria Math" w:hAnsi="Cambria Math"/>
            </w:rPr>
            <m:t>=</m:t>
          </m:r>
          <m:d>
            <m:dPr>
              <m:ctrlPr>
                <w:rPr>
                  <w:rFonts w:ascii="Cambria Math" w:hAnsi="Cambria Math"/>
                  <w:i/>
                </w:rPr>
              </m:ctrlPr>
            </m:dPr>
            <m:e>
              <m:r>
                <w:rPr>
                  <w:rFonts w:ascii="Cambria Math" w:hAnsi="Cambria Math"/>
                </w:rPr>
                <m:t>3⋅2×</m:t>
              </m:r>
              <m:sSup>
                <m:sSupPr>
                  <m:ctrlPr>
                    <w:rPr>
                      <w:rFonts w:ascii="Cambria Math" w:hAnsi="Cambria Math"/>
                      <w:i/>
                    </w:rPr>
                  </m:ctrlPr>
                </m:sSupPr>
                <m:e>
                  <m:r>
                    <w:rPr>
                      <w:rFonts w:ascii="Cambria Math" w:hAnsi="Cambria Math"/>
                    </w:rPr>
                    <m:t>10</m:t>
                  </m:r>
                </m:e>
                <m:sup>
                  <m:r>
                    <w:rPr>
                      <w:rFonts w:ascii="Cambria Math" w:hAnsi="Cambria Math"/>
                    </w:rPr>
                    <m:t>12</m:t>
                  </m:r>
                </m:sup>
              </m:sSup>
            </m:e>
          </m:d>
          <m:sSup>
            <m:sSupPr>
              <m:ctrlPr>
                <w:rPr>
                  <w:rFonts w:ascii="Cambria Math" w:hAnsi="Cambria Math"/>
                  <w:i/>
                </w:rPr>
              </m:ctrlPr>
            </m:sSupPr>
            <m:e>
              <m:r>
                <w:rPr>
                  <w:rFonts w:ascii="Cambria Math" w:hAnsi="Cambria Math"/>
                </w:rPr>
                <m:t>ⅇ</m:t>
              </m:r>
            </m:e>
            <m:sup>
              <m:r>
                <w:rPr>
                  <w:rFonts w:ascii="Cambria Math" w:hAnsi="Cambria Math"/>
                </w:rPr>
                <m:t>-</m:t>
              </m:r>
              <m:f>
                <m:fPr>
                  <m:ctrlPr>
                    <w:rPr>
                      <w:rFonts w:ascii="Cambria Math" w:hAnsi="Cambria Math"/>
                      <w:i/>
                    </w:rPr>
                  </m:ctrlPr>
                </m:fPr>
                <m:num>
                  <m:func>
                    <m:funcPr>
                      <m:ctrlPr>
                        <w:rPr>
                          <w:rFonts w:ascii="Cambria Math" w:hAnsi="Cambria Math"/>
                          <w:i/>
                        </w:rPr>
                      </m:ctrlPr>
                    </m:funcPr>
                    <m:fName>
                      <m:r>
                        <w:rPr>
                          <w:rFonts w:ascii="Cambria Math" w:hAnsi="Cambria Math"/>
                        </w:rPr>
                        <m:t>ln</m:t>
                      </m:r>
                    </m:fName>
                    <m:e>
                      <m:r>
                        <w:rPr>
                          <w:rFonts w:ascii="Cambria Math" w:hAnsi="Cambria Math"/>
                        </w:rPr>
                        <m:t>2</m:t>
                      </m:r>
                    </m:e>
                  </m:func>
                </m:num>
                <m:den>
                  <m:r>
                    <w:rPr>
                      <w:rFonts w:ascii="Cambria Math" w:hAnsi="Cambria Math"/>
                    </w:rPr>
                    <m:t>73⋅8×24×</m:t>
                  </m:r>
                  <m:sSup>
                    <m:sSupPr>
                      <m:ctrlPr>
                        <w:rPr>
                          <w:rFonts w:ascii="Cambria Math" w:hAnsi="Cambria Math"/>
                          <w:i/>
                        </w:rPr>
                      </m:ctrlPr>
                    </m:sSupPr>
                    <m:e>
                      <m:r>
                        <w:rPr>
                          <w:rFonts w:ascii="Cambria Math" w:hAnsi="Cambria Math"/>
                        </w:rPr>
                        <m:t>60</m:t>
                      </m:r>
                    </m:e>
                    <m:sup>
                      <m:r>
                        <w:rPr>
                          <w:rFonts w:ascii="Cambria Math" w:hAnsi="Cambria Math"/>
                        </w:rPr>
                        <m:t>2</m:t>
                      </m:r>
                    </m:sup>
                  </m:sSup>
                </m:den>
              </m:f>
              <m:d>
                <m:dPr>
                  <m:ctrlPr>
                    <w:rPr>
                      <w:rFonts w:ascii="Cambria Math" w:hAnsi="Cambria Math"/>
                      <w:i/>
                    </w:rPr>
                  </m:ctrlPr>
                </m:dPr>
                <m:e>
                  <m:r>
                    <w:rPr>
                      <w:rFonts w:ascii="Cambria Math" w:hAnsi="Cambria Math"/>
                    </w:rPr>
                    <m:t>75×24×</m:t>
                  </m:r>
                  <m:sSup>
                    <m:sSupPr>
                      <m:ctrlPr>
                        <w:rPr>
                          <w:rFonts w:ascii="Cambria Math" w:hAnsi="Cambria Math"/>
                          <w:i/>
                        </w:rPr>
                      </m:ctrlPr>
                    </m:sSupPr>
                    <m:e>
                      <m:r>
                        <w:rPr>
                          <w:rFonts w:ascii="Cambria Math" w:hAnsi="Cambria Math"/>
                        </w:rPr>
                        <m:t>60</m:t>
                      </m:r>
                    </m:e>
                    <m:sup>
                      <m:r>
                        <w:rPr>
                          <w:rFonts w:ascii="Cambria Math" w:hAnsi="Cambria Math"/>
                        </w:rPr>
                        <m:t>2</m:t>
                      </m:r>
                    </m:sup>
                  </m:sSup>
                </m:e>
              </m:d>
            </m:sup>
          </m:sSup>
        </m:oMath>
      </m:oMathPara>
    </w:p>
    <w:p w14:paraId="2A2E608A" w14:textId="05002E23" w:rsidR="00054492" w:rsidRPr="00054492" w:rsidRDefault="00054492" w:rsidP="00F935AE">
      <w:pPr>
        <w:rPr>
          <w:rFonts w:eastAsiaTheme="minorEastAsia"/>
        </w:rPr>
      </w:pPr>
      <m:oMath>
        <m:sSub>
          <m:sSubPr>
            <m:ctrlPr>
              <w:rPr>
                <w:rFonts w:ascii="Cambria Math" w:hAnsi="Cambria Math"/>
                <w:i/>
              </w:rPr>
            </m:ctrlPr>
          </m:sSubPr>
          <m:e>
            <m:r>
              <w:rPr>
                <w:rFonts w:ascii="Cambria Math" w:hAnsi="Cambria Math"/>
              </w:rPr>
              <m:t>A</m:t>
            </m:r>
          </m:e>
          <m:sub>
            <m:r>
              <w:rPr>
                <w:rFonts w:ascii="Cambria Math" w:hAnsi="Cambria Math"/>
              </w:rPr>
              <m:t>t</m:t>
            </m:r>
          </m:sub>
        </m:sSub>
        <m:r>
          <w:rPr>
            <w:rFonts w:ascii="Cambria Math" w:hAnsi="Cambria Math"/>
          </w:rPr>
          <m:t>=</m:t>
        </m:r>
        <m:r>
          <w:rPr>
            <w:rFonts w:ascii="Cambria Math" w:hAnsi="Cambria Math"/>
          </w:rPr>
          <m:t>1.582068145</m:t>
        </m:r>
        <m:sSup>
          <m:sSupPr>
            <m:ctrlPr>
              <w:rPr>
                <w:rFonts w:ascii="Cambria Math" w:hAnsi="Cambria Math"/>
                <w:i/>
              </w:rPr>
            </m:ctrlPr>
          </m:sSupPr>
          <m:e>
            <m:r>
              <w:rPr>
                <w:rFonts w:ascii="Cambria Math" w:hAnsi="Cambria Math"/>
              </w:rPr>
              <m:t>×</m:t>
            </m:r>
          </m:e>
          <m:sup>
            <m:sSup>
              <m:sSupPr>
                <m:ctrlPr>
                  <w:rPr>
                    <w:rFonts w:ascii="Cambria Math" w:hAnsi="Cambria Math"/>
                    <w:i/>
                  </w:rPr>
                </m:ctrlPr>
              </m:sSupPr>
              <m:e>
                <m:r>
                  <w:rPr>
                    <w:rFonts w:ascii="Cambria Math" w:hAnsi="Cambria Math"/>
                  </w:rPr>
                  <m:t>10</m:t>
                </m:r>
              </m:e>
              <m:sup>
                <m:r>
                  <w:rPr>
                    <w:rFonts w:ascii="Cambria Math" w:hAnsi="Cambria Math"/>
                  </w:rPr>
                  <m:t>12</m:t>
                </m:r>
              </m:sup>
            </m:sSup>
          </m:sup>
        </m:sSup>
      </m:oMath>
      <w:r w:rsidR="001A0362">
        <w:rPr>
          <w:rFonts w:eastAsiaTheme="minorEastAsia"/>
        </w:rPr>
        <w:t>Bq</w:t>
      </w:r>
    </w:p>
    <w:p w14:paraId="49E65670" w14:textId="77777777" w:rsidR="00054492" w:rsidRDefault="00054492" w:rsidP="00F935AE">
      <w:pPr>
        <w:rPr>
          <w:rFonts w:eastAsiaTheme="minorEastAsia"/>
        </w:rPr>
      </w:pPr>
    </w:p>
    <w:p w14:paraId="169EFFDC" w14:textId="0FE31471" w:rsidR="00054492" w:rsidRPr="00E01A05" w:rsidRDefault="00054492" w:rsidP="001A23EE">
      <w:pPr>
        <w:keepNext/>
        <w:rPr>
          <w:rFonts w:eastAsiaTheme="minorEastAsia"/>
        </w:rPr>
      </w:pPr>
      <m:oMathPara>
        <m:oMathParaPr>
          <m:jc m:val="left"/>
        </m:oMathParaPr>
        <m:oMath>
          <m:r>
            <w:rPr>
              <w:rFonts w:ascii="Cambria Math" w:hAnsi="Cambria Math"/>
            </w:rPr>
            <m:t>ϕ=</m:t>
          </m:r>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0</m:t>
                  </m:r>
                </m:sub>
              </m:sSub>
            </m:num>
            <m:den>
              <m:r>
                <w:rPr>
                  <w:rFonts w:ascii="Cambria Math" w:hAnsi="Cambria Math"/>
                </w:rPr>
                <m:t>4π</m:t>
              </m:r>
              <m:sSup>
                <m:sSupPr>
                  <m:ctrlPr>
                    <w:rPr>
                      <w:rFonts w:ascii="Cambria Math" w:hAnsi="Cambria Math"/>
                      <w:i/>
                    </w:rPr>
                  </m:ctrlPr>
                </m:sSupPr>
                <m:e>
                  <m:r>
                    <w:rPr>
                      <w:rFonts w:ascii="Cambria Math" w:hAnsi="Cambria Math"/>
                    </w:rPr>
                    <m:t>r</m:t>
                  </m:r>
                </m:e>
                <m:sup>
                  <m:r>
                    <w:rPr>
                      <w:rFonts w:ascii="Cambria Math" w:hAnsi="Cambria Math"/>
                    </w:rPr>
                    <m:t>2</m:t>
                  </m:r>
                </m:sup>
              </m:sSup>
            </m:den>
          </m:f>
        </m:oMath>
      </m:oMathPara>
    </w:p>
    <w:p w14:paraId="0637D140" w14:textId="73093522" w:rsidR="00E01A05" w:rsidRPr="00E01A05" w:rsidRDefault="001A23EE" w:rsidP="001A23EE">
      <w:pPr>
        <w:pStyle w:val="Caption"/>
        <w:jc w:val="right"/>
        <w:rPr>
          <w:rFonts w:eastAsiaTheme="minorEastAsia"/>
        </w:rPr>
      </w:pPr>
      <w:bookmarkStart w:id="25" w:name="_Toc239425552"/>
      <w:r>
        <w:t xml:space="preserve">Equation </w:t>
      </w:r>
      <w:r>
        <w:fldChar w:fldCharType="begin"/>
      </w:r>
      <w:r>
        <w:instrText xml:space="preserve"> SEQ Equation \* ARABIC </w:instrText>
      </w:r>
      <w:r>
        <w:fldChar w:fldCharType="separate"/>
      </w:r>
      <w:r w:rsidR="00252D6F">
        <w:rPr>
          <w:noProof/>
        </w:rPr>
        <w:t>2</w:t>
      </w:r>
      <w:r>
        <w:fldChar w:fldCharType="end"/>
      </w:r>
      <w:r>
        <w:t xml:space="preserve"> - Flux at distance r</w:t>
      </w:r>
      <w:bookmarkEnd w:id="25"/>
    </w:p>
    <w:p w14:paraId="5FB5EDD8" w14:textId="75CF839F" w:rsidR="00E01A05" w:rsidRPr="00E01A05" w:rsidRDefault="00E01A05" w:rsidP="00F935AE">
      <w:pPr>
        <w:rPr>
          <w:rFonts w:eastAsiaTheme="minorEastAsia"/>
          <w:vertAlign w:val="superscript"/>
        </w:rPr>
      </w:pPr>
      <w:r>
        <w:rPr>
          <w:rFonts w:eastAsiaTheme="minorEastAsia"/>
        </w:rPr>
        <w:t>Activity at 0.7m on 1m</w:t>
      </w:r>
      <w:r>
        <w:rPr>
          <w:rFonts w:eastAsiaTheme="minorEastAsia"/>
          <w:vertAlign w:val="superscript"/>
        </w:rPr>
        <w:t>2</w:t>
      </w:r>
    </w:p>
    <w:p w14:paraId="4AF849D1" w14:textId="1B5D5E77" w:rsidR="00054492" w:rsidRPr="00E01A05" w:rsidRDefault="001A0362" w:rsidP="00F935AE">
      <w:pPr>
        <w:rPr>
          <w:rFonts w:eastAsiaTheme="minorEastAsia"/>
        </w:rPr>
      </w:pPr>
      <m:oMathPara>
        <m:oMathParaPr>
          <m:jc m:val="left"/>
        </m:oMathParaPr>
        <m:oMath>
          <m:r>
            <w:rPr>
              <w:rFonts w:ascii="Cambria Math" w:hAnsi="Cambria Math"/>
            </w:rPr>
            <m:t>ϕ=</m:t>
          </m:r>
          <m:f>
            <m:fPr>
              <m:ctrlPr>
                <w:rPr>
                  <w:rFonts w:ascii="Cambria Math" w:hAnsi="Cambria Math"/>
                  <w:i/>
                </w:rPr>
              </m:ctrlPr>
            </m:fPr>
            <m:num>
              <m:r>
                <w:rPr>
                  <w:rFonts w:ascii="Cambria Math" w:hAnsi="Cambria Math"/>
                </w:rPr>
                <m:t>1.582068145</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12</m:t>
                  </m:r>
                </m:sup>
              </m:sSup>
            </m:num>
            <m:den>
              <m:r>
                <w:rPr>
                  <w:rFonts w:ascii="Cambria Math" w:hAnsi="Cambria Math"/>
                </w:rPr>
                <m:t>4</m:t>
              </m:r>
              <m:r>
                <w:rPr>
                  <w:rFonts w:ascii="Cambria Math" w:hAnsi="Cambria Math"/>
                </w:rPr>
                <m:t>π</m:t>
              </m:r>
              <m:sSup>
                <m:sSupPr>
                  <m:ctrlPr>
                    <w:rPr>
                      <w:rFonts w:ascii="Cambria Math" w:hAnsi="Cambria Math"/>
                      <w:i/>
                    </w:rPr>
                  </m:ctrlPr>
                </m:sSupPr>
                <m:e>
                  <m:r>
                    <w:rPr>
                      <w:rFonts w:ascii="Cambria Math" w:hAnsi="Cambria Math"/>
                    </w:rPr>
                    <m:t>0.7</m:t>
                  </m:r>
                </m:e>
                <m:sup>
                  <m:r>
                    <w:rPr>
                      <w:rFonts w:ascii="Cambria Math" w:hAnsi="Cambria Math"/>
                    </w:rPr>
                    <m:t>2</m:t>
                  </m:r>
                </m:sup>
              </m:sSup>
            </m:den>
          </m:f>
        </m:oMath>
      </m:oMathPara>
    </w:p>
    <w:p w14:paraId="0B9416E0" w14:textId="41FD282B" w:rsidR="001A0362" w:rsidRDefault="001A0362" w:rsidP="00F935AE">
      <w:pPr>
        <w:rPr>
          <w:rFonts w:eastAsiaTheme="minorEastAsia"/>
          <w:vertAlign w:val="superscript"/>
        </w:rPr>
      </w:pPr>
      <m:oMath>
        <m:r>
          <w:rPr>
            <w:rFonts w:ascii="Cambria Math" w:hAnsi="Cambria Math"/>
          </w:rPr>
          <m:t>ϕ=</m:t>
        </m:r>
        <m:r>
          <w:rPr>
            <w:rFonts w:ascii="Cambria Math" w:hAnsi="Cambria Math"/>
          </w:rPr>
          <m:t>2.569326179</m:t>
        </m:r>
      </m:oMath>
      <w:r>
        <w:rPr>
          <w:rFonts w:eastAsiaTheme="minorEastAsia"/>
        </w:rPr>
        <w:t xml:space="preserve"> s</w:t>
      </w:r>
      <w:r>
        <w:rPr>
          <w:rFonts w:eastAsiaTheme="minorEastAsia"/>
          <w:vertAlign w:val="superscript"/>
        </w:rPr>
        <w:t>-1</w:t>
      </w:r>
      <w:r>
        <w:rPr>
          <w:rFonts w:eastAsiaTheme="minorEastAsia"/>
        </w:rPr>
        <w:t>m</w:t>
      </w:r>
      <w:r>
        <w:rPr>
          <w:rFonts w:eastAsiaTheme="minorEastAsia"/>
          <w:vertAlign w:val="superscript"/>
        </w:rPr>
        <w:t>-2</w:t>
      </w:r>
    </w:p>
    <w:p w14:paraId="5FB4759C" w14:textId="77777777" w:rsidR="00E01A05" w:rsidRDefault="00E01A05" w:rsidP="00F935AE">
      <w:pPr>
        <w:rPr>
          <w:rFonts w:eastAsiaTheme="minorEastAsia"/>
          <w:vertAlign w:val="superscript"/>
        </w:rPr>
      </w:pPr>
    </w:p>
    <w:p w14:paraId="44B9B4A4" w14:textId="129B29DF" w:rsidR="00E01A05" w:rsidRPr="00E01A05" w:rsidRDefault="00E01A05" w:rsidP="00F935AE">
      <w:pPr>
        <w:rPr>
          <w:rFonts w:eastAsiaTheme="minorEastAsia"/>
        </w:rPr>
      </w:pPr>
      <w:r>
        <w:rPr>
          <w:rFonts w:eastAsiaTheme="minorEastAsia"/>
        </w:rPr>
        <w:t>Activity at 0.7m on front surface area of human male:</w:t>
      </w:r>
    </w:p>
    <w:p w14:paraId="1782384F" w14:textId="2FD215E4" w:rsidR="00E01A05" w:rsidRDefault="001A0362" w:rsidP="00F935AE">
      <w:pPr>
        <w:rPr>
          <w:rFonts w:ascii="Cambria Math" w:hAnsi="Cambria Math"/>
          <w:i/>
        </w:rPr>
      </w:pPr>
      <m:oMath>
        <m:f>
          <m:fPr>
            <m:ctrlPr>
              <w:rPr>
                <w:rFonts w:ascii="Cambria Math" w:hAnsi="Cambria Math"/>
                <w:i/>
              </w:rPr>
            </m:ctrlPr>
          </m:fPr>
          <m:num>
            <m:r>
              <w:rPr>
                <w:rFonts w:ascii="Cambria Math" w:hAnsi="Cambria Math"/>
              </w:rPr>
              <m:t>1⋅9</m:t>
            </m:r>
          </m:num>
          <m:den>
            <m:r>
              <w:rPr>
                <w:rFonts w:ascii="Cambria Math" w:hAnsi="Cambria Math"/>
              </w:rPr>
              <m:t>2</m:t>
            </m:r>
          </m:den>
        </m:f>
        <m:r>
          <w:rPr>
            <w:rFonts w:ascii="Cambria Math" w:hAnsi="Cambria Math"/>
          </w:rPr>
          <m:t>×</m:t>
        </m:r>
        <m:r>
          <w:rPr>
            <w:rFonts w:ascii="Cambria Math" w:hAnsi="Cambria Math"/>
          </w:rPr>
          <m:t>2.569326179</m:t>
        </m:r>
        <m:r>
          <w:rPr>
            <w:rFonts w:ascii="Cambria Math" w:hAnsi="Cambria Math"/>
          </w:rPr>
          <m:t>=2.44085987</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11</m:t>
            </m:r>
          </m:sup>
        </m:sSup>
        <m:r>
          <w:rPr>
            <w:rFonts w:ascii="Cambria Math" w:hAnsi="Cambria Math"/>
          </w:rPr>
          <m:t>Bq</m:t>
        </m:r>
      </m:oMath>
      <w:r w:rsidRPr="001A0362">
        <w:rPr>
          <w:rFonts w:ascii="Cambria Math" w:hAnsi="Cambria Math"/>
          <w:i/>
        </w:rPr>
        <w:t xml:space="preserve"> </w:t>
      </w:r>
    </w:p>
    <w:p w14:paraId="72460427" w14:textId="77777777" w:rsidR="00E01A05" w:rsidRDefault="00E01A05" w:rsidP="00F935AE">
      <w:pPr>
        <w:rPr>
          <w:rFonts w:ascii="Cambria Math" w:hAnsi="Cambria Math"/>
          <w:i/>
        </w:rPr>
      </w:pPr>
    </w:p>
    <w:p w14:paraId="202AAA21" w14:textId="7822DB7E" w:rsidR="00E01A05" w:rsidRPr="00E01A05" w:rsidRDefault="00E01A05" w:rsidP="00F935AE">
      <w:pPr>
        <w:rPr>
          <w:rFonts w:ascii="Cambria Math" w:hAnsi="Cambria Math"/>
          <w:iCs/>
        </w:rPr>
      </w:pPr>
      <w:r w:rsidRPr="00E01A05">
        <w:rPr>
          <w:rFonts w:ascii="Cambria Math" w:hAnsi="Cambria Math"/>
          <w:b/>
          <w:bCs/>
          <w:iCs/>
        </w:rPr>
        <w:t>Dose</w:t>
      </w:r>
    </w:p>
    <w:p w14:paraId="25F1F04B" w14:textId="6744AC0B" w:rsidR="00E01A05" w:rsidRPr="00E01A05" w:rsidRDefault="00E01A05" w:rsidP="001A23EE">
      <w:pPr>
        <w:keepNext/>
        <w:rPr>
          <w:rFonts w:ascii="Cambria Math" w:eastAsiaTheme="minorEastAsia" w:hAnsi="Cambria Math"/>
          <w:iCs/>
        </w:rPr>
      </w:pPr>
      <m:oMathPara>
        <m:oMathParaPr>
          <m:jc m:val="left"/>
        </m:oMathParaPr>
        <m:oMath>
          <m:r>
            <m:rPr>
              <m:sty m:val="p"/>
            </m:rPr>
            <w:rPr>
              <w:rFonts w:ascii="Cambria Math" w:hAnsi="Cambria Math"/>
            </w:rPr>
            <m:t>D=</m:t>
          </m:r>
          <m:f>
            <m:fPr>
              <m:ctrlPr>
                <w:rPr>
                  <w:rFonts w:ascii="Cambria Math" w:hAnsi="Cambria Math"/>
                  <w:i/>
                  <w:iCs/>
                </w:rPr>
              </m:ctrlPr>
            </m:fPr>
            <m:num>
              <m:r>
                <w:rPr>
                  <w:rFonts w:ascii="Cambria Math" w:hAnsi="Cambria Math"/>
                </w:rPr>
                <m:t>Aτ</m:t>
              </m:r>
            </m:num>
            <m:den>
              <m:sSup>
                <m:sSupPr>
                  <m:ctrlPr>
                    <w:rPr>
                      <w:rFonts w:ascii="Cambria Math" w:hAnsi="Cambria Math"/>
                      <w:i/>
                      <w:iCs/>
                    </w:rPr>
                  </m:ctrlPr>
                </m:sSupPr>
                <m:e>
                  <m:r>
                    <w:rPr>
                      <w:rFonts w:ascii="Cambria Math" w:hAnsi="Cambria Math"/>
                    </w:rPr>
                    <m:t>r</m:t>
                  </m:r>
                </m:e>
                <m:sup>
                  <m:r>
                    <w:rPr>
                      <w:rFonts w:ascii="Cambria Math" w:hAnsi="Cambria Math"/>
                    </w:rPr>
                    <m:t>2</m:t>
                  </m:r>
                </m:sup>
              </m:sSup>
            </m:den>
          </m:f>
        </m:oMath>
      </m:oMathPara>
    </w:p>
    <w:p w14:paraId="0BD8DC0C" w14:textId="4E673194" w:rsidR="001A23EE" w:rsidRDefault="001A23EE" w:rsidP="001A23EE">
      <w:pPr>
        <w:pStyle w:val="Caption"/>
        <w:jc w:val="right"/>
      </w:pPr>
      <w:bookmarkStart w:id="26" w:name="_Ref239423426"/>
      <w:bookmarkStart w:id="27" w:name="_Toc239425553"/>
      <w:r>
        <w:t xml:space="preserve">Equation </w:t>
      </w:r>
      <w:r>
        <w:fldChar w:fldCharType="begin"/>
      </w:r>
      <w:r>
        <w:instrText xml:space="preserve"> SEQ Equation \* ARABIC </w:instrText>
      </w:r>
      <w:r>
        <w:fldChar w:fldCharType="separate"/>
      </w:r>
      <w:r w:rsidR="00252D6F">
        <w:rPr>
          <w:noProof/>
        </w:rPr>
        <w:t>3</w:t>
      </w:r>
      <w:r>
        <w:fldChar w:fldCharType="end"/>
      </w:r>
      <w:r>
        <w:t xml:space="preserve"> - Dose Rate</w:t>
      </w:r>
      <w:bookmarkEnd w:id="26"/>
      <w:bookmarkEnd w:id="27"/>
    </w:p>
    <w:p w14:paraId="53205206" w14:textId="530D4AC1" w:rsidR="00E01A05" w:rsidRPr="00E01A05" w:rsidRDefault="00E01A05" w:rsidP="00F935AE">
      <w:pPr>
        <w:rPr>
          <w:rFonts w:ascii="Cambria Math" w:eastAsiaTheme="minorEastAsia" w:hAnsi="Cambria Math"/>
          <w:iCs/>
        </w:rPr>
      </w:pPr>
      <m:oMathPara>
        <m:oMathParaPr>
          <m:jc m:val="left"/>
        </m:oMathParaPr>
        <m:oMath>
          <m:r>
            <w:rPr>
              <w:rFonts w:ascii="Cambria Math" w:hAnsi="Cambria Math"/>
            </w:rPr>
            <m:t>τ=0⋅59163</m:t>
          </m:r>
        </m:oMath>
      </m:oMathPara>
    </w:p>
    <w:p w14:paraId="7B4CCE25" w14:textId="77777777" w:rsidR="00E01A05" w:rsidRDefault="00E01A05" w:rsidP="00F935AE">
      <w:pPr>
        <w:rPr>
          <w:rFonts w:ascii="Cambria Math" w:eastAsiaTheme="minorEastAsia" w:hAnsi="Cambria Math"/>
          <w:iCs/>
        </w:rPr>
      </w:pPr>
    </w:p>
    <w:p w14:paraId="056220D3" w14:textId="43C7CFBC" w:rsidR="00513536" w:rsidRDefault="00513536" w:rsidP="00F935AE">
      <w:pPr>
        <w:rPr>
          <w:rFonts w:ascii="Cambria Math" w:eastAsiaTheme="minorEastAsia" w:hAnsi="Cambria Math"/>
          <w:iCs/>
        </w:rPr>
      </w:pPr>
      <w:r>
        <w:rPr>
          <w:rFonts w:ascii="Cambria Math" w:eastAsiaTheme="minorEastAsia" w:hAnsi="Cambria Math"/>
          <w:iCs/>
        </w:rPr>
        <w:t>Siverts per second</w:t>
      </w:r>
    </w:p>
    <w:p w14:paraId="26455462" w14:textId="58FF8847" w:rsidR="00E01A05" w:rsidRPr="00E01A05" w:rsidRDefault="00E01A05" w:rsidP="00F935AE">
      <w:pPr>
        <w:rPr>
          <w:rFonts w:ascii="Cambria Math" w:eastAsiaTheme="minorEastAsia" w:hAnsi="Cambria Math"/>
          <w:iCs/>
        </w:rPr>
      </w:pPr>
      <m:oMathPara>
        <m:oMathParaPr>
          <m:jc m:val="left"/>
        </m:oMathParaPr>
        <m:oMath>
          <m:r>
            <w:rPr>
              <w:rFonts w:ascii="Cambria Math" w:hAnsi="Cambria Math"/>
            </w:rPr>
            <m:t>D=</m:t>
          </m:r>
          <m:f>
            <m:fPr>
              <m:ctrlPr>
                <w:rPr>
                  <w:rFonts w:ascii="Cambria Math" w:hAnsi="Cambria Math"/>
                  <w:i/>
                  <w:iCs/>
                </w:rPr>
              </m:ctrlPr>
            </m:fPr>
            <m:num>
              <m:d>
                <m:dPr>
                  <m:ctrlPr>
                    <w:rPr>
                      <w:rFonts w:ascii="Cambria Math" w:hAnsi="Cambria Math"/>
                      <w:i/>
                      <w:iCs/>
                    </w:rPr>
                  </m:ctrlPr>
                </m:dPr>
                <m:e>
                  <m:r>
                    <w:rPr>
                      <w:rFonts w:ascii="Cambria Math" w:hAnsi="Cambria Math"/>
                    </w:rPr>
                    <m:t>1.582068145</m:t>
                  </m:r>
                  <m:r>
                    <w:rPr>
                      <w:rFonts w:ascii="Cambria Math" w:hAnsi="Cambria Math"/>
                    </w:rPr>
                    <m:t>×</m:t>
                  </m:r>
                  <m:sSup>
                    <m:sSupPr>
                      <m:ctrlPr>
                        <w:rPr>
                          <w:rFonts w:ascii="Cambria Math" w:hAnsi="Cambria Math"/>
                          <w:i/>
                          <w:iCs/>
                        </w:rPr>
                      </m:ctrlPr>
                    </m:sSupPr>
                    <m:e>
                      <m:r>
                        <w:rPr>
                          <w:rFonts w:ascii="Cambria Math" w:hAnsi="Cambria Math"/>
                        </w:rPr>
                        <m:t>10</m:t>
                      </m:r>
                    </m:e>
                    <m:sup>
                      <m:r>
                        <w:rPr>
                          <w:rFonts w:ascii="Cambria Math" w:hAnsi="Cambria Math"/>
                        </w:rPr>
                        <m:t>6</m:t>
                      </m:r>
                    </m:sup>
                  </m:sSup>
                </m:e>
              </m:d>
              <m:d>
                <m:dPr>
                  <m:ctrlPr>
                    <w:rPr>
                      <w:rFonts w:ascii="Cambria Math" w:hAnsi="Cambria Math"/>
                      <w:i/>
                      <w:iCs/>
                    </w:rPr>
                  </m:ctrlPr>
                </m:dPr>
                <m:e>
                  <m:r>
                    <w:rPr>
                      <w:rFonts w:ascii="Cambria Math" w:hAnsi="Cambria Math"/>
                    </w:rPr>
                    <m:t>1.167</m:t>
                  </m:r>
                  <m:r>
                    <w:rPr>
                      <w:rFonts w:ascii="Cambria Math" w:hAnsi="Cambria Math"/>
                    </w:rPr>
                    <m:t>×</m:t>
                  </m:r>
                  <m:sSup>
                    <m:sSupPr>
                      <m:ctrlPr>
                        <w:rPr>
                          <w:rFonts w:ascii="Cambria Math" w:hAnsi="Cambria Math"/>
                          <w:i/>
                          <w:iCs/>
                        </w:rPr>
                      </m:ctrlPr>
                    </m:sSupPr>
                    <m:e>
                      <m:r>
                        <w:rPr>
                          <w:rFonts w:ascii="Cambria Math" w:hAnsi="Cambria Math"/>
                        </w:rPr>
                        <m:t>10</m:t>
                      </m:r>
                    </m:e>
                    <m:sup>
                      <m:r>
                        <w:rPr>
                          <w:rFonts w:ascii="Cambria Math" w:hAnsi="Cambria Math"/>
                        </w:rPr>
                        <m:t>-4</m:t>
                      </m:r>
                    </m:sup>
                  </m:sSup>
                </m:e>
              </m:d>
            </m:num>
            <m:den>
              <m:r>
                <w:rPr>
                  <w:rFonts w:ascii="Cambria Math" w:hAnsi="Cambria Math"/>
                </w:rPr>
                <m:t>0</m:t>
              </m:r>
              <m:r>
                <w:rPr>
                  <w:rFonts w:ascii="Cambria Math" w:hAnsi="Cambria Math"/>
                </w:rPr>
                <m:t>.</m:t>
              </m:r>
              <m:sSup>
                <m:sSupPr>
                  <m:ctrlPr>
                    <w:rPr>
                      <w:rFonts w:ascii="Cambria Math" w:hAnsi="Cambria Math"/>
                      <w:i/>
                      <w:iCs/>
                    </w:rPr>
                  </m:ctrlPr>
                </m:sSupPr>
                <m:e>
                  <m:r>
                    <w:rPr>
                      <w:rFonts w:ascii="Cambria Math" w:hAnsi="Cambria Math"/>
                    </w:rPr>
                    <m:t>7</m:t>
                  </m:r>
                </m:e>
                <m:sup>
                  <m:r>
                    <w:rPr>
                      <w:rFonts w:ascii="Cambria Math" w:hAnsi="Cambria Math"/>
                    </w:rPr>
                    <m:t>2</m:t>
                  </m:r>
                </m:sup>
              </m:sSup>
            </m:den>
          </m:f>
        </m:oMath>
      </m:oMathPara>
    </w:p>
    <w:p w14:paraId="5C14C57D" w14:textId="5BD285F6" w:rsidR="00E01A05" w:rsidRPr="00E01A05" w:rsidRDefault="00E01A05" w:rsidP="00F935AE">
      <w:pPr>
        <w:rPr>
          <w:rFonts w:ascii="Cambria Math" w:eastAsiaTheme="minorEastAsia" w:hAnsi="Cambria Math"/>
        </w:rPr>
      </w:pPr>
      <m:oMathPara>
        <m:oMathParaPr>
          <m:jc m:val="left"/>
        </m:oMathParaPr>
        <m:oMath>
          <m:r>
            <m:rPr>
              <m:sty m:val="p"/>
            </m:rPr>
            <w:rPr>
              <w:rFonts w:ascii="Cambria Math" w:hAnsi="Cambria Math"/>
            </w:rPr>
            <m:t>D=376.79 mSv</m:t>
          </m:r>
          <m:sSup>
            <m:sSupPr>
              <m:ctrlPr>
                <w:rPr>
                  <w:rFonts w:ascii="Cambria Math" w:hAnsi="Cambria Math"/>
                </w:rPr>
              </m:ctrlPr>
            </m:sSupPr>
            <m:e>
              <m:r>
                <m:rPr>
                  <m:sty m:val="p"/>
                </m:rPr>
                <w:rPr>
                  <w:rFonts w:ascii="Cambria Math" w:hAnsi="Cambria Math"/>
                </w:rPr>
                <m:t>h</m:t>
              </m:r>
            </m:e>
            <m:sup>
              <m:r>
                <m:rPr>
                  <m:sty m:val="p"/>
                </m:rPr>
                <w:rPr>
                  <w:rFonts w:ascii="Cambria Math" w:hAnsi="Cambria Math"/>
                </w:rPr>
                <m:t>-1</m:t>
              </m:r>
            </m:sup>
          </m:sSup>
        </m:oMath>
      </m:oMathPara>
    </w:p>
    <w:p w14:paraId="2064616A" w14:textId="5FF03462" w:rsidR="00E01A05" w:rsidRPr="001A23EE" w:rsidRDefault="00513536" w:rsidP="00F935AE">
      <w:pPr>
        <w:rPr>
          <w:rFonts w:ascii="Cambria Math" w:eastAsiaTheme="minorEastAsia" w:hAnsi="Cambria Math"/>
          <w:iCs/>
        </w:rPr>
      </w:pPr>
      <m:oMathPara>
        <m:oMathParaPr>
          <m:jc m:val="left"/>
        </m:oMathParaPr>
        <m:oMath>
          <m:r>
            <m:rPr>
              <m:sty m:val="p"/>
            </m:rPr>
            <w:rPr>
              <w:rFonts w:ascii="Cambria Math" w:hAnsi="Cambria Math"/>
            </w:rPr>
            <m:t>D=0.104664032 mSv</m:t>
          </m:r>
          <m:sSup>
            <m:sSupPr>
              <m:ctrlPr>
                <w:rPr>
                  <w:rFonts w:ascii="Cambria Math" w:hAnsi="Cambria Math"/>
                  <w:iCs/>
                </w:rPr>
              </m:ctrlPr>
            </m:sSupPr>
            <m:e>
              <m:r>
                <m:rPr>
                  <m:sty m:val="p"/>
                </m:rPr>
                <w:rPr>
                  <w:rFonts w:ascii="Cambria Math" w:hAnsi="Cambria Math"/>
                </w:rPr>
                <m:t>s</m:t>
              </m:r>
            </m:e>
            <m:sup>
              <m:r>
                <m:rPr>
                  <m:sty m:val="p"/>
                </m:rPr>
                <w:rPr>
                  <w:rFonts w:ascii="Cambria Math" w:hAnsi="Cambria Math"/>
                </w:rPr>
                <m:t>-1</m:t>
              </m:r>
            </m:sup>
          </m:sSup>
        </m:oMath>
      </m:oMathPara>
    </w:p>
    <w:p w14:paraId="3CB993EB" w14:textId="77777777" w:rsidR="001A23EE" w:rsidRPr="00513536" w:rsidRDefault="001A23EE" w:rsidP="00F935AE">
      <w:pPr>
        <w:rPr>
          <w:rFonts w:ascii="Cambria Math" w:eastAsiaTheme="minorEastAsia" w:hAnsi="Cambria Math"/>
          <w:iCs/>
        </w:rPr>
      </w:pPr>
    </w:p>
    <w:p w14:paraId="3DB6F832" w14:textId="7AA9CC09" w:rsidR="00513536" w:rsidRPr="00513536" w:rsidRDefault="00513536" w:rsidP="00F935AE">
      <w:pPr>
        <w:rPr>
          <w:rFonts w:ascii="Cambria Math" w:eastAsiaTheme="minorEastAsia" w:hAnsi="Cambria Math"/>
          <w:b/>
          <w:bCs/>
          <w:iCs/>
        </w:rPr>
      </w:pPr>
      <w:r w:rsidRPr="00513536">
        <w:rPr>
          <w:rFonts w:ascii="Cambria Math" w:eastAsiaTheme="minorEastAsia" w:hAnsi="Cambria Math"/>
          <w:b/>
          <w:bCs/>
          <w:iCs/>
        </w:rPr>
        <w:t>Absorbed Dose</w:t>
      </w:r>
    </w:p>
    <w:p w14:paraId="6D4ACDCA" w14:textId="257A612B" w:rsidR="00513536" w:rsidRPr="00513536" w:rsidRDefault="00513536" w:rsidP="00F935AE">
      <w:pPr>
        <w:rPr>
          <w:rFonts w:ascii="Cambria Math" w:eastAsiaTheme="minorEastAsia" w:hAnsi="Cambria Math"/>
        </w:rPr>
      </w:pPr>
      <m:oMathPara>
        <m:oMathParaPr>
          <m:jc m:val="left"/>
        </m:oMathParaPr>
        <m:oMath>
          <m:r>
            <m:rPr>
              <m:sty m:val="p"/>
            </m:rPr>
            <w:rPr>
              <w:rFonts w:ascii="Cambria Math" w:hAnsi="Cambria Math"/>
            </w:rPr>
            <m:t>Average Particle Energy ≈380 keV</m:t>
          </m:r>
        </m:oMath>
      </m:oMathPara>
    </w:p>
    <w:p w14:paraId="71F91F6D" w14:textId="337636CB" w:rsidR="00513536" w:rsidRPr="00547A44" w:rsidRDefault="00513536" w:rsidP="00F935AE">
      <w:pPr>
        <w:rPr>
          <w:rFonts w:ascii="Cambria Math" w:eastAsiaTheme="minorEastAsia" w:hAnsi="Cambria Math"/>
          <w:iCs/>
        </w:rPr>
      </w:pPr>
      <m:oMathPara>
        <m:oMathParaPr>
          <m:jc m:val="left"/>
        </m:oMathParaPr>
        <m:oMath>
          <m:d>
            <m:dPr>
              <m:ctrlPr>
                <w:rPr>
                  <w:rFonts w:ascii="Cambria Math" w:hAnsi="Cambria Math"/>
                  <w:iCs/>
                </w:rPr>
              </m:ctrlPr>
            </m:dPr>
            <m:e>
              <m:r>
                <m:rPr>
                  <m:sty m:val="p"/>
                </m:rPr>
                <w:rPr>
                  <w:rFonts w:ascii="Cambria Math" w:hAnsi="Cambria Math"/>
                </w:rPr>
                <m:t>380×1</m:t>
              </m:r>
              <m:sSup>
                <m:sSupPr>
                  <m:ctrlPr>
                    <w:rPr>
                      <w:rFonts w:ascii="Cambria Math" w:hAnsi="Cambria Math"/>
                      <w:iCs/>
                    </w:rPr>
                  </m:ctrlPr>
                </m:sSupPr>
                <m:e>
                  <m:r>
                    <m:rPr>
                      <m:sty m:val="p"/>
                    </m:rPr>
                    <w:rPr>
                      <w:rFonts w:ascii="Cambria Math" w:hAnsi="Cambria Math"/>
                    </w:rPr>
                    <m:t>0</m:t>
                  </m:r>
                </m:e>
                <m:sup>
                  <m:r>
                    <m:rPr>
                      <m:sty m:val="p"/>
                    </m:rPr>
                    <w:rPr>
                      <w:rFonts w:ascii="Cambria Math" w:hAnsi="Cambria Math"/>
                    </w:rPr>
                    <m:t>3</m:t>
                  </m:r>
                </m:sup>
              </m:sSup>
            </m:e>
          </m:d>
          <m:d>
            <m:dPr>
              <m:ctrlPr>
                <w:rPr>
                  <w:rFonts w:ascii="Cambria Math" w:hAnsi="Cambria Math"/>
                  <w:iCs/>
                </w:rPr>
              </m:ctrlPr>
            </m:dPr>
            <m:e>
              <m:r>
                <m:rPr>
                  <m:sty m:val="p"/>
                </m:rPr>
                <w:rPr>
                  <w:rFonts w:ascii="Cambria Math" w:hAnsi="Cambria Math"/>
                </w:rPr>
                <m:t>1.602×1</m:t>
              </m:r>
              <m:sSup>
                <m:sSupPr>
                  <m:ctrlPr>
                    <w:rPr>
                      <w:rFonts w:ascii="Cambria Math" w:hAnsi="Cambria Math"/>
                      <w:iCs/>
                    </w:rPr>
                  </m:ctrlPr>
                </m:sSupPr>
                <m:e>
                  <m:r>
                    <m:rPr>
                      <m:sty m:val="p"/>
                    </m:rPr>
                    <w:rPr>
                      <w:rFonts w:ascii="Cambria Math" w:hAnsi="Cambria Math"/>
                    </w:rPr>
                    <m:t>0</m:t>
                  </m:r>
                </m:e>
                <m:sup>
                  <m:r>
                    <m:rPr>
                      <m:sty m:val="p"/>
                    </m:rPr>
                    <w:rPr>
                      <w:rFonts w:ascii="Cambria Math" w:hAnsi="Cambria Math"/>
                    </w:rPr>
                    <m:t>-19</m:t>
                  </m:r>
                </m:sup>
              </m:sSup>
            </m:e>
          </m:d>
          <m:r>
            <m:rPr>
              <m:sty m:val="p"/>
            </m:rPr>
            <w:rPr>
              <w:rFonts w:ascii="Cambria Math" w:hAnsi="Cambria Math"/>
            </w:rPr>
            <m:t>=6.0876×1</m:t>
          </m:r>
          <m:sSup>
            <m:sSupPr>
              <m:ctrlPr>
                <w:rPr>
                  <w:rFonts w:ascii="Cambria Math" w:hAnsi="Cambria Math"/>
                  <w:iCs/>
                </w:rPr>
              </m:ctrlPr>
            </m:sSupPr>
            <m:e>
              <m:r>
                <m:rPr>
                  <m:sty m:val="p"/>
                </m:rPr>
                <w:rPr>
                  <w:rFonts w:ascii="Cambria Math" w:hAnsi="Cambria Math"/>
                </w:rPr>
                <m:t>0</m:t>
              </m:r>
            </m:e>
            <m:sup>
              <m:r>
                <m:rPr>
                  <m:sty m:val="p"/>
                </m:rPr>
                <w:rPr>
                  <w:rFonts w:ascii="Cambria Math" w:hAnsi="Cambria Math"/>
                </w:rPr>
                <m:t>-14</m:t>
              </m:r>
            </m:sup>
          </m:sSup>
          <m:r>
            <m:rPr>
              <m:sty m:val="p"/>
            </m:rPr>
            <w:rPr>
              <w:rFonts w:ascii="Cambria Math" w:hAnsi="Cambria Math"/>
            </w:rPr>
            <m:t xml:space="preserve"> J</m:t>
          </m:r>
        </m:oMath>
      </m:oMathPara>
    </w:p>
    <w:p w14:paraId="1D9570D5" w14:textId="4D17959C" w:rsidR="00547A44" w:rsidRPr="00547A44" w:rsidRDefault="00547A44" w:rsidP="00F935AE">
      <w:pPr>
        <w:rPr>
          <w:rFonts w:ascii="Cambria Math" w:eastAsiaTheme="minorEastAsia" w:hAnsi="Cambria Math"/>
          <w:iCs/>
        </w:rPr>
      </w:pPr>
      <m:oMathPara>
        <m:oMathParaPr>
          <m:jc m:val="left"/>
        </m:oMathParaPr>
        <m:oMath>
          <m:d>
            <m:dPr>
              <m:ctrlPr>
                <w:rPr>
                  <w:rFonts w:ascii="Cambria Math" w:hAnsi="Cambria Math"/>
                  <w:iCs/>
                </w:rPr>
              </m:ctrlPr>
            </m:dPr>
            <m:e>
              <m:r>
                <m:rPr>
                  <m:sty m:val="p"/>
                </m:rPr>
                <w:rPr>
                  <w:rFonts w:ascii="Cambria Math" w:hAnsi="Cambria Math"/>
                </w:rPr>
                <m:t>6.0876×1</m:t>
              </m:r>
              <m:sSup>
                <m:sSupPr>
                  <m:ctrlPr>
                    <w:rPr>
                      <w:rFonts w:ascii="Cambria Math" w:hAnsi="Cambria Math"/>
                      <w:iCs/>
                    </w:rPr>
                  </m:ctrlPr>
                </m:sSupPr>
                <m:e>
                  <m:r>
                    <m:rPr>
                      <m:sty m:val="p"/>
                    </m:rPr>
                    <w:rPr>
                      <w:rFonts w:ascii="Cambria Math" w:hAnsi="Cambria Math"/>
                    </w:rPr>
                    <m:t>0</m:t>
                  </m:r>
                </m:e>
                <m:sup>
                  <m:r>
                    <m:rPr>
                      <m:sty m:val="p"/>
                    </m:rPr>
                    <w:rPr>
                      <w:rFonts w:ascii="Cambria Math" w:hAnsi="Cambria Math"/>
                    </w:rPr>
                    <m:t>-14</m:t>
                  </m:r>
                </m:sup>
              </m:sSup>
              <m:ctrlPr>
                <w:rPr>
                  <w:rFonts w:ascii="Cambria Math" w:hAnsi="Cambria Math"/>
                  <w:i/>
                  <w:iCs/>
                </w:rPr>
              </m:ctrlPr>
            </m:e>
          </m:d>
          <m:r>
            <w:rPr>
              <w:rFonts w:ascii="Cambria Math" w:hAnsi="Cambria Math"/>
            </w:rPr>
            <m:t>×</m:t>
          </m:r>
          <m:d>
            <m:dPr>
              <m:ctrlPr>
                <w:rPr>
                  <w:rFonts w:ascii="Cambria Math" w:hAnsi="Cambria Math"/>
                  <w:i/>
                  <w:iCs/>
                </w:rPr>
              </m:ctrlPr>
            </m:dPr>
            <m:e>
              <m:r>
                <w:rPr>
                  <w:rFonts w:ascii="Cambria Math" w:hAnsi="Cambria Math"/>
                </w:rPr>
                <m:t>2.44085987×1</m:t>
              </m:r>
              <m:sSup>
                <m:sSupPr>
                  <m:ctrlPr>
                    <w:rPr>
                      <w:rFonts w:ascii="Cambria Math" w:hAnsi="Cambria Math"/>
                      <w:i/>
                      <w:iCs/>
                    </w:rPr>
                  </m:ctrlPr>
                </m:sSupPr>
                <m:e>
                  <m:r>
                    <w:rPr>
                      <w:rFonts w:ascii="Cambria Math" w:hAnsi="Cambria Math"/>
                    </w:rPr>
                    <m:t>0</m:t>
                  </m:r>
                </m:e>
                <m:sup>
                  <m:r>
                    <w:rPr>
                      <w:rFonts w:ascii="Cambria Math" w:hAnsi="Cambria Math"/>
                    </w:rPr>
                    <m:t>11</m:t>
                  </m:r>
                </m:sup>
              </m:sSup>
            </m:e>
          </m:d>
          <m:r>
            <w:rPr>
              <w:rFonts w:ascii="Cambria Math" w:hAnsi="Cambria Math"/>
            </w:rPr>
            <m:t>=0.01485897855 J</m:t>
          </m:r>
          <m:sSup>
            <m:sSupPr>
              <m:ctrlPr>
                <w:rPr>
                  <w:rFonts w:ascii="Cambria Math" w:hAnsi="Cambria Math"/>
                  <w:i/>
                  <w:iCs/>
                </w:rPr>
              </m:ctrlPr>
            </m:sSupPr>
            <m:e>
              <m:r>
                <w:rPr>
                  <w:rFonts w:ascii="Cambria Math" w:hAnsi="Cambria Math"/>
                </w:rPr>
                <m:t>s</m:t>
              </m:r>
            </m:e>
            <m:sup>
              <m:r>
                <w:rPr>
                  <w:rFonts w:ascii="Cambria Math" w:hAnsi="Cambria Math"/>
                </w:rPr>
                <m:t>-1</m:t>
              </m:r>
            </m:sup>
          </m:sSup>
        </m:oMath>
      </m:oMathPara>
    </w:p>
    <w:p w14:paraId="74F4508B" w14:textId="7E11F44D" w:rsidR="00547A44" w:rsidRPr="0025302A" w:rsidRDefault="00547A44" w:rsidP="00F935AE">
      <w:pPr>
        <w:rPr>
          <w:rFonts w:ascii="Cambria Math" w:eastAsiaTheme="minorEastAsia" w:hAnsi="Cambria Math"/>
          <w:iCs/>
        </w:rPr>
      </w:pPr>
      <m:oMathPara>
        <m:oMathParaPr>
          <m:jc m:val="left"/>
        </m:oMathParaPr>
        <m:oMath>
          <m:r>
            <w:rPr>
              <w:rFonts w:ascii="Cambria Math" w:hAnsi="Cambria Math"/>
            </w:rPr>
            <m:t>0.01485897855</m:t>
          </m:r>
          <m:r>
            <w:rPr>
              <w:rFonts w:ascii="Cambria Math" w:hAnsi="Cambria Math"/>
            </w:rPr>
            <m:t>×300=4.457693564 J</m:t>
          </m:r>
        </m:oMath>
      </m:oMathPara>
    </w:p>
    <w:p w14:paraId="1C1C4882" w14:textId="15C5BD7A" w:rsidR="0025302A" w:rsidRPr="00547A44" w:rsidRDefault="0025302A" w:rsidP="0025302A">
      <w:pPr>
        <w:keepNext/>
        <w:rPr>
          <w:rFonts w:ascii="Cambria Math" w:eastAsiaTheme="minorEastAsia" w:hAnsi="Cambria Math"/>
          <w:iCs/>
        </w:rPr>
      </w:pPr>
      <m:oMathPara>
        <m:oMathParaPr>
          <m:jc m:val="left"/>
        </m:oMathParaPr>
        <m:oMath>
          <m:r>
            <w:rPr>
              <w:rFonts w:ascii="Cambria Math" w:eastAsiaTheme="minorEastAsia" w:hAnsi="Cambria Math"/>
            </w:rPr>
            <m:t>D=</m:t>
          </m:r>
          <m:f>
            <m:fPr>
              <m:ctrlPr>
                <w:rPr>
                  <w:rFonts w:ascii="Cambria Math" w:eastAsiaTheme="minorEastAsia" w:hAnsi="Cambria Math"/>
                  <w:i/>
                  <w:iCs/>
                </w:rPr>
              </m:ctrlPr>
            </m:fPr>
            <m:num>
              <m:r>
                <w:rPr>
                  <w:rFonts w:ascii="Cambria Math" w:eastAsiaTheme="minorEastAsia" w:hAnsi="Cambria Math"/>
                </w:rPr>
                <m:t>E</m:t>
              </m:r>
            </m:num>
            <m:den>
              <m:r>
                <w:rPr>
                  <w:rFonts w:ascii="Cambria Math" w:eastAsiaTheme="minorEastAsia" w:hAnsi="Cambria Math"/>
                </w:rPr>
                <m:t>m</m:t>
              </m:r>
            </m:den>
          </m:f>
        </m:oMath>
      </m:oMathPara>
    </w:p>
    <w:p w14:paraId="11F46CD0" w14:textId="17D035E5" w:rsidR="0025302A" w:rsidRDefault="0025302A" w:rsidP="0025302A">
      <w:pPr>
        <w:pStyle w:val="Caption"/>
        <w:jc w:val="right"/>
      </w:pPr>
      <w:bookmarkStart w:id="28" w:name="_Ref239423450"/>
      <w:bookmarkStart w:id="29" w:name="_Toc239425554"/>
      <w:r>
        <w:t xml:space="preserve">Equation </w:t>
      </w:r>
      <w:r>
        <w:fldChar w:fldCharType="begin"/>
      </w:r>
      <w:r>
        <w:instrText xml:space="preserve"> SEQ Equation \* ARABIC </w:instrText>
      </w:r>
      <w:r>
        <w:fldChar w:fldCharType="separate"/>
      </w:r>
      <w:r w:rsidR="00252D6F">
        <w:rPr>
          <w:noProof/>
        </w:rPr>
        <w:t>4</w:t>
      </w:r>
      <w:r>
        <w:fldChar w:fldCharType="end"/>
      </w:r>
      <w:r>
        <w:t xml:space="preserve">  - Absorbed Dose</w:t>
      </w:r>
      <w:bookmarkEnd w:id="28"/>
      <w:bookmarkEnd w:id="29"/>
    </w:p>
    <w:p w14:paraId="17CB1846" w14:textId="1F232C14" w:rsidR="00547A44" w:rsidRPr="00513536" w:rsidRDefault="00547A44" w:rsidP="00547A44">
      <w:pPr>
        <w:rPr>
          <w:rFonts w:ascii="Cambria Math" w:eastAsiaTheme="minorEastAsia" w:hAnsi="Cambria Math"/>
          <w:iCs/>
        </w:rPr>
      </w:pPr>
      <m:oMath>
        <m:f>
          <m:fPr>
            <m:ctrlPr>
              <w:rPr>
                <w:rFonts w:ascii="Cambria Math" w:eastAsiaTheme="minorEastAsia" w:hAnsi="Cambria Math"/>
                <w:i/>
                <w:iCs/>
              </w:rPr>
            </m:ctrlPr>
          </m:fPr>
          <m:num>
            <m:r>
              <w:rPr>
                <w:rFonts w:ascii="Cambria Math" w:eastAsiaTheme="minorEastAsia" w:hAnsi="Cambria Math"/>
              </w:rPr>
              <m:t>4.457693564</m:t>
            </m:r>
          </m:num>
          <m:den>
            <m:r>
              <w:rPr>
                <w:rFonts w:ascii="Cambria Math" w:eastAsiaTheme="minorEastAsia" w:hAnsi="Cambria Math"/>
              </w:rPr>
              <m:t>75</m:t>
            </m:r>
          </m:den>
        </m:f>
      </m:oMath>
      <w:r>
        <w:rPr>
          <w:rFonts w:ascii="Cambria Math" w:eastAsiaTheme="minorEastAsia" w:hAnsi="Cambria Math"/>
          <w:iCs/>
        </w:rPr>
        <w:t>=0.05943591419 Gy</w:t>
      </w:r>
    </w:p>
    <w:p w14:paraId="5AF9237F" w14:textId="77777777" w:rsidR="00513536" w:rsidRDefault="00513536" w:rsidP="00F935AE">
      <w:pPr>
        <w:rPr>
          <w:rFonts w:ascii="Cambria Math" w:hAnsi="Cambria Math"/>
          <w:iCs/>
        </w:rPr>
      </w:pPr>
    </w:p>
    <w:p w14:paraId="2E57C7BE" w14:textId="4DF72106" w:rsidR="00A555C8" w:rsidRDefault="00A555C8" w:rsidP="00F935AE">
      <w:pPr>
        <w:rPr>
          <w:rFonts w:ascii="Cambria Math" w:hAnsi="Cambria Math"/>
          <w:b/>
          <w:bCs/>
          <w:iCs/>
        </w:rPr>
      </w:pPr>
      <w:r>
        <w:rPr>
          <w:rFonts w:ascii="Cambria Math" w:hAnsi="Cambria Math"/>
          <w:b/>
          <w:bCs/>
          <w:iCs/>
        </w:rPr>
        <w:t>Shielding</w:t>
      </w:r>
      <w:r w:rsidR="007301F5">
        <w:rPr>
          <w:rFonts w:ascii="Cambria Math" w:hAnsi="Cambria Math"/>
          <w:b/>
          <w:bCs/>
          <w:iCs/>
        </w:rPr>
        <w:t xml:space="preserve"> (steel)</w:t>
      </w:r>
    </w:p>
    <w:p w14:paraId="62AC875F" w14:textId="77777777" w:rsidR="00A555C8" w:rsidRPr="00A555C8" w:rsidRDefault="00A555C8" w:rsidP="00A555C8">
      <w:pPr>
        <w:keepNext/>
      </w:pPr>
      <m:oMathPara>
        <m:oMathParaPr>
          <m:jc m:val="left"/>
        </m:oMathParaPr>
        <m:oMath>
          <m:r>
            <w:rPr>
              <w:rFonts w:ascii="Cambria Math" w:hAnsi="Cambria Math"/>
            </w:rPr>
            <m:t>HVL=</m:t>
          </m:r>
          <m:f>
            <m:fPr>
              <m:ctrlPr>
                <w:rPr>
                  <w:rFonts w:ascii="Cambria Math" w:hAnsi="Cambria Math"/>
                  <w:i/>
                  <w:iCs/>
                </w:rPr>
              </m:ctrlPr>
            </m:fPr>
            <m:num>
              <m:func>
                <m:funcPr>
                  <m:ctrlPr>
                    <w:rPr>
                      <w:rFonts w:ascii="Cambria Math" w:hAnsi="Cambria Math"/>
                      <w:i/>
                      <w:iCs/>
                    </w:rPr>
                  </m:ctrlPr>
                </m:funcPr>
                <m:fName>
                  <m:r>
                    <m:rPr>
                      <m:sty m:val="p"/>
                    </m:rPr>
                    <w:rPr>
                      <w:rFonts w:ascii="Cambria Math" w:hAnsi="Cambria Math"/>
                    </w:rPr>
                    <m:t>ln</m:t>
                  </m:r>
                </m:fName>
                <m:e>
                  <m:r>
                    <w:rPr>
                      <w:rFonts w:ascii="Cambria Math" w:hAnsi="Cambria Math"/>
                    </w:rPr>
                    <m:t>2</m:t>
                  </m:r>
                </m:e>
              </m:func>
            </m:num>
            <m:den>
              <m:r>
                <w:rPr>
                  <w:rFonts w:ascii="Cambria Math" w:hAnsi="Cambria Math"/>
                </w:rPr>
                <m:t>μ</m:t>
              </m:r>
            </m:den>
          </m:f>
        </m:oMath>
      </m:oMathPara>
    </w:p>
    <w:p w14:paraId="674E77E4" w14:textId="46D98EC7" w:rsidR="00A555C8" w:rsidRDefault="00A555C8" w:rsidP="00A555C8">
      <w:pPr>
        <w:pStyle w:val="Caption"/>
        <w:jc w:val="right"/>
      </w:pPr>
      <w:bookmarkStart w:id="30" w:name="_Toc239425555"/>
      <w:r>
        <w:t xml:space="preserve">Equation </w:t>
      </w:r>
      <w:r>
        <w:fldChar w:fldCharType="begin"/>
      </w:r>
      <w:r>
        <w:instrText xml:space="preserve"> SEQ Equation \* ARABIC </w:instrText>
      </w:r>
      <w:r>
        <w:fldChar w:fldCharType="separate"/>
      </w:r>
      <w:r w:rsidR="00252D6F">
        <w:rPr>
          <w:noProof/>
        </w:rPr>
        <w:t>5</w:t>
      </w:r>
      <w:r>
        <w:fldChar w:fldCharType="end"/>
      </w:r>
      <w:r>
        <w:t xml:space="preserve"> - Half Value </w:t>
      </w:r>
      <w:r w:rsidR="007301F5">
        <w:t>Layer</w:t>
      </w:r>
      <w:bookmarkEnd w:id="30"/>
    </w:p>
    <w:p w14:paraId="265CC3DB" w14:textId="1569E184" w:rsidR="007301F5" w:rsidRPr="00A555C8" w:rsidRDefault="007301F5" w:rsidP="007301F5">
      <w:pPr>
        <w:keepNext/>
      </w:pPr>
      <m:oMathPara>
        <m:oMathParaPr>
          <m:jc m:val="left"/>
        </m:oMathParaPr>
        <m:oMath>
          <m:r>
            <w:rPr>
              <w:rFonts w:ascii="Cambria Math" w:hAnsi="Cambria Math"/>
            </w:rPr>
            <w:lastRenderedPageBreak/>
            <m:t>μ</m:t>
          </m:r>
          <m:r>
            <w:rPr>
              <w:rFonts w:ascii="Cambria Math" w:hAnsi="Cambria Math"/>
            </w:rPr>
            <m:t>=</m:t>
          </m:r>
          <m:f>
            <m:fPr>
              <m:ctrlPr>
                <w:rPr>
                  <w:rFonts w:ascii="Cambria Math" w:hAnsi="Cambria Math"/>
                  <w:i/>
                  <w:iCs/>
                </w:rPr>
              </m:ctrlPr>
            </m:fPr>
            <m:num>
              <m:func>
                <m:funcPr>
                  <m:ctrlPr>
                    <w:rPr>
                      <w:rFonts w:ascii="Cambria Math" w:hAnsi="Cambria Math"/>
                      <w:i/>
                      <w:iCs/>
                    </w:rPr>
                  </m:ctrlPr>
                </m:funcPr>
                <m:fName>
                  <m:r>
                    <m:rPr>
                      <m:sty m:val="p"/>
                    </m:rPr>
                    <w:rPr>
                      <w:rFonts w:ascii="Cambria Math" w:hAnsi="Cambria Math"/>
                    </w:rPr>
                    <m:t>ln</m:t>
                  </m:r>
                </m:fName>
                <m:e>
                  <m:r>
                    <w:rPr>
                      <w:rFonts w:ascii="Cambria Math" w:hAnsi="Cambria Math"/>
                    </w:rPr>
                    <m:t>2</m:t>
                  </m:r>
                </m:e>
              </m:func>
            </m:num>
            <m:den>
              <m:r>
                <w:rPr>
                  <w:rFonts w:ascii="Cambria Math" w:hAnsi="Cambria Math"/>
                </w:rPr>
                <m:t>HVL</m:t>
              </m:r>
            </m:den>
          </m:f>
        </m:oMath>
      </m:oMathPara>
    </w:p>
    <w:p w14:paraId="0D6CA8A7" w14:textId="39A10B02" w:rsidR="00A555C8" w:rsidRPr="007301F5" w:rsidRDefault="007301F5" w:rsidP="00A555C8">
      <w:pPr>
        <w:rPr>
          <w:rFonts w:eastAsiaTheme="minorEastAsia"/>
          <w:iCs/>
        </w:rPr>
      </w:pPr>
      <m:oMathPara>
        <m:oMathParaPr>
          <m:jc m:val="left"/>
        </m:oMathParaPr>
        <m:oMath>
          <m:r>
            <w:rPr>
              <w:rFonts w:ascii="Cambria Math" w:hAnsi="Cambria Math"/>
            </w:rPr>
            <m:t>μ</m:t>
          </m:r>
          <m:r>
            <w:rPr>
              <w:rFonts w:ascii="Cambria Math" w:hAnsi="Cambria Math"/>
            </w:rPr>
            <m:t>=</m:t>
          </m:r>
          <m:f>
            <m:fPr>
              <m:ctrlPr>
                <w:rPr>
                  <w:rFonts w:ascii="Cambria Math" w:hAnsi="Cambria Math"/>
                  <w:i/>
                  <w:iCs/>
                </w:rPr>
              </m:ctrlPr>
            </m:fPr>
            <m:num>
              <m:func>
                <m:funcPr>
                  <m:ctrlPr>
                    <w:rPr>
                      <w:rFonts w:ascii="Cambria Math" w:hAnsi="Cambria Math"/>
                      <w:i/>
                      <w:iCs/>
                    </w:rPr>
                  </m:ctrlPr>
                </m:funcPr>
                <m:fName>
                  <m:r>
                    <m:rPr>
                      <m:sty m:val="p"/>
                    </m:rPr>
                    <w:rPr>
                      <w:rFonts w:ascii="Cambria Math" w:hAnsi="Cambria Math"/>
                    </w:rPr>
                    <m:t>ln</m:t>
                  </m:r>
                </m:fName>
                <m:e>
                  <m:r>
                    <w:rPr>
                      <w:rFonts w:ascii="Cambria Math" w:hAnsi="Cambria Math"/>
                    </w:rPr>
                    <m:t>2</m:t>
                  </m:r>
                </m:e>
              </m:func>
            </m:num>
            <m:den>
              <m:r>
                <w:rPr>
                  <w:rFonts w:ascii="Cambria Math" w:hAnsi="Cambria Math"/>
                </w:rPr>
                <m:t>12.7×1</m:t>
              </m:r>
              <m:sSup>
                <m:sSupPr>
                  <m:ctrlPr>
                    <w:rPr>
                      <w:rFonts w:ascii="Cambria Math" w:hAnsi="Cambria Math"/>
                      <w:i/>
                      <w:iCs/>
                    </w:rPr>
                  </m:ctrlPr>
                </m:sSupPr>
                <m:e>
                  <m:r>
                    <w:rPr>
                      <w:rFonts w:ascii="Cambria Math" w:hAnsi="Cambria Math"/>
                    </w:rPr>
                    <m:t>0</m:t>
                  </m:r>
                </m:e>
                <m:sup>
                  <m:r>
                    <w:rPr>
                      <w:rFonts w:ascii="Cambria Math" w:hAnsi="Cambria Math"/>
                    </w:rPr>
                    <m:t>-2</m:t>
                  </m:r>
                </m:sup>
              </m:sSup>
            </m:den>
          </m:f>
        </m:oMath>
      </m:oMathPara>
    </w:p>
    <w:p w14:paraId="3DDE692C" w14:textId="616A03A7" w:rsidR="007301F5" w:rsidRPr="007301F5" w:rsidRDefault="007301F5" w:rsidP="00A555C8">
      <w:pPr>
        <w:rPr>
          <w:rFonts w:eastAsiaTheme="minorEastAsia"/>
          <w:iCs/>
        </w:rPr>
      </w:pPr>
      <m:oMathPara>
        <m:oMathParaPr>
          <m:jc m:val="left"/>
        </m:oMathParaPr>
        <m:oMath>
          <m:r>
            <w:rPr>
              <w:rFonts w:ascii="Cambria Math" w:hAnsi="Cambria Math"/>
            </w:rPr>
            <m:t>μ</m:t>
          </m:r>
          <m:r>
            <w:rPr>
              <w:rFonts w:ascii="Cambria Math" w:hAnsi="Cambria Math"/>
            </w:rPr>
            <m:t>=</m:t>
          </m:r>
          <m:r>
            <w:rPr>
              <w:rFonts w:ascii="Cambria Math" w:hAnsi="Cambria Math"/>
            </w:rPr>
            <m:t>5.457851815</m:t>
          </m:r>
          <m:sSup>
            <m:sSupPr>
              <m:ctrlPr>
                <w:rPr>
                  <w:rFonts w:ascii="Cambria Math" w:hAnsi="Cambria Math"/>
                  <w:i/>
                  <w:iCs/>
                </w:rPr>
              </m:ctrlPr>
            </m:sSupPr>
            <m:e>
              <m:r>
                <w:rPr>
                  <w:rFonts w:ascii="Cambria Math" w:hAnsi="Cambria Math"/>
                </w:rPr>
                <m:t>m</m:t>
              </m:r>
            </m:e>
            <m:sup>
              <m:r>
                <w:rPr>
                  <w:rFonts w:ascii="Cambria Math" w:hAnsi="Cambria Math"/>
                </w:rPr>
                <m:t>-1</m:t>
              </m:r>
            </m:sup>
          </m:sSup>
        </m:oMath>
      </m:oMathPara>
    </w:p>
    <w:p w14:paraId="2D278AAF" w14:textId="77777777" w:rsidR="007301F5" w:rsidRDefault="007301F5" w:rsidP="00A555C8">
      <w:pPr>
        <w:rPr>
          <w:rFonts w:eastAsiaTheme="minorEastAsia"/>
          <w:iCs/>
        </w:rPr>
      </w:pPr>
    </w:p>
    <w:p w14:paraId="670DFB5F" w14:textId="7FE50128" w:rsidR="007301F5" w:rsidRPr="007301F5" w:rsidRDefault="007301F5" w:rsidP="00A555C8">
      <w:pPr>
        <w:rPr>
          <w:rFonts w:eastAsiaTheme="minorEastAsia"/>
          <w:b/>
          <w:bCs/>
          <w:iCs/>
        </w:rPr>
      </w:pPr>
      <w:r w:rsidRPr="007301F5">
        <w:rPr>
          <w:rFonts w:eastAsiaTheme="minorEastAsia"/>
          <w:b/>
          <w:bCs/>
          <w:iCs/>
        </w:rPr>
        <w:t>Shielding (Uranium):</w:t>
      </w:r>
    </w:p>
    <w:p w14:paraId="4A2F8B67" w14:textId="77777777" w:rsidR="007301F5" w:rsidRPr="00A555C8" w:rsidRDefault="007301F5" w:rsidP="007301F5">
      <w:pPr>
        <w:keepNext/>
      </w:pPr>
      <m:oMathPara>
        <m:oMathParaPr>
          <m:jc m:val="left"/>
        </m:oMathParaPr>
        <m:oMath>
          <m:r>
            <w:rPr>
              <w:rFonts w:ascii="Cambria Math" w:hAnsi="Cambria Math"/>
            </w:rPr>
            <m:t>μ</m:t>
          </m:r>
          <m:r>
            <w:rPr>
              <w:rFonts w:ascii="Cambria Math" w:hAnsi="Cambria Math"/>
            </w:rPr>
            <m:t>=</m:t>
          </m:r>
          <m:f>
            <m:fPr>
              <m:ctrlPr>
                <w:rPr>
                  <w:rFonts w:ascii="Cambria Math" w:hAnsi="Cambria Math"/>
                  <w:i/>
                  <w:iCs/>
                </w:rPr>
              </m:ctrlPr>
            </m:fPr>
            <m:num>
              <m:func>
                <m:funcPr>
                  <m:ctrlPr>
                    <w:rPr>
                      <w:rFonts w:ascii="Cambria Math" w:hAnsi="Cambria Math"/>
                      <w:i/>
                      <w:iCs/>
                    </w:rPr>
                  </m:ctrlPr>
                </m:funcPr>
                <m:fName>
                  <m:r>
                    <m:rPr>
                      <m:sty m:val="p"/>
                    </m:rPr>
                    <w:rPr>
                      <w:rFonts w:ascii="Cambria Math" w:hAnsi="Cambria Math"/>
                    </w:rPr>
                    <m:t>ln</m:t>
                  </m:r>
                </m:fName>
                <m:e>
                  <m:r>
                    <w:rPr>
                      <w:rFonts w:ascii="Cambria Math" w:hAnsi="Cambria Math"/>
                    </w:rPr>
                    <m:t>2</m:t>
                  </m:r>
                </m:e>
              </m:func>
            </m:num>
            <m:den>
              <m:r>
                <w:rPr>
                  <w:rFonts w:ascii="Cambria Math" w:hAnsi="Cambria Math"/>
                </w:rPr>
                <m:t>HVL</m:t>
              </m:r>
            </m:den>
          </m:f>
        </m:oMath>
      </m:oMathPara>
    </w:p>
    <w:p w14:paraId="1D03CB1C" w14:textId="7222E238" w:rsidR="007301F5" w:rsidRPr="007301F5" w:rsidRDefault="007301F5" w:rsidP="007301F5">
      <w:pPr>
        <w:rPr>
          <w:rFonts w:eastAsiaTheme="minorEastAsia"/>
          <w:iCs/>
        </w:rPr>
      </w:pPr>
      <m:oMathPara>
        <m:oMathParaPr>
          <m:jc m:val="left"/>
        </m:oMathParaPr>
        <m:oMath>
          <m:r>
            <w:rPr>
              <w:rFonts w:ascii="Cambria Math" w:hAnsi="Cambria Math"/>
            </w:rPr>
            <m:t>μ</m:t>
          </m:r>
          <m:r>
            <w:rPr>
              <w:rFonts w:ascii="Cambria Math" w:hAnsi="Cambria Math"/>
            </w:rPr>
            <m:t>=</m:t>
          </m:r>
          <m:f>
            <m:fPr>
              <m:ctrlPr>
                <w:rPr>
                  <w:rFonts w:ascii="Cambria Math" w:hAnsi="Cambria Math"/>
                  <w:i/>
                  <w:iCs/>
                </w:rPr>
              </m:ctrlPr>
            </m:fPr>
            <m:num>
              <m:func>
                <m:funcPr>
                  <m:ctrlPr>
                    <w:rPr>
                      <w:rFonts w:ascii="Cambria Math" w:hAnsi="Cambria Math"/>
                      <w:i/>
                      <w:iCs/>
                    </w:rPr>
                  </m:ctrlPr>
                </m:funcPr>
                <m:fName>
                  <m:r>
                    <m:rPr>
                      <m:sty m:val="p"/>
                    </m:rPr>
                    <w:rPr>
                      <w:rFonts w:ascii="Cambria Math" w:hAnsi="Cambria Math"/>
                    </w:rPr>
                    <m:t>ln</m:t>
                  </m:r>
                </m:fName>
                <m:e>
                  <m:r>
                    <w:rPr>
                      <w:rFonts w:ascii="Cambria Math" w:hAnsi="Cambria Math"/>
                    </w:rPr>
                    <m:t>2</m:t>
                  </m:r>
                </m:e>
              </m:func>
            </m:num>
            <m:den>
              <m:r>
                <w:rPr>
                  <w:rFonts w:ascii="Cambria Math" w:hAnsi="Cambria Math"/>
                </w:rPr>
                <m:t>2.8</m:t>
              </m:r>
              <m:r>
                <w:rPr>
                  <w:rFonts w:ascii="Cambria Math" w:hAnsi="Cambria Math"/>
                </w:rPr>
                <m:t>×1</m:t>
              </m:r>
              <m:sSup>
                <m:sSupPr>
                  <m:ctrlPr>
                    <w:rPr>
                      <w:rFonts w:ascii="Cambria Math" w:hAnsi="Cambria Math"/>
                      <w:i/>
                      <w:iCs/>
                    </w:rPr>
                  </m:ctrlPr>
                </m:sSupPr>
                <m:e>
                  <m:r>
                    <w:rPr>
                      <w:rFonts w:ascii="Cambria Math" w:hAnsi="Cambria Math"/>
                    </w:rPr>
                    <m:t>0</m:t>
                  </m:r>
                </m:e>
                <m:sup>
                  <m:r>
                    <w:rPr>
                      <w:rFonts w:ascii="Cambria Math" w:hAnsi="Cambria Math"/>
                    </w:rPr>
                    <m:t>-2</m:t>
                  </m:r>
                </m:sup>
              </m:sSup>
            </m:den>
          </m:f>
        </m:oMath>
      </m:oMathPara>
    </w:p>
    <w:p w14:paraId="3593A71F" w14:textId="7A6A0381" w:rsidR="007301F5" w:rsidRPr="00A555C8" w:rsidRDefault="007301F5" w:rsidP="007301F5">
      <m:oMathPara>
        <m:oMathParaPr>
          <m:jc m:val="left"/>
        </m:oMathParaPr>
        <m:oMath>
          <m:r>
            <w:rPr>
              <w:rFonts w:ascii="Cambria Math" w:hAnsi="Cambria Math"/>
            </w:rPr>
            <m:t>μ</m:t>
          </m:r>
          <m:r>
            <w:rPr>
              <w:rFonts w:ascii="Cambria Math" w:hAnsi="Cambria Math"/>
            </w:rPr>
            <m:t>=</m:t>
          </m:r>
          <m:r>
            <w:rPr>
              <w:rFonts w:ascii="Cambria Math" w:hAnsi="Cambria Math"/>
            </w:rPr>
            <m:t>24.75525645</m:t>
          </m:r>
          <m:sSup>
            <m:sSupPr>
              <m:ctrlPr>
                <w:rPr>
                  <w:rFonts w:ascii="Cambria Math" w:hAnsi="Cambria Math"/>
                  <w:i/>
                  <w:iCs/>
                </w:rPr>
              </m:ctrlPr>
            </m:sSupPr>
            <m:e>
              <m:r>
                <w:rPr>
                  <w:rFonts w:ascii="Cambria Math" w:hAnsi="Cambria Math"/>
                </w:rPr>
                <m:t>m</m:t>
              </m:r>
            </m:e>
            <m:sup>
              <m:r>
                <w:rPr>
                  <w:rFonts w:ascii="Cambria Math" w:hAnsi="Cambria Math"/>
                </w:rPr>
                <m:t>-1</m:t>
              </m:r>
            </m:sup>
          </m:sSup>
        </m:oMath>
      </m:oMathPara>
    </w:p>
    <w:p w14:paraId="0022980B" w14:textId="77777777" w:rsidR="007301F5" w:rsidRDefault="007301F5" w:rsidP="00A555C8">
      <w:pPr>
        <w:rPr>
          <w:rFonts w:eastAsiaTheme="minorEastAsia"/>
          <w:iCs/>
        </w:rPr>
      </w:pPr>
    </w:p>
    <w:p w14:paraId="5215F799" w14:textId="77777777" w:rsidR="00252D6F" w:rsidRPr="00252D6F" w:rsidRDefault="00252D6F" w:rsidP="00252D6F">
      <w:pPr>
        <w:keepNext/>
      </w:pPr>
      <m:oMathPara>
        <m:oMathParaPr>
          <m:jc m:val="left"/>
        </m:oMathParaPr>
        <m:oMath>
          <m:sSub>
            <m:sSubPr>
              <m:ctrlPr>
                <w:rPr>
                  <w:rFonts w:ascii="Cambria Math" w:eastAsiaTheme="minorEastAsia" w:hAnsi="Cambria Math"/>
                  <w:i/>
                  <w:iCs/>
                </w:rPr>
              </m:ctrlPr>
            </m:sSubPr>
            <m:e>
              <m:r>
                <w:rPr>
                  <w:rFonts w:ascii="Cambria Math" w:eastAsiaTheme="minorEastAsia" w:hAnsi="Cambria Math"/>
                </w:rPr>
                <m:t>D</m:t>
              </m:r>
            </m:e>
            <m:sub>
              <m:r>
                <w:rPr>
                  <w:rFonts w:ascii="Cambria Math" w:eastAsiaTheme="minorEastAsia" w:hAnsi="Cambria Math"/>
                </w:rPr>
                <m:t>t</m:t>
              </m:r>
            </m:sub>
          </m:sSub>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D</m:t>
              </m:r>
            </m:e>
            <m:sub>
              <m:r>
                <w:rPr>
                  <w:rFonts w:ascii="Cambria Math" w:eastAsiaTheme="minorEastAsia" w:hAnsi="Cambria Math"/>
                </w:rPr>
                <m:t>0</m:t>
              </m:r>
            </m:sub>
          </m:sSub>
          <m:sSup>
            <m:sSupPr>
              <m:ctrlPr>
                <w:rPr>
                  <w:rFonts w:ascii="Cambria Math" w:eastAsiaTheme="minorEastAsia" w:hAnsi="Cambria Math"/>
                  <w:i/>
                  <w:iCs/>
                </w:rPr>
              </m:ctrlPr>
            </m:sSupPr>
            <m:e>
              <m:r>
                <w:rPr>
                  <w:rFonts w:ascii="Cambria Math" w:eastAsiaTheme="minorEastAsia" w:hAnsi="Cambria Math"/>
                </w:rPr>
                <m:t>ⅇ</m:t>
              </m:r>
            </m:e>
            <m:sup>
              <m:r>
                <w:rPr>
                  <w:rFonts w:ascii="Cambria Math" w:eastAsiaTheme="minorEastAsia" w:hAnsi="Cambria Math"/>
                </w:rPr>
                <m:t>-μt</m:t>
              </m:r>
            </m:sup>
          </m:sSup>
        </m:oMath>
      </m:oMathPara>
    </w:p>
    <w:p w14:paraId="24082977" w14:textId="1E8AB2AD" w:rsidR="00252D6F" w:rsidRDefault="00252D6F" w:rsidP="00252D6F">
      <w:pPr>
        <w:pStyle w:val="Caption"/>
        <w:jc w:val="right"/>
      </w:pPr>
      <w:bookmarkStart w:id="31" w:name="_Ref239425507"/>
      <w:bookmarkStart w:id="32" w:name="_Toc239425556"/>
      <w:r>
        <w:t xml:space="preserve">Equation </w:t>
      </w:r>
      <w:r>
        <w:fldChar w:fldCharType="begin"/>
      </w:r>
      <w:r>
        <w:instrText xml:space="preserve"> SEQ Equation \* ARABIC </w:instrText>
      </w:r>
      <w:r>
        <w:fldChar w:fldCharType="separate"/>
      </w:r>
      <w:r>
        <w:rPr>
          <w:noProof/>
        </w:rPr>
        <w:t>6</w:t>
      </w:r>
      <w:r>
        <w:fldChar w:fldCharType="end"/>
      </w:r>
      <w:r>
        <w:t xml:space="preserve"> - Dose rate through a shield</w:t>
      </w:r>
      <w:bookmarkEnd w:id="31"/>
      <w:bookmarkEnd w:id="32"/>
    </w:p>
    <w:p w14:paraId="23E1C218" w14:textId="2121F582" w:rsidR="00252D6F" w:rsidRPr="00252D6F" w:rsidRDefault="00252D6F" w:rsidP="00252D6F">
      <w:pPr>
        <w:keepNext/>
        <w:rPr>
          <w:rFonts w:eastAsiaTheme="minorEastAsia"/>
        </w:rPr>
      </w:pPr>
      <w:r>
        <w:rPr>
          <w:rFonts w:eastAsiaTheme="minorEastAsia"/>
        </w:rPr>
        <w:t>Dose rate at 50mm of steel shielding</w:t>
      </w:r>
    </w:p>
    <w:p w14:paraId="6A1E349A" w14:textId="4A3F1A51" w:rsidR="00252D6F" w:rsidRPr="00252D6F" w:rsidRDefault="00252D6F" w:rsidP="00252D6F">
      <w:pPr>
        <w:keepNext/>
      </w:pPr>
      <m:oMathPara>
        <m:oMathParaPr>
          <m:jc m:val="left"/>
        </m:oMathParaPr>
        <m:oMath>
          <m:sSub>
            <m:sSubPr>
              <m:ctrlPr>
                <w:rPr>
                  <w:rFonts w:ascii="Cambria Math" w:eastAsiaTheme="minorEastAsia" w:hAnsi="Cambria Math"/>
                  <w:i/>
                  <w:iCs/>
                </w:rPr>
              </m:ctrlPr>
            </m:sSubPr>
            <m:e>
              <m:r>
                <w:rPr>
                  <w:rFonts w:ascii="Cambria Math" w:eastAsiaTheme="minorEastAsia" w:hAnsi="Cambria Math"/>
                </w:rPr>
                <m:t>D</m:t>
              </m:r>
            </m:e>
            <m:sub>
              <m:r>
                <w:rPr>
                  <w:rFonts w:ascii="Cambria Math" w:eastAsiaTheme="minorEastAsia" w:hAnsi="Cambria Math"/>
                </w:rPr>
                <m:t>t</m:t>
              </m:r>
            </m:sub>
          </m:sSub>
          <m:r>
            <w:rPr>
              <w:rFonts w:ascii="Cambria Math" w:eastAsiaTheme="minorEastAsia" w:hAnsi="Cambria Math"/>
            </w:rPr>
            <m:t>=</m:t>
          </m:r>
          <m:r>
            <w:rPr>
              <w:rFonts w:ascii="Cambria Math" w:eastAsiaTheme="minorEastAsia" w:hAnsi="Cambria Math"/>
            </w:rPr>
            <m:t>(</m:t>
          </m:r>
          <m:r>
            <m:rPr>
              <m:sty m:val="p"/>
            </m:rPr>
            <w:rPr>
              <w:rFonts w:ascii="Cambria Math" w:hAnsi="Cambria Math"/>
            </w:rPr>
            <m:t>0.104664032</m:t>
          </m:r>
          <m:r>
            <m:rPr>
              <m:sty m:val="p"/>
            </m:rPr>
            <w:rPr>
              <w:rFonts w:ascii="Cambria Math" w:hAnsi="Cambria Math"/>
            </w:rPr>
            <m:t>×</m:t>
          </m:r>
          <m:sSup>
            <m:sSupPr>
              <m:ctrlPr>
                <w:rPr>
                  <w:rFonts w:ascii="Cambria Math" w:hAnsi="Cambria Math"/>
                  <w:iCs/>
                </w:rPr>
              </m:ctrlPr>
            </m:sSupPr>
            <m:e>
              <m:r>
                <m:rPr>
                  <m:sty m:val="p"/>
                </m:rPr>
                <w:rPr>
                  <w:rFonts w:ascii="Cambria Math" w:hAnsi="Cambria Math"/>
                </w:rPr>
                <m:t>ⅇ</m:t>
              </m:r>
            </m:e>
            <m:sup>
              <m:r>
                <m:rPr>
                  <m:sty m:val="p"/>
                </m:rPr>
                <w:rPr>
                  <w:rFonts w:ascii="Cambria Math" w:hAnsi="Cambria Math"/>
                </w:rPr>
                <m:t>-</m:t>
              </m:r>
              <m:r>
                <m:rPr>
                  <m:sty m:val="p"/>
                </m:rPr>
                <w:rPr>
                  <w:rFonts w:ascii="Cambria Math" w:hAnsi="Cambria Math"/>
                </w:rPr>
                <m:t>5.457851815×50</m:t>
              </m:r>
            </m:sup>
          </m:sSup>
          <m:r>
            <w:rPr>
              <w:rFonts w:ascii="Cambria Math" w:eastAsiaTheme="minorEastAsia" w:hAnsi="Cambria Math"/>
            </w:rPr>
            <m:t>)≈0</m:t>
          </m:r>
        </m:oMath>
      </m:oMathPara>
    </w:p>
    <w:p w14:paraId="62EEDB49" w14:textId="77777777" w:rsidR="00252D6F" w:rsidRPr="00252D6F" w:rsidRDefault="00252D6F" w:rsidP="00252D6F"/>
    <w:sectPr w:rsidR="00252D6F" w:rsidRPr="00252D6F" w:rsidSect="0061490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AB09B" w14:textId="77777777" w:rsidR="0012640B" w:rsidRDefault="0012640B" w:rsidP="0063458D">
      <w:pPr>
        <w:spacing w:after="0" w:line="240" w:lineRule="auto"/>
      </w:pPr>
      <w:r>
        <w:separator/>
      </w:r>
    </w:p>
  </w:endnote>
  <w:endnote w:type="continuationSeparator" w:id="0">
    <w:p w14:paraId="082B7A6E" w14:textId="77777777" w:rsidR="0012640B" w:rsidRDefault="0012640B" w:rsidP="00634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8640376"/>
      <w:docPartObj>
        <w:docPartGallery w:val="Page Numbers (Bottom of Page)"/>
        <w:docPartUnique/>
      </w:docPartObj>
    </w:sdtPr>
    <w:sdtEndPr>
      <w:rPr>
        <w:noProof/>
      </w:rPr>
    </w:sdtEndPr>
    <w:sdtContent>
      <w:p w14:paraId="0F26A250" w14:textId="68A9A4F6" w:rsidR="0063458D" w:rsidRDefault="006345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52C1A4" w14:textId="77777777" w:rsidR="0063458D" w:rsidRDefault="006345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115CDB" w14:textId="77777777" w:rsidR="0012640B" w:rsidRDefault="0012640B" w:rsidP="0063458D">
      <w:pPr>
        <w:spacing w:after="0" w:line="240" w:lineRule="auto"/>
      </w:pPr>
      <w:r>
        <w:separator/>
      </w:r>
    </w:p>
  </w:footnote>
  <w:footnote w:type="continuationSeparator" w:id="0">
    <w:p w14:paraId="049C8A7B" w14:textId="77777777" w:rsidR="0012640B" w:rsidRDefault="0012640B" w:rsidP="0063458D">
      <w:pPr>
        <w:spacing w:after="0" w:line="240" w:lineRule="auto"/>
      </w:pPr>
      <w:r>
        <w:continuationSeparator/>
      </w:r>
    </w:p>
  </w:footnote>
  <w:footnote w:id="1">
    <w:p w14:paraId="15E521B7" w14:textId="77777777" w:rsidR="003D31B3" w:rsidRDefault="004527AD" w:rsidP="003D31B3">
      <w:pPr>
        <w:pStyle w:val="FootnoteText"/>
      </w:pPr>
      <w:r>
        <w:rPr>
          <w:rStyle w:val="FootnoteReference"/>
        </w:rPr>
        <w:footnoteRef/>
      </w:r>
      <w:r>
        <w:t xml:space="preserve">Iowa State University: Centre for Non-Destructive Evaluation, </w:t>
      </w:r>
      <w:r w:rsidRPr="004527AD">
        <w:t xml:space="preserve">Physics of </w:t>
      </w:r>
      <w:proofErr w:type="spellStart"/>
      <w:r w:rsidRPr="004527AD">
        <w:t>Nondestructive</w:t>
      </w:r>
      <w:proofErr w:type="spellEnd"/>
      <w:r w:rsidRPr="004527AD">
        <w:t xml:space="preserve"> Evaluation &gt; X-Rays &gt; Half-Value Layer</w:t>
      </w:r>
      <w:r w:rsidR="003D31B3">
        <w:t xml:space="preserve">, </w:t>
      </w:r>
      <w:r w:rsidR="003D31B3">
        <w:t>Approximate HVL for Various Materials when Radiation</w:t>
      </w:r>
    </w:p>
    <w:p w14:paraId="2E9EC2A2" w14:textId="395933DA" w:rsidR="004527AD" w:rsidRDefault="003D31B3" w:rsidP="003D31B3">
      <w:pPr>
        <w:pStyle w:val="FootnoteText"/>
      </w:pPr>
      <w:r>
        <w:t>is from a Gamma Source</w:t>
      </w:r>
      <w:r>
        <w:t xml:space="preserve">, </w:t>
      </w:r>
      <w:r w:rsidRPr="003D31B3">
        <w:t>https://www.nde-ed.org/Physics/X-Ray/HalfValueLayer.xhtml</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92317"/>
    <w:multiLevelType w:val="hybridMultilevel"/>
    <w:tmpl w:val="C82AA278"/>
    <w:lvl w:ilvl="0" w:tplc="61F2D7C2">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51210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901"/>
    <w:rsid w:val="0001394D"/>
    <w:rsid w:val="00027988"/>
    <w:rsid w:val="000341F5"/>
    <w:rsid w:val="00050833"/>
    <w:rsid w:val="00054492"/>
    <w:rsid w:val="001011F0"/>
    <w:rsid w:val="0012640B"/>
    <w:rsid w:val="00132934"/>
    <w:rsid w:val="0017484B"/>
    <w:rsid w:val="00183537"/>
    <w:rsid w:val="001A0362"/>
    <w:rsid w:val="001A23EE"/>
    <w:rsid w:val="001B58A2"/>
    <w:rsid w:val="001B6384"/>
    <w:rsid w:val="00232C88"/>
    <w:rsid w:val="00252D6F"/>
    <w:rsid w:val="0025302A"/>
    <w:rsid w:val="002F3181"/>
    <w:rsid w:val="002F6CC2"/>
    <w:rsid w:val="00313695"/>
    <w:rsid w:val="00396D64"/>
    <w:rsid w:val="003D31B3"/>
    <w:rsid w:val="00426475"/>
    <w:rsid w:val="004527AD"/>
    <w:rsid w:val="00513536"/>
    <w:rsid w:val="00544B8E"/>
    <w:rsid w:val="00547A44"/>
    <w:rsid w:val="005A751A"/>
    <w:rsid w:val="005D49E2"/>
    <w:rsid w:val="00614901"/>
    <w:rsid w:val="0063458D"/>
    <w:rsid w:val="006B75B7"/>
    <w:rsid w:val="006D78AC"/>
    <w:rsid w:val="006E4A59"/>
    <w:rsid w:val="006F1164"/>
    <w:rsid w:val="00706829"/>
    <w:rsid w:val="00727338"/>
    <w:rsid w:val="007301F5"/>
    <w:rsid w:val="0075431A"/>
    <w:rsid w:val="00761932"/>
    <w:rsid w:val="0076581F"/>
    <w:rsid w:val="007C2D1C"/>
    <w:rsid w:val="007F78FD"/>
    <w:rsid w:val="008067F6"/>
    <w:rsid w:val="008A2A29"/>
    <w:rsid w:val="009338EA"/>
    <w:rsid w:val="00960FDA"/>
    <w:rsid w:val="00A21AA0"/>
    <w:rsid w:val="00A36EB8"/>
    <w:rsid w:val="00A555C8"/>
    <w:rsid w:val="00A617F8"/>
    <w:rsid w:val="00A8286F"/>
    <w:rsid w:val="00A92CFF"/>
    <w:rsid w:val="00B54120"/>
    <w:rsid w:val="00B82C31"/>
    <w:rsid w:val="00B83CF6"/>
    <w:rsid w:val="00C045C9"/>
    <w:rsid w:val="00CF2169"/>
    <w:rsid w:val="00D4404D"/>
    <w:rsid w:val="00D76615"/>
    <w:rsid w:val="00DA5EBD"/>
    <w:rsid w:val="00DB0FAC"/>
    <w:rsid w:val="00E019A4"/>
    <w:rsid w:val="00E01A05"/>
    <w:rsid w:val="00E75B61"/>
    <w:rsid w:val="00E76145"/>
    <w:rsid w:val="00E97337"/>
    <w:rsid w:val="00F07853"/>
    <w:rsid w:val="00F53C2C"/>
    <w:rsid w:val="00F8539E"/>
    <w:rsid w:val="00F93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54F47"/>
  <w15:chartTrackingRefBased/>
  <w15:docId w15:val="{E8E9279F-649B-45E7-ABF6-FD370889D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9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49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49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9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9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9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9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9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9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9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49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9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9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9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9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9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9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901"/>
    <w:rPr>
      <w:rFonts w:eastAsiaTheme="majorEastAsia" w:cstheme="majorBidi"/>
      <w:color w:val="272727" w:themeColor="text1" w:themeTint="D8"/>
    </w:rPr>
  </w:style>
  <w:style w:type="paragraph" w:styleId="Title">
    <w:name w:val="Title"/>
    <w:basedOn w:val="Normal"/>
    <w:next w:val="Normal"/>
    <w:link w:val="TitleChar"/>
    <w:uiPriority w:val="10"/>
    <w:qFormat/>
    <w:rsid w:val="006149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9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9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9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901"/>
    <w:pPr>
      <w:spacing w:before="160"/>
      <w:jc w:val="center"/>
    </w:pPr>
    <w:rPr>
      <w:i/>
      <w:iCs/>
      <w:color w:val="404040" w:themeColor="text1" w:themeTint="BF"/>
    </w:rPr>
  </w:style>
  <w:style w:type="character" w:customStyle="1" w:styleId="QuoteChar">
    <w:name w:val="Quote Char"/>
    <w:basedOn w:val="DefaultParagraphFont"/>
    <w:link w:val="Quote"/>
    <w:uiPriority w:val="29"/>
    <w:rsid w:val="00614901"/>
    <w:rPr>
      <w:i/>
      <w:iCs/>
      <w:color w:val="404040" w:themeColor="text1" w:themeTint="BF"/>
    </w:rPr>
  </w:style>
  <w:style w:type="paragraph" w:styleId="ListParagraph">
    <w:name w:val="List Paragraph"/>
    <w:basedOn w:val="Normal"/>
    <w:uiPriority w:val="34"/>
    <w:qFormat/>
    <w:rsid w:val="00614901"/>
    <w:pPr>
      <w:ind w:left="720"/>
      <w:contextualSpacing/>
    </w:pPr>
  </w:style>
  <w:style w:type="character" w:styleId="IntenseEmphasis">
    <w:name w:val="Intense Emphasis"/>
    <w:basedOn w:val="DefaultParagraphFont"/>
    <w:uiPriority w:val="21"/>
    <w:qFormat/>
    <w:rsid w:val="00614901"/>
    <w:rPr>
      <w:i/>
      <w:iCs/>
      <w:color w:val="0F4761" w:themeColor="accent1" w:themeShade="BF"/>
    </w:rPr>
  </w:style>
  <w:style w:type="paragraph" w:styleId="IntenseQuote">
    <w:name w:val="Intense Quote"/>
    <w:basedOn w:val="Normal"/>
    <w:next w:val="Normal"/>
    <w:link w:val="IntenseQuoteChar"/>
    <w:uiPriority w:val="30"/>
    <w:qFormat/>
    <w:rsid w:val="006149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901"/>
    <w:rPr>
      <w:i/>
      <w:iCs/>
      <w:color w:val="0F4761" w:themeColor="accent1" w:themeShade="BF"/>
    </w:rPr>
  </w:style>
  <w:style w:type="character" w:styleId="IntenseReference">
    <w:name w:val="Intense Reference"/>
    <w:basedOn w:val="DefaultParagraphFont"/>
    <w:uiPriority w:val="32"/>
    <w:qFormat/>
    <w:rsid w:val="00614901"/>
    <w:rPr>
      <w:b/>
      <w:bCs/>
      <w:smallCaps/>
      <w:color w:val="0F4761" w:themeColor="accent1" w:themeShade="BF"/>
      <w:spacing w:val="5"/>
    </w:rPr>
  </w:style>
  <w:style w:type="paragraph" w:styleId="NoSpacing">
    <w:name w:val="No Spacing"/>
    <w:link w:val="NoSpacingChar"/>
    <w:uiPriority w:val="1"/>
    <w:qFormat/>
    <w:rsid w:val="0061490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14901"/>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14901"/>
    <w:pPr>
      <w:spacing w:before="240" w:after="0" w:line="259" w:lineRule="auto"/>
      <w:outlineLvl w:val="9"/>
    </w:pPr>
    <w:rPr>
      <w:kern w:val="0"/>
      <w:sz w:val="32"/>
      <w:szCs w:val="32"/>
      <w:lang w:val="en-US"/>
      <w14:ligatures w14:val="none"/>
    </w:rPr>
  </w:style>
  <w:style w:type="paragraph" w:styleId="Bibliography">
    <w:name w:val="Bibliography"/>
    <w:basedOn w:val="Normal"/>
    <w:next w:val="Normal"/>
    <w:uiPriority w:val="37"/>
    <w:unhideWhenUsed/>
    <w:rsid w:val="00426475"/>
  </w:style>
  <w:style w:type="paragraph" w:styleId="TOC1">
    <w:name w:val="toc 1"/>
    <w:basedOn w:val="Normal"/>
    <w:next w:val="Normal"/>
    <w:autoRedefine/>
    <w:uiPriority w:val="39"/>
    <w:unhideWhenUsed/>
    <w:rsid w:val="00426475"/>
    <w:pPr>
      <w:spacing w:after="100"/>
    </w:pPr>
  </w:style>
  <w:style w:type="paragraph" w:styleId="TOC2">
    <w:name w:val="toc 2"/>
    <w:basedOn w:val="Normal"/>
    <w:next w:val="Normal"/>
    <w:autoRedefine/>
    <w:uiPriority w:val="39"/>
    <w:unhideWhenUsed/>
    <w:rsid w:val="00426475"/>
    <w:pPr>
      <w:spacing w:after="100"/>
      <w:ind w:left="240"/>
    </w:pPr>
  </w:style>
  <w:style w:type="character" w:styleId="Hyperlink">
    <w:name w:val="Hyperlink"/>
    <w:basedOn w:val="DefaultParagraphFont"/>
    <w:uiPriority w:val="99"/>
    <w:unhideWhenUsed/>
    <w:rsid w:val="00426475"/>
    <w:rPr>
      <w:color w:val="467886" w:themeColor="hyperlink"/>
      <w:u w:val="single"/>
    </w:rPr>
  </w:style>
  <w:style w:type="character" w:styleId="UnresolvedMention">
    <w:name w:val="Unresolved Mention"/>
    <w:basedOn w:val="DefaultParagraphFont"/>
    <w:uiPriority w:val="99"/>
    <w:semiHidden/>
    <w:unhideWhenUsed/>
    <w:rsid w:val="00DB0FAC"/>
    <w:rPr>
      <w:color w:val="605E5C"/>
      <w:shd w:val="clear" w:color="auto" w:fill="E1DFDD"/>
    </w:rPr>
  </w:style>
  <w:style w:type="paragraph" w:styleId="Header">
    <w:name w:val="header"/>
    <w:basedOn w:val="Normal"/>
    <w:link w:val="HeaderChar"/>
    <w:uiPriority w:val="99"/>
    <w:unhideWhenUsed/>
    <w:rsid w:val="00634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58D"/>
  </w:style>
  <w:style w:type="paragraph" w:styleId="Footer">
    <w:name w:val="footer"/>
    <w:basedOn w:val="Normal"/>
    <w:link w:val="FooterChar"/>
    <w:uiPriority w:val="99"/>
    <w:unhideWhenUsed/>
    <w:rsid w:val="00634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58D"/>
  </w:style>
  <w:style w:type="character" w:styleId="PlaceholderText">
    <w:name w:val="Placeholder Text"/>
    <w:basedOn w:val="DefaultParagraphFont"/>
    <w:uiPriority w:val="99"/>
    <w:semiHidden/>
    <w:rsid w:val="00F07853"/>
    <w:rPr>
      <w:color w:val="666666"/>
    </w:rPr>
  </w:style>
  <w:style w:type="table" w:styleId="TableGrid">
    <w:name w:val="Table Grid"/>
    <w:basedOn w:val="TableNormal"/>
    <w:uiPriority w:val="39"/>
    <w:rsid w:val="005135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1353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noteText">
    <w:name w:val="footnote text"/>
    <w:basedOn w:val="Normal"/>
    <w:link w:val="FootnoteTextChar"/>
    <w:uiPriority w:val="99"/>
    <w:semiHidden/>
    <w:unhideWhenUsed/>
    <w:rsid w:val="004527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27AD"/>
    <w:rPr>
      <w:sz w:val="20"/>
      <w:szCs w:val="20"/>
    </w:rPr>
  </w:style>
  <w:style w:type="character" w:styleId="FootnoteReference">
    <w:name w:val="footnote reference"/>
    <w:basedOn w:val="DefaultParagraphFont"/>
    <w:uiPriority w:val="99"/>
    <w:semiHidden/>
    <w:unhideWhenUsed/>
    <w:rsid w:val="004527AD"/>
    <w:rPr>
      <w:vertAlign w:val="superscript"/>
    </w:rPr>
  </w:style>
  <w:style w:type="paragraph" w:styleId="Caption">
    <w:name w:val="caption"/>
    <w:basedOn w:val="Normal"/>
    <w:next w:val="Normal"/>
    <w:uiPriority w:val="35"/>
    <w:unhideWhenUsed/>
    <w:qFormat/>
    <w:rsid w:val="001A23EE"/>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D49E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98063">
      <w:bodyDiv w:val="1"/>
      <w:marLeft w:val="0"/>
      <w:marRight w:val="0"/>
      <w:marTop w:val="0"/>
      <w:marBottom w:val="0"/>
      <w:divBdr>
        <w:top w:val="none" w:sz="0" w:space="0" w:color="auto"/>
        <w:left w:val="none" w:sz="0" w:space="0" w:color="auto"/>
        <w:bottom w:val="none" w:sz="0" w:space="0" w:color="auto"/>
        <w:right w:val="none" w:sz="0" w:space="0" w:color="auto"/>
      </w:divBdr>
    </w:div>
    <w:div w:id="46609408">
      <w:bodyDiv w:val="1"/>
      <w:marLeft w:val="0"/>
      <w:marRight w:val="0"/>
      <w:marTop w:val="0"/>
      <w:marBottom w:val="0"/>
      <w:divBdr>
        <w:top w:val="none" w:sz="0" w:space="0" w:color="auto"/>
        <w:left w:val="none" w:sz="0" w:space="0" w:color="auto"/>
        <w:bottom w:val="none" w:sz="0" w:space="0" w:color="auto"/>
        <w:right w:val="none" w:sz="0" w:space="0" w:color="auto"/>
      </w:divBdr>
    </w:div>
    <w:div w:id="53166638">
      <w:bodyDiv w:val="1"/>
      <w:marLeft w:val="0"/>
      <w:marRight w:val="0"/>
      <w:marTop w:val="0"/>
      <w:marBottom w:val="0"/>
      <w:divBdr>
        <w:top w:val="none" w:sz="0" w:space="0" w:color="auto"/>
        <w:left w:val="none" w:sz="0" w:space="0" w:color="auto"/>
        <w:bottom w:val="none" w:sz="0" w:space="0" w:color="auto"/>
        <w:right w:val="none" w:sz="0" w:space="0" w:color="auto"/>
      </w:divBdr>
    </w:div>
    <w:div w:id="140342905">
      <w:bodyDiv w:val="1"/>
      <w:marLeft w:val="0"/>
      <w:marRight w:val="0"/>
      <w:marTop w:val="0"/>
      <w:marBottom w:val="0"/>
      <w:divBdr>
        <w:top w:val="none" w:sz="0" w:space="0" w:color="auto"/>
        <w:left w:val="none" w:sz="0" w:space="0" w:color="auto"/>
        <w:bottom w:val="none" w:sz="0" w:space="0" w:color="auto"/>
        <w:right w:val="none" w:sz="0" w:space="0" w:color="auto"/>
      </w:divBdr>
    </w:div>
    <w:div w:id="168375662">
      <w:bodyDiv w:val="1"/>
      <w:marLeft w:val="0"/>
      <w:marRight w:val="0"/>
      <w:marTop w:val="0"/>
      <w:marBottom w:val="0"/>
      <w:divBdr>
        <w:top w:val="none" w:sz="0" w:space="0" w:color="auto"/>
        <w:left w:val="none" w:sz="0" w:space="0" w:color="auto"/>
        <w:bottom w:val="none" w:sz="0" w:space="0" w:color="auto"/>
        <w:right w:val="none" w:sz="0" w:space="0" w:color="auto"/>
      </w:divBdr>
    </w:div>
    <w:div w:id="306740815">
      <w:bodyDiv w:val="1"/>
      <w:marLeft w:val="0"/>
      <w:marRight w:val="0"/>
      <w:marTop w:val="0"/>
      <w:marBottom w:val="0"/>
      <w:divBdr>
        <w:top w:val="none" w:sz="0" w:space="0" w:color="auto"/>
        <w:left w:val="none" w:sz="0" w:space="0" w:color="auto"/>
        <w:bottom w:val="none" w:sz="0" w:space="0" w:color="auto"/>
        <w:right w:val="none" w:sz="0" w:space="0" w:color="auto"/>
      </w:divBdr>
    </w:div>
    <w:div w:id="334571712">
      <w:bodyDiv w:val="1"/>
      <w:marLeft w:val="0"/>
      <w:marRight w:val="0"/>
      <w:marTop w:val="0"/>
      <w:marBottom w:val="0"/>
      <w:divBdr>
        <w:top w:val="none" w:sz="0" w:space="0" w:color="auto"/>
        <w:left w:val="none" w:sz="0" w:space="0" w:color="auto"/>
        <w:bottom w:val="none" w:sz="0" w:space="0" w:color="auto"/>
        <w:right w:val="none" w:sz="0" w:space="0" w:color="auto"/>
      </w:divBdr>
    </w:div>
    <w:div w:id="347485974">
      <w:bodyDiv w:val="1"/>
      <w:marLeft w:val="0"/>
      <w:marRight w:val="0"/>
      <w:marTop w:val="0"/>
      <w:marBottom w:val="0"/>
      <w:divBdr>
        <w:top w:val="none" w:sz="0" w:space="0" w:color="auto"/>
        <w:left w:val="none" w:sz="0" w:space="0" w:color="auto"/>
        <w:bottom w:val="none" w:sz="0" w:space="0" w:color="auto"/>
        <w:right w:val="none" w:sz="0" w:space="0" w:color="auto"/>
      </w:divBdr>
    </w:div>
    <w:div w:id="388650898">
      <w:bodyDiv w:val="1"/>
      <w:marLeft w:val="0"/>
      <w:marRight w:val="0"/>
      <w:marTop w:val="0"/>
      <w:marBottom w:val="0"/>
      <w:divBdr>
        <w:top w:val="none" w:sz="0" w:space="0" w:color="auto"/>
        <w:left w:val="none" w:sz="0" w:space="0" w:color="auto"/>
        <w:bottom w:val="none" w:sz="0" w:space="0" w:color="auto"/>
        <w:right w:val="none" w:sz="0" w:space="0" w:color="auto"/>
      </w:divBdr>
    </w:div>
    <w:div w:id="443690502">
      <w:bodyDiv w:val="1"/>
      <w:marLeft w:val="0"/>
      <w:marRight w:val="0"/>
      <w:marTop w:val="0"/>
      <w:marBottom w:val="0"/>
      <w:divBdr>
        <w:top w:val="none" w:sz="0" w:space="0" w:color="auto"/>
        <w:left w:val="none" w:sz="0" w:space="0" w:color="auto"/>
        <w:bottom w:val="none" w:sz="0" w:space="0" w:color="auto"/>
        <w:right w:val="none" w:sz="0" w:space="0" w:color="auto"/>
      </w:divBdr>
    </w:div>
    <w:div w:id="463886315">
      <w:bodyDiv w:val="1"/>
      <w:marLeft w:val="0"/>
      <w:marRight w:val="0"/>
      <w:marTop w:val="0"/>
      <w:marBottom w:val="0"/>
      <w:divBdr>
        <w:top w:val="none" w:sz="0" w:space="0" w:color="auto"/>
        <w:left w:val="none" w:sz="0" w:space="0" w:color="auto"/>
        <w:bottom w:val="none" w:sz="0" w:space="0" w:color="auto"/>
        <w:right w:val="none" w:sz="0" w:space="0" w:color="auto"/>
      </w:divBdr>
    </w:div>
    <w:div w:id="470828883">
      <w:bodyDiv w:val="1"/>
      <w:marLeft w:val="0"/>
      <w:marRight w:val="0"/>
      <w:marTop w:val="0"/>
      <w:marBottom w:val="0"/>
      <w:divBdr>
        <w:top w:val="none" w:sz="0" w:space="0" w:color="auto"/>
        <w:left w:val="none" w:sz="0" w:space="0" w:color="auto"/>
        <w:bottom w:val="none" w:sz="0" w:space="0" w:color="auto"/>
        <w:right w:val="none" w:sz="0" w:space="0" w:color="auto"/>
      </w:divBdr>
    </w:div>
    <w:div w:id="616567363">
      <w:bodyDiv w:val="1"/>
      <w:marLeft w:val="0"/>
      <w:marRight w:val="0"/>
      <w:marTop w:val="0"/>
      <w:marBottom w:val="0"/>
      <w:divBdr>
        <w:top w:val="none" w:sz="0" w:space="0" w:color="auto"/>
        <w:left w:val="none" w:sz="0" w:space="0" w:color="auto"/>
        <w:bottom w:val="none" w:sz="0" w:space="0" w:color="auto"/>
        <w:right w:val="none" w:sz="0" w:space="0" w:color="auto"/>
      </w:divBdr>
    </w:div>
    <w:div w:id="631833170">
      <w:bodyDiv w:val="1"/>
      <w:marLeft w:val="0"/>
      <w:marRight w:val="0"/>
      <w:marTop w:val="0"/>
      <w:marBottom w:val="0"/>
      <w:divBdr>
        <w:top w:val="none" w:sz="0" w:space="0" w:color="auto"/>
        <w:left w:val="none" w:sz="0" w:space="0" w:color="auto"/>
        <w:bottom w:val="none" w:sz="0" w:space="0" w:color="auto"/>
        <w:right w:val="none" w:sz="0" w:space="0" w:color="auto"/>
      </w:divBdr>
    </w:div>
    <w:div w:id="695425143">
      <w:bodyDiv w:val="1"/>
      <w:marLeft w:val="0"/>
      <w:marRight w:val="0"/>
      <w:marTop w:val="0"/>
      <w:marBottom w:val="0"/>
      <w:divBdr>
        <w:top w:val="none" w:sz="0" w:space="0" w:color="auto"/>
        <w:left w:val="none" w:sz="0" w:space="0" w:color="auto"/>
        <w:bottom w:val="none" w:sz="0" w:space="0" w:color="auto"/>
        <w:right w:val="none" w:sz="0" w:space="0" w:color="auto"/>
      </w:divBdr>
    </w:div>
    <w:div w:id="722605443">
      <w:bodyDiv w:val="1"/>
      <w:marLeft w:val="0"/>
      <w:marRight w:val="0"/>
      <w:marTop w:val="0"/>
      <w:marBottom w:val="0"/>
      <w:divBdr>
        <w:top w:val="none" w:sz="0" w:space="0" w:color="auto"/>
        <w:left w:val="none" w:sz="0" w:space="0" w:color="auto"/>
        <w:bottom w:val="none" w:sz="0" w:space="0" w:color="auto"/>
        <w:right w:val="none" w:sz="0" w:space="0" w:color="auto"/>
      </w:divBdr>
    </w:div>
    <w:div w:id="774713427">
      <w:bodyDiv w:val="1"/>
      <w:marLeft w:val="0"/>
      <w:marRight w:val="0"/>
      <w:marTop w:val="0"/>
      <w:marBottom w:val="0"/>
      <w:divBdr>
        <w:top w:val="none" w:sz="0" w:space="0" w:color="auto"/>
        <w:left w:val="none" w:sz="0" w:space="0" w:color="auto"/>
        <w:bottom w:val="none" w:sz="0" w:space="0" w:color="auto"/>
        <w:right w:val="none" w:sz="0" w:space="0" w:color="auto"/>
      </w:divBdr>
    </w:div>
    <w:div w:id="780993627">
      <w:bodyDiv w:val="1"/>
      <w:marLeft w:val="0"/>
      <w:marRight w:val="0"/>
      <w:marTop w:val="0"/>
      <w:marBottom w:val="0"/>
      <w:divBdr>
        <w:top w:val="none" w:sz="0" w:space="0" w:color="auto"/>
        <w:left w:val="none" w:sz="0" w:space="0" w:color="auto"/>
        <w:bottom w:val="none" w:sz="0" w:space="0" w:color="auto"/>
        <w:right w:val="none" w:sz="0" w:space="0" w:color="auto"/>
      </w:divBdr>
    </w:div>
    <w:div w:id="794637219">
      <w:bodyDiv w:val="1"/>
      <w:marLeft w:val="0"/>
      <w:marRight w:val="0"/>
      <w:marTop w:val="0"/>
      <w:marBottom w:val="0"/>
      <w:divBdr>
        <w:top w:val="none" w:sz="0" w:space="0" w:color="auto"/>
        <w:left w:val="none" w:sz="0" w:space="0" w:color="auto"/>
        <w:bottom w:val="none" w:sz="0" w:space="0" w:color="auto"/>
        <w:right w:val="none" w:sz="0" w:space="0" w:color="auto"/>
      </w:divBdr>
    </w:div>
    <w:div w:id="819659169">
      <w:bodyDiv w:val="1"/>
      <w:marLeft w:val="0"/>
      <w:marRight w:val="0"/>
      <w:marTop w:val="0"/>
      <w:marBottom w:val="0"/>
      <w:divBdr>
        <w:top w:val="none" w:sz="0" w:space="0" w:color="auto"/>
        <w:left w:val="none" w:sz="0" w:space="0" w:color="auto"/>
        <w:bottom w:val="none" w:sz="0" w:space="0" w:color="auto"/>
        <w:right w:val="none" w:sz="0" w:space="0" w:color="auto"/>
      </w:divBdr>
    </w:div>
    <w:div w:id="843128781">
      <w:bodyDiv w:val="1"/>
      <w:marLeft w:val="0"/>
      <w:marRight w:val="0"/>
      <w:marTop w:val="0"/>
      <w:marBottom w:val="0"/>
      <w:divBdr>
        <w:top w:val="none" w:sz="0" w:space="0" w:color="auto"/>
        <w:left w:val="none" w:sz="0" w:space="0" w:color="auto"/>
        <w:bottom w:val="none" w:sz="0" w:space="0" w:color="auto"/>
        <w:right w:val="none" w:sz="0" w:space="0" w:color="auto"/>
      </w:divBdr>
    </w:div>
    <w:div w:id="866984413">
      <w:bodyDiv w:val="1"/>
      <w:marLeft w:val="0"/>
      <w:marRight w:val="0"/>
      <w:marTop w:val="0"/>
      <w:marBottom w:val="0"/>
      <w:divBdr>
        <w:top w:val="none" w:sz="0" w:space="0" w:color="auto"/>
        <w:left w:val="none" w:sz="0" w:space="0" w:color="auto"/>
        <w:bottom w:val="none" w:sz="0" w:space="0" w:color="auto"/>
        <w:right w:val="none" w:sz="0" w:space="0" w:color="auto"/>
      </w:divBdr>
    </w:div>
    <w:div w:id="889459088">
      <w:bodyDiv w:val="1"/>
      <w:marLeft w:val="0"/>
      <w:marRight w:val="0"/>
      <w:marTop w:val="0"/>
      <w:marBottom w:val="0"/>
      <w:divBdr>
        <w:top w:val="none" w:sz="0" w:space="0" w:color="auto"/>
        <w:left w:val="none" w:sz="0" w:space="0" w:color="auto"/>
        <w:bottom w:val="none" w:sz="0" w:space="0" w:color="auto"/>
        <w:right w:val="none" w:sz="0" w:space="0" w:color="auto"/>
      </w:divBdr>
    </w:div>
    <w:div w:id="916935089">
      <w:bodyDiv w:val="1"/>
      <w:marLeft w:val="0"/>
      <w:marRight w:val="0"/>
      <w:marTop w:val="0"/>
      <w:marBottom w:val="0"/>
      <w:divBdr>
        <w:top w:val="none" w:sz="0" w:space="0" w:color="auto"/>
        <w:left w:val="none" w:sz="0" w:space="0" w:color="auto"/>
        <w:bottom w:val="none" w:sz="0" w:space="0" w:color="auto"/>
        <w:right w:val="none" w:sz="0" w:space="0" w:color="auto"/>
      </w:divBdr>
    </w:div>
    <w:div w:id="923949923">
      <w:bodyDiv w:val="1"/>
      <w:marLeft w:val="0"/>
      <w:marRight w:val="0"/>
      <w:marTop w:val="0"/>
      <w:marBottom w:val="0"/>
      <w:divBdr>
        <w:top w:val="none" w:sz="0" w:space="0" w:color="auto"/>
        <w:left w:val="none" w:sz="0" w:space="0" w:color="auto"/>
        <w:bottom w:val="none" w:sz="0" w:space="0" w:color="auto"/>
        <w:right w:val="none" w:sz="0" w:space="0" w:color="auto"/>
      </w:divBdr>
    </w:div>
    <w:div w:id="990719429">
      <w:bodyDiv w:val="1"/>
      <w:marLeft w:val="0"/>
      <w:marRight w:val="0"/>
      <w:marTop w:val="0"/>
      <w:marBottom w:val="0"/>
      <w:divBdr>
        <w:top w:val="none" w:sz="0" w:space="0" w:color="auto"/>
        <w:left w:val="none" w:sz="0" w:space="0" w:color="auto"/>
        <w:bottom w:val="none" w:sz="0" w:space="0" w:color="auto"/>
        <w:right w:val="none" w:sz="0" w:space="0" w:color="auto"/>
      </w:divBdr>
    </w:div>
    <w:div w:id="993602643">
      <w:bodyDiv w:val="1"/>
      <w:marLeft w:val="0"/>
      <w:marRight w:val="0"/>
      <w:marTop w:val="0"/>
      <w:marBottom w:val="0"/>
      <w:divBdr>
        <w:top w:val="none" w:sz="0" w:space="0" w:color="auto"/>
        <w:left w:val="none" w:sz="0" w:space="0" w:color="auto"/>
        <w:bottom w:val="none" w:sz="0" w:space="0" w:color="auto"/>
        <w:right w:val="none" w:sz="0" w:space="0" w:color="auto"/>
      </w:divBdr>
    </w:div>
    <w:div w:id="1037437809">
      <w:bodyDiv w:val="1"/>
      <w:marLeft w:val="0"/>
      <w:marRight w:val="0"/>
      <w:marTop w:val="0"/>
      <w:marBottom w:val="0"/>
      <w:divBdr>
        <w:top w:val="none" w:sz="0" w:space="0" w:color="auto"/>
        <w:left w:val="none" w:sz="0" w:space="0" w:color="auto"/>
        <w:bottom w:val="none" w:sz="0" w:space="0" w:color="auto"/>
        <w:right w:val="none" w:sz="0" w:space="0" w:color="auto"/>
      </w:divBdr>
    </w:div>
    <w:div w:id="1066614277">
      <w:bodyDiv w:val="1"/>
      <w:marLeft w:val="0"/>
      <w:marRight w:val="0"/>
      <w:marTop w:val="0"/>
      <w:marBottom w:val="0"/>
      <w:divBdr>
        <w:top w:val="none" w:sz="0" w:space="0" w:color="auto"/>
        <w:left w:val="none" w:sz="0" w:space="0" w:color="auto"/>
        <w:bottom w:val="none" w:sz="0" w:space="0" w:color="auto"/>
        <w:right w:val="none" w:sz="0" w:space="0" w:color="auto"/>
      </w:divBdr>
    </w:div>
    <w:div w:id="1095903152">
      <w:bodyDiv w:val="1"/>
      <w:marLeft w:val="0"/>
      <w:marRight w:val="0"/>
      <w:marTop w:val="0"/>
      <w:marBottom w:val="0"/>
      <w:divBdr>
        <w:top w:val="none" w:sz="0" w:space="0" w:color="auto"/>
        <w:left w:val="none" w:sz="0" w:space="0" w:color="auto"/>
        <w:bottom w:val="none" w:sz="0" w:space="0" w:color="auto"/>
        <w:right w:val="none" w:sz="0" w:space="0" w:color="auto"/>
      </w:divBdr>
    </w:div>
    <w:div w:id="1108164250">
      <w:bodyDiv w:val="1"/>
      <w:marLeft w:val="0"/>
      <w:marRight w:val="0"/>
      <w:marTop w:val="0"/>
      <w:marBottom w:val="0"/>
      <w:divBdr>
        <w:top w:val="none" w:sz="0" w:space="0" w:color="auto"/>
        <w:left w:val="none" w:sz="0" w:space="0" w:color="auto"/>
        <w:bottom w:val="none" w:sz="0" w:space="0" w:color="auto"/>
        <w:right w:val="none" w:sz="0" w:space="0" w:color="auto"/>
      </w:divBdr>
    </w:div>
    <w:div w:id="1260135862">
      <w:bodyDiv w:val="1"/>
      <w:marLeft w:val="0"/>
      <w:marRight w:val="0"/>
      <w:marTop w:val="0"/>
      <w:marBottom w:val="0"/>
      <w:divBdr>
        <w:top w:val="none" w:sz="0" w:space="0" w:color="auto"/>
        <w:left w:val="none" w:sz="0" w:space="0" w:color="auto"/>
        <w:bottom w:val="none" w:sz="0" w:space="0" w:color="auto"/>
        <w:right w:val="none" w:sz="0" w:space="0" w:color="auto"/>
      </w:divBdr>
    </w:div>
    <w:div w:id="1272781624">
      <w:bodyDiv w:val="1"/>
      <w:marLeft w:val="0"/>
      <w:marRight w:val="0"/>
      <w:marTop w:val="0"/>
      <w:marBottom w:val="0"/>
      <w:divBdr>
        <w:top w:val="none" w:sz="0" w:space="0" w:color="auto"/>
        <w:left w:val="none" w:sz="0" w:space="0" w:color="auto"/>
        <w:bottom w:val="none" w:sz="0" w:space="0" w:color="auto"/>
        <w:right w:val="none" w:sz="0" w:space="0" w:color="auto"/>
      </w:divBdr>
    </w:div>
    <w:div w:id="1278567765">
      <w:bodyDiv w:val="1"/>
      <w:marLeft w:val="0"/>
      <w:marRight w:val="0"/>
      <w:marTop w:val="0"/>
      <w:marBottom w:val="0"/>
      <w:divBdr>
        <w:top w:val="none" w:sz="0" w:space="0" w:color="auto"/>
        <w:left w:val="none" w:sz="0" w:space="0" w:color="auto"/>
        <w:bottom w:val="none" w:sz="0" w:space="0" w:color="auto"/>
        <w:right w:val="none" w:sz="0" w:space="0" w:color="auto"/>
      </w:divBdr>
    </w:div>
    <w:div w:id="1292129997">
      <w:bodyDiv w:val="1"/>
      <w:marLeft w:val="0"/>
      <w:marRight w:val="0"/>
      <w:marTop w:val="0"/>
      <w:marBottom w:val="0"/>
      <w:divBdr>
        <w:top w:val="none" w:sz="0" w:space="0" w:color="auto"/>
        <w:left w:val="none" w:sz="0" w:space="0" w:color="auto"/>
        <w:bottom w:val="none" w:sz="0" w:space="0" w:color="auto"/>
        <w:right w:val="none" w:sz="0" w:space="0" w:color="auto"/>
      </w:divBdr>
    </w:div>
    <w:div w:id="1295913463">
      <w:bodyDiv w:val="1"/>
      <w:marLeft w:val="0"/>
      <w:marRight w:val="0"/>
      <w:marTop w:val="0"/>
      <w:marBottom w:val="0"/>
      <w:divBdr>
        <w:top w:val="none" w:sz="0" w:space="0" w:color="auto"/>
        <w:left w:val="none" w:sz="0" w:space="0" w:color="auto"/>
        <w:bottom w:val="none" w:sz="0" w:space="0" w:color="auto"/>
        <w:right w:val="none" w:sz="0" w:space="0" w:color="auto"/>
      </w:divBdr>
    </w:div>
    <w:div w:id="1308776392">
      <w:bodyDiv w:val="1"/>
      <w:marLeft w:val="0"/>
      <w:marRight w:val="0"/>
      <w:marTop w:val="0"/>
      <w:marBottom w:val="0"/>
      <w:divBdr>
        <w:top w:val="none" w:sz="0" w:space="0" w:color="auto"/>
        <w:left w:val="none" w:sz="0" w:space="0" w:color="auto"/>
        <w:bottom w:val="none" w:sz="0" w:space="0" w:color="auto"/>
        <w:right w:val="none" w:sz="0" w:space="0" w:color="auto"/>
      </w:divBdr>
    </w:div>
    <w:div w:id="1342708592">
      <w:bodyDiv w:val="1"/>
      <w:marLeft w:val="0"/>
      <w:marRight w:val="0"/>
      <w:marTop w:val="0"/>
      <w:marBottom w:val="0"/>
      <w:divBdr>
        <w:top w:val="none" w:sz="0" w:space="0" w:color="auto"/>
        <w:left w:val="none" w:sz="0" w:space="0" w:color="auto"/>
        <w:bottom w:val="none" w:sz="0" w:space="0" w:color="auto"/>
        <w:right w:val="none" w:sz="0" w:space="0" w:color="auto"/>
      </w:divBdr>
    </w:div>
    <w:div w:id="1407537547">
      <w:bodyDiv w:val="1"/>
      <w:marLeft w:val="0"/>
      <w:marRight w:val="0"/>
      <w:marTop w:val="0"/>
      <w:marBottom w:val="0"/>
      <w:divBdr>
        <w:top w:val="none" w:sz="0" w:space="0" w:color="auto"/>
        <w:left w:val="none" w:sz="0" w:space="0" w:color="auto"/>
        <w:bottom w:val="none" w:sz="0" w:space="0" w:color="auto"/>
        <w:right w:val="none" w:sz="0" w:space="0" w:color="auto"/>
      </w:divBdr>
    </w:div>
    <w:div w:id="1434591268">
      <w:bodyDiv w:val="1"/>
      <w:marLeft w:val="0"/>
      <w:marRight w:val="0"/>
      <w:marTop w:val="0"/>
      <w:marBottom w:val="0"/>
      <w:divBdr>
        <w:top w:val="none" w:sz="0" w:space="0" w:color="auto"/>
        <w:left w:val="none" w:sz="0" w:space="0" w:color="auto"/>
        <w:bottom w:val="none" w:sz="0" w:space="0" w:color="auto"/>
        <w:right w:val="none" w:sz="0" w:space="0" w:color="auto"/>
      </w:divBdr>
    </w:div>
    <w:div w:id="1450858499">
      <w:bodyDiv w:val="1"/>
      <w:marLeft w:val="0"/>
      <w:marRight w:val="0"/>
      <w:marTop w:val="0"/>
      <w:marBottom w:val="0"/>
      <w:divBdr>
        <w:top w:val="none" w:sz="0" w:space="0" w:color="auto"/>
        <w:left w:val="none" w:sz="0" w:space="0" w:color="auto"/>
        <w:bottom w:val="none" w:sz="0" w:space="0" w:color="auto"/>
        <w:right w:val="none" w:sz="0" w:space="0" w:color="auto"/>
      </w:divBdr>
    </w:div>
    <w:div w:id="1523665601">
      <w:bodyDiv w:val="1"/>
      <w:marLeft w:val="0"/>
      <w:marRight w:val="0"/>
      <w:marTop w:val="0"/>
      <w:marBottom w:val="0"/>
      <w:divBdr>
        <w:top w:val="none" w:sz="0" w:space="0" w:color="auto"/>
        <w:left w:val="none" w:sz="0" w:space="0" w:color="auto"/>
        <w:bottom w:val="none" w:sz="0" w:space="0" w:color="auto"/>
        <w:right w:val="none" w:sz="0" w:space="0" w:color="auto"/>
      </w:divBdr>
    </w:div>
    <w:div w:id="1650786577">
      <w:bodyDiv w:val="1"/>
      <w:marLeft w:val="0"/>
      <w:marRight w:val="0"/>
      <w:marTop w:val="0"/>
      <w:marBottom w:val="0"/>
      <w:divBdr>
        <w:top w:val="none" w:sz="0" w:space="0" w:color="auto"/>
        <w:left w:val="none" w:sz="0" w:space="0" w:color="auto"/>
        <w:bottom w:val="none" w:sz="0" w:space="0" w:color="auto"/>
        <w:right w:val="none" w:sz="0" w:space="0" w:color="auto"/>
      </w:divBdr>
    </w:div>
    <w:div w:id="1662153629">
      <w:bodyDiv w:val="1"/>
      <w:marLeft w:val="0"/>
      <w:marRight w:val="0"/>
      <w:marTop w:val="0"/>
      <w:marBottom w:val="0"/>
      <w:divBdr>
        <w:top w:val="none" w:sz="0" w:space="0" w:color="auto"/>
        <w:left w:val="none" w:sz="0" w:space="0" w:color="auto"/>
        <w:bottom w:val="none" w:sz="0" w:space="0" w:color="auto"/>
        <w:right w:val="none" w:sz="0" w:space="0" w:color="auto"/>
      </w:divBdr>
    </w:div>
    <w:div w:id="1713529526">
      <w:bodyDiv w:val="1"/>
      <w:marLeft w:val="0"/>
      <w:marRight w:val="0"/>
      <w:marTop w:val="0"/>
      <w:marBottom w:val="0"/>
      <w:divBdr>
        <w:top w:val="none" w:sz="0" w:space="0" w:color="auto"/>
        <w:left w:val="none" w:sz="0" w:space="0" w:color="auto"/>
        <w:bottom w:val="none" w:sz="0" w:space="0" w:color="auto"/>
        <w:right w:val="none" w:sz="0" w:space="0" w:color="auto"/>
      </w:divBdr>
    </w:div>
    <w:div w:id="1719473845">
      <w:bodyDiv w:val="1"/>
      <w:marLeft w:val="0"/>
      <w:marRight w:val="0"/>
      <w:marTop w:val="0"/>
      <w:marBottom w:val="0"/>
      <w:divBdr>
        <w:top w:val="none" w:sz="0" w:space="0" w:color="auto"/>
        <w:left w:val="none" w:sz="0" w:space="0" w:color="auto"/>
        <w:bottom w:val="none" w:sz="0" w:space="0" w:color="auto"/>
        <w:right w:val="none" w:sz="0" w:space="0" w:color="auto"/>
      </w:divBdr>
    </w:div>
    <w:div w:id="1769276038">
      <w:bodyDiv w:val="1"/>
      <w:marLeft w:val="0"/>
      <w:marRight w:val="0"/>
      <w:marTop w:val="0"/>
      <w:marBottom w:val="0"/>
      <w:divBdr>
        <w:top w:val="none" w:sz="0" w:space="0" w:color="auto"/>
        <w:left w:val="none" w:sz="0" w:space="0" w:color="auto"/>
        <w:bottom w:val="none" w:sz="0" w:space="0" w:color="auto"/>
        <w:right w:val="none" w:sz="0" w:space="0" w:color="auto"/>
      </w:divBdr>
    </w:div>
    <w:div w:id="1792044908">
      <w:bodyDiv w:val="1"/>
      <w:marLeft w:val="0"/>
      <w:marRight w:val="0"/>
      <w:marTop w:val="0"/>
      <w:marBottom w:val="0"/>
      <w:divBdr>
        <w:top w:val="none" w:sz="0" w:space="0" w:color="auto"/>
        <w:left w:val="none" w:sz="0" w:space="0" w:color="auto"/>
        <w:bottom w:val="none" w:sz="0" w:space="0" w:color="auto"/>
        <w:right w:val="none" w:sz="0" w:space="0" w:color="auto"/>
      </w:divBdr>
    </w:div>
    <w:div w:id="1814174762">
      <w:bodyDiv w:val="1"/>
      <w:marLeft w:val="0"/>
      <w:marRight w:val="0"/>
      <w:marTop w:val="0"/>
      <w:marBottom w:val="0"/>
      <w:divBdr>
        <w:top w:val="none" w:sz="0" w:space="0" w:color="auto"/>
        <w:left w:val="none" w:sz="0" w:space="0" w:color="auto"/>
        <w:bottom w:val="none" w:sz="0" w:space="0" w:color="auto"/>
        <w:right w:val="none" w:sz="0" w:space="0" w:color="auto"/>
      </w:divBdr>
    </w:div>
    <w:div w:id="1818764646">
      <w:bodyDiv w:val="1"/>
      <w:marLeft w:val="0"/>
      <w:marRight w:val="0"/>
      <w:marTop w:val="0"/>
      <w:marBottom w:val="0"/>
      <w:divBdr>
        <w:top w:val="none" w:sz="0" w:space="0" w:color="auto"/>
        <w:left w:val="none" w:sz="0" w:space="0" w:color="auto"/>
        <w:bottom w:val="none" w:sz="0" w:space="0" w:color="auto"/>
        <w:right w:val="none" w:sz="0" w:space="0" w:color="auto"/>
      </w:divBdr>
    </w:div>
    <w:div w:id="1824083112">
      <w:bodyDiv w:val="1"/>
      <w:marLeft w:val="0"/>
      <w:marRight w:val="0"/>
      <w:marTop w:val="0"/>
      <w:marBottom w:val="0"/>
      <w:divBdr>
        <w:top w:val="none" w:sz="0" w:space="0" w:color="auto"/>
        <w:left w:val="none" w:sz="0" w:space="0" w:color="auto"/>
        <w:bottom w:val="none" w:sz="0" w:space="0" w:color="auto"/>
        <w:right w:val="none" w:sz="0" w:space="0" w:color="auto"/>
      </w:divBdr>
    </w:div>
    <w:div w:id="1832020062">
      <w:bodyDiv w:val="1"/>
      <w:marLeft w:val="0"/>
      <w:marRight w:val="0"/>
      <w:marTop w:val="0"/>
      <w:marBottom w:val="0"/>
      <w:divBdr>
        <w:top w:val="none" w:sz="0" w:space="0" w:color="auto"/>
        <w:left w:val="none" w:sz="0" w:space="0" w:color="auto"/>
        <w:bottom w:val="none" w:sz="0" w:space="0" w:color="auto"/>
        <w:right w:val="none" w:sz="0" w:space="0" w:color="auto"/>
      </w:divBdr>
    </w:div>
    <w:div w:id="1878665674">
      <w:bodyDiv w:val="1"/>
      <w:marLeft w:val="0"/>
      <w:marRight w:val="0"/>
      <w:marTop w:val="0"/>
      <w:marBottom w:val="0"/>
      <w:divBdr>
        <w:top w:val="none" w:sz="0" w:space="0" w:color="auto"/>
        <w:left w:val="none" w:sz="0" w:space="0" w:color="auto"/>
        <w:bottom w:val="none" w:sz="0" w:space="0" w:color="auto"/>
        <w:right w:val="none" w:sz="0" w:space="0" w:color="auto"/>
      </w:divBdr>
    </w:div>
    <w:div w:id="1900238556">
      <w:bodyDiv w:val="1"/>
      <w:marLeft w:val="0"/>
      <w:marRight w:val="0"/>
      <w:marTop w:val="0"/>
      <w:marBottom w:val="0"/>
      <w:divBdr>
        <w:top w:val="none" w:sz="0" w:space="0" w:color="auto"/>
        <w:left w:val="none" w:sz="0" w:space="0" w:color="auto"/>
        <w:bottom w:val="none" w:sz="0" w:space="0" w:color="auto"/>
        <w:right w:val="none" w:sz="0" w:space="0" w:color="auto"/>
      </w:divBdr>
    </w:div>
    <w:div w:id="1942495166">
      <w:bodyDiv w:val="1"/>
      <w:marLeft w:val="0"/>
      <w:marRight w:val="0"/>
      <w:marTop w:val="0"/>
      <w:marBottom w:val="0"/>
      <w:divBdr>
        <w:top w:val="none" w:sz="0" w:space="0" w:color="auto"/>
        <w:left w:val="none" w:sz="0" w:space="0" w:color="auto"/>
        <w:bottom w:val="none" w:sz="0" w:space="0" w:color="auto"/>
        <w:right w:val="none" w:sz="0" w:space="0" w:color="auto"/>
      </w:divBdr>
    </w:div>
    <w:div w:id="2020234296">
      <w:bodyDiv w:val="1"/>
      <w:marLeft w:val="0"/>
      <w:marRight w:val="0"/>
      <w:marTop w:val="0"/>
      <w:marBottom w:val="0"/>
      <w:divBdr>
        <w:top w:val="none" w:sz="0" w:space="0" w:color="auto"/>
        <w:left w:val="none" w:sz="0" w:space="0" w:color="auto"/>
        <w:bottom w:val="none" w:sz="0" w:space="0" w:color="auto"/>
        <w:right w:val="none" w:sz="0" w:space="0" w:color="auto"/>
      </w:divBdr>
    </w:div>
    <w:div w:id="2081706426">
      <w:bodyDiv w:val="1"/>
      <w:marLeft w:val="0"/>
      <w:marRight w:val="0"/>
      <w:marTop w:val="0"/>
      <w:marBottom w:val="0"/>
      <w:divBdr>
        <w:top w:val="none" w:sz="0" w:space="0" w:color="auto"/>
        <w:left w:val="none" w:sz="0" w:space="0" w:color="auto"/>
        <w:bottom w:val="none" w:sz="0" w:space="0" w:color="auto"/>
        <w:right w:val="none" w:sz="0" w:space="0" w:color="auto"/>
      </w:divBdr>
    </w:div>
    <w:div w:id="213589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2313853@student.uwtsd.ac.uk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Onc26</b:Tag>
    <b:SourceType>InternetSite</b:SourceType>
    <b:Guid>{1CCFAA0F-EEE8-4736-8490-4DF01628EDE0}</b:Guid>
    <b:Title>Oncology Medical Physics</b:Title>
    <b:YearAccessed>2026</b:YearAccessed>
    <b:MonthAccessed>08</b:MonthAccessed>
    <b:DayAccessed>30</b:DayAccessed>
    <b:URL>https://oncologymedicalphysics.com/iridium-192/</b:URL>
    <b:RefOrder>3</b:RefOrder>
  </b:Source>
  <b:Source>
    <b:Tag>UKL26</b:Tag>
    <b:SourceType>DocumentFromInternetSite</b:SourceType>
    <b:Guid>{B65379BA-4503-453F-A517-7B6FDF0B2AA7}</b:Guid>
    <b:Title>Legilation.gov.uk</b:Title>
    <b:YearAccessed>2026</b:YearAccessed>
    <b:MonthAccessed>8</b:MonthAccessed>
    <b:DayAccessed>29</b:DayAccessed>
    <b:URL>https://www.legislation.gov.uk/uksi/2017/1075/schedule/3</b:URL>
    <b:Author>
      <b:Author>
        <b:NameList>
          <b:Person>
            <b:Last>Legislation</b:Last>
            <b:First>UK</b:First>
          </b:Person>
        </b:NameList>
      </b:Author>
    </b:Author>
    <b:Year>13</b:Year>
    <b:Month>12</b:Month>
    <b:Day>2017</b:Day>
    <b:RefOrder>1</b:RefOrder>
  </b:Source>
  <b:Source>
    <b:Tag>ICR07</b:Tag>
    <b:SourceType>Book</b:SourceType>
    <b:Guid>{AC139089-0237-44AF-8B34-269ACEEC97D5}</b:Guid>
    <b:Title>The 2007 Recommendations of the International</b:Title>
    <b:Year>2007</b:Year>
    <b:Publisher>ELSEVIER</b:Publisher>
    <b:Author>
      <b:Author>
        <b:NameList>
          <b:Person>
            <b:Last>ICRP</b:Last>
          </b:Person>
        </b:NameList>
      </b:Author>
    </b:Author>
    <b:RefOrder>4</b:RefOrder>
  </b:Source>
  <b:Source>
    <b:Tag>Tsi23</b:Tag>
    <b:SourceType>JournalArticle</b:SourceType>
    <b:Guid>{19F095EC-B330-4D0B-BB3B-1B69674EC3F5}</b:Guid>
    <b:Title>Efficacy of Nanoparticles in dose enhancement with high dose rate of Iridium-192 and Cobalt-60 radionuclide sources in the Treatment of Cancer: A systematic review</b:Title>
    <b:Year>2023</b:Year>
    <b:Author>
      <b:Author>
        <b:NameList>
          <b:Person>
            <b:Last>Tsige Y. Gebremariam</b:Last>
            <b:First>Ghazale</b:First>
            <b:Middle>Geraily, Amanuel G. Arero, Somayeh Gholami</b:Middle>
          </b:Person>
        </b:NameList>
      </b:Author>
    </b:Author>
    <b:JournalName>Journal of Cancer Research and Therapeutics </b:JournalName>
    <b:RefOrder>2</b:RefOrder>
  </b:Source>
  <b:Source>
    <b:Tag>BSA26</b:Tag>
    <b:SourceType>InternetSite</b:SourceType>
    <b:Guid>{867F6677-EF76-457B-AC15-F8C49518660F}</b:Guid>
    <b:Title>BSA Calculator</b:Title>
    <b:Year>2026</b:Year>
    <b:YearAccessed>2026</b:YearAccessed>
    <b:MonthAccessed>8</b:MonthAccessed>
    <b:DayAccessed>30</b:DayAccessed>
    <b:URL>https://acibademinternational.com/bsa-calculator/</b:URL>
    <b:RefOrder>5</b:RefOrder>
  </b:Source>
  <b:Source>
    <b:Tag>Iow26</b:Tag>
    <b:SourceType>InternetSite</b:SourceType>
    <b:Guid>{3AF81442-14E4-4E24-ADCF-5040D55242E5}</b:Guid>
    <b:Title>Iowa State University Centre for Non-destructive Testing</b:Title>
    <b:YearAccessed>2026</b:YearAccessed>
    <b:MonthAccessed>8</b:MonthAccessed>
    <b:DayAccessed>30</b:DayAccessed>
    <b:URL>https://www.nde-ed.org/Physics/X-Ray/HalfValueLayer.xhtml</b:URL>
    <b:RefOrder>6</b:RefOrder>
  </b:Source>
  <b:Source>
    <b:Tag>QSA26</b:Tag>
    <b:SourceType>InternetSite</b:SourceType>
    <b:Guid>{514AB0A5-8D3C-4BCF-AC32-77F89C4FEFD3}</b:Guid>
    <b:Title>QSA Global</b:Title>
    <b:Year>2026</b:Year>
    <b:YearAccessed>2026</b:YearAccessed>
    <b:MonthAccessed>9</b:MonthAccessed>
    <b:DayAccessed>3</b:DayAccessed>
    <b:URL>https://www.qsa-global.com/iridium-192-sealed-sources</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FA4EA1-1139-4DEF-9AC6-AAA5A159C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14</Pages>
  <Words>2851</Words>
  <Characters>16253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Assignment B</vt:lpstr>
    </vt:vector>
  </TitlesOfParts>
  <Company/>
  <LinksUpToDate>false</LinksUpToDate>
  <CharactersWithSpaces>19066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Nuclear Safety Assignment B</dc:title>
  <dc:subject>James Cawte</dc:subject>
  <dc:creator>James Cawte (2313853)</dc:creator>
  <cp:keywords/>
  <dc:description/>
  <cp:lastModifiedBy>James Cawte (2313853)</cp:lastModifiedBy>
  <cp:revision>36</cp:revision>
  <dcterms:created xsi:type="dcterms:W3CDTF">2026-09-04T05:29:00Z</dcterms:created>
  <dcterms:modified xsi:type="dcterms:W3CDTF">2026-09-04T13:46:00Z</dcterms:modified>
</cp:coreProperties>
</file>