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26EC2" w14:textId="77777777" w:rsidR="00CC59AD" w:rsidRDefault="00CC59AD" w:rsidP="008214B2">
      <w:pPr>
        <w:pBdr>
          <w:top w:val="nil"/>
          <w:left w:val="nil"/>
          <w:bottom w:val="nil"/>
          <w:right w:val="nil"/>
          <w:between w:val="nil"/>
        </w:pBdr>
        <w:spacing w:before="1540" w:after="240" w:line="240" w:lineRule="auto"/>
        <w:jc w:val="both"/>
        <w:rPr>
          <w:rFonts w:ascii="Calibri" w:eastAsia="Calibri" w:hAnsi="Calibri" w:cs="Calibri"/>
          <w:color w:val="5B9BD5"/>
          <w:sz w:val="22"/>
          <w:szCs w:val="22"/>
        </w:rPr>
      </w:pPr>
    </w:p>
    <w:p w14:paraId="18AFF460" w14:textId="77777777" w:rsidR="008214B2" w:rsidRPr="008214B2" w:rsidRDefault="008214B2" w:rsidP="008214B2">
      <w:pPr>
        <w:pBdr>
          <w:top w:val="nil"/>
          <w:left w:val="nil"/>
          <w:bottom w:val="nil"/>
          <w:right w:val="nil"/>
          <w:between w:val="nil"/>
        </w:pBdr>
        <w:spacing w:before="480" w:after="0" w:line="240" w:lineRule="auto"/>
        <w:jc w:val="center"/>
        <w:rPr>
          <w:rFonts w:eastAsia="Calibri"/>
          <w:color w:val="5B9BD5"/>
          <w:sz w:val="44"/>
          <w:szCs w:val="44"/>
        </w:rPr>
      </w:pPr>
      <w:r w:rsidRPr="008214B2">
        <w:rPr>
          <w:sz w:val="44"/>
          <w:szCs w:val="44"/>
        </w:rPr>
        <w:t>Problem Solving and Decision Making</w:t>
      </w:r>
    </w:p>
    <w:p w14:paraId="313ECFEE" w14:textId="77777777" w:rsidR="00CC59AD" w:rsidRDefault="00E56EBA" w:rsidP="008214B2">
      <w:pPr>
        <w:pBdr>
          <w:top w:val="nil"/>
          <w:left w:val="nil"/>
          <w:bottom w:val="nil"/>
          <w:right w:val="nil"/>
          <w:between w:val="nil"/>
        </w:pBdr>
        <w:spacing w:before="480" w:after="0" w:line="240" w:lineRule="auto"/>
        <w:jc w:val="cente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214B2">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w:t>
      </w:r>
      <w:r w:rsidR="008214B2" w:rsidRPr="008214B2">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Rumi Begum</w:t>
      </w:r>
    </w:p>
    <w:p w14:paraId="51BBBB1F" w14:textId="77777777" w:rsidR="00B14440" w:rsidRPr="008214B2" w:rsidRDefault="00B14440" w:rsidP="008214B2">
      <w:pPr>
        <w:pBdr>
          <w:top w:val="nil"/>
          <w:left w:val="nil"/>
          <w:bottom w:val="nil"/>
          <w:right w:val="nil"/>
          <w:between w:val="nil"/>
        </w:pBdr>
        <w:spacing w:before="480" w:after="0" w:line="240" w:lineRule="auto"/>
        <w:jc w:val="cente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eastAsia="Calibri"/>
          <w:color w:val="4F81BD"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ID:1704777</w:t>
      </w:r>
      <w:bookmarkStart w:id="0" w:name="_GoBack"/>
      <w:bookmarkEnd w:id="0"/>
    </w:p>
    <w:p w14:paraId="2A06700D" w14:textId="77777777" w:rsidR="008214B2" w:rsidRDefault="008214B2" w:rsidP="008214B2">
      <w:pPr>
        <w:pBdr>
          <w:top w:val="nil"/>
          <w:left w:val="nil"/>
          <w:bottom w:val="nil"/>
          <w:right w:val="nil"/>
          <w:between w:val="nil"/>
        </w:pBdr>
        <w:spacing w:before="480" w:after="0" w:line="240" w:lineRule="auto"/>
        <w:jc w:val="center"/>
        <w:rPr>
          <w:rFonts w:eastAsia="Calibri"/>
          <w:sz w:val="32"/>
          <w:szCs w:val="32"/>
        </w:rPr>
      </w:pPr>
    </w:p>
    <w:p w14:paraId="540569C1" w14:textId="77777777" w:rsidR="008214B2" w:rsidRDefault="008214B2" w:rsidP="008214B2">
      <w:pPr>
        <w:pBdr>
          <w:top w:val="nil"/>
          <w:left w:val="nil"/>
          <w:bottom w:val="nil"/>
          <w:right w:val="nil"/>
          <w:between w:val="nil"/>
        </w:pBdr>
        <w:spacing w:before="480" w:after="0" w:line="240" w:lineRule="auto"/>
        <w:jc w:val="center"/>
        <w:rPr>
          <w:rFonts w:eastAsia="Calibri"/>
          <w:sz w:val="32"/>
          <w:szCs w:val="32"/>
        </w:rPr>
      </w:pPr>
    </w:p>
    <w:p w14:paraId="6EB6F271" w14:textId="77777777" w:rsidR="008214B2" w:rsidRPr="008214B2" w:rsidRDefault="008214B2" w:rsidP="008214B2">
      <w:pPr>
        <w:pBdr>
          <w:top w:val="nil"/>
          <w:left w:val="nil"/>
          <w:bottom w:val="nil"/>
          <w:right w:val="nil"/>
          <w:between w:val="nil"/>
        </w:pBdr>
        <w:spacing w:before="480" w:after="0" w:line="240" w:lineRule="auto"/>
        <w:jc w:val="center"/>
        <w:rPr>
          <w:rFonts w:eastAsia="Calibri"/>
          <w:sz w:val="44"/>
          <w:szCs w:val="44"/>
        </w:rPr>
      </w:pPr>
      <w:r w:rsidRPr="008214B2">
        <w:rPr>
          <w:rFonts w:eastAsia="Calibri"/>
          <w:sz w:val="44"/>
          <w:szCs w:val="44"/>
        </w:rPr>
        <w:t xml:space="preserve">Asda case Analysis </w:t>
      </w:r>
    </w:p>
    <w:p w14:paraId="7B7FD760" w14:textId="77777777" w:rsidR="00CC59AD" w:rsidRDefault="00E56EBA" w:rsidP="008214B2">
      <w:pPr>
        <w:pStyle w:val="Heading1"/>
        <w:jc w:val="both"/>
      </w:pPr>
      <w:r>
        <w:br w:type="page"/>
      </w:r>
      <w:r>
        <w:rPr>
          <w:noProof/>
        </w:rPr>
        <mc:AlternateContent>
          <mc:Choice Requires="wpg">
            <w:drawing>
              <wp:anchor distT="0" distB="0" distL="114300" distR="114300" simplePos="0" relativeHeight="251658240" behindDoc="0" locked="0" layoutInCell="1" hidden="0" allowOverlap="1" wp14:anchorId="72A2C0DC" wp14:editId="68CDA730">
                <wp:simplePos x="0" y="0"/>
                <wp:positionH relativeFrom="column">
                  <wp:posOffset>1</wp:posOffset>
                </wp:positionH>
                <wp:positionV relativeFrom="paragraph">
                  <wp:posOffset>9080500</wp:posOffset>
                </wp:positionV>
                <wp:extent cx="5876925" cy="904875"/>
                <wp:effectExtent l="0" t="0" r="0" b="0"/>
                <wp:wrapNone/>
                <wp:docPr id="1" name=""/>
                <wp:cNvGraphicFramePr/>
                <a:graphic xmlns:a="http://schemas.openxmlformats.org/drawingml/2006/main">
                  <a:graphicData uri="http://schemas.microsoft.com/office/word/2010/wordprocessingShape">
                    <wps:wsp>
                      <wps:cNvSpPr/>
                      <wps:spPr>
                        <a:xfrm>
                          <a:off x="2412300" y="3332325"/>
                          <a:ext cx="5867400" cy="895350"/>
                        </a:xfrm>
                        <a:prstGeom prst="rect">
                          <a:avLst/>
                        </a:prstGeom>
                        <a:noFill/>
                        <a:ln>
                          <a:noFill/>
                        </a:ln>
                      </wps:spPr>
                      <wps:txbx>
                        <w:txbxContent>
                          <w:p w14:paraId="7AEF0426" w14:textId="77777777" w:rsidR="00CC59AD" w:rsidRDefault="00E56EBA">
                            <w:pPr>
                              <w:spacing w:after="40" w:line="240" w:lineRule="auto"/>
                              <w:jc w:val="center"/>
                              <w:textDirection w:val="btLr"/>
                            </w:pPr>
                            <w:r>
                              <w:rPr>
                                <w:rFonts w:ascii="Arial" w:eastAsia="Arial" w:hAnsi="Arial" w:cs="Arial"/>
                                <w:smallCaps/>
                                <w:color w:val="5B9BD5"/>
                                <w:sz w:val="28"/>
                              </w:rPr>
                              <w:t>[DATE]</w:t>
                            </w:r>
                          </w:p>
                          <w:p w14:paraId="3E7F1214" w14:textId="77777777" w:rsidR="00CC59AD" w:rsidRDefault="00E56EBA">
                            <w:pPr>
                              <w:spacing w:after="0" w:line="240" w:lineRule="auto"/>
                              <w:jc w:val="center"/>
                              <w:textDirection w:val="btLr"/>
                            </w:pPr>
                            <w:r>
                              <w:rPr>
                                <w:rFonts w:ascii="Arial" w:eastAsia="Arial" w:hAnsi="Arial" w:cs="Arial"/>
                                <w:smallCaps/>
                                <w:color w:val="5B9BD5"/>
                                <w:sz w:val="28"/>
                              </w:rPr>
                              <w:t>UNIVERSITY OF WALES TRINITY SAINT DAVID</w:t>
                            </w:r>
                          </w:p>
                          <w:p w14:paraId="2BE54EE0" w14:textId="77777777" w:rsidR="00CC59AD" w:rsidRDefault="00E56EBA">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9080500</wp:posOffset>
                </wp:positionV>
                <wp:extent cx="5876925" cy="90487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876925" cy="904875"/>
                        </a:xfrm>
                        <a:prstGeom prst="rect"/>
                        <a:ln/>
                      </pic:spPr>
                    </pic:pic>
                  </a:graphicData>
                </a:graphic>
              </wp:anchor>
            </w:drawing>
          </mc:Fallback>
        </mc:AlternateContent>
      </w:r>
    </w:p>
    <w:p w14:paraId="727687AA" w14:textId="77777777" w:rsidR="00CC59AD" w:rsidRDefault="00CC59AD" w:rsidP="008214B2">
      <w:pPr>
        <w:jc w:val="both"/>
      </w:pPr>
    </w:p>
    <w:p w14:paraId="483F8675" w14:textId="77777777" w:rsidR="00CC59AD" w:rsidRDefault="00E56EBA" w:rsidP="008214B2">
      <w:pPr>
        <w:keepNext/>
        <w:keepLines/>
        <w:pBdr>
          <w:top w:val="nil"/>
          <w:left w:val="nil"/>
          <w:bottom w:val="nil"/>
          <w:right w:val="nil"/>
          <w:between w:val="nil"/>
        </w:pBdr>
        <w:spacing w:before="240" w:after="0" w:line="259" w:lineRule="auto"/>
        <w:jc w:val="both"/>
        <w:rPr>
          <w:rFonts w:ascii="Calibri" w:eastAsia="Calibri" w:hAnsi="Calibri" w:cs="Calibri"/>
          <w:color w:val="2E75B5"/>
          <w:sz w:val="32"/>
          <w:szCs w:val="32"/>
        </w:rPr>
      </w:pPr>
      <w:r>
        <w:rPr>
          <w:rFonts w:ascii="Calibri" w:eastAsia="Calibri" w:hAnsi="Calibri" w:cs="Calibri"/>
          <w:color w:val="2E75B5"/>
          <w:sz w:val="32"/>
          <w:szCs w:val="32"/>
        </w:rPr>
        <w:t>Table of Contents</w:t>
      </w:r>
    </w:p>
    <w:sdt>
      <w:sdtPr>
        <w:id w:val="-801000893"/>
        <w:docPartObj>
          <w:docPartGallery w:val="Table of Contents"/>
          <w:docPartUnique/>
        </w:docPartObj>
      </w:sdtPr>
      <w:sdtEndPr/>
      <w:sdtContent>
        <w:p w14:paraId="48162087" w14:textId="77777777" w:rsidR="00CC59AD" w:rsidRDefault="00E56EBA" w:rsidP="008214B2">
          <w:pPr>
            <w:tabs>
              <w:tab w:val="right" w:pos="9030"/>
            </w:tabs>
            <w:spacing w:before="80" w:line="240" w:lineRule="auto"/>
            <w:jc w:val="both"/>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rFonts w:ascii="Calibri" w:eastAsia="Calibri" w:hAnsi="Calibri" w:cs="Calibri"/>
                <w:color w:val="000000"/>
                <w:sz w:val="22"/>
                <w:szCs w:val="22"/>
              </w:rPr>
              <w:t>Introduction</w:t>
            </w:r>
          </w:hyperlink>
          <w:r>
            <w:rPr>
              <w:rFonts w:ascii="Calibri" w:eastAsia="Calibri" w:hAnsi="Calibri" w:cs="Calibri"/>
              <w:color w:val="000000"/>
              <w:sz w:val="22"/>
              <w:szCs w:val="22"/>
            </w:rPr>
            <w:tab/>
          </w:r>
          <w:r>
            <w:fldChar w:fldCharType="begin"/>
          </w:r>
          <w:r>
            <w:instrText xml:space="preserve"> PAGEREF _30j0zll \h </w:instrText>
          </w:r>
          <w:r>
            <w:fldChar w:fldCharType="separate"/>
          </w:r>
          <w:r>
            <w:rPr>
              <w:rFonts w:ascii="Calibri" w:eastAsia="Calibri" w:hAnsi="Calibri" w:cs="Calibri"/>
              <w:b/>
              <w:color w:val="000000"/>
              <w:sz w:val="22"/>
              <w:szCs w:val="22"/>
            </w:rPr>
            <w:t>2</w:t>
          </w:r>
          <w:r>
            <w:fldChar w:fldCharType="end"/>
          </w:r>
        </w:p>
        <w:p w14:paraId="13EAB5B6" w14:textId="77777777" w:rsidR="00CC59AD" w:rsidRDefault="00E56EBA" w:rsidP="008214B2">
          <w:pPr>
            <w:tabs>
              <w:tab w:val="right" w:pos="9030"/>
            </w:tabs>
            <w:spacing w:before="200" w:line="240" w:lineRule="auto"/>
            <w:jc w:val="both"/>
            <w:rPr>
              <w:rFonts w:ascii="Calibri" w:eastAsia="Calibri" w:hAnsi="Calibri" w:cs="Calibri"/>
              <w:b/>
              <w:color w:val="000000"/>
              <w:sz w:val="22"/>
              <w:szCs w:val="22"/>
            </w:rPr>
          </w:pPr>
          <w:hyperlink w:anchor="_9pgv0nkjj1y1">
            <w:r>
              <w:rPr>
                <w:rFonts w:ascii="Calibri" w:eastAsia="Calibri" w:hAnsi="Calibri" w:cs="Calibri"/>
                <w:b/>
                <w:color w:val="000000"/>
                <w:sz w:val="22"/>
                <w:szCs w:val="22"/>
              </w:rPr>
              <w:t>SWOT Analysis</w:t>
            </w:r>
          </w:hyperlink>
          <w:r>
            <w:rPr>
              <w:rFonts w:ascii="Calibri" w:eastAsia="Calibri" w:hAnsi="Calibri" w:cs="Calibri"/>
              <w:b/>
              <w:color w:val="000000"/>
              <w:sz w:val="22"/>
              <w:szCs w:val="22"/>
            </w:rPr>
            <w:tab/>
          </w:r>
          <w:r>
            <w:fldChar w:fldCharType="begin"/>
          </w:r>
          <w:r>
            <w:instrText xml:space="preserve"> PAGEREF _9pgv0nkjj1y1 \h </w:instrText>
          </w:r>
          <w:r>
            <w:fldChar w:fldCharType="separate"/>
          </w:r>
          <w:r>
            <w:rPr>
              <w:rFonts w:ascii="Calibri" w:eastAsia="Calibri" w:hAnsi="Calibri" w:cs="Calibri"/>
              <w:b/>
              <w:color w:val="000000"/>
              <w:sz w:val="22"/>
              <w:szCs w:val="22"/>
            </w:rPr>
            <w:t>3</w:t>
          </w:r>
          <w:r>
            <w:fldChar w:fldCharType="end"/>
          </w:r>
        </w:p>
        <w:p w14:paraId="2E49B25A"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m1p6f9qxpmvx">
            <w:r>
              <w:rPr>
                <w:rFonts w:ascii="Calibri" w:eastAsia="Calibri" w:hAnsi="Calibri" w:cs="Calibri"/>
                <w:color w:val="000000"/>
                <w:sz w:val="22"/>
                <w:szCs w:val="22"/>
              </w:rPr>
              <w:t>The Strengths</w:t>
            </w:r>
          </w:hyperlink>
          <w:r>
            <w:rPr>
              <w:rFonts w:ascii="Calibri" w:eastAsia="Calibri" w:hAnsi="Calibri" w:cs="Calibri"/>
              <w:color w:val="000000"/>
              <w:sz w:val="22"/>
              <w:szCs w:val="22"/>
            </w:rPr>
            <w:tab/>
          </w:r>
          <w:r>
            <w:fldChar w:fldCharType="begin"/>
          </w:r>
          <w:r>
            <w:instrText xml:space="preserve"> PAGEREF _m1p6f9qxpmvx \h </w:instrText>
          </w:r>
          <w:r>
            <w:fldChar w:fldCharType="separate"/>
          </w:r>
          <w:r>
            <w:rPr>
              <w:rFonts w:ascii="Calibri" w:eastAsia="Calibri" w:hAnsi="Calibri" w:cs="Calibri"/>
              <w:color w:val="000000"/>
              <w:sz w:val="22"/>
              <w:szCs w:val="22"/>
            </w:rPr>
            <w:t>3</w:t>
          </w:r>
          <w:r>
            <w:fldChar w:fldCharType="end"/>
          </w:r>
        </w:p>
        <w:p w14:paraId="5C4BF91D"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1o8mfhv9ctaf">
            <w:r>
              <w:rPr>
                <w:rFonts w:ascii="Calibri" w:eastAsia="Calibri" w:hAnsi="Calibri" w:cs="Calibri"/>
                <w:color w:val="000000"/>
                <w:sz w:val="22"/>
                <w:szCs w:val="22"/>
              </w:rPr>
              <w:t>The Weakness</w:t>
            </w:r>
          </w:hyperlink>
          <w:r>
            <w:rPr>
              <w:rFonts w:ascii="Calibri" w:eastAsia="Calibri" w:hAnsi="Calibri" w:cs="Calibri"/>
              <w:color w:val="000000"/>
              <w:sz w:val="22"/>
              <w:szCs w:val="22"/>
            </w:rPr>
            <w:tab/>
          </w:r>
          <w:r>
            <w:fldChar w:fldCharType="begin"/>
          </w:r>
          <w:r>
            <w:instrText xml:space="preserve"> PAGEREF _1o8mfhv9ctaf \h </w:instrText>
          </w:r>
          <w:r>
            <w:fldChar w:fldCharType="separate"/>
          </w:r>
          <w:r>
            <w:rPr>
              <w:rFonts w:ascii="Calibri" w:eastAsia="Calibri" w:hAnsi="Calibri" w:cs="Calibri"/>
              <w:color w:val="000000"/>
              <w:sz w:val="22"/>
              <w:szCs w:val="22"/>
            </w:rPr>
            <w:t>4</w:t>
          </w:r>
          <w:r>
            <w:fldChar w:fldCharType="end"/>
          </w:r>
        </w:p>
        <w:p w14:paraId="69A0C63E"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na5rbl8ufisk">
            <w:r>
              <w:rPr>
                <w:rFonts w:ascii="Calibri" w:eastAsia="Calibri" w:hAnsi="Calibri" w:cs="Calibri"/>
                <w:color w:val="000000"/>
                <w:sz w:val="22"/>
                <w:szCs w:val="22"/>
              </w:rPr>
              <w:t>Opportuniti</w:t>
            </w:r>
            <w:r>
              <w:rPr>
                <w:rFonts w:ascii="Calibri" w:eastAsia="Calibri" w:hAnsi="Calibri" w:cs="Calibri"/>
                <w:color w:val="000000"/>
                <w:sz w:val="22"/>
                <w:szCs w:val="22"/>
              </w:rPr>
              <w:t>es</w:t>
            </w:r>
          </w:hyperlink>
          <w:r>
            <w:rPr>
              <w:rFonts w:ascii="Calibri" w:eastAsia="Calibri" w:hAnsi="Calibri" w:cs="Calibri"/>
              <w:color w:val="000000"/>
              <w:sz w:val="22"/>
              <w:szCs w:val="22"/>
            </w:rPr>
            <w:tab/>
          </w:r>
          <w:r>
            <w:fldChar w:fldCharType="begin"/>
          </w:r>
          <w:r>
            <w:instrText xml:space="preserve"> PAGEREF _na5rbl8ufisk \h </w:instrText>
          </w:r>
          <w:r>
            <w:fldChar w:fldCharType="separate"/>
          </w:r>
          <w:r>
            <w:rPr>
              <w:rFonts w:ascii="Calibri" w:eastAsia="Calibri" w:hAnsi="Calibri" w:cs="Calibri"/>
              <w:color w:val="000000"/>
              <w:sz w:val="22"/>
              <w:szCs w:val="22"/>
            </w:rPr>
            <w:t>4</w:t>
          </w:r>
          <w:r>
            <w:fldChar w:fldCharType="end"/>
          </w:r>
        </w:p>
        <w:p w14:paraId="57E22A43"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2i8ukdfzefxk">
            <w:r>
              <w:rPr>
                <w:rFonts w:ascii="Calibri" w:eastAsia="Calibri" w:hAnsi="Calibri" w:cs="Calibri"/>
                <w:color w:val="000000"/>
                <w:sz w:val="22"/>
                <w:szCs w:val="22"/>
              </w:rPr>
              <w:t>Threats</w:t>
            </w:r>
          </w:hyperlink>
          <w:r>
            <w:rPr>
              <w:rFonts w:ascii="Calibri" w:eastAsia="Calibri" w:hAnsi="Calibri" w:cs="Calibri"/>
              <w:color w:val="000000"/>
              <w:sz w:val="22"/>
              <w:szCs w:val="22"/>
            </w:rPr>
            <w:tab/>
          </w:r>
          <w:r>
            <w:fldChar w:fldCharType="begin"/>
          </w:r>
          <w:r>
            <w:instrText xml:space="preserve"> PAGEREF _2i8ukdfzefxk \h </w:instrText>
          </w:r>
          <w:r>
            <w:fldChar w:fldCharType="separate"/>
          </w:r>
          <w:r>
            <w:rPr>
              <w:rFonts w:ascii="Calibri" w:eastAsia="Calibri" w:hAnsi="Calibri" w:cs="Calibri"/>
              <w:color w:val="000000"/>
              <w:sz w:val="22"/>
              <w:szCs w:val="22"/>
            </w:rPr>
            <w:t>5</w:t>
          </w:r>
          <w:r>
            <w:fldChar w:fldCharType="end"/>
          </w:r>
        </w:p>
        <w:p w14:paraId="1A7C4234" w14:textId="77777777" w:rsidR="00CC59AD" w:rsidRDefault="00E56EBA" w:rsidP="008214B2">
          <w:pPr>
            <w:tabs>
              <w:tab w:val="right" w:pos="9030"/>
            </w:tabs>
            <w:spacing w:before="200" w:line="240" w:lineRule="auto"/>
            <w:jc w:val="both"/>
            <w:rPr>
              <w:rFonts w:ascii="Calibri" w:eastAsia="Calibri" w:hAnsi="Calibri" w:cs="Calibri"/>
              <w:b/>
              <w:color w:val="000000"/>
              <w:sz w:val="22"/>
              <w:szCs w:val="22"/>
            </w:rPr>
          </w:pPr>
          <w:hyperlink w:anchor="_nz46iimp98q0">
            <w:r>
              <w:rPr>
                <w:rFonts w:ascii="Calibri" w:eastAsia="Calibri" w:hAnsi="Calibri" w:cs="Calibri"/>
                <w:b/>
                <w:color w:val="000000"/>
                <w:sz w:val="22"/>
                <w:szCs w:val="22"/>
              </w:rPr>
              <w:t>PESTLE Analysis</w:t>
            </w:r>
          </w:hyperlink>
          <w:r>
            <w:rPr>
              <w:rFonts w:ascii="Calibri" w:eastAsia="Calibri" w:hAnsi="Calibri" w:cs="Calibri"/>
              <w:b/>
              <w:color w:val="000000"/>
              <w:sz w:val="22"/>
              <w:szCs w:val="22"/>
            </w:rPr>
            <w:tab/>
          </w:r>
          <w:r>
            <w:fldChar w:fldCharType="begin"/>
          </w:r>
          <w:r>
            <w:instrText xml:space="preserve"> PAGEREF _nz46iimp98q0 \h </w:instrText>
          </w:r>
          <w:r>
            <w:fldChar w:fldCharType="separate"/>
          </w:r>
          <w:r>
            <w:rPr>
              <w:rFonts w:ascii="Calibri" w:eastAsia="Calibri" w:hAnsi="Calibri" w:cs="Calibri"/>
              <w:b/>
              <w:color w:val="000000"/>
              <w:sz w:val="22"/>
              <w:szCs w:val="22"/>
            </w:rPr>
            <w:t>5</w:t>
          </w:r>
          <w:r>
            <w:fldChar w:fldCharType="end"/>
          </w:r>
        </w:p>
        <w:p w14:paraId="2C049404"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u7lomzq8xnt7">
            <w:r>
              <w:rPr>
                <w:rFonts w:ascii="Calibri" w:eastAsia="Calibri" w:hAnsi="Calibri" w:cs="Calibri"/>
                <w:color w:val="000000"/>
                <w:sz w:val="22"/>
                <w:szCs w:val="22"/>
              </w:rPr>
              <w:t>Politic</w:t>
            </w:r>
            <w:r>
              <w:rPr>
                <w:rFonts w:ascii="Calibri" w:eastAsia="Calibri" w:hAnsi="Calibri" w:cs="Calibri"/>
                <w:color w:val="000000"/>
                <w:sz w:val="22"/>
                <w:szCs w:val="22"/>
              </w:rPr>
              <w:t>al</w:t>
            </w:r>
          </w:hyperlink>
          <w:r>
            <w:rPr>
              <w:rFonts w:ascii="Calibri" w:eastAsia="Calibri" w:hAnsi="Calibri" w:cs="Calibri"/>
              <w:color w:val="000000"/>
              <w:sz w:val="22"/>
              <w:szCs w:val="22"/>
            </w:rPr>
            <w:tab/>
          </w:r>
          <w:r>
            <w:fldChar w:fldCharType="begin"/>
          </w:r>
          <w:r>
            <w:instrText xml:space="preserve"> PAGEREF _u7lomzq8xnt7 \h </w:instrText>
          </w:r>
          <w:r>
            <w:fldChar w:fldCharType="separate"/>
          </w:r>
          <w:r>
            <w:rPr>
              <w:rFonts w:ascii="Calibri" w:eastAsia="Calibri" w:hAnsi="Calibri" w:cs="Calibri"/>
              <w:color w:val="000000"/>
              <w:sz w:val="22"/>
              <w:szCs w:val="22"/>
            </w:rPr>
            <w:t>6</w:t>
          </w:r>
          <w:r>
            <w:fldChar w:fldCharType="end"/>
          </w:r>
        </w:p>
        <w:p w14:paraId="46AF3019"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ovqtumkm4zuy">
            <w:r>
              <w:rPr>
                <w:rFonts w:ascii="Calibri" w:eastAsia="Calibri" w:hAnsi="Calibri" w:cs="Calibri"/>
                <w:color w:val="000000"/>
                <w:sz w:val="22"/>
                <w:szCs w:val="22"/>
              </w:rPr>
              <w:t>Economic</w:t>
            </w:r>
          </w:hyperlink>
          <w:r>
            <w:rPr>
              <w:rFonts w:ascii="Calibri" w:eastAsia="Calibri" w:hAnsi="Calibri" w:cs="Calibri"/>
              <w:color w:val="000000"/>
              <w:sz w:val="22"/>
              <w:szCs w:val="22"/>
            </w:rPr>
            <w:tab/>
          </w:r>
          <w:r>
            <w:fldChar w:fldCharType="begin"/>
          </w:r>
          <w:r>
            <w:instrText xml:space="preserve"> PAGEREF _ovqtumkm4zuy \h </w:instrText>
          </w:r>
          <w:r>
            <w:fldChar w:fldCharType="separate"/>
          </w:r>
          <w:r>
            <w:rPr>
              <w:rFonts w:ascii="Calibri" w:eastAsia="Calibri" w:hAnsi="Calibri" w:cs="Calibri"/>
              <w:color w:val="000000"/>
              <w:sz w:val="22"/>
              <w:szCs w:val="22"/>
            </w:rPr>
            <w:t>6</w:t>
          </w:r>
          <w:r>
            <w:fldChar w:fldCharType="end"/>
          </w:r>
        </w:p>
        <w:p w14:paraId="49D51655"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nhw85zujpluw">
            <w:r>
              <w:rPr>
                <w:rFonts w:ascii="Calibri" w:eastAsia="Calibri" w:hAnsi="Calibri" w:cs="Calibri"/>
                <w:color w:val="000000"/>
                <w:sz w:val="22"/>
                <w:szCs w:val="22"/>
              </w:rPr>
              <w:t>Social</w:t>
            </w:r>
          </w:hyperlink>
          <w:r>
            <w:rPr>
              <w:rFonts w:ascii="Calibri" w:eastAsia="Calibri" w:hAnsi="Calibri" w:cs="Calibri"/>
              <w:color w:val="000000"/>
              <w:sz w:val="22"/>
              <w:szCs w:val="22"/>
            </w:rPr>
            <w:tab/>
          </w:r>
          <w:r>
            <w:fldChar w:fldCharType="begin"/>
          </w:r>
          <w:r>
            <w:instrText xml:space="preserve"> PAGEREF _nhw85zujpluw \h </w:instrText>
          </w:r>
          <w:r>
            <w:fldChar w:fldCharType="separate"/>
          </w:r>
          <w:r>
            <w:rPr>
              <w:rFonts w:ascii="Calibri" w:eastAsia="Calibri" w:hAnsi="Calibri" w:cs="Calibri"/>
              <w:color w:val="000000"/>
              <w:sz w:val="22"/>
              <w:szCs w:val="22"/>
            </w:rPr>
            <w:t>6</w:t>
          </w:r>
          <w:r>
            <w:fldChar w:fldCharType="end"/>
          </w:r>
        </w:p>
        <w:p w14:paraId="0EC6A043"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5q6kbxdgtpj6">
            <w:r>
              <w:rPr>
                <w:rFonts w:ascii="Calibri" w:eastAsia="Calibri" w:hAnsi="Calibri" w:cs="Calibri"/>
                <w:color w:val="000000"/>
                <w:sz w:val="22"/>
                <w:szCs w:val="22"/>
              </w:rPr>
              <w:t>Technological</w:t>
            </w:r>
          </w:hyperlink>
          <w:r>
            <w:rPr>
              <w:rFonts w:ascii="Calibri" w:eastAsia="Calibri" w:hAnsi="Calibri" w:cs="Calibri"/>
              <w:color w:val="000000"/>
              <w:sz w:val="22"/>
              <w:szCs w:val="22"/>
            </w:rPr>
            <w:tab/>
          </w:r>
          <w:r>
            <w:fldChar w:fldCharType="begin"/>
          </w:r>
          <w:r>
            <w:instrText xml:space="preserve"> PAGEREF _5q6kbxdgtpj6 \h </w:instrText>
          </w:r>
          <w:r>
            <w:fldChar w:fldCharType="separate"/>
          </w:r>
          <w:r>
            <w:rPr>
              <w:rFonts w:ascii="Calibri" w:eastAsia="Calibri" w:hAnsi="Calibri" w:cs="Calibri"/>
              <w:color w:val="000000"/>
              <w:sz w:val="22"/>
              <w:szCs w:val="22"/>
            </w:rPr>
            <w:t>6</w:t>
          </w:r>
          <w:r>
            <w:fldChar w:fldCharType="end"/>
          </w:r>
        </w:p>
        <w:p w14:paraId="74FED499"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1004bgpb6g5k">
            <w:r>
              <w:rPr>
                <w:rFonts w:ascii="Calibri" w:eastAsia="Calibri" w:hAnsi="Calibri" w:cs="Calibri"/>
                <w:color w:val="000000"/>
                <w:sz w:val="22"/>
                <w:szCs w:val="22"/>
              </w:rPr>
              <w:t>Legal</w:t>
            </w:r>
          </w:hyperlink>
          <w:r>
            <w:rPr>
              <w:rFonts w:ascii="Calibri" w:eastAsia="Calibri" w:hAnsi="Calibri" w:cs="Calibri"/>
              <w:color w:val="000000"/>
              <w:sz w:val="22"/>
              <w:szCs w:val="22"/>
            </w:rPr>
            <w:tab/>
          </w:r>
          <w:r>
            <w:fldChar w:fldCharType="begin"/>
          </w:r>
          <w:r>
            <w:instrText xml:space="preserve"> PAGEREF _1004bgpb6g5k \h </w:instrText>
          </w:r>
          <w:r>
            <w:fldChar w:fldCharType="separate"/>
          </w:r>
          <w:r>
            <w:rPr>
              <w:rFonts w:ascii="Calibri" w:eastAsia="Calibri" w:hAnsi="Calibri" w:cs="Calibri"/>
              <w:color w:val="000000"/>
              <w:sz w:val="22"/>
              <w:szCs w:val="22"/>
            </w:rPr>
            <w:t>7</w:t>
          </w:r>
          <w:r>
            <w:fldChar w:fldCharType="end"/>
          </w:r>
        </w:p>
        <w:p w14:paraId="6F2EDC81" w14:textId="77777777" w:rsidR="00CC59AD" w:rsidRDefault="00E56EBA" w:rsidP="008214B2">
          <w:pPr>
            <w:tabs>
              <w:tab w:val="right" w:pos="9030"/>
            </w:tabs>
            <w:spacing w:before="60" w:line="240" w:lineRule="auto"/>
            <w:ind w:left="720"/>
            <w:jc w:val="both"/>
            <w:rPr>
              <w:rFonts w:ascii="Calibri" w:eastAsia="Calibri" w:hAnsi="Calibri" w:cs="Calibri"/>
              <w:color w:val="000000"/>
              <w:sz w:val="22"/>
              <w:szCs w:val="22"/>
            </w:rPr>
          </w:pPr>
          <w:hyperlink w:anchor="_ctmf92u2v3ep">
            <w:r>
              <w:rPr>
                <w:rFonts w:ascii="Calibri" w:eastAsia="Calibri" w:hAnsi="Calibri" w:cs="Calibri"/>
                <w:color w:val="000000"/>
                <w:sz w:val="22"/>
                <w:szCs w:val="22"/>
              </w:rPr>
              <w:t>Environmental</w:t>
            </w:r>
          </w:hyperlink>
          <w:r>
            <w:rPr>
              <w:rFonts w:ascii="Calibri" w:eastAsia="Calibri" w:hAnsi="Calibri" w:cs="Calibri"/>
              <w:color w:val="000000"/>
              <w:sz w:val="22"/>
              <w:szCs w:val="22"/>
            </w:rPr>
            <w:tab/>
          </w:r>
          <w:r>
            <w:fldChar w:fldCharType="begin"/>
          </w:r>
          <w:r>
            <w:instrText xml:space="preserve"> PA</w:instrText>
          </w:r>
          <w:r>
            <w:instrText xml:space="preserve">GEREF _ctmf92u2v3ep \h </w:instrText>
          </w:r>
          <w:r>
            <w:fldChar w:fldCharType="separate"/>
          </w:r>
          <w:r>
            <w:rPr>
              <w:rFonts w:ascii="Calibri" w:eastAsia="Calibri" w:hAnsi="Calibri" w:cs="Calibri"/>
              <w:color w:val="000000"/>
              <w:sz w:val="22"/>
              <w:szCs w:val="22"/>
            </w:rPr>
            <w:t>7</w:t>
          </w:r>
          <w:r>
            <w:fldChar w:fldCharType="end"/>
          </w:r>
        </w:p>
        <w:p w14:paraId="73CE227E" w14:textId="77777777" w:rsidR="00CC59AD" w:rsidRDefault="00E56EBA" w:rsidP="008214B2">
          <w:pPr>
            <w:tabs>
              <w:tab w:val="right" w:pos="9030"/>
            </w:tabs>
            <w:spacing w:before="200" w:line="240" w:lineRule="auto"/>
            <w:jc w:val="both"/>
            <w:rPr>
              <w:rFonts w:ascii="Calibri" w:eastAsia="Calibri" w:hAnsi="Calibri" w:cs="Calibri"/>
              <w:b/>
              <w:color w:val="000000"/>
              <w:sz w:val="22"/>
              <w:szCs w:val="22"/>
            </w:rPr>
          </w:pPr>
          <w:hyperlink w:anchor="_h160z27vti7f">
            <w:r>
              <w:rPr>
                <w:rFonts w:ascii="Calibri" w:eastAsia="Calibri" w:hAnsi="Calibri" w:cs="Calibri"/>
                <w:b/>
                <w:color w:val="000000"/>
                <w:sz w:val="22"/>
                <w:szCs w:val="22"/>
              </w:rPr>
              <w:t>Findings</w:t>
            </w:r>
          </w:hyperlink>
          <w:r>
            <w:rPr>
              <w:rFonts w:ascii="Calibri" w:eastAsia="Calibri" w:hAnsi="Calibri" w:cs="Calibri"/>
              <w:b/>
              <w:color w:val="000000"/>
              <w:sz w:val="22"/>
              <w:szCs w:val="22"/>
            </w:rPr>
            <w:tab/>
          </w:r>
          <w:r>
            <w:fldChar w:fldCharType="begin"/>
          </w:r>
          <w:r>
            <w:instrText xml:space="preserve"> PAGEREF _h160z27vti7f \h </w:instrText>
          </w:r>
          <w:r>
            <w:fldChar w:fldCharType="separate"/>
          </w:r>
          <w:r>
            <w:rPr>
              <w:rFonts w:ascii="Calibri" w:eastAsia="Calibri" w:hAnsi="Calibri" w:cs="Calibri"/>
              <w:b/>
              <w:color w:val="000000"/>
              <w:sz w:val="22"/>
              <w:szCs w:val="22"/>
            </w:rPr>
            <w:t>7</w:t>
          </w:r>
          <w:r>
            <w:fldChar w:fldCharType="end"/>
          </w:r>
        </w:p>
        <w:p w14:paraId="460E2FB0" w14:textId="77777777" w:rsidR="00CC59AD" w:rsidRDefault="00E56EBA" w:rsidP="008214B2">
          <w:pPr>
            <w:tabs>
              <w:tab w:val="right" w:pos="9030"/>
            </w:tabs>
            <w:spacing w:before="200" w:line="240" w:lineRule="auto"/>
            <w:jc w:val="both"/>
            <w:rPr>
              <w:rFonts w:ascii="Calibri" w:eastAsia="Calibri" w:hAnsi="Calibri" w:cs="Calibri"/>
              <w:sz w:val="22"/>
              <w:szCs w:val="22"/>
            </w:rPr>
          </w:pPr>
          <w:hyperlink w:anchor="_4w38immr2vx2">
            <w:r>
              <w:rPr>
                <w:rFonts w:ascii="Calibri" w:eastAsia="Calibri" w:hAnsi="Calibri" w:cs="Calibri"/>
                <w:b/>
                <w:sz w:val="22"/>
                <w:szCs w:val="22"/>
              </w:rPr>
              <w:t>Recommendation</w:t>
            </w:r>
          </w:hyperlink>
          <w:r>
            <w:rPr>
              <w:rFonts w:ascii="Calibri" w:eastAsia="Calibri" w:hAnsi="Calibri" w:cs="Calibri"/>
              <w:b/>
              <w:sz w:val="22"/>
              <w:szCs w:val="22"/>
            </w:rPr>
            <w:tab/>
          </w:r>
          <w:r>
            <w:fldChar w:fldCharType="begin"/>
          </w:r>
          <w:r>
            <w:instrText xml:space="preserve"> PAGEREF _4w38immr2vx2 \h </w:instrText>
          </w:r>
          <w:r>
            <w:fldChar w:fldCharType="separate"/>
          </w:r>
          <w:r>
            <w:rPr>
              <w:rFonts w:ascii="Calibri" w:eastAsia="Calibri" w:hAnsi="Calibri" w:cs="Calibri"/>
              <w:b/>
              <w:sz w:val="22"/>
              <w:szCs w:val="22"/>
            </w:rPr>
            <w:t>8</w:t>
          </w:r>
          <w:r>
            <w:fldChar w:fldCharType="end"/>
          </w:r>
        </w:p>
        <w:p w14:paraId="29484CC7" w14:textId="77777777" w:rsidR="00CC59AD" w:rsidRDefault="00E56EBA" w:rsidP="008214B2">
          <w:pPr>
            <w:tabs>
              <w:tab w:val="right" w:pos="9030"/>
            </w:tabs>
            <w:spacing w:before="200" w:line="240" w:lineRule="auto"/>
            <w:jc w:val="both"/>
            <w:rPr>
              <w:rFonts w:ascii="Calibri" w:eastAsia="Calibri" w:hAnsi="Calibri" w:cs="Calibri"/>
              <w:sz w:val="22"/>
              <w:szCs w:val="22"/>
            </w:rPr>
          </w:pPr>
          <w:hyperlink w:anchor="_it6az5be0wnb">
            <w:r>
              <w:rPr>
                <w:rFonts w:ascii="Calibri" w:eastAsia="Calibri" w:hAnsi="Calibri" w:cs="Calibri"/>
                <w:b/>
                <w:sz w:val="22"/>
                <w:szCs w:val="22"/>
              </w:rPr>
              <w:t>Action Plan</w:t>
            </w:r>
          </w:hyperlink>
          <w:r>
            <w:rPr>
              <w:rFonts w:ascii="Calibri" w:eastAsia="Calibri" w:hAnsi="Calibri" w:cs="Calibri"/>
              <w:b/>
              <w:sz w:val="22"/>
              <w:szCs w:val="22"/>
            </w:rPr>
            <w:tab/>
          </w:r>
          <w:r>
            <w:fldChar w:fldCharType="begin"/>
          </w:r>
          <w:r>
            <w:instrText xml:space="preserve"> PAGEREF _it6az5be0wnb \h </w:instrText>
          </w:r>
          <w:r>
            <w:fldChar w:fldCharType="separate"/>
          </w:r>
          <w:r>
            <w:rPr>
              <w:rFonts w:ascii="Calibri" w:eastAsia="Calibri" w:hAnsi="Calibri" w:cs="Calibri"/>
              <w:b/>
              <w:sz w:val="22"/>
              <w:szCs w:val="22"/>
            </w:rPr>
            <w:t>9</w:t>
          </w:r>
          <w:r>
            <w:fldChar w:fldCharType="end"/>
          </w:r>
        </w:p>
        <w:p w14:paraId="55B63FF7" w14:textId="77777777" w:rsidR="00CC59AD" w:rsidRDefault="00E56EBA" w:rsidP="008214B2">
          <w:pPr>
            <w:tabs>
              <w:tab w:val="right" w:pos="9030"/>
            </w:tabs>
            <w:spacing w:before="200" w:line="240" w:lineRule="auto"/>
            <w:jc w:val="both"/>
            <w:rPr>
              <w:rFonts w:ascii="Calibri" w:eastAsia="Calibri" w:hAnsi="Calibri" w:cs="Calibri"/>
              <w:sz w:val="22"/>
              <w:szCs w:val="22"/>
            </w:rPr>
          </w:pPr>
          <w:hyperlink w:anchor="_dhi3tm60gk22">
            <w:r>
              <w:rPr>
                <w:rFonts w:ascii="Calibri" w:eastAsia="Calibri" w:hAnsi="Calibri" w:cs="Calibri"/>
                <w:b/>
                <w:sz w:val="22"/>
                <w:szCs w:val="22"/>
              </w:rPr>
              <w:t>Conclusion</w:t>
            </w:r>
          </w:hyperlink>
          <w:r>
            <w:rPr>
              <w:rFonts w:ascii="Calibri" w:eastAsia="Calibri" w:hAnsi="Calibri" w:cs="Calibri"/>
              <w:b/>
              <w:sz w:val="22"/>
              <w:szCs w:val="22"/>
            </w:rPr>
            <w:tab/>
          </w:r>
          <w:r>
            <w:fldChar w:fldCharType="begin"/>
          </w:r>
          <w:r>
            <w:instrText xml:space="preserve"> PAGEREF _dhi3tm60gk22 \h </w:instrText>
          </w:r>
          <w:r>
            <w:fldChar w:fldCharType="separate"/>
          </w:r>
          <w:r>
            <w:rPr>
              <w:rFonts w:ascii="Calibri" w:eastAsia="Calibri" w:hAnsi="Calibri" w:cs="Calibri"/>
              <w:b/>
              <w:sz w:val="22"/>
              <w:szCs w:val="22"/>
            </w:rPr>
            <w:t>10</w:t>
          </w:r>
          <w:r>
            <w:fldChar w:fldCharType="end"/>
          </w:r>
        </w:p>
        <w:p w14:paraId="4BC0C01F" w14:textId="77777777" w:rsidR="00CC59AD" w:rsidRDefault="00E56EBA" w:rsidP="008214B2">
          <w:pPr>
            <w:tabs>
              <w:tab w:val="right" w:pos="9030"/>
            </w:tabs>
            <w:spacing w:before="200" w:after="80" w:line="240" w:lineRule="auto"/>
            <w:jc w:val="both"/>
            <w:rPr>
              <w:rFonts w:ascii="Calibri" w:eastAsia="Calibri" w:hAnsi="Calibri" w:cs="Calibri"/>
              <w:sz w:val="22"/>
              <w:szCs w:val="22"/>
            </w:rPr>
          </w:pPr>
          <w:hyperlink w:anchor="_l6nm4rhsnz6k">
            <w:r>
              <w:rPr>
                <w:rFonts w:ascii="Calibri" w:eastAsia="Calibri" w:hAnsi="Calibri" w:cs="Calibri"/>
                <w:b/>
                <w:sz w:val="22"/>
                <w:szCs w:val="22"/>
              </w:rPr>
              <w:t>Reference</w:t>
            </w:r>
          </w:hyperlink>
          <w:r>
            <w:rPr>
              <w:rFonts w:ascii="Calibri" w:eastAsia="Calibri" w:hAnsi="Calibri" w:cs="Calibri"/>
              <w:b/>
              <w:sz w:val="22"/>
              <w:szCs w:val="22"/>
            </w:rPr>
            <w:tab/>
          </w:r>
          <w:r>
            <w:fldChar w:fldCharType="begin"/>
          </w:r>
          <w:r>
            <w:instrText xml:space="preserve"> PAGEREF _l6nm4rhsnz6k \h </w:instrText>
          </w:r>
          <w:r>
            <w:fldChar w:fldCharType="separate"/>
          </w:r>
          <w:r>
            <w:rPr>
              <w:rFonts w:ascii="Calibri" w:eastAsia="Calibri" w:hAnsi="Calibri" w:cs="Calibri"/>
              <w:b/>
              <w:sz w:val="22"/>
              <w:szCs w:val="22"/>
            </w:rPr>
            <w:t>11</w:t>
          </w:r>
          <w:r>
            <w:fldChar w:fldCharType="end"/>
          </w:r>
          <w:r>
            <w:fldChar w:fldCharType="end"/>
          </w:r>
        </w:p>
      </w:sdtContent>
    </w:sdt>
    <w:p w14:paraId="3C97337D" w14:textId="77777777" w:rsidR="00CC59AD" w:rsidRDefault="00CC59AD" w:rsidP="008214B2">
      <w:pPr>
        <w:jc w:val="both"/>
      </w:pPr>
    </w:p>
    <w:p w14:paraId="0F9F0E2A" w14:textId="77777777" w:rsidR="00CC59AD" w:rsidRDefault="00CC59AD" w:rsidP="008214B2">
      <w:pPr>
        <w:jc w:val="both"/>
      </w:pPr>
    </w:p>
    <w:p w14:paraId="63EF2D3C" w14:textId="77777777" w:rsidR="00CC59AD" w:rsidRDefault="00CC59AD" w:rsidP="008214B2">
      <w:pPr>
        <w:jc w:val="both"/>
      </w:pPr>
    </w:p>
    <w:p w14:paraId="69A737AD" w14:textId="77777777" w:rsidR="00CC59AD" w:rsidRDefault="00CC59AD" w:rsidP="008214B2">
      <w:pPr>
        <w:jc w:val="both"/>
      </w:pPr>
    </w:p>
    <w:p w14:paraId="4F0FE2BB" w14:textId="77777777" w:rsidR="00CC59AD" w:rsidRDefault="00CC59AD" w:rsidP="008214B2">
      <w:pPr>
        <w:jc w:val="both"/>
      </w:pPr>
    </w:p>
    <w:p w14:paraId="2F79F594" w14:textId="77777777" w:rsidR="00CC59AD" w:rsidRDefault="00CC59AD" w:rsidP="008214B2">
      <w:pPr>
        <w:jc w:val="both"/>
      </w:pPr>
    </w:p>
    <w:p w14:paraId="74CEF9D7" w14:textId="77777777" w:rsidR="00CC59AD" w:rsidRDefault="00CC59AD" w:rsidP="008214B2">
      <w:pPr>
        <w:jc w:val="both"/>
      </w:pPr>
    </w:p>
    <w:p w14:paraId="4353AD75" w14:textId="77777777" w:rsidR="00CC59AD" w:rsidRDefault="00CC59AD" w:rsidP="008214B2">
      <w:pPr>
        <w:jc w:val="both"/>
      </w:pPr>
    </w:p>
    <w:p w14:paraId="7C32412F" w14:textId="77777777" w:rsidR="00CC59AD" w:rsidRDefault="00CC59AD" w:rsidP="008214B2">
      <w:pPr>
        <w:jc w:val="both"/>
      </w:pPr>
    </w:p>
    <w:p w14:paraId="2EFBA68E" w14:textId="77777777" w:rsidR="00CC59AD" w:rsidRDefault="00CC59AD" w:rsidP="008214B2">
      <w:pPr>
        <w:jc w:val="both"/>
      </w:pPr>
    </w:p>
    <w:p w14:paraId="07316071" w14:textId="77777777" w:rsidR="00CC59AD" w:rsidRDefault="00CC59AD" w:rsidP="008214B2">
      <w:pPr>
        <w:jc w:val="both"/>
      </w:pPr>
    </w:p>
    <w:p w14:paraId="0C4D9423" w14:textId="77777777" w:rsidR="00CC59AD" w:rsidRDefault="00CC59AD" w:rsidP="008214B2">
      <w:pPr>
        <w:jc w:val="both"/>
      </w:pPr>
    </w:p>
    <w:p w14:paraId="1738C853" w14:textId="77777777" w:rsidR="00CC59AD" w:rsidRDefault="00E56EBA" w:rsidP="008214B2">
      <w:pPr>
        <w:pStyle w:val="Heading1"/>
        <w:jc w:val="both"/>
      </w:pPr>
      <w:bookmarkStart w:id="1" w:name="_30j0zll" w:colFirst="0" w:colLast="0"/>
      <w:bookmarkEnd w:id="1"/>
      <w:r>
        <w:t xml:space="preserve">Introduction </w:t>
      </w:r>
    </w:p>
    <w:p w14:paraId="7869E82C" w14:textId="77777777" w:rsidR="00CC59AD" w:rsidRDefault="00CC59AD" w:rsidP="008214B2">
      <w:pPr>
        <w:jc w:val="both"/>
      </w:pPr>
    </w:p>
    <w:p w14:paraId="11FCDFE4" w14:textId="77777777" w:rsidR="00CC59AD" w:rsidRDefault="00E56EBA" w:rsidP="008214B2">
      <w:pPr>
        <w:jc w:val="both"/>
      </w:pPr>
      <w:r>
        <w:t>Asda has seen a significant level of stagnation in terms of profitability during the past few years. The company has posted improved figures for the latest financial year of 2019, but there is still significant uncertainty in terms of its position in the m</w:t>
      </w:r>
      <w:r>
        <w:t xml:space="preserve">arket. The company ended 2019 on a stronger note, but the failed merger with Sainsbury, which has raised major questions for the </w:t>
      </w:r>
      <w:r w:rsidR="008214B2">
        <w:t>company’s</w:t>
      </w:r>
      <w:r>
        <w:t xml:space="preserve"> future. Especially considering the fact that the parent company, Walmart, has shown significant interest in selling t</w:t>
      </w:r>
      <w:r>
        <w:t>he majority share it holds of the company. The drastic changes in market conditions in a post-Brexit world could have severe implications for the supermarket juggernaut as the UK economy enters it’s 11-month transitional phase.</w:t>
      </w:r>
    </w:p>
    <w:p w14:paraId="2D25E3B4" w14:textId="77777777" w:rsidR="00CC59AD" w:rsidRDefault="00E56EBA" w:rsidP="008214B2">
      <w:pPr>
        <w:jc w:val="both"/>
      </w:pPr>
      <w:r>
        <w:t>The paper will provide a SWO</w:t>
      </w:r>
      <w:r>
        <w:t xml:space="preserve">T &amp; PESTLE analysis which seeks to </w:t>
      </w:r>
      <w:proofErr w:type="spellStart"/>
      <w:r>
        <w:t>analyze</w:t>
      </w:r>
      <w:proofErr w:type="spellEnd"/>
      <w:r>
        <w:t xml:space="preserve"> the current market position of the company and its potential options. Recommendation will be drawn from this analysis to help guide the parent company to navigate the markets. The potential direction Asda could ta</w:t>
      </w:r>
      <w:r>
        <w:t>ke if Walmart’s renewed interest to sell its majority stake fails to materialize will be a significant theme in this paper.</w:t>
      </w:r>
    </w:p>
    <w:p w14:paraId="219D3ADF" w14:textId="77777777" w:rsidR="00CC59AD" w:rsidRDefault="00E56EBA" w:rsidP="008214B2">
      <w:pPr>
        <w:pStyle w:val="Heading1"/>
        <w:jc w:val="both"/>
      </w:pPr>
      <w:bookmarkStart w:id="2" w:name="_9pgv0nkjj1y1" w:colFirst="0" w:colLast="0"/>
      <w:bookmarkEnd w:id="2"/>
      <w:r>
        <w:lastRenderedPageBreak/>
        <w:t>SWOT Analysis</w:t>
      </w:r>
    </w:p>
    <w:p w14:paraId="27E8459E" w14:textId="77777777" w:rsidR="00CC59AD" w:rsidRDefault="00E56EBA" w:rsidP="008214B2">
      <w:pPr>
        <w:jc w:val="both"/>
      </w:pPr>
      <w:r>
        <w:t>The SWOT analysis is an analytical framework that is used to gauge institutions’ or individuals’ current positioning i</w:t>
      </w:r>
      <w:r>
        <w:t xml:space="preserve">n the market. It seeks to factor in the “Strengths”, “Weaknesses”, “Opportunities” &amp; “Threats” to not only understand the current standing of an institution but also provide an outline for future potential. The aim of a SWOT analysis is to precisely </w:t>
      </w:r>
      <w:r>
        <w:t>unders</w:t>
      </w:r>
      <w:r>
        <w:t>tand</w:t>
      </w:r>
      <w:r>
        <w:t xml:space="preserve"> the contemporary challenges facing the company and its future direction.</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78"/>
        <w:gridCol w:w="2278"/>
        <w:gridCol w:w="2310"/>
        <w:gridCol w:w="2160"/>
      </w:tblGrid>
      <w:tr w:rsidR="00CC59AD" w14:paraId="4588586B" w14:textId="77777777">
        <w:tc>
          <w:tcPr>
            <w:tcW w:w="2278" w:type="dxa"/>
            <w:shd w:val="clear" w:color="auto" w:fill="auto"/>
            <w:tcMar>
              <w:top w:w="100" w:type="dxa"/>
              <w:left w:w="100" w:type="dxa"/>
              <w:bottom w:w="100" w:type="dxa"/>
              <w:right w:w="100" w:type="dxa"/>
            </w:tcMar>
          </w:tcPr>
          <w:p w14:paraId="14C3989D" w14:textId="77777777" w:rsidR="00CC59AD" w:rsidRDefault="00E56EBA" w:rsidP="008214B2">
            <w:pPr>
              <w:widowControl w:val="0"/>
              <w:pBdr>
                <w:top w:val="nil"/>
                <w:left w:val="nil"/>
                <w:bottom w:val="nil"/>
                <w:right w:val="nil"/>
                <w:between w:val="nil"/>
              </w:pBdr>
              <w:spacing w:after="0" w:line="240" w:lineRule="auto"/>
              <w:jc w:val="both"/>
              <w:rPr>
                <w:b/>
              </w:rPr>
            </w:pPr>
            <w:r>
              <w:rPr>
                <w:b/>
              </w:rPr>
              <w:t>STRENGTH</w:t>
            </w:r>
          </w:p>
        </w:tc>
        <w:tc>
          <w:tcPr>
            <w:tcW w:w="2278" w:type="dxa"/>
            <w:shd w:val="clear" w:color="auto" w:fill="auto"/>
            <w:tcMar>
              <w:top w:w="100" w:type="dxa"/>
              <w:left w:w="100" w:type="dxa"/>
              <w:bottom w:w="100" w:type="dxa"/>
              <w:right w:w="100" w:type="dxa"/>
            </w:tcMar>
          </w:tcPr>
          <w:p w14:paraId="2EC28D30" w14:textId="77777777" w:rsidR="00CC59AD" w:rsidRDefault="00E56EBA" w:rsidP="008214B2">
            <w:pPr>
              <w:widowControl w:val="0"/>
              <w:pBdr>
                <w:top w:val="nil"/>
                <w:left w:val="nil"/>
                <w:bottom w:val="nil"/>
                <w:right w:val="nil"/>
                <w:between w:val="nil"/>
              </w:pBdr>
              <w:spacing w:after="0" w:line="240" w:lineRule="auto"/>
              <w:jc w:val="both"/>
              <w:rPr>
                <w:b/>
              </w:rPr>
            </w:pPr>
            <w:r>
              <w:rPr>
                <w:b/>
              </w:rPr>
              <w:t>WEAKNESS</w:t>
            </w:r>
          </w:p>
        </w:tc>
        <w:tc>
          <w:tcPr>
            <w:tcW w:w="2310" w:type="dxa"/>
            <w:shd w:val="clear" w:color="auto" w:fill="auto"/>
            <w:tcMar>
              <w:top w:w="100" w:type="dxa"/>
              <w:left w:w="100" w:type="dxa"/>
              <w:bottom w:w="100" w:type="dxa"/>
              <w:right w:w="100" w:type="dxa"/>
            </w:tcMar>
          </w:tcPr>
          <w:p w14:paraId="78AF2F38" w14:textId="77777777" w:rsidR="00CC59AD" w:rsidRDefault="00E56EBA" w:rsidP="008214B2">
            <w:pPr>
              <w:widowControl w:val="0"/>
              <w:pBdr>
                <w:top w:val="nil"/>
                <w:left w:val="nil"/>
                <w:bottom w:val="nil"/>
                <w:right w:val="nil"/>
                <w:between w:val="nil"/>
              </w:pBdr>
              <w:spacing w:after="0" w:line="240" w:lineRule="auto"/>
              <w:jc w:val="both"/>
              <w:rPr>
                <w:b/>
              </w:rPr>
            </w:pPr>
            <w:r>
              <w:rPr>
                <w:b/>
              </w:rPr>
              <w:t>OPPORTUNITIES</w:t>
            </w:r>
          </w:p>
        </w:tc>
        <w:tc>
          <w:tcPr>
            <w:tcW w:w="2160" w:type="dxa"/>
            <w:shd w:val="clear" w:color="auto" w:fill="auto"/>
            <w:tcMar>
              <w:top w:w="100" w:type="dxa"/>
              <w:left w:w="100" w:type="dxa"/>
              <w:bottom w:w="100" w:type="dxa"/>
              <w:right w:w="100" w:type="dxa"/>
            </w:tcMar>
          </w:tcPr>
          <w:p w14:paraId="73B36DCD" w14:textId="77777777" w:rsidR="00CC59AD" w:rsidRDefault="00E56EBA" w:rsidP="008214B2">
            <w:pPr>
              <w:widowControl w:val="0"/>
              <w:pBdr>
                <w:top w:val="nil"/>
                <w:left w:val="nil"/>
                <w:bottom w:val="nil"/>
                <w:right w:val="nil"/>
                <w:between w:val="nil"/>
              </w:pBdr>
              <w:spacing w:after="0" w:line="240" w:lineRule="auto"/>
              <w:jc w:val="both"/>
              <w:rPr>
                <w:b/>
              </w:rPr>
            </w:pPr>
            <w:r>
              <w:rPr>
                <w:b/>
              </w:rPr>
              <w:t>THREATS</w:t>
            </w:r>
          </w:p>
        </w:tc>
      </w:tr>
      <w:tr w:rsidR="00CC59AD" w14:paraId="02CDD2C8" w14:textId="77777777">
        <w:trPr>
          <w:trHeight w:val="3135"/>
        </w:trPr>
        <w:tc>
          <w:tcPr>
            <w:tcW w:w="2278" w:type="dxa"/>
            <w:shd w:val="clear" w:color="auto" w:fill="auto"/>
            <w:tcMar>
              <w:top w:w="100" w:type="dxa"/>
              <w:left w:w="100" w:type="dxa"/>
              <w:bottom w:w="100" w:type="dxa"/>
              <w:right w:w="100" w:type="dxa"/>
            </w:tcMar>
          </w:tcPr>
          <w:p w14:paraId="1AB4DFF5" w14:textId="77777777" w:rsidR="00CC59AD" w:rsidRDefault="00E56EBA" w:rsidP="008214B2">
            <w:pPr>
              <w:widowControl w:val="0"/>
              <w:numPr>
                <w:ilvl w:val="0"/>
                <w:numId w:val="8"/>
              </w:numPr>
              <w:pBdr>
                <w:top w:val="nil"/>
                <w:left w:val="nil"/>
                <w:bottom w:val="nil"/>
                <w:right w:val="nil"/>
                <w:between w:val="nil"/>
              </w:pBdr>
              <w:spacing w:after="0" w:line="240" w:lineRule="auto"/>
              <w:jc w:val="both"/>
              <w:rPr>
                <w:sz w:val="22"/>
                <w:szCs w:val="22"/>
              </w:rPr>
            </w:pPr>
            <w:r>
              <w:rPr>
                <w:sz w:val="22"/>
                <w:szCs w:val="22"/>
              </w:rPr>
              <w:t>Large Market Share allowing superior Product Pricing versus competitors</w:t>
            </w:r>
          </w:p>
          <w:p w14:paraId="280080B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3657981F"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59739F59"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43B4FB1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111262F3"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096ACED6"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618D90F3"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0EFEB6BD"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5CB518D2"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2A8617EB" w14:textId="77777777" w:rsidR="00CC59AD" w:rsidRDefault="00CC59AD" w:rsidP="008214B2">
            <w:pPr>
              <w:widowControl w:val="0"/>
              <w:pBdr>
                <w:top w:val="nil"/>
                <w:left w:val="nil"/>
                <w:bottom w:val="nil"/>
                <w:right w:val="nil"/>
                <w:between w:val="nil"/>
              </w:pBdr>
              <w:spacing w:after="0" w:line="240" w:lineRule="auto"/>
              <w:jc w:val="both"/>
              <w:rPr>
                <w:sz w:val="22"/>
                <w:szCs w:val="22"/>
              </w:rPr>
            </w:pPr>
          </w:p>
          <w:p w14:paraId="75504DDC" w14:textId="77777777" w:rsidR="00CC59AD" w:rsidRDefault="00CC59AD" w:rsidP="008214B2">
            <w:pPr>
              <w:widowControl w:val="0"/>
              <w:pBdr>
                <w:top w:val="nil"/>
                <w:left w:val="nil"/>
                <w:bottom w:val="nil"/>
                <w:right w:val="nil"/>
                <w:between w:val="nil"/>
              </w:pBdr>
              <w:spacing w:after="0" w:line="240" w:lineRule="auto"/>
              <w:jc w:val="both"/>
              <w:rPr>
                <w:sz w:val="22"/>
                <w:szCs w:val="22"/>
              </w:rPr>
            </w:pPr>
          </w:p>
        </w:tc>
        <w:tc>
          <w:tcPr>
            <w:tcW w:w="2278" w:type="dxa"/>
            <w:shd w:val="clear" w:color="auto" w:fill="auto"/>
            <w:tcMar>
              <w:top w:w="100" w:type="dxa"/>
              <w:left w:w="100" w:type="dxa"/>
              <w:bottom w:w="100" w:type="dxa"/>
              <w:right w:w="100" w:type="dxa"/>
            </w:tcMar>
          </w:tcPr>
          <w:p w14:paraId="24C7F9AB" w14:textId="77777777" w:rsidR="00CC59AD" w:rsidRDefault="00E56EBA" w:rsidP="008214B2">
            <w:pPr>
              <w:widowControl w:val="0"/>
              <w:numPr>
                <w:ilvl w:val="0"/>
                <w:numId w:val="9"/>
              </w:numPr>
              <w:pBdr>
                <w:top w:val="nil"/>
                <w:left w:val="nil"/>
                <w:bottom w:val="nil"/>
                <w:right w:val="nil"/>
                <w:between w:val="nil"/>
              </w:pBdr>
              <w:spacing w:after="0" w:line="240" w:lineRule="auto"/>
              <w:jc w:val="both"/>
              <w:rPr>
                <w:sz w:val="22"/>
                <w:szCs w:val="22"/>
              </w:rPr>
            </w:pPr>
            <w:r>
              <w:rPr>
                <w:sz w:val="22"/>
                <w:szCs w:val="22"/>
              </w:rPr>
              <w:t>Uncertain market positioning in regards to the brand’s image.</w:t>
            </w:r>
          </w:p>
          <w:p w14:paraId="26C1DBA1" w14:textId="77777777" w:rsidR="00CC59AD" w:rsidRDefault="00E56EBA" w:rsidP="008214B2">
            <w:pPr>
              <w:widowControl w:val="0"/>
              <w:numPr>
                <w:ilvl w:val="0"/>
                <w:numId w:val="9"/>
              </w:numPr>
              <w:pBdr>
                <w:top w:val="nil"/>
                <w:left w:val="nil"/>
                <w:bottom w:val="nil"/>
                <w:right w:val="nil"/>
                <w:between w:val="nil"/>
              </w:pBdr>
              <w:spacing w:after="0" w:line="240" w:lineRule="auto"/>
              <w:jc w:val="both"/>
              <w:rPr>
                <w:sz w:val="22"/>
                <w:szCs w:val="22"/>
              </w:rPr>
            </w:pPr>
            <w:r>
              <w:rPr>
                <w:sz w:val="22"/>
                <w:szCs w:val="22"/>
              </w:rPr>
              <w:t>Prone to controversies that hurt the brand image online.</w:t>
            </w:r>
          </w:p>
        </w:tc>
        <w:tc>
          <w:tcPr>
            <w:tcW w:w="2310" w:type="dxa"/>
            <w:shd w:val="clear" w:color="auto" w:fill="auto"/>
            <w:tcMar>
              <w:top w:w="100" w:type="dxa"/>
              <w:left w:w="100" w:type="dxa"/>
              <w:bottom w:w="100" w:type="dxa"/>
              <w:right w:w="100" w:type="dxa"/>
            </w:tcMar>
          </w:tcPr>
          <w:p w14:paraId="76138667" w14:textId="77777777" w:rsidR="00CC59AD" w:rsidRDefault="00E56EBA" w:rsidP="008214B2">
            <w:pPr>
              <w:widowControl w:val="0"/>
              <w:numPr>
                <w:ilvl w:val="0"/>
                <w:numId w:val="1"/>
              </w:numPr>
              <w:pBdr>
                <w:top w:val="nil"/>
                <w:left w:val="nil"/>
                <w:bottom w:val="nil"/>
                <w:right w:val="nil"/>
                <w:between w:val="nil"/>
              </w:pBdr>
              <w:spacing w:after="0" w:line="240" w:lineRule="auto"/>
              <w:jc w:val="both"/>
              <w:rPr>
                <w:sz w:val="22"/>
                <w:szCs w:val="22"/>
              </w:rPr>
            </w:pPr>
            <w:r>
              <w:rPr>
                <w:sz w:val="22"/>
                <w:szCs w:val="22"/>
              </w:rPr>
              <w:t>Consumers are increasingly purchasing products online. Asda can be on the frontline and secure a significant market share.</w:t>
            </w:r>
          </w:p>
        </w:tc>
        <w:tc>
          <w:tcPr>
            <w:tcW w:w="2160" w:type="dxa"/>
            <w:shd w:val="clear" w:color="auto" w:fill="auto"/>
            <w:tcMar>
              <w:top w:w="100" w:type="dxa"/>
              <w:left w:w="100" w:type="dxa"/>
              <w:bottom w:w="100" w:type="dxa"/>
              <w:right w:w="100" w:type="dxa"/>
            </w:tcMar>
          </w:tcPr>
          <w:p w14:paraId="6618123B"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Brexit is creating uncertain market conditions.</w:t>
            </w:r>
          </w:p>
          <w:p w14:paraId="4480422B"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Tesco is the market leader with significant command of the market trends.</w:t>
            </w:r>
          </w:p>
          <w:p w14:paraId="07773235" w14:textId="77777777" w:rsidR="00CC59AD" w:rsidRDefault="00E56EBA" w:rsidP="008214B2">
            <w:pPr>
              <w:widowControl w:val="0"/>
              <w:numPr>
                <w:ilvl w:val="0"/>
                <w:numId w:val="3"/>
              </w:numPr>
              <w:pBdr>
                <w:top w:val="nil"/>
                <w:left w:val="nil"/>
                <w:bottom w:val="nil"/>
                <w:right w:val="nil"/>
                <w:between w:val="nil"/>
              </w:pBdr>
              <w:spacing w:after="0" w:line="240" w:lineRule="auto"/>
              <w:jc w:val="both"/>
              <w:rPr>
                <w:sz w:val="22"/>
                <w:szCs w:val="22"/>
              </w:rPr>
            </w:pPr>
            <w:r>
              <w:rPr>
                <w:sz w:val="22"/>
                <w:szCs w:val="22"/>
              </w:rPr>
              <w:t>Immigration</w:t>
            </w:r>
          </w:p>
        </w:tc>
      </w:tr>
    </w:tbl>
    <w:p w14:paraId="2D1BE6A0" w14:textId="77777777" w:rsidR="00CC59AD" w:rsidRDefault="00E56EBA" w:rsidP="008214B2">
      <w:pPr>
        <w:jc w:val="both"/>
        <w:rPr>
          <w:i/>
        </w:rPr>
      </w:pPr>
      <w:r>
        <w:rPr>
          <w:i/>
        </w:rPr>
        <w:t>Table.1 SWOT Analysis</w:t>
      </w:r>
    </w:p>
    <w:p w14:paraId="226B42CC" w14:textId="77777777" w:rsidR="00CC59AD" w:rsidRDefault="00E56EBA" w:rsidP="008214B2">
      <w:pPr>
        <w:pStyle w:val="Heading3"/>
        <w:jc w:val="both"/>
      </w:pPr>
      <w:bookmarkStart w:id="3" w:name="_m1p6f9qxpmvx" w:colFirst="0" w:colLast="0"/>
      <w:bookmarkEnd w:id="3"/>
      <w:r>
        <w:t>The Strengths</w:t>
      </w:r>
    </w:p>
    <w:p w14:paraId="07EE5F35" w14:textId="77777777" w:rsidR="00CC59AD" w:rsidRDefault="00E56EBA" w:rsidP="008214B2">
      <w:pPr>
        <w:jc w:val="both"/>
      </w:pPr>
      <w:r>
        <w:t>As of 1st March, Asda holds 14.9% of the market share making it the third-largest market shareholder in the Grocery Sector (Kantar, 2020) This puts the company just behind Sainsbury, who has consistently come in second in recent years with comparable margi</w:t>
      </w:r>
      <w:r>
        <w:t xml:space="preserve">ns (Kantar, 2020). Having such a significant market share gives the company enough leverage to disrupt the pricing of products within the industry. If Asda made a significant increase or decrease in commodity prices, the current market leader, </w:t>
      </w:r>
      <w:r w:rsidR="008214B2">
        <w:t>Tesco, (</w:t>
      </w:r>
      <w:r>
        <w:t>Kanta</w:t>
      </w:r>
      <w:r>
        <w:t xml:space="preserve">r, 2020) would have to adapt to the changes brought about by Asda.  Having a significant market share as a starting point allows </w:t>
      </w:r>
      <w:r>
        <w:lastRenderedPageBreak/>
        <w:t>more flexibility for the future if the company wants to go in a different direction because of the already established consumer</w:t>
      </w:r>
      <w:r>
        <w:t xml:space="preserve"> base.</w:t>
      </w:r>
    </w:p>
    <w:p w14:paraId="5EC73896" w14:textId="77777777" w:rsidR="00CC59AD" w:rsidRDefault="00E56EBA" w:rsidP="008214B2">
      <w:pPr>
        <w:pStyle w:val="Heading3"/>
        <w:jc w:val="both"/>
      </w:pPr>
      <w:bookmarkStart w:id="4" w:name="_1o8mfhv9ctaf" w:colFirst="0" w:colLast="0"/>
      <w:bookmarkEnd w:id="4"/>
      <w:r>
        <w:t>The Weakness</w:t>
      </w:r>
    </w:p>
    <w:p w14:paraId="1BD2C582" w14:textId="77777777" w:rsidR="00CC59AD" w:rsidRDefault="00E56EBA" w:rsidP="008214B2">
      <w:pPr>
        <w:jc w:val="both"/>
      </w:pPr>
      <w:r>
        <w:t>The company is severely prone to online campaigns that hurt its brand image. The contract controversy in 2019 has had severe implications for the brand image which lead to significant portions of the population vowing to boycott the bra</w:t>
      </w:r>
      <w:r>
        <w:t>nd (Wright, 2019). The company is associated with value for money pricing, but according to the YouGov brand index, the company comes in 10th place among supermarket chains for its adherence to “Quality” (Hammett, 2018) This puts the company in a weak posi</w:t>
      </w:r>
      <w:r>
        <w:t>tion where, even though it offers superior pricing the company can be viewed as a cheap alternative to competitors, diluting its brand image.</w:t>
      </w:r>
    </w:p>
    <w:p w14:paraId="7FEFDF18" w14:textId="77777777" w:rsidR="00CC59AD" w:rsidRDefault="00E56EBA" w:rsidP="008214B2">
      <w:pPr>
        <w:pStyle w:val="Heading3"/>
        <w:jc w:val="both"/>
      </w:pPr>
      <w:bookmarkStart w:id="5" w:name="_na5rbl8ufisk" w:colFirst="0" w:colLast="0"/>
      <w:bookmarkEnd w:id="5"/>
      <w:r>
        <w:t>Opportunities</w:t>
      </w:r>
    </w:p>
    <w:p w14:paraId="304E97E0" w14:textId="77777777" w:rsidR="00CC59AD" w:rsidRDefault="00E56EBA" w:rsidP="008214B2">
      <w:pPr>
        <w:jc w:val="both"/>
        <w:rPr>
          <w:color w:val="121212"/>
          <w:highlight w:val="white"/>
        </w:rPr>
      </w:pPr>
      <w:r>
        <w:t>The U.K has experienced a 6.7% growth in e-commerce for 2019, compared to 11.8% in 2018 (Ecommerce N</w:t>
      </w:r>
      <w:r>
        <w:t xml:space="preserve">ews, 2020) Although a decline in the rate of growth, there is significant promise for future growth because of the low saturation rate of the market. </w:t>
      </w:r>
      <w:r>
        <w:rPr>
          <w:color w:val="121212"/>
          <w:highlight w:val="white"/>
        </w:rPr>
        <w:t>According to a report by the analysts Retail Economics for the law firm Womble Bond Dickinson, the e-comme</w:t>
      </w:r>
      <w:r>
        <w:rPr>
          <w:color w:val="121212"/>
          <w:highlight w:val="white"/>
        </w:rPr>
        <w:t>rce market is expected to have a growth of 53% by 2028 (Butler, 2019). Even though the latest figures show a slower rate of growth, there are significant opportunities for ASDA to capitalize on in the coming years.</w:t>
      </w:r>
    </w:p>
    <w:p w14:paraId="52254577" w14:textId="77777777" w:rsidR="00CC59AD" w:rsidRDefault="00E56EBA" w:rsidP="008214B2">
      <w:pPr>
        <w:pStyle w:val="Heading3"/>
        <w:jc w:val="both"/>
        <w:rPr>
          <w:color w:val="121212"/>
          <w:highlight w:val="white"/>
        </w:rPr>
      </w:pPr>
      <w:bookmarkStart w:id="6" w:name="_2i8ukdfzefxk" w:colFirst="0" w:colLast="0"/>
      <w:bookmarkEnd w:id="6"/>
      <w:r>
        <w:t>Threats</w:t>
      </w:r>
    </w:p>
    <w:p w14:paraId="7AE6BEF1" w14:textId="77777777" w:rsidR="00CC59AD" w:rsidRDefault="00E56EBA" w:rsidP="008214B2">
      <w:pPr>
        <w:jc w:val="both"/>
      </w:pPr>
      <w:r>
        <w:t>There are significant threats fac</w:t>
      </w:r>
      <w:r>
        <w:t>ing the retail sector because of the Brexit uncertainty. This has caused a slump in sales for ASDA during the final quarter of 2019 (Davey, 2019) It is a variable that is unlikely for the company to directly affect. The new immigration regulations could le</w:t>
      </w:r>
      <w:r>
        <w:t xml:space="preserve">ave </w:t>
      </w:r>
      <w:r>
        <w:lastRenderedPageBreak/>
        <w:t xml:space="preserve">the company in a short supply of low-skilled </w:t>
      </w:r>
      <w:proofErr w:type="gramStart"/>
      <w:r>
        <w:t>labour(</w:t>
      </w:r>
      <w:proofErr w:type="gramEnd"/>
      <w:r>
        <w:t>Armstrong, 2020). The changes in the market conditions of the future will have to be mitigated by leaving the company's “Strength” and the “Opportunities” that are developing in online retail</w:t>
      </w:r>
    </w:p>
    <w:p w14:paraId="01382628" w14:textId="77777777" w:rsidR="00CC59AD" w:rsidRDefault="00E56EBA" w:rsidP="008214B2">
      <w:pPr>
        <w:pStyle w:val="Heading1"/>
        <w:jc w:val="both"/>
      </w:pPr>
      <w:bookmarkStart w:id="7" w:name="_nz46iimp98q0" w:colFirst="0" w:colLast="0"/>
      <w:bookmarkEnd w:id="7"/>
      <w:r>
        <w:t>PESTLE A</w:t>
      </w:r>
      <w:r>
        <w:t>nalysis</w:t>
      </w:r>
    </w:p>
    <w:p w14:paraId="621C70B8" w14:textId="77777777" w:rsidR="00CC59AD" w:rsidRDefault="00E56EBA" w:rsidP="008214B2">
      <w:pPr>
        <w:jc w:val="both"/>
      </w:pPr>
      <w:r>
        <w:t>This Analysis can be a significant framework in mapping out the macro environment which can be used to make the optimum decision moving forward for firms and individuals. The framework has four components, the Political, Economic, Social, Technolog</w:t>
      </w:r>
      <w:r>
        <w:t>ical, Legal &amp; Environmental factors.</w:t>
      </w:r>
    </w:p>
    <w:p w14:paraId="781D38C7" w14:textId="77777777" w:rsidR="00CC59AD" w:rsidRDefault="00CC59AD" w:rsidP="008214B2">
      <w:pPr>
        <w:jc w:val="both"/>
      </w:pPr>
    </w:p>
    <w:tbl>
      <w:tblPr>
        <w:tblStyle w:val="a0"/>
        <w:tblW w:w="10500" w:type="dxa"/>
        <w:tblInd w:w="-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890"/>
        <w:gridCol w:w="1575"/>
        <w:gridCol w:w="1575"/>
        <w:gridCol w:w="1500"/>
        <w:gridCol w:w="2250"/>
      </w:tblGrid>
      <w:tr w:rsidR="00CC59AD" w14:paraId="2CE24D13" w14:textId="77777777">
        <w:tc>
          <w:tcPr>
            <w:tcW w:w="1710" w:type="dxa"/>
            <w:shd w:val="clear" w:color="auto" w:fill="auto"/>
            <w:tcMar>
              <w:top w:w="100" w:type="dxa"/>
              <w:left w:w="100" w:type="dxa"/>
              <w:bottom w:w="100" w:type="dxa"/>
              <w:right w:w="100" w:type="dxa"/>
            </w:tcMar>
          </w:tcPr>
          <w:p w14:paraId="14183237" w14:textId="77777777" w:rsidR="00CC59AD" w:rsidRDefault="00E56EBA" w:rsidP="008214B2">
            <w:pPr>
              <w:widowControl w:val="0"/>
              <w:pBdr>
                <w:top w:val="nil"/>
                <w:left w:val="nil"/>
                <w:bottom w:val="nil"/>
                <w:right w:val="nil"/>
                <w:between w:val="nil"/>
              </w:pBdr>
              <w:spacing w:after="0" w:line="240" w:lineRule="auto"/>
              <w:jc w:val="both"/>
              <w:rPr>
                <w:b/>
              </w:rPr>
            </w:pPr>
            <w:r>
              <w:rPr>
                <w:b/>
              </w:rPr>
              <w:t>Political</w:t>
            </w:r>
          </w:p>
        </w:tc>
        <w:tc>
          <w:tcPr>
            <w:tcW w:w="1890" w:type="dxa"/>
            <w:shd w:val="clear" w:color="auto" w:fill="auto"/>
            <w:tcMar>
              <w:top w:w="100" w:type="dxa"/>
              <w:left w:w="100" w:type="dxa"/>
              <w:bottom w:w="100" w:type="dxa"/>
              <w:right w:w="100" w:type="dxa"/>
            </w:tcMar>
          </w:tcPr>
          <w:p w14:paraId="7F4B2EA2" w14:textId="77777777" w:rsidR="00CC59AD" w:rsidRDefault="00E56EBA" w:rsidP="008214B2">
            <w:pPr>
              <w:widowControl w:val="0"/>
              <w:pBdr>
                <w:top w:val="nil"/>
                <w:left w:val="nil"/>
                <w:bottom w:val="nil"/>
                <w:right w:val="nil"/>
                <w:between w:val="nil"/>
              </w:pBdr>
              <w:spacing w:after="0" w:line="240" w:lineRule="auto"/>
              <w:jc w:val="both"/>
              <w:rPr>
                <w:b/>
              </w:rPr>
            </w:pPr>
            <w:r>
              <w:rPr>
                <w:b/>
              </w:rPr>
              <w:t>Economic</w:t>
            </w:r>
          </w:p>
        </w:tc>
        <w:tc>
          <w:tcPr>
            <w:tcW w:w="1575" w:type="dxa"/>
            <w:shd w:val="clear" w:color="auto" w:fill="auto"/>
            <w:tcMar>
              <w:top w:w="100" w:type="dxa"/>
              <w:left w:w="100" w:type="dxa"/>
              <w:bottom w:w="100" w:type="dxa"/>
              <w:right w:w="100" w:type="dxa"/>
            </w:tcMar>
          </w:tcPr>
          <w:p w14:paraId="02490813" w14:textId="77777777" w:rsidR="00CC59AD" w:rsidRDefault="00E56EBA" w:rsidP="008214B2">
            <w:pPr>
              <w:widowControl w:val="0"/>
              <w:pBdr>
                <w:top w:val="nil"/>
                <w:left w:val="nil"/>
                <w:bottom w:val="nil"/>
                <w:right w:val="nil"/>
                <w:between w:val="nil"/>
              </w:pBdr>
              <w:spacing w:after="0" w:line="240" w:lineRule="auto"/>
              <w:jc w:val="both"/>
              <w:rPr>
                <w:b/>
              </w:rPr>
            </w:pPr>
            <w:r>
              <w:rPr>
                <w:b/>
              </w:rPr>
              <w:t>Social</w:t>
            </w:r>
          </w:p>
        </w:tc>
        <w:tc>
          <w:tcPr>
            <w:tcW w:w="1575" w:type="dxa"/>
            <w:shd w:val="clear" w:color="auto" w:fill="auto"/>
            <w:tcMar>
              <w:top w:w="100" w:type="dxa"/>
              <w:left w:w="100" w:type="dxa"/>
              <w:bottom w:w="100" w:type="dxa"/>
              <w:right w:w="100" w:type="dxa"/>
            </w:tcMar>
          </w:tcPr>
          <w:p w14:paraId="46C760E6" w14:textId="77777777" w:rsidR="00CC59AD" w:rsidRDefault="00E56EBA" w:rsidP="008214B2">
            <w:pPr>
              <w:widowControl w:val="0"/>
              <w:pBdr>
                <w:top w:val="nil"/>
                <w:left w:val="nil"/>
                <w:bottom w:val="nil"/>
                <w:right w:val="nil"/>
                <w:between w:val="nil"/>
              </w:pBdr>
              <w:spacing w:after="0" w:line="240" w:lineRule="auto"/>
              <w:jc w:val="both"/>
              <w:rPr>
                <w:b/>
              </w:rPr>
            </w:pPr>
            <w:r>
              <w:rPr>
                <w:b/>
              </w:rPr>
              <w:t>Technological</w:t>
            </w:r>
          </w:p>
        </w:tc>
        <w:tc>
          <w:tcPr>
            <w:tcW w:w="1500" w:type="dxa"/>
            <w:shd w:val="clear" w:color="auto" w:fill="auto"/>
            <w:tcMar>
              <w:top w:w="100" w:type="dxa"/>
              <w:left w:w="100" w:type="dxa"/>
              <w:bottom w:w="100" w:type="dxa"/>
              <w:right w:w="100" w:type="dxa"/>
            </w:tcMar>
          </w:tcPr>
          <w:p w14:paraId="69DD2089" w14:textId="77777777" w:rsidR="00CC59AD" w:rsidRDefault="00E56EBA" w:rsidP="008214B2">
            <w:pPr>
              <w:widowControl w:val="0"/>
              <w:pBdr>
                <w:top w:val="nil"/>
                <w:left w:val="nil"/>
                <w:bottom w:val="nil"/>
                <w:right w:val="nil"/>
                <w:between w:val="nil"/>
              </w:pBdr>
              <w:spacing w:after="0" w:line="240" w:lineRule="auto"/>
              <w:jc w:val="both"/>
              <w:rPr>
                <w:b/>
              </w:rPr>
            </w:pPr>
            <w:r>
              <w:rPr>
                <w:b/>
              </w:rPr>
              <w:t>Legal</w:t>
            </w:r>
          </w:p>
        </w:tc>
        <w:tc>
          <w:tcPr>
            <w:tcW w:w="2250" w:type="dxa"/>
            <w:shd w:val="clear" w:color="auto" w:fill="auto"/>
            <w:tcMar>
              <w:top w:w="100" w:type="dxa"/>
              <w:left w:w="100" w:type="dxa"/>
              <w:bottom w:w="100" w:type="dxa"/>
              <w:right w:w="100" w:type="dxa"/>
            </w:tcMar>
          </w:tcPr>
          <w:p w14:paraId="63361576" w14:textId="77777777" w:rsidR="00CC59AD" w:rsidRDefault="00E56EBA" w:rsidP="008214B2">
            <w:pPr>
              <w:widowControl w:val="0"/>
              <w:pBdr>
                <w:top w:val="nil"/>
                <w:left w:val="nil"/>
                <w:bottom w:val="nil"/>
                <w:right w:val="nil"/>
                <w:between w:val="nil"/>
              </w:pBdr>
              <w:spacing w:after="0" w:line="240" w:lineRule="auto"/>
              <w:jc w:val="both"/>
              <w:rPr>
                <w:b/>
              </w:rPr>
            </w:pPr>
            <w:r>
              <w:rPr>
                <w:b/>
              </w:rPr>
              <w:t>Environmental</w:t>
            </w:r>
          </w:p>
        </w:tc>
      </w:tr>
      <w:tr w:rsidR="00CC59AD" w14:paraId="2C013095" w14:textId="77777777">
        <w:tc>
          <w:tcPr>
            <w:tcW w:w="1710" w:type="dxa"/>
            <w:shd w:val="clear" w:color="auto" w:fill="auto"/>
            <w:tcMar>
              <w:top w:w="100" w:type="dxa"/>
              <w:left w:w="100" w:type="dxa"/>
              <w:bottom w:w="100" w:type="dxa"/>
              <w:right w:w="100" w:type="dxa"/>
            </w:tcMar>
          </w:tcPr>
          <w:p w14:paraId="00B39963" w14:textId="77777777" w:rsidR="00CC59AD" w:rsidRDefault="00E56EBA" w:rsidP="008214B2">
            <w:pPr>
              <w:widowControl w:val="0"/>
              <w:numPr>
                <w:ilvl w:val="0"/>
                <w:numId w:val="4"/>
              </w:numPr>
              <w:pBdr>
                <w:top w:val="nil"/>
                <w:left w:val="nil"/>
                <w:bottom w:val="nil"/>
                <w:right w:val="nil"/>
                <w:between w:val="nil"/>
              </w:pBdr>
              <w:spacing w:after="0" w:line="240" w:lineRule="auto"/>
              <w:jc w:val="both"/>
              <w:rPr>
                <w:sz w:val="20"/>
                <w:szCs w:val="20"/>
              </w:rPr>
            </w:pPr>
            <w:r>
              <w:rPr>
                <w:sz w:val="20"/>
                <w:szCs w:val="20"/>
              </w:rPr>
              <w:t>Brexit</w:t>
            </w:r>
          </w:p>
          <w:p w14:paraId="05102962" w14:textId="77777777" w:rsidR="00CC59AD" w:rsidRDefault="00E56EBA" w:rsidP="008214B2">
            <w:pPr>
              <w:widowControl w:val="0"/>
              <w:numPr>
                <w:ilvl w:val="0"/>
                <w:numId w:val="4"/>
              </w:numPr>
              <w:pBdr>
                <w:top w:val="nil"/>
                <w:left w:val="nil"/>
                <w:bottom w:val="nil"/>
                <w:right w:val="nil"/>
                <w:between w:val="nil"/>
              </w:pBdr>
              <w:spacing w:after="0" w:line="240" w:lineRule="auto"/>
              <w:jc w:val="both"/>
              <w:rPr>
                <w:sz w:val="20"/>
                <w:szCs w:val="20"/>
              </w:rPr>
            </w:pPr>
            <w:r>
              <w:rPr>
                <w:sz w:val="20"/>
                <w:szCs w:val="20"/>
              </w:rPr>
              <w:t>Failed Merger</w:t>
            </w:r>
          </w:p>
        </w:tc>
        <w:tc>
          <w:tcPr>
            <w:tcW w:w="1890" w:type="dxa"/>
            <w:shd w:val="clear" w:color="auto" w:fill="auto"/>
            <w:tcMar>
              <w:top w:w="100" w:type="dxa"/>
              <w:left w:w="100" w:type="dxa"/>
              <w:bottom w:w="100" w:type="dxa"/>
              <w:right w:w="100" w:type="dxa"/>
            </w:tcMar>
          </w:tcPr>
          <w:p w14:paraId="581053D7" w14:textId="77777777" w:rsidR="00CC59AD" w:rsidRDefault="00E56EBA" w:rsidP="008214B2">
            <w:pPr>
              <w:widowControl w:val="0"/>
              <w:numPr>
                <w:ilvl w:val="0"/>
                <w:numId w:val="10"/>
              </w:numPr>
              <w:pBdr>
                <w:top w:val="nil"/>
                <w:left w:val="nil"/>
                <w:bottom w:val="nil"/>
                <w:right w:val="nil"/>
                <w:between w:val="nil"/>
              </w:pBdr>
              <w:spacing w:after="0" w:line="240" w:lineRule="auto"/>
              <w:jc w:val="both"/>
              <w:rPr>
                <w:sz w:val="20"/>
                <w:szCs w:val="20"/>
              </w:rPr>
            </w:pPr>
            <w:r>
              <w:rPr>
                <w:sz w:val="20"/>
                <w:szCs w:val="20"/>
              </w:rPr>
              <w:t>Slow Growth</w:t>
            </w:r>
          </w:p>
          <w:p w14:paraId="056D5022" w14:textId="77777777" w:rsidR="00CC59AD" w:rsidRDefault="00E56EBA" w:rsidP="008214B2">
            <w:pPr>
              <w:widowControl w:val="0"/>
              <w:numPr>
                <w:ilvl w:val="0"/>
                <w:numId w:val="10"/>
              </w:numPr>
              <w:pBdr>
                <w:top w:val="nil"/>
                <w:left w:val="nil"/>
                <w:bottom w:val="nil"/>
                <w:right w:val="nil"/>
                <w:between w:val="nil"/>
              </w:pBdr>
              <w:spacing w:after="0" w:line="240" w:lineRule="auto"/>
              <w:jc w:val="both"/>
              <w:rPr>
                <w:sz w:val="20"/>
                <w:szCs w:val="20"/>
              </w:rPr>
            </w:pPr>
            <w:r>
              <w:rPr>
                <w:sz w:val="20"/>
                <w:szCs w:val="20"/>
              </w:rPr>
              <w:t>Huge Future potential</w:t>
            </w:r>
          </w:p>
        </w:tc>
        <w:tc>
          <w:tcPr>
            <w:tcW w:w="1575" w:type="dxa"/>
            <w:shd w:val="clear" w:color="auto" w:fill="auto"/>
            <w:tcMar>
              <w:top w:w="100" w:type="dxa"/>
              <w:left w:w="100" w:type="dxa"/>
              <w:bottom w:w="100" w:type="dxa"/>
              <w:right w:w="100" w:type="dxa"/>
            </w:tcMar>
          </w:tcPr>
          <w:p w14:paraId="4DA7E797" w14:textId="77777777" w:rsidR="00CC59AD" w:rsidRDefault="00E56EBA" w:rsidP="008214B2">
            <w:pPr>
              <w:widowControl w:val="0"/>
              <w:numPr>
                <w:ilvl w:val="0"/>
                <w:numId w:val="11"/>
              </w:numPr>
              <w:pBdr>
                <w:top w:val="nil"/>
                <w:left w:val="nil"/>
                <w:bottom w:val="nil"/>
                <w:right w:val="nil"/>
                <w:between w:val="nil"/>
              </w:pBdr>
              <w:spacing w:after="0" w:line="240" w:lineRule="auto"/>
              <w:jc w:val="both"/>
              <w:rPr>
                <w:sz w:val="20"/>
                <w:szCs w:val="20"/>
              </w:rPr>
            </w:pPr>
            <w:r>
              <w:rPr>
                <w:sz w:val="20"/>
                <w:szCs w:val="20"/>
              </w:rPr>
              <w:t>Changing Demographics.</w:t>
            </w:r>
          </w:p>
        </w:tc>
        <w:tc>
          <w:tcPr>
            <w:tcW w:w="1575" w:type="dxa"/>
            <w:shd w:val="clear" w:color="auto" w:fill="auto"/>
            <w:tcMar>
              <w:top w:w="100" w:type="dxa"/>
              <w:left w:w="100" w:type="dxa"/>
              <w:bottom w:w="100" w:type="dxa"/>
              <w:right w:w="100" w:type="dxa"/>
            </w:tcMar>
          </w:tcPr>
          <w:p w14:paraId="3D6C7162" w14:textId="77777777" w:rsidR="00CC59AD" w:rsidRDefault="00E56EBA" w:rsidP="008214B2">
            <w:pPr>
              <w:widowControl w:val="0"/>
              <w:numPr>
                <w:ilvl w:val="0"/>
                <w:numId w:val="2"/>
              </w:numPr>
              <w:pBdr>
                <w:top w:val="nil"/>
                <w:left w:val="nil"/>
                <w:bottom w:val="nil"/>
                <w:right w:val="nil"/>
                <w:between w:val="nil"/>
              </w:pBdr>
              <w:spacing w:after="0" w:line="240" w:lineRule="auto"/>
              <w:jc w:val="both"/>
              <w:rPr>
                <w:sz w:val="20"/>
                <w:szCs w:val="20"/>
              </w:rPr>
            </w:pPr>
            <w:r>
              <w:rPr>
                <w:sz w:val="20"/>
                <w:szCs w:val="20"/>
              </w:rPr>
              <w:t xml:space="preserve">Online retail technology </w:t>
            </w:r>
          </w:p>
        </w:tc>
        <w:tc>
          <w:tcPr>
            <w:tcW w:w="1500" w:type="dxa"/>
            <w:shd w:val="clear" w:color="auto" w:fill="auto"/>
            <w:tcMar>
              <w:top w:w="100" w:type="dxa"/>
              <w:left w:w="100" w:type="dxa"/>
              <w:bottom w:w="100" w:type="dxa"/>
              <w:right w:w="100" w:type="dxa"/>
            </w:tcMar>
          </w:tcPr>
          <w:p w14:paraId="04469B2A"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Immigration</w:t>
            </w:r>
          </w:p>
        </w:tc>
        <w:tc>
          <w:tcPr>
            <w:tcW w:w="2250" w:type="dxa"/>
            <w:shd w:val="clear" w:color="auto" w:fill="auto"/>
            <w:tcMar>
              <w:top w:w="100" w:type="dxa"/>
              <w:left w:w="100" w:type="dxa"/>
              <w:bottom w:w="100" w:type="dxa"/>
              <w:right w:w="100" w:type="dxa"/>
            </w:tcMar>
          </w:tcPr>
          <w:p w14:paraId="23BB5694"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Global Warming</w:t>
            </w:r>
          </w:p>
          <w:p w14:paraId="64F527B5" w14:textId="77777777" w:rsidR="00CC59AD" w:rsidRDefault="00E56EBA" w:rsidP="008214B2">
            <w:pPr>
              <w:widowControl w:val="0"/>
              <w:numPr>
                <w:ilvl w:val="0"/>
                <w:numId w:val="6"/>
              </w:numPr>
              <w:pBdr>
                <w:top w:val="nil"/>
                <w:left w:val="nil"/>
                <w:bottom w:val="nil"/>
                <w:right w:val="nil"/>
                <w:between w:val="nil"/>
              </w:pBdr>
              <w:spacing w:after="0" w:line="240" w:lineRule="auto"/>
              <w:jc w:val="both"/>
              <w:rPr>
                <w:sz w:val="20"/>
                <w:szCs w:val="20"/>
              </w:rPr>
            </w:pPr>
            <w:r>
              <w:rPr>
                <w:sz w:val="20"/>
                <w:szCs w:val="20"/>
              </w:rPr>
              <w:t xml:space="preserve">Single </w:t>
            </w:r>
            <w:proofErr w:type="spellStart"/>
            <w:r>
              <w:rPr>
                <w:sz w:val="20"/>
                <w:szCs w:val="20"/>
              </w:rPr>
              <w:t>Plastice</w:t>
            </w:r>
            <w:proofErr w:type="spellEnd"/>
            <w:r>
              <w:rPr>
                <w:sz w:val="20"/>
                <w:szCs w:val="20"/>
              </w:rPr>
              <w:t xml:space="preserve"> use </w:t>
            </w:r>
          </w:p>
        </w:tc>
      </w:tr>
    </w:tbl>
    <w:p w14:paraId="44B19833" w14:textId="77777777" w:rsidR="00CC59AD" w:rsidRDefault="00E56EBA" w:rsidP="008214B2">
      <w:pPr>
        <w:jc w:val="both"/>
      </w:pPr>
      <w:r>
        <w:rPr>
          <w:i/>
        </w:rPr>
        <w:t>Table.2 PESTLE Analysis</w:t>
      </w:r>
    </w:p>
    <w:p w14:paraId="6C28AEB9" w14:textId="77777777" w:rsidR="00CC59AD" w:rsidRDefault="00E56EBA" w:rsidP="008214B2">
      <w:pPr>
        <w:pStyle w:val="Heading3"/>
        <w:jc w:val="both"/>
      </w:pPr>
      <w:bookmarkStart w:id="8" w:name="_u7lomzq8xnt7" w:colFirst="0" w:colLast="0"/>
      <w:bookmarkEnd w:id="8"/>
      <w:r>
        <w:t>Political</w:t>
      </w:r>
    </w:p>
    <w:p w14:paraId="6FC3D302" w14:textId="77777777" w:rsidR="00CC59AD" w:rsidRDefault="00E56EBA" w:rsidP="008214B2">
      <w:pPr>
        <w:jc w:val="both"/>
      </w:pPr>
      <w:r>
        <w:t xml:space="preserve">Brexit has created a political climate that has put the entire retail industry under significant uncertainty (Davey, 2019). The failed merger between ASDA and Sainsbury, blocked by the CMA, does not give the ASDA brand significant political capital moving </w:t>
      </w:r>
      <w:r>
        <w:t>forward (Wood, 2019). The company is in a negative political position after Brexit and the failed merger.</w:t>
      </w:r>
    </w:p>
    <w:p w14:paraId="4682F1D5" w14:textId="77777777" w:rsidR="00CC59AD" w:rsidRDefault="00E56EBA" w:rsidP="008214B2">
      <w:pPr>
        <w:pStyle w:val="Heading3"/>
        <w:jc w:val="both"/>
      </w:pPr>
      <w:bookmarkStart w:id="9" w:name="_ovqtumkm4zuy" w:colFirst="0" w:colLast="0"/>
      <w:bookmarkEnd w:id="9"/>
      <w:r>
        <w:t>Economic</w:t>
      </w:r>
    </w:p>
    <w:p w14:paraId="288446D5" w14:textId="77777777" w:rsidR="00CC59AD" w:rsidRDefault="00E56EBA" w:rsidP="008214B2">
      <w:pPr>
        <w:jc w:val="both"/>
        <w:rPr>
          <w:color w:val="121212"/>
          <w:highlight w:val="white"/>
        </w:rPr>
      </w:pPr>
      <w:r>
        <w:t>The company has had a slump in sales growth for 2019 (Davey, 2019). But U.K has experienced a 6.7% growth in e-commerce for 2019, compared to</w:t>
      </w:r>
      <w:r>
        <w:t xml:space="preserve"> 11.8% in 2018 (Ecommerce </w:t>
      </w:r>
      <w:r>
        <w:lastRenderedPageBreak/>
        <w:t>News, 2020) This is a decline in growth but there is significant economic promise for future growth</w:t>
      </w:r>
      <w:r>
        <w:rPr>
          <w:color w:val="121212"/>
          <w:highlight w:val="white"/>
        </w:rPr>
        <w:t>.</w:t>
      </w:r>
    </w:p>
    <w:p w14:paraId="759E13AC" w14:textId="77777777" w:rsidR="00CC59AD" w:rsidRDefault="00E56EBA" w:rsidP="008214B2">
      <w:pPr>
        <w:pStyle w:val="Heading3"/>
        <w:jc w:val="both"/>
      </w:pPr>
      <w:bookmarkStart w:id="10" w:name="_nhw85zujpluw" w:colFirst="0" w:colLast="0"/>
      <w:bookmarkEnd w:id="10"/>
      <w:r>
        <w:t>Social</w:t>
      </w:r>
    </w:p>
    <w:p w14:paraId="4C659376" w14:textId="77777777" w:rsidR="00CC59AD" w:rsidRDefault="00E56EBA" w:rsidP="008214B2">
      <w:pPr>
        <w:jc w:val="both"/>
      </w:pPr>
      <w:r>
        <w:t xml:space="preserve">The demographic change in the U.K can have significant ramifications. The country is experiencing a significant growth in </w:t>
      </w:r>
      <w:r>
        <w:t xml:space="preserve">population with birth rate outnumbering the deaths by 115,000 (Coates, </w:t>
      </w:r>
      <w:proofErr w:type="spellStart"/>
      <w:r>
        <w:t>Tanna</w:t>
      </w:r>
      <w:proofErr w:type="spellEnd"/>
      <w:r>
        <w:t xml:space="preserve"> &amp; Allen, 2019) This shift will likely increase the amount younger consumers and decrease the level of older consumers. The demographic shift can have severe consequences for the c</w:t>
      </w:r>
      <w:r>
        <w:t>ompany.</w:t>
      </w:r>
    </w:p>
    <w:p w14:paraId="6FD6F7F2" w14:textId="77777777" w:rsidR="00CC59AD" w:rsidRDefault="00E56EBA" w:rsidP="008214B2">
      <w:pPr>
        <w:pStyle w:val="Heading3"/>
        <w:jc w:val="both"/>
      </w:pPr>
      <w:bookmarkStart w:id="11" w:name="_5q6kbxdgtpj6" w:colFirst="0" w:colLast="0"/>
      <w:bookmarkEnd w:id="11"/>
      <w:r>
        <w:t>Technological</w:t>
      </w:r>
    </w:p>
    <w:p w14:paraId="24F2F634" w14:textId="77777777" w:rsidR="00CC59AD" w:rsidRDefault="00E56EBA" w:rsidP="008214B2">
      <w:pPr>
        <w:jc w:val="both"/>
      </w:pPr>
      <w:r>
        <w:t xml:space="preserve">The online e-commerce sector was dominated by consumers aged 16-54 in 2019 (Wunsch, 2019) The market share for the e-commerce sector is expected to reach 53% by 2028 </w:t>
      </w:r>
      <w:r>
        <w:rPr>
          <w:color w:val="121212"/>
          <w:highlight w:val="white"/>
        </w:rPr>
        <w:t xml:space="preserve">(Butler, 2019). This shows a significant shift in younger consumers </w:t>
      </w:r>
      <w:r>
        <w:rPr>
          <w:color w:val="121212"/>
          <w:highlight w:val="white"/>
        </w:rPr>
        <w:t>relying on online technological services to do their business.</w:t>
      </w:r>
    </w:p>
    <w:p w14:paraId="17DBE2F6" w14:textId="77777777" w:rsidR="00CC59AD" w:rsidRDefault="00E56EBA" w:rsidP="008214B2">
      <w:pPr>
        <w:pStyle w:val="Heading3"/>
        <w:jc w:val="both"/>
      </w:pPr>
      <w:bookmarkStart w:id="12" w:name="_1004bgpb6g5k" w:colFirst="0" w:colLast="0"/>
      <w:bookmarkEnd w:id="12"/>
      <w:r>
        <w:t>Legal</w:t>
      </w:r>
    </w:p>
    <w:p w14:paraId="699EC870" w14:textId="77777777" w:rsidR="00CC59AD" w:rsidRDefault="00E56EBA" w:rsidP="008214B2">
      <w:pPr>
        <w:jc w:val="both"/>
      </w:pPr>
      <w:r>
        <w:t>The retail industry requires significant support from low-skilled labour to function. The withdrawal agreement outlines current EU residents right to stay in the UK, but non-residents are</w:t>
      </w:r>
      <w:r>
        <w:t xml:space="preserve"> not covered by the document (Armstrong, 2020) This could be problematic on the industry as the new legal framework emphasizing a points-based immigration will favour high skilled workers(Armstrong, 2020), meaning there could be shortage of low skilled lab</w:t>
      </w:r>
      <w:r>
        <w:t>our which the industry highly relies on.</w:t>
      </w:r>
    </w:p>
    <w:p w14:paraId="0B7C5F0F" w14:textId="77777777" w:rsidR="00CC59AD" w:rsidRDefault="00E56EBA" w:rsidP="008214B2">
      <w:pPr>
        <w:pStyle w:val="Heading3"/>
        <w:jc w:val="both"/>
      </w:pPr>
      <w:bookmarkStart w:id="13" w:name="_ctmf92u2v3ep" w:colFirst="0" w:colLast="0"/>
      <w:bookmarkEnd w:id="13"/>
      <w:r>
        <w:lastRenderedPageBreak/>
        <w:t>Environmental</w:t>
      </w:r>
    </w:p>
    <w:p w14:paraId="3D578B48" w14:textId="77777777" w:rsidR="00CC59AD" w:rsidRDefault="00E56EBA" w:rsidP="008214B2">
      <w:pPr>
        <w:jc w:val="both"/>
      </w:pPr>
      <w:r>
        <w:t xml:space="preserve">The Climate Crisis is considered the most significant problem facing the UK by 74% of the population (Taylor, 2019) Asda has banned the use of single plastic use for online grocery </w:t>
      </w:r>
      <w:proofErr w:type="gramStart"/>
      <w:r>
        <w:t>purchase(</w:t>
      </w:r>
      <w:proofErr w:type="gramEnd"/>
      <w:r>
        <w:t>O’Malley, 2</w:t>
      </w:r>
      <w:r>
        <w:t>019). Which does help with perception around the environment, but leaves a lot to be desired with plastic use on physical stores.</w:t>
      </w:r>
    </w:p>
    <w:p w14:paraId="628711E9" w14:textId="77777777" w:rsidR="00CC59AD" w:rsidRDefault="00E56EBA" w:rsidP="008214B2">
      <w:pPr>
        <w:pStyle w:val="Heading1"/>
        <w:jc w:val="both"/>
      </w:pPr>
      <w:bookmarkStart w:id="14" w:name="_h160z27vti7f" w:colFirst="0" w:colLast="0"/>
      <w:bookmarkEnd w:id="14"/>
      <w:r>
        <w:t>Findings</w:t>
      </w:r>
    </w:p>
    <w:p w14:paraId="72C6FFCB" w14:textId="77777777" w:rsidR="00CC59AD" w:rsidRDefault="00E56EBA" w:rsidP="008214B2">
      <w:pPr>
        <w:jc w:val="both"/>
      </w:pPr>
      <w:r>
        <w:t>The SWOT suggests that the biggest “Strength” for the company is its large market share and the biggest “Opportunity”</w:t>
      </w:r>
      <w:r>
        <w:t xml:space="preserve"> for the company is the growing e-commerce in the UK. The biggest threat facing the company is the uncertainty surrounding Brexit and the company's biggest “Threat” is its weak market positioning, and propensity for online controversy are </w:t>
      </w:r>
      <w:proofErr w:type="spellStart"/>
      <w:proofErr w:type="gramStart"/>
      <w:r>
        <w:t>it’s</w:t>
      </w:r>
      <w:proofErr w:type="spellEnd"/>
      <w:proofErr w:type="gramEnd"/>
      <w:r>
        <w:t xml:space="preserve"> biggest “Wea</w:t>
      </w:r>
      <w:r>
        <w:t>knesses”. The brand image of the company is also a major “Weakness”. The variable of “Threat” and “Opportunity” has significant overlap with the variable of “Politics”, “Economy”, “Legal” &amp; “Technology” in the PESTLE Analysis. The PESTLE analysis found Bre</w:t>
      </w:r>
      <w:r>
        <w:t>xit to be the major political issue. This is consistent with the “Threat” variable of the SWOT analysis which found Brexit to be important. The failed merger attempt and its political ramification could not carry over to the SWOT analysis. The PESTLE varia</w:t>
      </w:r>
      <w:r>
        <w:t xml:space="preserve">ble of “Economy” has a significant emphasis on the growth of online retail, which is consistent with the finding of “Opportunity” in SWOT. The variable of “Social” primarily focused on the demographic changes in the UK. The “Technological variable focused </w:t>
      </w:r>
      <w:r>
        <w:t>on the increase of online retail technology which is relevant to the “Opportunity” variable of the SWOT analysis. The “Legal” variable focused on immigration law and its effects on low-skilled migrants, which also has carryover with the SWOT analysis where</w:t>
      </w:r>
      <w:r>
        <w:t xml:space="preserve"> it was deemed a major “Threat”. The “Environmental” variable dealt with the population's perception of climate emergency issues.</w:t>
      </w:r>
    </w:p>
    <w:p w14:paraId="574FFB04" w14:textId="77777777" w:rsidR="00CC59AD" w:rsidRDefault="00E56EBA" w:rsidP="008214B2">
      <w:pPr>
        <w:pStyle w:val="Heading1"/>
        <w:jc w:val="both"/>
      </w:pPr>
      <w:bookmarkStart w:id="15" w:name="_4w38immr2vx2" w:colFirst="0" w:colLast="0"/>
      <w:bookmarkEnd w:id="15"/>
      <w:r>
        <w:lastRenderedPageBreak/>
        <w:t>Recommendation</w:t>
      </w:r>
    </w:p>
    <w:p w14:paraId="325DB46D" w14:textId="77777777" w:rsidR="00CC59AD" w:rsidRDefault="00E56EBA" w:rsidP="008214B2">
      <w:pPr>
        <w:jc w:val="both"/>
      </w:pPr>
      <w:r>
        <w:t>The most important priority for the company is threat and risk mitigation. The biggest threats facing the company are its competitors and problems associated with Brexit such as a labour shortage and economic stagnation. The company may not be able to chan</w:t>
      </w:r>
      <w:r>
        <w:t xml:space="preserve">ge the fundamental market condition brought about by Brexit but can work within the new conditions to optimize its market share. The company may offer better incentives to attract labour from competitors in the event of a labour shortage. But to have more </w:t>
      </w:r>
      <w:r>
        <w:t xml:space="preserve">influence in the markets, the company must aim to improve </w:t>
      </w:r>
      <w:proofErr w:type="gramStart"/>
      <w:r>
        <w:t>it’s</w:t>
      </w:r>
      <w:proofErr w:type="gramEnd"/>
      <w:r>
        <w:t xml:space="preserve"> already impressive market share. The biggest growth in retail is e-commerce. If the company is to increase its market share it needs to capitalize on this expanding market which is dominated by</w:t>
      </w:r>
      <w:r>
        <w:t xml:space="preserve"> younger consumers. This trend should accelerate as the death rate is significantly higher than the birth rate, meaning the older population will eventually be replaced by a younger demographic which could accelerate the trend towards e-commerce. To make s</w:t>
      </w:r>
      <w:r>
        <w:t>ure the company is able to take advantage of this demographic change and increasing trend towards e-commerce, it must further develop its online technology service. If the online service is superior to the competitors, it should give the company an advanta</w:t>
      </w:r>
      <w:r>
        <w:t xml:space="preserve">ge in consolidating market share. The brand image of the company needs to be improved. The staff working for the company need to be aware that a negative can go viral on social media hurting the brand image. The latest controversy surrounding the employee </w:t>
      </w:r>
      <w:r>
        <w:t xml:space="preserve">contract also highlights the need for the managerial class to be trained on these sensitive issues. The company is associated with a cheap alternative to other retailers without much emphasis on quality. If the company can be associated with both </w:t>
      </w:r>
      <w:r w:rsidR="008214B2">
        <w:t>qualities</w:t>
      </w:r>
      <w:r>
        <w:t xml:space="preserve"> a</w:t>
      </w:r>
      <w:r>
        <w:t>longside as a cheap alternative, it can be viewed as selling products representing “Great Value” rather than products that are cheap and of inferior quality. This problem can be averted through marketing campaigns and producing products with superior quali</w:t>
      </w:r>
      <w:r>
        <w:t xml:space="preserve">ty. The problem can further improve its brand image by further cutting down on single plastic use on </w:t>
      </w:r>
      <w:r w:rsidR="008214B2">
        <w:t>its</w:t>
      </w:r>
      <w:r>
        <w:t xml:space="preserve"> physical store </w:t>
      </w:r>
      <w:r w:rsidR="008214B2">
        <w:t>locations. This</w:t>
      </w:r>
      <w:r>
        <w:t xml:space="preserve"> can be seen as the company trying to </w:t>
      </w:r>
      <w:r w:rsidR="008214B2">
        <w:lastRenderedPageBreak/>
        <w:t>accommodate</w:t>
      </w:r>
      <w:r>
        <w:t xml:space="preserve"> sentiments about the Climate Crisis. If the company is able to </w:t>
      </w:r>
      <w:r w:rsidR="008214B2">
        <w:t>accommodate</w:t>
      </w:r>
      <w:r>
        <w:t xml:space="preserve"> all </w:t>
      </w:r>
      <w:proofErr w:type="gramStart"/>
      <w:r>
        <w:t>these variable</w:t>
      </w:r>
      <w:proofErr w:type="gramEnd"/>
      <w:r>
        <w:t>, it should be able to increase its market in the UK</w:t>
      </w:r>
    </w:p>
    <w:p w14:paraId="4FDF899F" w14:textId="77777777" w:rsidR="00CC59AD" w:rsidRDefault="00E56EBA" w:rsidP="008214B2">
      <w:pPr>
        <w:pStyle w:val="Heading1"/>
        <w:jc w:val="both"/>
      </w:pPr>
      <w:bookmarkStart w:id="16" w:name="_it6az5be0wnb" w:colFirst="0" w:colLast="0"/>
      <w:bookmarkEnd w:id="16"/>
      <w:r>
        <w:t>Action Plan</w:t>
      </w:r>
    </w:p>
    <w:p w14:paraId="4DAF724D" w14:textId="77777777" w:rsidR="00CC59AD" w:rsidRDefault="00E56EBA" w:rsidP="008214B2">
      <w:pPr>
        <w:jc w:val="both"/>
      </w:pPr>
      <w:r>
        <w:t>The effectiveness of the Action Plan can be reviewed through the examination of polling about brand perception and the total consolidation of market share by ASDA.</w:t>
      </w:r>
    </w:p>
    <w:tbl>
      <w:tblPr>
        <w:tblStyle w:val="a1"/>
        <w:tblW w:w="9510" w:type="dxa"/>
        <w:tblInd w:w="-435" w:type="dxa"/>
        <w:tblLayout w:type="fixed"/>
        <w:tblLook w:val="0400" w:firstRow="0" w:lastRow="0" w:firstColumn="0" w:lastColumn="0" w:noHBand="0" w:noVBand="1"/>
      </w:tblPr>
      <w:tblGrid>
        <w:gridCol w:w="3480"/>
        <w:gridCol w:w="2490"/>
        <w:gridCol w:w="3540"/>
      </w:tblGrid>
      <w:tr w:rsidR="00CC59AD" w14:paraId="25FD923A" w14:textId="77777777">
        <w:trPr>
          <w:trHeight w:val="860"/>
        </w:trPr>
        <w:tc>
          <w:tcPr>
            <w:tcW w:w="9510" w:type="dxa"/>
            <w:gridSpan w:val="3"/>
            <w:tcBorders>
              <w:top w:val="nil"/>
              <w:left w:val="nil"/>
              <w:bottom w:val="single" w:sz="4" w:space="0" w:color="58B6C0"/>
              <w:right w:val="nil"/>
            </w:tcBorders>
            <w:shd w:val="clear" w:color="auto" w:fill="auto"/>
            <w:vAlign w:val="center"/>
          </w:tcPr>
          <w:p w14:paraId="5EC0D022" w14:textId="77777777" w:rsidR="00CC59AD" w:rsidRDefault="00CC59AD" w:rsidP="008214B2">
            <w:pPr>
              <w:spacing w:after="0" w:line="240" w:lineRule="auto"/>
              <w:jc w:val="both"/>
              <w:rPr>
                <w:rFonts w:ascii="Book Antiqua" w:eastAsia="Book Antiqua" w:hAnsi="Book Antiqua" w:cs="Book Antiqua"/>
                <w:color w:val="266066"/>
                <w:sz w:val="52"/>
                <w:szCs w:val="52"/>
              </w:rPr>
            </w:pPr>
          </w:p>
        </w:tc>
      </w:tr>
      <w:tr w:rsidR="00CC59AD" w14:paraId="196976F3" w14:textId="77777777">
        <w:trPr>
          <w:trHeight w:val="48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266066"/>
            <w:vAlign w:val="center"/>
          </w:tcPr>
          <w:p w14:paraId="0BDF87CD"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G O A</w:t>
            </w:r>
            <w:r>
              <w:rPr>
                <w:rFonts w:ascii="Century Gothic" w:eastAsia="Century Gothic" w:hAnsi="Century Gothic" w:cs="Century Gothic"/>
                <w:b/>
                <w:color w:val="F2F2F2"/>
              </w:rPr>
              <w:t xml:space="preserve"> L    1</w:t>
            </w:r>
          </w:p>
        </w:tc>
      </w:tr>
      <w:tr w:rsidR="00CC59AD" w14:paraId="24C158AB" w14:textId="77777777">
        <w:trPr>
          <w:trHeight w:val="100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DDF0F2"/>
            <w:vAlign w:val="center"/>
          </w:tcPr>
          <w:p w14:paraId="7E0519F2" w14:textId="77777777" w:rsidR="00CC59AD" w:rsidRDefault="00E56EBA" w:rsidP="008214B2">
            <w:pPr>
              <w:spacing w:after="0" w:line="240" w:lineRule="auto"/>
              <w:ind w:firstLine="240"/>
              <w:jc w:val="both"/>
              <w:rPr>
                <w:rFonts w:ascii="Book Antiqua" w:eastAsia="Book Antiqua" w:hAnsi="Book Antiqua" w:cs="Book Antiqua"/>
                <w:b/>
                <w:sz w:val="48"/>
                <w:szCs w:val="48"/>
              </w:rPr>
            </w:pPr>
            <w:r>
              <w:rPr>
                <w:rFonts w:ascii="Book Antiqua" w:eastAsia="Book Antiqua" w:hAnsi="Book Antiqua" w:cs="Book Antiqua"/>
                <w:b/>
                <w:sz w:val="48"/>
                <w:szCs w:val="48"/>
              </w:rPr>
              <w:t>Improve Brand Image</w:t>
            </w:r>
          </w:p>
        </w:tc>
      </w:tr>
      <w:tr w:rsidR="00CC59AD" w14:paraId="4B506641" w14:textId="77777777">
        <w:trPr>
          <w:trHeight w:val="1095"/>
        </w:trPr>
        <w:tc>
          <w:tcPr>
            <w:tcW w:w="3480" w:type="dxa"/>
            <w:tcBorders>
              <w:top w:val="nil"/>
              <w:left w:val="single" w:sz="4" w:space="0" w:color="58B6C0"/>
              <w:bottom w:val="single" w:sz="4" w:space="0" w:color="58B6C0"/>
              <w:right w:val="single" w:sz="4" w:space="0" w:color="58B6C0"/>
            </w:tcBorders>
            <w:shd w:val="clear" w:color="auto" w:fill="266066"/>
            <w:vAlign w:val="center"/>
          </w:tcPr>
          <w:p w14:paraId="2873666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ACTION DESCRIPTIONS</w:t>
            </w:r>
          </w:p>
        </w:tc>
        <w:tc>
          <w:tcPr>
            <w:tcW w:w="2490" w:type="dxa"/>
            <w:tcBorders>
              <w:top w:val="nil"/>
              <w:left w:val="nil"/>
              <w:bottom w:val="single" w:sz="4" w:space="0" w:color="58B6C0"/>
              <w:right w:val="single" w:sz="4" w:space="0" w:color="58B6C0"/>
            </w:tcBorders>
            <w:shd w:val="clear" w:color="auto" w:fill="266066"/>
            <w:vAlign w:val="center"/>
          </w:tcPr>
          <w:p w14:paraId="6E2D0FF4"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PARTY RESPONSIBLE</w:t>
            </w:r>
          </w:p>
        </w:tc>
        <w:tc>
          <w:tcPr>
            <w:tcW w:w="3540" w:type="dxa"/>
            <w:tcBorders>
              <w:top w:val="nil"/>
              <w:left w:val="nil"/>
              <w:bottom w:val="single" w:sz="4" w:space="0" w:color="58B6C0"/>
              <w:right w:val="single" w:sz="4" w:space="0" w:color="58B6C0"/>
            </w:tcBorders>
            <w:shd w:val="clear" w:color="auto" w:fill="266066"/>
            <w:vAlign w:val="center"/>
          </w:tcPr>
          <w:p w14:paraId="51C9F1D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DESIRED OUTCOME</w:t>
            </w:r>
          </w:p>
        </w:tc>
      </w:tr>
      <w:tr w:rsidR="00CC59AD" w14:paraId="0BC641CD"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666FA394"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Training for Staff &amp; Manager to mitigate situations that can go viral and hurt the companies brand image.</w:t>
            </w:r>
          </w:p>
        </w:tc>
        <w:tc>
          <w:tcPr>
            <w:tcW w:w="2490" w:type="dxa"/>
            <w:tcBorders>
              <w:top w:val="nil"/>
              <w:left w:val="nil"/>
              <w:bottom w:val="single" w:sz="4" w:space="0" w:color="58B6C0"/>
              <w:right w:val="single" w:sz="4" w:space="0" w:color="58B6C0"/>
            </w:tcBorders>
            <w:shd w:val="clear" w:color="auto" w:fill="auto"/>
            <w:vAlign w:val="center"/>
          </w:tcPr>
          <w:p w14:paraId="63E3480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Human Resource</w:t>
            </w:r>
          </w:p>
        </w:tc>
        <w:tc>
          <w:tcPr>
            <w:tcW w:w="3540" w:type="dxa"/>
            <w:tcBorders>
              <w:top w:val="nil"/>
              <w:left w:val="nil"/>
              <w:bottom w:val="single" w:sz="4" w:space="0" w:color="58B6C0"/>
              <w:right w:val="single" w:sz="4" w:space="0" w:color="58B6C0"/>
            </w:tcBorders>
            <w:shd w:val="clear" w:color="auto" w:fill="auto"/>
            <w:vAlign w:val="center"/>
          </w:tcPr>
          <w:p w14:paraId="214FC1B0"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The individuals working for the company will be able to minimize controversies surrounding the company online.</w:t>
            </w:r>
          </w:p>
        </w:tc>
      </w:tr>
      <w:tr w:rsidR="00CC59AD" w14:paraId="2E9FA8D8" w14:textId="77777777">
        <w:trPr>
          <w:trHeight w:val="360"/>
        </w:trPr>
        <w:tc>
          <w:tcPr>
            <w:tcW w:w="3480" w:type="dxa"/>
            <w:tcBorders>
              <w:top w:val="nil"/>
              <w:left w:val="single" w:sz="4" w:space="0" w:color="58B6C0"/>
              <w:bottom w:val="single" w:sz="4" w:space="0" w:color="58B6C0"/>
              <w:right w:val="single" w:sz="4" w:space="0" w:color="58B6C0"/>
            </w:tcBorders>
            <w:shd w:val="clear" w:color="auto" w:fill="DDF0F2"/>
            <w:vAlign w:val="center"/>
          </w:tcPr>
          <w:p w14:paraId="4FD7062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xml:space="preserve"> Cancelling Single </w:t>
            </w:r>
            <w:r w:rsidR="008214B2">
              <w:rPr>
                <w:rFonts w:ascii="Book Antiqua" w:eastAsia="Book Antiqua" w:hAnsi="Book Antiqua" w:cs="Book Antiqua"/>
              </w:rPr>
              <w:t>Plastic</w:t>
            </w:r>
            <w:r>
              <w:rPr>
                <w:rFonts w:ascii="Book Antiqua" w:eastAsia="Book Antiqua" w:hAnsi="Book Antiqua" w:cs="Book Antiqua"/>
              </w:rPr>
              <w:t xml:space="preserve"> use</w:t>
            </w:r>
          </w:p>
        </w:tc>
        <w:tc>
          <w:tcPr>
            <w:tcW w:w="2490" w:type="dxa"/>
            <w:tcBorders>
              <w:top w:val="nil"/>
              <w:left w:val="nil"/>
              <w:bottom w:val="single" w:sz="4" w:space="0" w:color="58B6C0"/>
              <w:right w:val="single" w:sz="4" w:space="0" w:color="58B6C0"/>
            </w:tcBorders>
            <w:shd w:val="clear" w:color="auto" w:fill="DDF0F2"/>
            <w:vAlign w:val="center"/>
          </w:tcPr>
          <w:p w14:paraId="0714C8B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Regional Manager</w:t>
            </w:r>
          </w:p>
        </w:tc>
        <w:tc>
          <w:tcPr>
            <w:tcW w:w="3540" w:type="dxa"/>
            <w:tcBorders>
              <w:top w:val="nil"/>
              <w:left w:val="nil"/>
              <w:bottom w:val="single" w:sz="4" w:space="0" w:color="58B6C0"/>
              <w:right w:val="single" w:sz="4" w:space="0" w:color="58B6C0"/>
            </w:tcBorders>
            <w:shd w:val="clear" w:color="auto" w:fill="DDF0F2"/>
            <w:vAlign w:val="center"/>
          </w:tcPr>
          <w:p w14:paraId="4365ACB6"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This could help the company get the good-will of individuals concerned about the climate.</w:t>
            </w:r>
          </w:p>
        </w:tc>
      </w:tr>
      <w:tr w:rsidR="00CC59AD" w14:paraId="4D92E82F"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3E1D416F"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A Marketing campaign to associate the brand with quality while maintaining superior pricing.</w:t>
            </w:r>
          </w:p>
        </w:tc>
        <w:tc>
          <w:tcPr>
            <w:tcW w:w="2490" w:type="dxa"/>
            <w:tcBorders>
              <w:top w:val="nil"/>
              <w:left w:val="nil"/>
              <w:bottom w:val="single" w:sz="4" w:space="0" w:color="58B6C0"/>
              <w:right w:val="single" w:sz="4" w:space="0" w:color="58B6C0"/>
            </w:tcBorders>
            <w:shd w:val="clear" w:color="auto" w:fill="auto"/>
            <w:vAlign w:val="center"/>
          </w:tcPr>
          <w:p w14:paraId="0364066F"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Marketing Manager</w:t>
            </w:r>
          </w:p>
        </w:tc>
        <w:tc>
          <w:tcPr>
            <w:tcW w:w="3540" w:type="dxa"/>
            <w:tcBorders>
              <w:top w:val="nil"/>
              <w:left w:val="nil"/>
              <w:bottom w:val="single" w:sz="4" w:space="0" w:color="58B6C0"/>
              <w:right w:val="single" w:sz="4" w:space="0" w:color="58B6C0"/>
            </w:tcBorders>
            <w:shd w:val="clear" w:color="auto" w:fill="auto"/>
            <w:vAlign w:val="center"/>
          </w:tcPr>
          <w:p w14:paraId="2F579243"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Change the Brand image</w:t>
            </w:r>
          </w:p>
        </w:tc>
      </w:tr>
      <w:tr w:rsidR="00CC59AD" w14:paraId="2D99F6BC"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17E236B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Product Quality</w:t>
            </w:r>
          </w:p>
        </w:tc>
        <w:tc>
          <w:tcPr>
            <w:tcW w:w="2490" w:type="dxa"/>
            <w:tcBorders>
              <w:top w:val="nil"/>
              <w:left w:val="nil"/>
              <w:bottom w:val="single" w:sz="4" w:space="0" w:color="58B6C0"/>
              <w:right w:val="single" w:sz="4" w:space="0" w:color="58B6C0"/>
            </w:tcBorders>
            <w:shd w:val="clear" w:color="auto" w:fill="auto"/>
            <w:vAlign w:val="center"/>
          </w:tcPr>
          <w:p w14:paraId="5C5A6DBD"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Production Manager</w:t>
            </w:r>
          </w:p>
        </w:tc>
        <w:tc>
          <w:tcPr>
            <w:tcW w:w="3540" w:type="dxa"/>
            <w:tcBorders>
              <w:top w:val="nil"/>
              <w:left w:val="nil"/>
              <w:bottom w:val="single" w:sz="4" w:space="0" w:color="58B6C0"/>
              <w:right w:val="single" w:sz="4" w:space="0" w:color="58B6C0"/>
            </w:tcBorders>
            <w:shd w:val="clear" w:color="auto" w:fill="auto"/>
            <w:vAlign w:val="center"/>
          </w:tcPr>
          <w:p w14:paraId="1430C248"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It will aid the marketing campaign’s claim of quality</w:t>
            </w:r>
          </w:p>
        </w:tc>
      </w:tr>
      <w:tr w:rsidR="00CC59AD" w14:paraId="101B9E62" w14:textId="77777777">
        <w:trPr>
          <w:trHeight w:val="48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316857"/>
            <w:vAlign w:val="center"/>
          </w:tcPr>
          <w:p w14:paraId="069B5514"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G O A L    2</w:t>
            </w:r>
          </w:p>
        </w:tc>
      </w:tr>
      <w:tr w:rsidR="00CC59AD" w14:paraId="735F8F86" w14:textId="77777777">
        <w:trPr>
          <w:trHeight w:val="1000"/>
        </w:trPr>
        <w:tc>
          <w:tcPr>
            <w:tcW w:w="9510" w:type="dxa"/>
            <w:gridSpan w:val="3"/>
            <w:tcBorders>
              <w:top w:val="single" w:sz="4" w:space="0" w:color="58B6C0"/>
              <w:left w:val="single" w:sz="4" w:space="0" w:color="58B6C0"/>
              <w:bottom w:val="single" w:sz="4" w:space="0" w:color="58B6C0"/>
              <w:right w:val="single" w:sz="4" w:space="0" w:color="58B6C0"/>
            </w:tcBorders>
            <w:shd w:val="clear" w:color="auto" w:fill="E2F1ED"/>
            <w:vAlign w:val="center"/>
          </w:tcPr>
          <w:p w14:paraId="0E97DF56" w14:textId="77777777" w:rsidR="00CC59AD" w:rsidRDefault="00E56EBA" w:rsidP="008214B2">
            <w:pPr>
              <w:spacing w:after="0" w:line="240" w:lineRule="auto"/>
              <w:ind w:firstLine="240"/>
              <w:jc w:val="both"/>
              <w:rPr>
                <w:rFonts w:ascii="Book Antiqua" w:eastAsia="Book Antiqua" w:hAnsi="Book Antiqua" w:cs="Book Antiqua"/>
                <w:b/>
                <w:sz w:val="48"/>
                <w:szCs w:val="48"/>
              </w:rPr>
            </w:pPr>
            <w:r>
              <w:rPr>
                <w:rFonts w:ascii="Book Antiqua" w:eastAsia="Book Antiqua" w:hAnsi="Book Antiqua" w:cs="Book Antiqua"/>
                <w:b/>
                <w:sz w:val="48"/>
                <w:szCs w:val="48"/>
              </w:rPr>
              <w:t>Increase Market Share</w:t>
            </w:r>
          </w:p>
        </w:tc>
      </w:tr>
      <w:tr w:rsidR="00CC59AD" w14:paraId="72543F83" w14:textId="77777777">
        <w:trPr>
          <w:trHeight w:val="720"/>
        </w:trPr>
        <w:tc>
          <w:tcPr>
            <w:tcW w:w="3480" w:type="dxa"/>
            <w:tcBorders>
              <w:top w:val="nil"/>
              <w:left w:val="single" w:sz="4" w:space="0" w:color="58B6C0"/>
              <w:bottom w:val="single" w:sz="4" w:space="0" w:color="58B6C0"/>
              <w:right w:val="single" w:sz="4" w:space="0" w:color="58B6C0"/>
            </w:tcBorders>
            <w:shd w:val="clear" w:color="auto" w:fill="316857"/>
            <w:vAlign w:val="center"/>
          </w:tcPr>
          <w:p w14:paraId="34120B1B"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ACTION STEP DESCRIPTIONS</w:t>
            </w:r>
          </w:p>
        </w:tc>
        <w:tc>
          <w:tcPr>
            <w:tcW w:w="2490" w:type="dxa"/>
            <w:tcBorders>
              <w:top w:val="nil"/>
              <w:left w:val="nil"/>
              <w:bottom w:val="single" w:sz="4" w:space="0" w:color="58B6C0"/>
              <w:right w:val="single" w:sz="4" w:space="0" w:color="58B6C0"/>
            </w:tcBorders>
            <w:shd w:val="clear" w:color="auto" w:fill="316857"/>
            <w:vAlign w:val="center"/>
          </w:tcPr>
          <w:p w14:paraId="3340D55D"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PARTY RESPONSIBLE</w:t>
            </w:r>
          </w:p>
        </w:tc>
        <w:tc>
          <w:tcPr>
            <w:tcW w:w="3540" w:type="dxa"/>
            <w:tcBorders>
              <w:top w:val="nil"/>
              <w:left w:val="nil"/>
              <w:bottom w:val="single" w:sz="4" w:space="0" w:color="58B6C0"/>
              <w:right w:val="single" w:sz="4" w:space="0" w:color="58B6C0"/>
            </w:tcBorders>
            <w:shd w:val="clear" w:color="auto" w:fill="316857"/>
            <w:vAlign w:val="center"/>
          </w:tcPr>
          <w:p w14:paraId="5946205C" w14:textId="77777777" w:rsidR="00CC59AD" w:rsidRDefault="00E56EBA" w:rsidP="008214B2">
            <w:pPr>
              <w:spacing w:after="0" w:line="240" w:lineRule="auto"/>
              <w:jc w:val="both"/>
              <w:rPr>
                <w:rFonts w:ascii="Century Gothic" w:eastAsia="Century Gothic" w:hAnsi="Century Gothic" w:cs="Century Gothic"/>
                <w:b/>
                <w:color w:val="F2F2F2"/>
              </w:rPr>
            </w:pPr>
            <w:r>
              <w:rPr>
                <w:rFonts w:ascii="Century Gothic" w:eastAsia="Century Gothic" w:hAnsi="Century Gothic" w:cs="Century Gothic"/>
                <w:b/>
                <w:color w:val="F2F2F2"/>
              </w:rPr>
              <w:t>DESIRED OUTCOME</w:t>
            </w:r>
          </w:p>
        </w:tc>
      </w:tr>
      <w:tr w:rsidR="00CC59AD" w14:paraId="6F0B98BF" w14:textId="77777777">
        <w:trPr>
          <w:trHeight w:val="360"/>
        </w:trPr>
        <w:tc>
          <w:tcPr>
            <w:tcW w:w="3480" w:type="dxa"/>
            <w:tcBorders>
              <w:top w:val="nil"/>
              <w:left w:val="single" w:sz="4" w:space="0" w:color="58B6C0"/>
              <w:bottom w:val="single" w:sz="4" w:space="0" w:color="58B6C0"/>
              <w:right w:val="single" w:sz="4" w:space="0" w:color="58B6C0"/>
            </w:tcBorders>
            <w:shd w:val="clear" w:color="auto" w:fill="auto"/>
            <w:vAlign w:val="center"/>
          </w:tcPr>
          <w:p w14:paraId="2515797B"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lastRenderedPageBreak/>
              <w:t> Improve Brand Image</w:t>
            </w:r>
          </w:p>
        </w:tc>
        <w:tc>
          <w:tcPr>
            <w:tcW w:w="2490" w:type="dxa"/>
            <w:tcBorders>
              <w:top w:val="nil"/>
              <w:left w:val="nil"/>
              <w:bottom w:val="single" w:sz="4" w:space="0" w:color="58B6C0"/>
              <w:right w:val="single" w:sz="4" w:space="0" w:color="58B6C0"/>
            </w:tcBorders>
            <w:shd w:val="clear" w:color="auto" w:fill="auto"/>
            <w:vAlign w:val="center"/>
          </w:tcPr>
          <w:p w14:paraId="43E224F2"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Human Resource</w:t>
            </w:r>
          </w:p>
          <w:p w14:paraId="55B039C5"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 xml:space="preserve"> Regional Manager </w:t>
            </w:r>
          </w:p>
          <w:p w14:paraId="64A51CF2"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Marketing Manager</w:t>
            </w:r>
          </w:p>
          <w:p w14:paraId="2D545CB6" w14:textId="77777777" w:rsidR="00CC59AD" w:rsidRDefault="00E56EBA" w:rsidP="008214B2">
            <w:pPr>
              <w:numPr>
                <w:ilvl w:val="0"/>
                <w:numId w:val="7"/>
              </w:numPr>
              <w:spacing w:after="0" w:line="240" w:lineRule="auto"/>
              <w:jc w:val="both"/>
              <w:rPr>
                <w:rFonts w:ascii="Book Antiqua" w:eastAsia="Book Antiqua" w:hAnsi="Book Antiqua" w:cs="Book Antiqua"/>
              </w:rPr>
            </w:pPr>
            <w:r>
              <w:rPr>
                <w:rFonts w:ascii="Book Antiqua" w:eastAsia="Book Antiqua" w:hAnsi="Book Antiqua" w:cs="Book Antiqua"/>
              </w:rPr>
              <w:t>Production Manager </w:t>
            </w:r>
          </w:p>
        </w:tc>
        <w:tc>
          <w:tcPr>
            <w:tcW w:w="3540" w:type="dxa"/>
            <w:tcBorders>
              <w:top w:val="nil"/>
              <w:left w:val="nil"/>
              <w:bottom w:val="single" w:sz="4" w:space="0" w:color="58B6C0"/>
              <w:right w:val="single" w:sz="4" w:space="0" w:color="58B6C0"/>
            </w:tcBorders>
            <w:shd w:val="clear" w:color="auto" w:fill="auto"/>
            <w:vAlign w:val="center"/>
          </w:tcPr>
          <w:p w14:paraId="18758212"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 Better Brand Image will lead to better sales</w:t>
            </w:r>
          </w:p>
        </w:tc>
      </w:tr>
      <w:tr w:rsidR="00CC59AD" w14:paraId="44085D10" w14:textId="77777777">
        <w:trPr>
          <w:trHeight w:val="360"/>
        </w:trPr>
        <w:tc>
          <w:tcPr>
            <w:tcW w:w="3480" w:type="dxa"/>
            <w:tcBorders>
              <w:top w:val="nil"/>
              <w:left w:val="single" w:sz="4" w:space="0" w:color="58B6C0"/>
              <w:bottom w:val="single" w:sz="4" w:space="0" w:color="58B6C0"/>
              <w:right w:val="single" w:sz="4" w:space="0" w:color="58B6C0"/>
            </w:tcBorders>
            <w:shd w:val="clear" w:color="auto" w:fill="DDF0F2"/>
            <w:vAlign w:val="center"/>
          </w:tcPr>
          <w:p w14:paraId="2AEFB7AC"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E-commerce site</w:t>
            </w:r>
          </w:p>
        </w:tc>
        <w:tc>
          <w:tcPr>
            <w:tcW w:w="2490" w:type="dxa"/>
            <w:tcBorders>
              <w:top w:val="nil"/>
              <w:left w:val="nil"/>
              <w:bottom w:val="single" w:sz="4" w:space="0" w:color="58B6C0"/>
              <w:right w:val="single" w:sz="4" w:space="0" w:color="58B6C0"/>
            </w:tcBorders>
            <w:shd w:val="clear" w:color="auto" w:fill="DDF0F2"/>
            <w:vAlign w:val="center"/>
          </w:tcPr>
          <w:p w14:paraId="496604B2"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IT Manager</w:t>
            </w:r>
          </w:p>
        </w:tc>
        <w:tc>
          <w:tcPr>
            <w:tcW w:w="3540" w:type="dxa"/>
            <w:tcBorders>
              <w:top w:val="nil"/>
              <w:left w:val="nil"/>
              <w:bottom w:val="single" w:sz="4" w:space="0" w:color="58B6C0"/>
              <w:right w:val="single" w:sz="4" w:space="0" w:color="58B6C0"/>
            </w:tcBorders>
            <w:shd w:val="clear" w:color="auto" w:fill="DDF0F2"/>
            <w:vAlign w:val="center"/>
          </w:tcPr>
          <w:p w14:paraId="69CEF7E1" w14:textId="77777777" w:rsidR="00CC59AD" w:rsidRDefault="00E56EBA" w:rsidP="008214B2">
            <w:pPr>
              <w:spacing w:after="0" w:line="240" w:lineRule="auto"/>
              <w:ind w:firstLine="240"/>
              <w:jc w:val="both"/>
              <w:rPr>
                <w:rFonts w:ascii="Book Antiqua" w:eastAsia="Book Antiqua" w:hAnsi="Book Antiqua" w:cs="Book Antiqua"/>
              </w:rPr>
            </w:pPr>
            <w:r>
              <w:rPr>
                <w:rFonts w:ascii="Book Antiqua" w:eastAsia="Book Antiqua" w:hAnsi="Book Antiqua" w:cs="Book Antiqua"/>
              </w:rPr>
              <w:t>Improve flow of online traffic</w:t>
            </w:r>
          </w:p>
        </w:tc>
      </w:tr>
    </w:tbl>
    <w:p w14:paraId="0FE6FEFD" w14:textId="77777777" w:rsidR="00CC59AD" w:rsidRDefault="00E56EBA" w:rsidP="008214B2">
      <w:pPr>
        <w:spacing w:after="0" w:line="240" w:lineRule="auto"/>
        <w:jc w:val="both"/>
        <w:rPr>
          <w:i/>
        </w:rPr>
      </w:pPr>
      <w:r>
        <w:rPr>
          <w:i/>
        </w:rPr>
        <w:t>Table.3 Action Plan</w:t>
      </w:r>
    </w:p>
    <w:p w14:paraId="2BD0F106" w14:textId="77777777" w:rsidR="00CC59AD" w:rsidRDefault="00E56EBA" w:rsidP="008214B2">
      <w:pPr>
        <w:pStyle w:val="Heading1"/>
        <w:jc w:val="both"/>
      </w:pPr>
      <w:bookmarkStart w:id="17" w:name="_dhi3tm60gk22" w:colFirst="0" w:colLast="0"/>
      <w:bookmarkEnd w:id="17"/>
      <w:r>
        <w:t>Conclusion</w:t>
      </w:r>
    </w:p>
    <w:p w14:paraId="09BB471A" w14:textId="77777777" w:rsidR="00CC59AD" w:rsidRDefault="00E56EBA" w:rsidP="008214B2">
      <w:pPr>
        <w:jc w:val="both"/>
      </w:pPr>
      <w:r>
        <w:t xml:space="preserve">If the company is able to provide adequate training for employees, cancel single use </w:t>
      </w:r>
      <w:r w:rsidR="008214B2">
        <w:t>plastic</w:t>
      </w:r>
      <w:r>
        <w:t>, employ an effective marketing campaign &amp; improve product quality it can improve its brand image. If this improved brand image is accommodated with a superior onli</w:t>
      </w:r>
      <w:r>
        <w:t>ne experience, ASDA can optimize the flow of traffic online which will help optimise ecommerce sales, helping it consolidate a larger market share.</w:t>
      </w:r>
    </w:p>
    <w:p w14:paraId="70A374B4" w14:textId="77777777" w:rsidR="00CC59AD" w:rsidRDefault="00CC59AD" w:rsidP="008214B2">
      <w:pPr>
        <w:jc w:val="both"/>
      </w:pPr>
    </w:p>
    <w:p w14:paraId="49C10970" w14:textId="77777777" w:rsidR="00CC59AD" w:rsidRDefault="00E56EBA" w:rsidP="008214B2">
      <w:pPr>
        <w:pStyle w:val="Heading1"/>
        <w:jc w:val="both"/>
        <w:rPr>
          <w:rFonts w:ascii="Times New Roman" w:eastAsia="Times New Roman" w:hAnsi="Times New Roman" w:cs="Times New Roman"/>
          <w:color w:val="000000"/>
          <w:sz w:val="34"/>
          <w:szCs w:val="34"/>
        </w:rPr>
      </w:pPr>
      <w:bookmarkStart w:id="18" w:name="_l6nm4rhsnz6k" w:colFirst="0" w:colLast="0"/>
      <w:bookmarkEnd w:id="18"/>
      <w:r>
        <w:t>Reference</w:t>
      </w:r>
    </w:p>
    <w:p w14:paraId="0D93E4D5" w14:textId="77777777" w:rsidR="00CC59AD" w:rsidRDefault="00E56EBA" w:rsidP="008214B2">
      <w:pPr>
        <w:numPr>
          <w:ilvl w:val="0"/>
          <w:numId w:val="5"/>
        </w:numPr>
        <w:spacing w:after="0"/>
        <w:jc w:val="both"/>
      </w:pPr>
      <w:r>
        <w:t xml:space="preserve">Armstrong, M., 2020. </w:t>
      </w:r>
      <w:r>
        <w:rPr>
          <w:i/>
        </w:rPr>
        <w:t xml:space="preserve">How Brexit Deal Affects EU Citizens Living </w:t>
      </w:r>
      <w:proofErr w:type="gramStart"/>
      <w:r>
        <w:rPr>
          <w:i/>
        </w:rPr>
        <w:t>In</w:t>
      </w:r>
      <w:proofErr w:type="gramEnd"/>
      <w:r>
        <w:rPr>
          <w:i/>
        </w:rPr>
        <w:t xml:space="preserve"> The UK</w:t>
      </w:r>
      <w:r>
        <w:t xml:space="preserve">. [online] </w:t>
      </w:r>
      <w:proofErr w:type="spellStart"/>
      <w:r>
        <w:t>euronews</w:t>
      </w:r>
      <w:proofErr w:type="spellEnd"/>
      <w:r>
        <w:t>. Ava</w:t>
      </w:r>
      <w:r>
        <w:t>ilable at: &lt;https://www.euronews.com/2019/10/30/brexit-draft-agreement-what-eu-citizens-living-in-the-uk-need-to-know&gt; [Accessed 13 March 2020].</w:t>
      </w:r>
    </w:p>
    <w:p w14:paraId="7DBE7C5E" w14:textId="77777777" w:rsidR="00CC59AD" w:rsidRDefault="00E56EBA" w:rsidP="008214B2">
      <w:pPr>
        <w:numPr>
          <w:ilvl w:val="0"/>
          <w:numId w:val="5"/>
        </w:numPr>
        <w:spacing w:after="0"/>
        <w:jc w:val="both"/>
      </w:pPr>
      <w:r>
        <w:t xml:space="preserve">Butler, S., 2019. </w:t>
      </w:r>
      <w:r>
        <w:rPr>
          <w:i/>
        </w:rPr>
        <w:t xml:space="preserve">Half </w:t>
      </w:r>
      <w:proofErr w:type="gramStart"/>
      <w:r>
        <w:rPr>
          <w:i/>
        </w:rPr>
        <w:t>Of</w:t>
      </w:r>
      <w:proofErr w:type="gramEnd"/>
      <w:r>
        <w:rPr>
          <w:i/>
        </w:rPr>
        <w:t xml:space="preserve"> UK Retail Sales Will Be Online Within 10 Years, Report Predicts</w:t>
      </w:r>
      <w:r>
        <w:t>. [online] the Guardia</w:t>
      </w:r>
      <w:r>
        <w:t>n. Available at: &lt;https://www.theguardian.com/business/2019/jul/09/half-of-uk-retail-sales-will-be-online-within-10-years-report-predicts&gt; [Accessed 13 March 2020].</w:t>
      </w:r>
    </w:p>
    <w:p w14:paraId="0FB61CCF" w14:textId="77777777" w:rsidR="00CC59AD" w:rsidRDefault="00E56EBA" w:rsidP="008214B2">
      <w:pPr>
        <w:numPr>
          <w:ilvl w:val="0"/>
          <w:numId w:val="5"/>
        </w:numPr>
        <w:spacing w:after="0"/>
        <w:jc w:val="both"/>
      </w:pPr>
      <w:r>
        <w:lastRenderedPageBreak/>
        <w:t xml:space="preserve">Coates, S., </w:t>
      </w:r>
      <w:proofErr w:type="spellStart"/>
      <w:r>
        <w:t>Tanna</w:t>
      </w:r>
      <w:proofErr w:type="spellEnd"/>
      <w:r>
        <w:t xml:space="preserve">, P. and Allen, E., 2019. </w:t>
      </w:r>
      <w:r>
        <w:rPr>
          <w:i/>
        </w:rPr>
        <w:t xml:space="preserve">Overview </w:t>
      </w:r>
      <w:proofErr w:type="gramStart"/>
      <w:r>
        <w:rPr>
          <w:i/>
        </w:rPr>
        <w:t>Of</w:t>
      </w:r>
      <w:proofErr w:type="gramEnd"/>
      <w:r>
        <w:rPr>
          <w:i/>
        </w:rPr>
        <w:t xml:space="preserve"> The UK Population - Office For Natio</w:t>
      </w:r>
      <w:r>
        <w:rPr>
          <w:i/>
        </w:rPr>
        <w:t>nal Statistics</w:t>
      </w:r>
      <w:r>
        <w:t>. [online] Ons.gov.uk. Available at: &lt;https://www.ons.gov.uk/peoplepopulationandcommunity/populationandmigration/populationestimates/articles/overviewoftheukpopulation/august2019&gt; [Accessed 13 March 2020].</w:t>
      </w:r>
    </w:p>
    <w:p w14:paraId="587BF203" w14:textId="77777777" w:rsidR="00CC59AD" w:rsidRDefault="00E56EBA" w:rsidP="008214B2">
      <w:pPr>
        <w:numPr>
          <w:ilvl w:val="0"/>
          <w:numId w:val="5"/>
        </w:numPr>
        <w:spacing w:after="0"/>
        <w:jc w:val="both"/>
      </w:pPr>
      <w:r>
        <w:t xml:space="preserve">Davey, J., 2019. </w:t>
      </w:r>
      <w:r>
        <w:rPr>
          <w:i/>
        </w:rPr>
        <w:t>Britain's Asda Blam</w:t>
      </w:r>
      <w:r>
        <w:rPr>
          <w:i/>
        </w:rPr>
        <w:t xml:space="preserve">es Brexit Uncertainty </w:t>
      </w:r>
      <w:proofErr w:type="gramStart"/>
      <w:r>
        <w:rPr>
          <w:i/>
        </w:rPr>
        <w:t>For</w:t>
      </w:r>
      <w:proofErr w:type="gramEnd"/>
      <w:r>
        <w:rPr>
          <w:i/>
        </w:rPr>
        <w:t xml:space="preserve"> Sales Dip</w:t>
      </w:r>
      <w:r>
        <w:t>. [online] Reuters. Available at: &lt;https://www.reuters.com/article/us-asda-outlook/britains-asda-blames-brexit-uncertainty-for-sales-dip-idUSKBN1XO1XQ&gt; [Accessed 13 March 2020].</w:t>
      </w:r>
    </w:p>
    <w:p w14:paraId="26003B80" w14:textId="77777777" w:rsidR="00CC59AD" w:rsidRDefault="00E56EBA" w:rsidP="008214B2">
      <w:pPr>
        <w:numPr>
          <w:ilvl w:val="0"/>
          <w:numId w:val="5"/>
        </w:numPr>
        <w:spacing w:after="0"/>
        <w:jc w:val="both"/>
      </w:pPr>
      <w:r>
        <w:t xml:space="preserve">Ecommerce News. 2020. </w:t>
      </w:r>
      <w:r>
        <w:rPr>
          <w:i/>
        </w:rPr>
        <w:t xml:space="preserve">Ecommerce </w:t>
      </w:r>
      <w:proofErr w:type="gramStart"/>
      <w:r>
        <w:rPr>
          <w:i/>
        </w:rPr>
        <w:t>In</w:t>
      </w:r>
      <w:proofErr w:type="gramEnd"/>
      <w:r>
        <w:rPr>
          <w:i/>
        </w:rPr>
        <w:t xml:space="preserve"> UK Grew </w:t>
      </w:r>
      <w:r>
        <w:rPr>
          <w:i/>
        </w:rPr>
        <w:t>6.7% In 2019</w:t>
      </w:r>
      <w:r>
        <w:t>. [online] Available at: &lt;https://ecommercenews.eu/ecommerce-in-uk-grew-6-7-in-2019/&gt; [Accessed 13 March 2020].</w:t>
      </w:r>
    </w:p>
    <w:p w14:paraId="71F7723E" w14:textId="77777777" w:rsidR="00CC59AD" w:rsidRDefault="00E56EBA" w:rsidP="008214B2">
      <w:pPr>
        <w:numPr>
          <w:ilvl w:val="0"/>
          <w:numId w:val="5"/>
        </w:numPr>
        <w:spacing w:after="0"/>
        <w:jc w:val="both"/>
      </w:pPr>
      <w:r>
        <w:t xml:space="preserve">Hammett, E., 2018. </w:t>
      </w:r>
      <w:r>
        <w:rPr>
          <w:i/>
        </w:rPr>
        <w:t xml:space="preserve">The Branding Conundrum: Balancing Sainsbury's Quality Messaging </w:t>
      </w:r>
      <w:proofErr w:type="gramStart"/>
      <w:r>
        <w:rPr>
          <w:i/>
        </w:rPr>
        <w:t>With</w:t>
      </w:r>
      <w:proofErr w:type="gramEnd"/>
      <w:r>
        <w:rPr>
          <w:i/>
        </w:rPr>
        <w:t xml:space="preserve"> Asda's Focus On Value</w:t>
      </w:r>
      <w:r>
        <w:t>. [online] Marketing We</w:t>
      </w:r>
      <w:r>
        <w:t>ek. Available at: &lt;https://www.marketingweek.com/branding-conundrum-sainsburys-and-asda-merger/&gt; [Accessed 13 March 2020].</w:t>
      </w:r>
    </w:p>
    <w:p w14:paraId="3CE69F12" w14:textId="77777777" w:rsidR="00CC59AD" w:rsidRDefault="00E56EBA" w:rsidP="008214B2">
      <w:pPr>
        <w:numPr>
          <w:ilvl w:val="0"/>
          <w:numId w:val="5"/>
        </w:numPr>
        <w:spacing w:after="0"/>
        <w:jc w:val="both"/>
      </w:pPr>
      <w:r>
        <w:t xml:space="preserve">Kantar. 2020. </w:t>
      </w:r>
      <w:r>
        <w:rPr>
          <w:i/>
        </w:rPr>
        <w:t>Grocery Market Share - Kantar</w:t>
      </w:r>
      <w:r>
        <w:t>. [online] Available at: &lt;https://www.kantarworldpanel.com/en/grocery-market-share/great-b</w:t>
      </w:r>
      <w:r>
        <w:t>ritain&gt; [Accessed 13 March 2020].</w:t>
      </w:r>
    </w:p>
    <w:p w14:paraId="76715AC4" w14:textId="77777777" w:rsidR="00CC59AD" w:rsidRDefault="00E56EBA" w:rsidP="008214B2">
      <w:pPr>
        <w:numPr>
          <w:ilvl w:val="0"/>
          <w:numId w:val="5"/>
        </w:numPr>
        <w:spacing w:after="0"/>
        <w:jc w:val="both"/>
      </w:pPr>
      <w:r>
        <w:t xml:space="preserve">O'Malley, K., 2019. </w:t>
      </w:r>
      <w:r>
        <w:rPr>
          <w:i/>
        </w:rPr>
        <w:t xml:space="preserve">Asda To Cut Back Single-Use Plastic Carrier Bags </w:t>
      </w:r>
      <w:proofErr w:type="gramStart"/>
      <w:r>
        <w:rPr>
          <w:i/>
        </w:rPr>
        <w:t>From</w:t>
      </w:r>
      <w:proofErr w:type="gramEnd"/>
      <w:r>
        <w:rPr>
          <w:i/>
        </w:rPr>
        <w:t xml:space="preserve"> Online Orders</w:t>
      </w:r>
      <w:r>
        <w:t>. [online] The Independent. Available at: &lt;https://www.independent.co.uk/life-style/asda-plastic-bag-ban-online-orders-shopping-polluti</w:t>
      </w:r>
      <w:r>
        <w:t>on-environment-a8993026.html&gt; [Accessed 13 March 2020].</w:t>
      </w:r>
    </w:p>
    <w:p w14:paraId="75B3FA40" w14:textId="77777777" w:rsidR="00CC59AD" w:rsidRDefault="00E56EBA" w:rsidP="008214B2">
      <w:pPr>
        <w:numPr>
          <w:ilvl w:val="0"/>
          <w:numId w:val="5"/>
        </w:numPr>
        <w:spacing w:after="0"/>
        <w:jc w:val="both"/>
      </w:pPr>
      <w:r>
        <w:t xml:space="preserve">Taylor, M., 2019. </w:t>
      </w:r>
      <w:r>
        <w:rPr>
          <w:i/>
        </w:rPr>
        <w:t>Climate Crisis Seen As 'Most Important Issue' By Public, Poll Shows</w:t>
      </w:r>
      <w:r>
        <w:t xml:space="preserve">. [online] the Guardian. Available at: </w:t>
      </w:r>
      <w:r>
        <w:lastRenderedPageBreak/>
        <w:t>&lt;https://www.theguardian.com/environment/2019/sep/18/climate-crisis-seen-as-</w:t>
      </w:r>
      <w:r>
        <w:t>most-important-issue-by-public-poll-shows&gt; [Accessed 13 March 2020].</w:t>
      </w:r>
    </w:p>
    <w:p w14:paraId="14945C91" w14:textId="77777777" w:rsidR="00CC59AD" w:rsidRDefault="00E56EBA" w:rsidP="008214B2">
      <w:pPr>
        <w:numPr>
          <w:ilvl w:val="0"/>
          <w:numId w:val="5"/>
        </w:numPr>
        <w:spacing w:after="0"/>
        <w:jc w:val="both"/>
      </w:pPr>
      <w:r>
        <w:t xml:space="preserve">Wood, Z., 2019. </w:t>
      </w:r>
      <w:r>
        <w:rPr>
          <w:i/>
        </w:rPr>
        <w:t xml:space="preserve">Sainsbury's-Asda Merger Blocked </w:t>
      </w:r>
      <w:proofErr w:type="gramStart"/>
      <w:r>
        <w:rPr>
          <w:i/>
        </w:rPr>
        <w:t>By</w:t>
      </w:r>
      <w:proofErr w:type="gramEnd"/>
      <w:r>
        <w:rPr>
          <w:i/>
        </w:rPr>
        <w:t xml:space="preserve"> Competition Watchdog</w:t>
      </w:r>
      <w:r>
        <w:t>. [online] The Guardian. Available at: &lt;https://www.theguardian.com/business/2019/apr/25/sainsburys-asda-merger-bloc</w:t>
      </w:r>
      <w:r>
        <w:t>ked-by-competition-watchdog&gt; [Accessed 13 March 2020].</w:t>
      </w:r>
    </w:p>
    <w:p w14:paraId="1AAFEF22" w14:textId="77777777" w:rsidR="00CC59AD" w:rsidRDefault="00E56EBA" w:rsidP="008214B2">
      <w:pPr>
        <w:numPr>
          <w:ilvl w:val="0"/>
          <w:numId w:val="5"/>
        </w:numPr>
        <w:spacing w:after="0"/>
        <w:jc w:val="both"/>
      </w:pPr>
      <w:r>
        <w:t xml:space="preserve">Wright, G., 2019. </w:t>
      </w:r>
      <w:r>
        <w:rPr>
          <w:i/>
        </w:rPr>
        <w:t>Shoppers Boycott Asda Over Staff Contract Dispute - Retail Gazette</w:t>
      </w:r>
      <w:r>
        <w:t>. [online] Retail Gazette. Available at: &lt;https://www.retailgazette.co.uk/blog/2019/11/asda-contract-boycott-workers-jobs-risk-termination/&gt; [Accessed 13 March 2020].</w:t>
      </w:r>
    </w:p>
    <w:p w14:paraId="6A75B7A0" w14:textId="77777777" w:rsidR="00CC59AD" w:rsidRDefault="00E56EBA" w:rsidP="008214B2">
      <w:pPr>
        <w:numPr>
          <w:ilvl w:val="0"/>
          <w:numId w:val="5"/>
        </w:numPr>
        <w:spacing w:after="0"/>
        <w:jc w:val="both"/>
      </w:pPr>
      <w:r>
        <w:t xml:space="preserve">Wunsch, N., 2019. </w:t>
      </w:r>
      <w:r>
        <w:rPr>
          <w:i/>
        </w:rPr>
        <w:t xml:space="preserve">Asda To Cut Back Single-Use Plastic Carrier Bags </w:t>
      </w:r>
      <w:proofErr w:type="gramStart"/>
      <w:r>
        <w:rPr>
          <w:i/>
        </w:rPr>
        <w:t>From</w:t>
      </w:r>
      <w:proofErr w:type="gramEnd"/>
      <w:r>
        <w:rPr>
          <w:i/>
        </w:rPr>
        <w:t xml:space="preserve"> Online Orders</w:t>
      </w:r>
      <w:r>
        <w:t>. [o</w:t>
      </w:r>
      <w:r>
        <w:t>nline] The Independent. Available at: &lt;https://www.independent.co.uk/life-style/asda-plastic-bag-ban-online-orders-shopping-pollution-environment-a8993026.html&gt; [Accessed 13 March 2020].</w:t>
      </w:r>
    </w:p>
    <w:p w14:paraId="411271E2" w14:textId="77777777" w:rsidR="00CC59AD" w:rsidRDefault="00E56EBA" w:rsidP="008214B2">
      <w:pPr>
        <w:numPr>
          <w:ilvl w:val="0"/>
          <w:numId w:val="5"/>
        </w:numPr>
        <w:spacing w:after="180"/>
        <w:jc w:val="both"/>
      </w:pPr>
      <w:r>
        <w:t xml:space="preserve">Wunsch, N., 2019. </w:t>
      </w:r>
      <w:r>
        <w:rPr>
          <w:i/>
        </w:rPr>
        <w:t xml:space="preserve">Online Food Purchasing </w:t>
      </w:r>
      <w:proofErr w:type="gramStart"/>
      <w:r>
        <w:rPr>
          <w:i/>
        </w:rPr>
        <w:t>By</w:t>
      </w:r>
      <w:proofErr w:type="gramEnd"/>
      <w:r>
        <w:rPr>
          <w:i/>
        </w:rPr>
        <w:t xml:space="preserve"> Demographic UK 2019 | Sta</w:t>
      </w:r>
      <w:r>
        <w:rPr>
          <w:i/>
        </w:rPr>
        <w:t>tista</w:t>
      </w:r>
      <w:r>
        <w:t>. [online] Statista. Available at: &lt;https://www.statista.com/statistics/286116/food-and-groceries-online-purchasing-in-great-britain-by-demographic/&gt; [Accessed 13 March 2020].</w:t>
      </w:r>
    </w:p>
    <w:p w14:paraId="7BA7AF22" w14:textId="77777777" w:rsidR="00CC59AD" w:rsidRDefault="00CC59AD" w:rsidP="008214B2">
      <w:pPr>
        <w:ind w:left="720"/>
        <w:jc w:val="both"/>
      </w:pPr>
    </w:p>
    <w:p w14:paraId="6AF6A8DB" w14:textId="77777777" w:rsidR="00CC59AD" w:rsidRDefault="00CC59AD" w:rsidP="008214B2">
      <w:pPr>
        <w:jc w:val="both"/>
      </w:pPr>
    </w:p>
    <w:p w14:paraId="13B8BCFE" w14:textId="77777777" w:rsidR="00CC59AD" w:rsidRDefault="00CC59AD" w:rsidP="008214B2">
      <w:pPr>
        <w:jc w:val="both"/>
      </w:pPr>
    </w:p>
    <w:sectPr w:rsidR="00CC59AD">
      <w:headerReference w:type="default" r:id="rId9"/>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69EA9" w14:textId="77777777" w:rsidR="00000000" w:rsidRDefault="00E56EBA">
      <w:pPr>
        <w:spacing w:after="0" w:line="240" w:lineRule="auto"/>
      </w:pPr>
      <w:r>
        <w:separator/>
      </w:r>
    </w:p>
  </w:endnote>
  <w:endnote w:type="continuationSeparator" w:id="0">
    <w:p w14:paraId="0037DF49" w14:textId="77777777" w:rsidR="00000000" w:rsidRDefault="00E56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EF643" w14:textId="77777777" w:rsidR="00CC59AD" w:rsidRDefault="00E56EBA">
    <w:pPr>
      <w:pBdr>
        <w:top w:val="nil"/>
        <w:left w:val="nil"/>
        <w:bottom w:val="nil"/>
        <w:right w:val="nil"/>
        <w:between w:val="nil"/>
      </w:pBdr>
      <w:tabs>
        <w:tab w:val="center" w:pos="4513"/>
        <w:tab w:val="right" w:pos="9026"/>
      </w:tabs>
      <w:spacing w:after="0" w:line="240" w:lineRule="auto"/>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sidR="008214B2">
      <w:rPr>
        <w:rFonts w:ascii="Calibri" w:eastAsia="Calibri" w:hAnsi="Calibri" w:cs="Calibri"/>
        <w:color w:val="000000"/>
        <w:sz w:val="22"/>
        <w:szCs w:val="22"/>
      </w:rPr>
      <w:fldChar w:fldCharType="separate"/>
    </w:r>
    <w:r w:rsidR="008214B2">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80A670C" w14:textId="77777777" w:rsidR="00CC59AD" w:rsidRDefault="00CC59AD">
    <w:pPr>
      <w:pBdr>
        <w:top w:val="nil"/>
        <w:left w:val="nil"/>
        <w:bottom w:val="nil"/>
        <w:right w:val="nil"/>
        <w:between w:val="nil"/>
      </w:pBdr>
      <w:tabs>
        <w:tab w:val="center" w:pos="4513"/>
        <w:tab w:val="right" w:pos="9026"/>
      </w:tabs>
      <w:spacing w:after="0" w:line="240" w:lineRule="auto"/>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0B124" w14:textId="77777777" w:rsidR="00000000" w:rsidRDefault="00E56EBA">
      <w:pPr>
        <w:spacing w:after="0" w:line="240" w:lineRule="auto"/>
      </w:pPr>
      <w:r>
        <w:separator/>
      </w:r>
    </w:p>
  </w:footnote>
  <w:footnote w:type="continuationSeparator" w:id="0">
    <w:p w14:paraId="55E03F90" w14:textId="77777777" w:rsidR="00000000" w:rsidRDefault="00E56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B999E" w14:textId="77777777" w:rsidR="00CC59AD" w:rsidRDefault="00CC59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B49D9"/>
    <w:multiLevelType w:val="multilevel"/>
    <w:tmpl w:val="BA54B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DC7619"/>
    <w:multiLevelType w:val="multilevel"/>
    <w:tmpl w:val="CACE0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5B64A1F"/>
    <w:multiLevelType w:val="multilevel"/>
    <w:tmpl w:val="90FA5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1A0F1E"/>
    <w:multiLevelType w:val="multilevel"/>
    <w:tmpl w:val="500E9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411518"/>
    <w:multiLevelType w:val="multilevel"/>
    <w:tmpl w:val="C090C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9C73C7"/>
    <w:multiLevelType w:val="multilevel"/>
    <w:tmpl w:val="BBAE8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373321"/>
    <w:multiLevelType w:val="multilevel"/>
    <w:tmpl w:val="58ECC6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87097E"/>
    <w:multiLevelType w:val="multilevel"/>
    <w:tmpl w:val="CB1EB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604C23"/>
    <w:multiLevelType w:val="multilevel"/>
    <w:tmpl w:val="39CA5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806841"/>
    <w:multiLevelType w:val="multilevel"/>
    <w:tmpl w:val="8196D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2C6CED"/>
    <w:multiLevelType w:val="multilevel"/>
    <w:tmpl w:val="F9D61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4"/>
  </w:num>
  <w:num w:numId="3">
    <w:abstractNumId w:val="3"/>
  </w:num>
  <w:num w:numId="4">
    <w:abstractNumId w:val="9"/>
  </w:num>
  <w:num w:numId="5">
    <w:abstractNumId w:val="6"/>
  </w:num>
  <w:num w:numId="6">
    <w:abstractNumId w:val="8"/>
  </w:num>
  <w:num w:numId="7">
    <w:abstractNumId w:val="5"/>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9AD"/>
    <w:rsid w:val="000D1F69"/>
    <w:rsid w:val="008214B2"/>
    <w:rsid w:val="00B14440"/>
    <w:rsid w:val="00CC59AD"/>
    <w:rsid w:val="00E5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1894"/>
  <w15:docId w15:val="{0F92CBA8-8E40-4E43-BC89-43A4E1E1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uiPriority w:val="9"/>
    <w:unhideWhenUsed/>
    <w:qFormat/>
    <w:pPr>
      <w:keepNext/>
      <w:keepLines/>
      <w:spacing w:before="40" w:after="0"/>
      <w:outlineLvl w:val="1"/>
    </w:pPr>
    <w:rPr>
      <w:rFonts w:ascii="Calibri" w:eastAsia="Calibri" w:hAnsi="Calibri" w:cs="Calibri"/>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2659</Words>
  <Characters>15159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Ruman</dc:creator>
  <cp:lastModifiedBy>muhammad bhuiyan</cp:lastModifiedBy>
  <cp:revision>2</cp:revision>
  <dcterms:created xsi:type="dcterms:W3CDTF">2020-03-16T11:33:00Z</dcterms:created>
  <dcterms:modified xsi:type="dcterms:W3CDTF">2020-03-16T11:33:00Z</dcterms:modified>
</cp:coreProperties>
</file>