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2"/>
        <w:spacing w:lineRule="auto" w:line="360"/>
        <w:ind w:left="0" w:firstLine="0"/>
        <w:rPr>
          <w:b/>
          <w:sz w:val="24"/>
          <w:szCs w:val="24"/>
        </w:rPr>
      </w:pPr>
      <w:bookmarkStart w:id="0" w:name="_1581e08myumz" w:colFirst="0" w:colLast="0"/>
      <w:bookmarkEnd w:id="0"/>
    </w:p>
    <w:bookmarkStart w:id="1" w:name="_fcz1o7pwx4bp" w:colFirst="0" w:colLast="0"/>
    <w:bookmarkEnd w:id="1"/>
    <w:p>
      <w:pPr>
        <w:pStyle w:val="style2"/>
        <w:spacing w:lineRule="auto" w:line="360"/>
        <w:ind w:left="0" w:firstLine="0"/>
        <w:rPr>
          <w:b/>
          <w:sz w:val="24"/>
          <w:szCs w:val="24"/>
        </w:rPr>
      </w:pPr>
    </w:p>
    <w:bookmarkStart w:id="2" w:name="_mqlff4jbk4x3" w:colFirst="0" w:colLast="0"/>
    <w:bookmarkEnd w:id="2"/>
    <w:p>
      <w:pPr>
        <w:pStyle w:val="style2"/>
        <w:spacing w:lineRule="auto" w:line="360"/>
        <w:ind w:left="0" w:firstLine="0"/>
        <w:rPr>
          <w:b/>
          <w:sz w:val="24"/>
          <w:szCs w:val="24"/>
        </w:rPr>
      </w:pPr>
    </w:p>
    <w:p>
      <w:pPr>
        <w:pStyle w:val="style0"/>
        <w:spacing w:lineRule="auto" w:line="360"/>
        <w:rPr>
          <w:sz w:val="24"/>
          <w:szCs w:val="24"/>
        </w:rPr>
      </w:pPr>
      <w:r>
        <w:rPr>
          <w:b/>
          <w:sz w:val="24"/>
          <w:szCs w:val="24"/>
        </w:rPr>
        <w:t xml:space="preserve">Programme: </w:t>
      </w:r>
      <w:r>
        <w:rPr>
          <w:sz w:val="24"/>
          <w:szCs w:val="24"/>
        </w:rPr>
        <w:t>Master of Business Administration</w:t>
      </w:r>
    </w:p>
    <w:p>
      <w:pPr>
        <w:pStyle w:val="style0"/>
        <w:spacing w:lineRule="auto" w:line="360"/>
        <w:rPr>
          <w:b/>
          <w:sz w:val="24"/>
          <w:szCs w:val="24"/>
        </w:rPr>
      </w:pPr>
      <w:r>
        <w:rPr>
          <w:b/>
          <w:sz w:val="24"/>
          <w:szCs w:val="24"/>
        </w:rPr>
        <w:t xml:space="preserve">Module: </w:t>
      </w:r>
      <w:r>
        <w:rPr>
          <w:sz w:val="24"/>
          <w:szCs w:val="24"/>
        </w:rPr>
        <w:t>Human Capital Managemen</w:t>
      </w:r>
      <w:r>
        <w:rPr>
          <w:b/>
          <w:sz w:val="24"/>
          <w:szCs w:val="24"/>
        </w:rPr>
        <w:t>t</w:t>
      </w:r>
    </w:p>
    <w:p>
      <w:pPr>
        <w:pStyle w:val="style0"/>
        <w:spacing w:lineRule="auto" w:line="360"/>
        <w:rPr>
          <w:sz w:val="24"/>
          <w:szCs w:val="24"/>
        </w:rPr>
      </w:pPr>
      <w:r>
        <w:rPr>
          <w:b/>
          <w:sz w:val="24"/>
          <w:szCs w:val="24"/>
        </w:rPr>
        <w:t xml:space="preserve">Module code: </w:t>
      </w:r>
      <w:r>
        <w:rPr>
          <w:sz w:val="24"/>
          <w:szCs w:val="24"/>
        </w:rPr>
        <w:t>LCMB7023</w:t>
      </w:r>
    </w:p>
    <w:p>
      <w:pPr>
        <w:pStyle w:val="style0"/>
        <w:spacing w:lineRule="auto" w:line="360"/>
        <w:rPr>
          <w:b/>
          <w:sz w:val="24"/>
          <w:szCs w:val="24"/>
        </w:rPr>
      </w:pPr>
      <w:r>
        <w:rPr>
          <w:b/>
          <w:sz w:val="24"/>
          <w:szCs w:val="24"/>
        </w:rPr>
        <w:t>Student ID:</w:t>
      </w:r>
      <w:r>
        <w:rPr>
          <w:b/>
          <w:sz w:val="24"/>
          <w:szCs w:val="24"/>
          <w:lang w:val="en-US"/>
        </w:rPr>
        <w:t xml:space="preserve"> </w:t>
      </w:r>
      <w:r>
        <w:rPr>
          <w:b w:val="false"/>
          <w:bCs w:val="false"/>
          <w:sz w:val="24"/>
          <w:szCs w:val="24"/>
          <w:lang w:val="en-US"/>
        </w:rPr>
        <w:t>2513491</w:t>
      </w:r>
      <w:r>
        <w:rPr>
          <w:b/>
          <w:sz w:val="24"/>
          <w:szCs w:val="24"/>
          <w:lang w:val="en-US"/>
        </w:rPr>
        <w:t xml:space="preserve"> </w:t>
      </w:r>
    </w:p>
    <w:p>
      <w:pPr>
        <w:pStyle w:val="style0"/>
        <w:spacing w:lineRule="auto" w:line="360"/>
        <w:rPr>
          <w:b w:val="false"/>
          <w:bCs w:val="false"/>
          <w:sz w:val="24"/>
          <w:szCs w:val="24"/>
        </w:rPr>
      </w:pPr>
      <w:r>
        <w:rPr>
          <w:b/>
          <w:sz w:val="24"/>
          <w:szCs w:val="24"/>
          <w:lang w:val="en-US"/>
        </w:rPr>
        <w:t xml:space="preserve">Student Name: </w:t>
      </w:r>
      <w:r>
        <w:rPr>
          <w:b w:val="false"/>
          <w:bCs w:val="false"/>
          <w:sz w:val="24"/>
          <w:szCs w:val="24"/>
          <w:lang w:val="en-US"/>
        </w:rPr>
        <w:t xml:space="preserve">Syed Raza Abbas </w:t>
      </w:r>
    </w:p>
    <w:p>
      <w:pPr>
        <w:pStyle w:val="style0"/>
        <w:spacing w:lineRule="auto" w:line="360"/>
        <w:rPr>
          <w:sz w:val="24"/>
          <w:szCs w:val="24"/>
        </w:rPr>
      </w:pPr>
      <w:r>
        <w:rPr>
          <w:b/>
          <w:sz w:val="24"/>
          <w:szCs w:val="24"/>
        </w:rPr>
        <w:t xml:space="preserve">Lecturer: </w:t>
      </w:r>
      <w:r>
        <w:rPr>
          <w:sz w:val="24"/>
          <w:szCs w:val="24"/>
        </w:rPr>
        <w:t>Ejike Udeogu (Birmingham)</w:t>
      </w:r>
    </w:p>
    <w:p>
      <w:pPr>
        <w:pStyle w:val="style0"/>
        <w:spacing w:lineRule="auto" w:line="360"/>
        <w:rPr>
          <w:sz w:val="24"/>
          <w:szCs w:val="24"/>
        </w:rPr>
      </w:pPr>
      <w:r>
        <w:rPr>
          <w:b/>
          <w:sz w:val="24"/>
          <w:szCs w:val="24"/>
        </w:rPr>
        <w:t xml:space="preserve">Assignment Title: </w:t>
      </w:r>
      <w:r>
        <w:rPr>
          <w:sz w:val="24"/>
          <w:szCs w:val="24"/>
        </w:rPr>
        <w:t>Individual report</w:t>
      </w:r>
      <w:r>
        <w:br w:type="page"/>
      </w:r>
    </w:p>
    <w:p>
      <w:pPr>
        <w:pStyle w:val="style0"/>
        <w:spacing w:lineRule="auto" w:line="360"/>
        <w:rPr>
          <w:b/>
          <w:sz w:val="24"/>
          <w:szCs w:val="24"/>
        </w:rPr>
      </w:pPr>
      <w:r>
        <w:rPr>
          <w:b/>
          <w:sz w:val="24"/>
          <w:szCs w:val="24"/>
        </w:rPr>
        <w:t>Table of Contents</w:t>
      </w:r>
    </w:p>
    <w:p>
      <w:pPr>
        <w:pStyle w:val="style0"/>
        <w:widowControl w:val="false"/>
        <w:tabs>
          <w:tab w:val="right" w:leader="none" w:pos="9360"/>
        </w:tabs>
        <w:spacing w:before="60" w:lineRule="auto" w:line="360"/>
        <w:ind w:left="360" w:firstLine="0"/>
        <w:rPr>
          <w:color w:val="000000"/>
          <w:sz w:val="24"/>
          <w:szCs w:val="24"/>
          <w:u w:val="none"/>
        </w:rPr>
      </w:pPr>
      <w:r>
        <w:rPr/>
        <w:fldChar w:fldCharType="begin"/>
      </w:r>
      <w:r>
        <w:instrText xml:space="preserve"> TOC \h \u \z \t "Heading 1,1,Heading 2,2,Heading 3,3,Heading 4,4,Heading 5,5,Heading 6,6,"</w:instrText>
      </w:r>
      <w:r>
        <w:rPr/>
        <w:fldChar w:fldCharType="separate"/>
      </w:r>
      <w:r>
        <w:rPr/>
        <w:fldChar w:fldCharType="begin"/>
      </w:r>
      <w:r>
        <w:instrText xml:space="preserve"> HYPERLINK \l "_bfwbiun21nfc" </w:instrText>
      </w:r>
      <w:r>
        <w:rPr/>
        <w:fldChar w:fldCharType="separate"/>
      </w:r>
      <w:r>
        <w:rPr>
          <w:color w:val="000000"/>
          <w:sz w:val="24"/>
          <w:szCs w:val="24"/>
          <w:u w:val="none"/>
        </w:rPr>
        <w:t>1. Introduction</w:t>
      </w:r>
      <w:r>
        <w:rPr>
          <w:color w:val="000000"/>
          <w:sz w:val="24"/>
          <w:szCs w:val="24"/>
          <w:u w:val="none"/>
        </w:rPr>
        <w:tab/>
      </w:r>
      <w:r>
        <w:rPr/>
        <w:fldChar w:fldCharType="end"/>
      </w:r>
      <w:r>
        <w:rPr/>
        <w:fldChar w:fldCharType="begin"/>
      </w:r>
      <w:r>
        <w:instrText xml:space="preserve"> PAGEREF _bfwbiun21nfc \h </w:instrText>
      </w:r>
      <w:r>
        <w:rPr/>
        <w:fldChar w:fldCharType="separate"/>
      </w:r>
      <w:r>
        <w:rPr>
          <w:sz w:val="24"/>
          <w:szCs w:val="24"/>
        </w:rPr>
        <w:t>3</w:t>
      </w:r>
      <w:r>
        <w:rPr/>
        <w:fldChar w:fldCharType="end"/>
      </w:r>
    </w:p>
    <w:p>
      <w:pPr>
        <w:pStyle w:val="style0"/>
        <w:widowControl w:val="false"/>
        <w:tabs>
          <w:tab w:val="right" w:leader="none" w:pos="9360"/>
        </w:tabs>
        <w:spacing w:before="60" w:lineRule="auto" w:line="360"/>
        <w:ind w:left="360" w:firstLine="0"/>
        <w:rPr>
          <w:color w:val="000000"/>
          <w:sz w:val="24"/>
          <w:szCs w:val="24"/>
          <w:u w:val="none"/>
        </w:rPr>
      </w:pPr>
      <w:r>
        <w:rPr/>
        <w:fldChar w:fldCharType="begin"/>
      </w:r>
      <w:r>
        <w:instrText xml:space="preserve"> HYPERLINK \l "_rdji244ub8ga" </w:instrText>
      </w:r>
      <w:r>
        <w:rPr/>
        <w:fldChar w:fldCharType="separate"/>
      </w:r>
      <w:r>
        <w:rPr>
          <w:color w:val="000000"/>
          <w:sz w:val="24"/>
          <w:szCs w:val="24"/>
          <w:u w:val="none"/>
        </w:rPr>
        <w:t>2. Technology and Labour Markets</w:t>
      </w:r>
      <w:r>
        <w:rPr>
          <w:color w:val="000000"/>
          <w:sz w:val="24"/>
          <w:szCs w:val="24"/>
          <w:u w:val="none"/>
        </w:rPr>
        <w:tab/>
      </w:r>
      <w:r>
        <w:rPr/>
        <w:fldChar w:fldCharType="end"/>
      </w:r>
      <w:r>
        <w:rPr/>
        <w:fldChar w:fldCharType="begin"/>
      </w:r>
      <w:r>
        <w:instrText xml:space="preserve"> PAGEREF _rdji244ub8ga \h </w:instrText>
      </w:r>
      <w:r>
        <w:rPr/>
        <w:fldChar w:fldCharType="separate"/>
      </w:r>
      <w:r>
        <w:rPr>
          <w:sz w:val="24"/>
          <w:szCs w:val="24"/>
        </w:rPr>
        <w:t>3</w:t>
      </w:r>
      <w:r>
        <w:rPr/>
        <w:fldChar w:fldCharType="end"/>
      </w:r>
    </w:p>
    <w:p>
      <w:pPr>
        <w:pStyle w:val="style0"/>
        <w:widowControl w:val="false"/>
        <w:tabs>
          <w:tab w:val="right" w:leader="none" w:pos="9360"/>
        </w:tabs>
        <w:spacing w:before="60" w:lineRule="auto" w:line="360"/>
        <w:ind w:left="720" w:firstLine="0"/>
        <w:rPr>
          <w:color w:val="000000"/>
          <w:sz w:val="24"/>
          <w:szCs w:val="24"/>
          <w:u w:val="none"/>
        </w:rPr>
      </w:pPr>
      <w:r>
        <w:rPr/>
        <w:fldChar w:fldCharType="begin"/>
      </w:r>
      <w:r>
        <w:instrText xml:space="preserve"> HYPERLINK \l "_12n6ugll0x9w" </w:instrText>
      </w:r>
      <w:r>
        <w:rPr/>
        <w:fldChar w:fldCharType="separate"/>
      </w:r>
      <w:r>
        <w:rPr>
          <w:color w:val="000000"/>
          <w:sz w:val="24"/>
          <w:szCs w:val="24"/>
          <w:u w:val="none"/>
        </w:rPr>
        <w:t>2.1 Strategic Implications for HRM and IHRM</w:t>
      </w:r>
      <w:r>
        <w:rPr>
          <w:color w:val="000000"/>
          <w:sz w:val="24"/>
          <w:szCs w:val="24"/>
          <w:u w:val="none"/>
        </w:rPr>
        <w:tab/>
      </w:r>
      <w:r>
        <w:rPr/>
        <w:fldChar w:fldCharType="end"/>
      </w:r>
      <w:r>
        <w:rPr/>
        <w:fldChar w:fldCharType="begin"/>
      </w:r>
      <w:r>
        <w:instrText xml:space="preserve"> PAGEREF _12n6ugll0x9w \h </w:instrText>
      </w:r>
      <w:r>
        <w:rPr/>
        <w:fldChar w:fldCharType="separate"/>
      </w:r>
      <w:r>
        <w:rPr>
          <w:sz w:val="24"/>
          <w:szCs w:val="24"/>
        </w:rPr>
        <w:t>5</w:t>
      </w:r>
      <w:r>
        <w:rPr/>
        <w:fldChar w:fldCharType="end"/>
      </w:r>
    </w:p>
    <w:p>
      <w:pPr>
        <w:pStyle w:val="style0"/>
        <w:widowControl w:val="false"/>
        <w:tabs>
          <w:tab w:val="right" w:leader="none" w:pos="9360"/>
        </w:tabs>
        <w:spacing w:before="60" w:lineRule="auto" w:line="360"/>
        <w:ind w:left="720" w:firstLine="0"/>
        <w:rPr>
          <w:color w:val="000000"/>
          <w:sz w:val="24"/>
          <w:szCs w:val="24"/>
          <w:u w:val="none"/>
        </w:rPr>
      </w:pPr>
      <w:r>
        <w:rPr/>
        <w:fldChar w:fldCharType="begin"/>
      </w:r>
      <w:r>
        <w:instrText xml:space="preserve"> HYPERLINK \l "_kx06e5inojo6" </w:instrText>
      </w:r>
      <w:r>
        <w:rPr/>
        <w:fldChar w:fldCharType="separate"/>
      </w:r>
      <w:r>
        <w:rPr>
          <w:color w:val="000000"/>
          <w:sz w:val="24"/>
          <w:szCs w:val="24"/>
          <w:u w:val="none"/>
        </w:rPr>
        <w:t>2.2 Synthesis &amp; nuance</w:t>
      </w:r>
      <w:r>
        <w:rPr>
          <w:color w:val="000000"/>
          <w:sz w:val="24"/>
          <w:szCs w:val="24"/>
          <w:u w:val="none"/>
        </w:rPr>
        <w:tab/>
      </w:r>
      <w:r>
        <w:rPr/>
        <w:fldChar w:fldCharType="end"/>
      </w:r>
      <w:r>
        <w:rPr/>
        <w:fldChar w:fldCharType="begin"/>
      </w:r>
      <w:r>
        <w:instrText xml:space="preserve"> PAGEREF _kx06e5inojo6 \h </w:instrText>
      </w:r>
      <w:r>
        <w:rPr/>
        <w:fldChar w:fldCharType="separate"/>
      </w:r>
      <w:r>
        <w:rPr>
          <w:sz w:val="24"/>
          <w:szCs w:val="24"/>
        </w:rPr>
        <w:t>6</w:t>
      </w:r>
      <w:r>
        <w:rPr/>
        <w:fldChar w:fldCharType="end"/>
      </w:r>
    </w:p>
    <w:p>
      <w:pPr>
        <w:pStyle w:val="style0"/>
        <w:widowControl w:val="false"/>
        <w:tabs>
          <w:tab w:val="right" w:leader="none" w:pos="9360"/>
        </w:tabs>
        <w:spacing w:before="60" w:lineRule="auto" w:line="360"/>
        <w:ind w:left="360" w:firstLine="0"/>
        <w:rPr>
          <w:color w:val="000000"/>
          <w:sz w:val="24"/>
          <w:szCs w:val="24"/>
          <w:u w:val="none"/>
        </w:rPr>
      </w:pPr>
      <w:r>
        <w:rPr/>
        <w:fldChar w:fldCharType="begin"/>
      </w:r>
      <w:r>
        <w:instrText xml:space="preserve"> HYPERLINK \l "_mcd784mn5lpp" </w:instrText>
      </w:r>
      <w:r>
        <w:rPr/>
        <w:fldChar w:fldCharType="separate"/>
      </w:r>
      <w:r>
        <w:rPr>
          <w:color w:val="000000"/>
          <w:sz w:val="24"/>
          <w:szCs w:val="24"/>
          <w:u w:val="none"/>
        </w:rPr>
        <w:t>3. Demographic and Geopolitical Drivers</w:t>
      </w:r>
      <w:r>
        <w:rPr>
          <w:color w:val="000000"/>
          <w:sz w:val="24"/>
          <w:szCs w:val="24"/>
          <w:u w:val="none"/>
        </w:rPr>
        <w:tab/>
      </w:r>
      <w:r>
        <w:rPr/>
        <w:fldChar w:fldCharType="end"/>
      </w:r>
      <w:r>
        <w:rPr/>
        <w:fldChar w:fldCharType="begin"/>
      </w:r>
      <w:r>
        <w:instrText xml:space="preserve"> PAGEREF _mcd784mn5lpp \h </w:instrText>
      </w:r>
      <w:r>
        <w:rPr/>
        <w:fldChar w:fldCharType="separate"/>
      </w:r>
      <w:r>
        <w:rPr>
          <w:sz w:val="24"/>
          <w:szCs w:val="24"/>
        </w:rPr>
        <w:t>6</w:t>
      </w:r>
      <w:r>
        <w:rPr/>
        <w:fldChar w:fldCharType="end"/>
      </w:r>
    </w:p>
    <w:p>
      <w:pPr>
        <w:pStyle w:val="style0"/>
        <w:widowControl w:val="false"/>
        <w:tabs>
          <w:tab w:val="right" w:leader="none" w:pos="9360"/>
        </w:tabs>
        <w:spacing w:before="60" w:lineRule="auto" w:line="360"/>
        <w:ind w:left="720" w:firstLine="0"/>
        <w:rPr>
          <w:color w:val="000000"/>
          <w:sz w:val="24"/>
          <w:szCs w:val="24"/>
          <w:u w:val="none"/>
        </w:rPr>
      </w:pPr>
      <w:r>
        <w:rPr/>
        <w:fldChar w:fldCharType="begin"/>
      </w:r>
      <w:r>
        <w:instrText xml:space="preserve"> HYPERLINK \l "_yomusd9wqrnr" </w:instrText>
      </w:r>
      <w:r>
        <w:rPr/>
        <w:fldChar w:fldCharType="separate"/>
      </w:r>
      <w:r>
        <w:rPr>
          <w:color w:val="000000"/>
          <w:sz w:val="24"/>
          <w:szCs w:val="24"/>
          <w:u w:val="none"/>
        </w:rPr>
        <w:t>3.1 Key Demographic Factors</w:t>
      </w:r>
      <w:r>
        <w:rPr>
          <w:color w:val="000000"/>
          <w:sz w:val="24"/>
          <w:szCs w:val="24"/>
          <w:u w:val="none"/>
        </w:rPr>
        <w:tab/>
      </w:r>
      <w:r>
        <w:rPr/>
        <w:fldChar w:fldCharType="end"/>
      </w:r>
      <w:r>
        <w:rPr/>
        <w:fldChar w:fldCharType="begin"/>
      </w:r>
      <w:r>
        <w:instrText xml:space="preserve"> PAGEREF _yomusd9wqrnr \h </w:instrText>
      </w:r>
      <w:r>
        <w:rPr/>
        <w:fldChar w:fldCharType="separate"/>
      </w:r>
      <w:r>
        <w:rPr>
          <w:sz w:val="24"/>
          <w:szCs w:val="24"/>
        </w:rPr>
        <w:t>6</w:t>
      </w:r>
      <w:r>
        <w:rPr/>
        <w:fldChar w:fldCharType="end"/>
      </w:r>
    </w:p>
    <w:p>
      <w:pPr>
        <w:pStyle w:val="style0"/>
        <w:widowControl w:val="false"/>
        <w:tabs>
          <w:tab w:val="right" w:leader="none" w:pos="9360"/>
        </w:tabs>
        <w:spacing w:before="60" w:lineRule="auto" w:line="360"/>
        <w:ind w:left="720" w:firstLine="0"/>
        <w:rPr>
          <w:color w:val="000000"/>
          <w:sz w:val="24"/>
          <w:szCs w:val="24"/>
          <w:u w:val="none"/>
        </w:rPr>
      </w:pPr>
      <w:r>
        <w:rPr/>
        <w:fldChar w:fldCharType="begin"/>
      </w:r>
      <w:r>
        <w:instrText xml:space="preserve"> HYPERLINK \l "_f8wq2ipos493" </w:instrText>
      </w:r>
      <w:r>
        <w:rPr/>
        <w:fldChar w:fldCharType="separate"/>
      </w:r>
      <w:r>
        <w:rPr>
          <w:color w:val="000000"/>
          <w:sz w:val="24"/>
          <w:szCs w:val="24"/>
          <w:u w:val="none"/>
        </w:rPr>
        <w:t>3.2 Geopolitical Drivers</w:t>
      </w:r>
      <w:r>
        <w:rPr>
          <w:color w:val="000000"/>
          <w:sz w:val="24"/>
          <w:szCs w:val="24"/>
          <w:u w:val="none"/>
        </w:rPr>
        <w:tab/>
      </w:r>
      <w:r>
        <w:rPr/>
        <w:fldChar w:fldCharType="end"/>
      </w:r>
      <w:r>
        <w:rPr/>
        <w:fldChar w:fldCharType="begin"/>
      </w:r>
      <w:r>
        <w:instrText xml:space="preserve"> PAGEREF _f8wq2ipos493 \h </w:instrText>
      </w:r>
      <w:r>
        <w:rPr/>
        <w:fldChar w:fldCharType="separate"/>
      </w:r>
      <w:r>
        <w:rPr>
          <w:sz w:val="24"/>
          <w:szCs w:val="24"/>
        </w:rPr>
        <w:t>8</w:t>
      </w:r>
      <w:r>
        <w:rPr/>
        <w:fldChar w:fldCharType="end"/>
      </w:r>
    </w:p>
    <w:p>
      <w:pPr>
        <w:pStyle w:val="style0"/>
        <w:widowControl w:val="false"/>
        <w:tabs>
          <w:tab w:val="right" w:leader="none" w:pos="9360"/>
        </w:tabs>
        <w:spacing w:before="60" w:lineRule="auto" w:line="360"/>
        <w:ind w:left="720" w:firstLine="0"/>
        <w:rPr>
          <w:color w:val="000000"/>
          <w:sz w:val="24"/>
          <w:szCs w:val="24"/>
          <w:u w:val="none"/>
        </w:rPr>
      </w:pPr>
      <w:r>
        <w:rPr/>
        <w:fldChar w:fldCharType="begin"/>
      </w:r>
      <w:r>
        <w:instrText xml:space="preserve"> HYPERLINK \l "_l0lsg2gfik0u" </w:instrText>
      </w:r>
      <w:r>
        <w:rPr/>
        <w:fldChar w:fldCharType="separate"/>
      </w:r>
      <w:r>
        <w:rPr>
          <w:color w:val="000000"/>
          <w:sz w:val="24"/>
          <w:szCs w:val="24"/>
          <w:u w:val="none"/>
        </w:rPr>
        <w:t>3.3 HR Challenges &amp; Implications</w:t>
      </w:r>
      <w:r>
        <w:rPr>
          <w:color w:val="000000"/>
          <w:sz w:val="24"/>
          <w:szCs w:val="24"/>
          <w:u w:val="none"/>
        </w:rPr>
        <w:tab/>
      </w:r>
      <w:r>
        <w:rPr/>
        <w:fldChar w:fldCharType="end"/>
      </w:r>
      <w:r>
        <w:rPr/>
        <w:fldChar w:fldCharType="begin"/>
      </w:r>
      <w:r>
        <w:instrText xml:space="preserve"> PAGEREF _l0lsg2gfik0u \h </w:instrText>
      </w:r>
      <w:r>
        <w:rPr/>
        <w:fldChar w:fldCharType="separate"/>
      </w:r>
      <w:r>
        <w:rPr>
          <w:sz w:val="24"/>
          <w:szCs w:val="24"/>
        </w:rPr>
        <w:t>9</w:t>
      </w:r>
      <w:r>
        <w:rPr/>
        <w:fldChar w:fldCharType="end"/>
      </w:r>
    </w:p>
    <w:p>
      <w:pPr>
        <w:pStyle w:val="style0"/>
        <w:widowControl w:val="false"/>
        <w:tabs>
          <w:tab w:val="right" w:leader="none" w:pos="9360"/>
        </w:tabs>
        <w:spacing w:before="60" w:lineRule="auto" w:line="360"/>
        <w:ind w:left="720" w:firstLine="0"/>
        <w:rPr>
          <w:color w:val="000000"/>
          <w:sz w:val="24"/>
          <w:szCs w:val="24"/>
          <w:u w:val="none"/>
        </w:rPr>
      </w:pPr>
      <w:r>
        <w:rPr/>
        <w:fldChar w:fldCharType="begin"/>
      </w:r>
      <w:r>
        <w:instrText xml:space="preserve"> HYPERLINK \l "_fitdd71x6dsy" </w:instrText>
      </w:r>
      <w:r>
        <w:rPr/>
        <w:fldChar w:fldCharType="separate"/>
      </w:r>
      <w:r>
        <w:rPr>
          <w:color w:val="000000"/>
          <w:sz w:val="24"/>
          <w:szCs w:val="24"/>
          <w:u w:val="none"/>
        </w:rPr>
        <w:t>3.4 Towards a Strategic Response</w:t>
      </w:r>
      <w:r>
        <w:rPr>
          <w:color w:val="000000"/>
          <w:sz w:val="24"/>
          <w:szCs w:val="24"/>
          <w:u w:val="none"/>
        </w:rPr>
        <w:tab/>
      </w:r>
      <w:r>
        <w:rPr/>
        <w:fldChar w:fldCharType="end"/>
      </w:r>
      <w:r>
        <w:rPr/>
        <w:fldChar w:fldCharType="begin"/>
      </w:r>
      <w:r>
        <w:instrText xml:space="preserve"> PAGEREF _fitdd71x6dsy \h </w:instrText>
      </w:r>
      <w:r>
        <w:rPr/>
        <w:fldChar w:fldCharType="separate"/>
      </w:r>
      <w:r>
        <w:rPr>
          <w:sz w:val="24"/>
          <w:szCs w:val="24"/>
        </w:rPr>
        <w:t>9</w:t>
      </w:r>
      <w:r>
        <w:rPr/>
        <w:fldChar w:fldCharType="end"/>
      </w:r>
    </w:p>
    <w:p>
      <w:pPr>
        <w:pStyle w:val="style0"/>
        <w:widowControl w:val="false"/>
        <w:tabs>
          <w:tab w:val="right" w:leader="none" w:pos="9360"/>
        </w:tabs>
        <w:spacing w:before="60" w:lineRule="auto" w:line="360"/>
        <w:ind w:left="360" w:firstLine="0"/>
        <w:rPr>
          <w:color w:val="000000"/>
          <w:sz w:val="24"/>
          <w:szCs w:val="24"/>
          <w:u w:val="none"/>
        </w:rPr>
      </w:pPr>
      <w:r>
        <w:rPr/>
        <w:fldChar w:fldCharType="begin"/>
      </w:r>
      <w:r>
        <w:instrText xml:space="preserve"> HYPERLINK \l "_s3urk438rucp" </w:instrText>
      </w:r>
      <w:r>
        <w:rPr/>
        <w:fldChar w:fldCharType="separate"/>
      </w:r>
      <w:r>
        <w:rPr>
          <w:color w:val="000000"/>
          <w:sz w:val="24"/>
          <w:szCs w:val="24"/>
          <w:u w:val="none"/>
        </w:rPr>
        <w:t>4. Addressing Skills Gaps in Specific Sectors</w:t>
      </w:r>
      <w:r>
        <w:rPr>
          <w:color w:val="000000"/>
          <w:sz w:val="24"/>
          <w:szCs w:val="24"/>
          <w:u w:val="none"/>
        </w:rPr>
        <w:tab/>
      </w:r>
      <w:r>
        <w:rPr/>
        <w:fldChar w:fldCharType="end"/>
      </w:r>
      <w:r>
        <w:rPr/>
        <w:fldChar w:fldCharType="begin"/>
      </w:r>
      <w:r>
        <w:instrText xml:space="preserve"> PAGEREF _s3urk438rucp \h </w:instrText>
      </w:r>
      <w:r>
        <w:rPr/>
        <w:fldChar w:fldCharType="separate"/>
      </w:r>
      <w:r>
        <w:rPr>
          <w:sz w:val="24"/>
          <w:szCs w:val="24"/>
        </w:rPr>
        <w:t>10</w:t>
      </w:r>
      <w:r>
        <w:rPr/>
        <w:fldChar w:fldCharType="end"/>
      </w:r>
    </w:p>
    <w:p>
      <w:pPr>
        <w:pStyle w:val="style0"/>
        <w:widowControl w:val="false"/>
        <w:tabs>
          <w:tab w:val="right" w:leader="none" w:pos="9360"/>
        </w:tabs>
        <w:spacing w:before="60" w:lineRule="auto" w:line="360"/>
        <w:ind w:left="720" w:firstLine="0"/>
        <w:rPr>
          <w:color w:val="000000"/>
          <w:sz w:val="24"/>
          <w:szCs w:val="24"/>
          <w:u w:val="none"/>
        </w:rPr>
      </w:pPr>
      <w:r>
        <w:rPr/>
        <w:fldChar w:fldCharType="begin"/>
      </w:r>
      <w:r>
        <w:instrText xml:space="preserve"> HYPERLINK \l "_7ras6oldx304" </w:instrText>
      </w:r>
      <w:r>
        <w:rPr/>
        <w:fldChar w:fldCharType="separate"/>
      </w:r>
      <w:r>
        <w:rPr>
          <w:color w:val="000000"/>
          <w:sz w:val="24"/>
          <w:szCs w:val="24"/>
          <w:u w:val="none"/>
        </w:rPr>
        <w:t>4.1 Strategic HRM Responses:</w:t>
      </w:r>
      <w:r>
        <w:rPr>
          <w:color w:val="000000"/>
          <w:sz w:val="24"/>
          <w:szCs w:val="24"/>
          <w:u w:val="none"/>
        </w:rPr>
        <w:tab/>
      </w:r>
      <w:r>
        <w:rPr/>
        <w:fldChar w:fldCharType="end"/>
      </w:r>
      <w:r>
        <w:rPr/>
        <w:fldChar w:fldCharType="begin"/>
      </w:r>
      <w:r>
        <w:instrText xml:space="preserve"> PAGEREF _7ras6oldx304 \h </w:instrText>
      </w:r>
      <w:r>
        <w:rPr/>
        <w:fldChar w:fldCharType="separate"/>
      </w:r>
      <w:r>
        <w:rPr>
          <w:sz w:val="24"/>
          <w:szCs w:val="24"/>
        </w:rPr>
        <w:t>11</w:t>
      </w:r>
      <w:r>
        <w:rPr/>
        <w:fldChar w:fldCharType="end"/>
      </w:r>
    </w:p>
    <w:p>
      <w:pPr>
        <w:pStyle w:val="style0"/>
        <w:widowControl w:val="false"/>
        <w:tabs>
          <w:tab w:val="right" w:leader="none" w:pos="9360"/>
        </w:tabs>
        <w:spacing w:before="60" w:lineRule="auto" w:line="360"/>
        <w:ind w:left="720" w:firstLine="0"/>
        <w:rPr>
          <w:color w:val="000000"/>
          <w:sz w:val="24"/>
          <w:szCs w:val="24"/>
          <w:u w:val="none"/>
        </w:rPr>
      </w:pPr>
      <w:r>
        <w:rPr/>
        <w:fldChar w:fldCharType="begin"/>
      </w:r>
      <w:r>
        <w:instrText xml:space="preserve"> HYPERLINK \l "_fukutue1ftwy" </w:instrText>
      </w:r>
      <w:r>
        <w:rPr/>
        <w:fldChar w:fldCharType="separate"/>
      </w:r>
      <w:r>
        <w:rPr>
          <w:color w:val="000000"/>
          <w:sz w:val="24"/>
          <w:szCs w:val="24"/>
          <w:u w:val="none"/>
        </w:rPr>
        <w:t>4.2 Practical HR Tools &amp; Mechanisms:</w:t>
      </w:r>
      <w:r>
        <w:rPr>
          <w:color w:val="000000"/>
          <w:sz w:val="24"/>
          <w:szCs w:val="24"/>
          <w:u w:val="none"/>
        </w:rPr>
        <w:tab/>
      </w:r>
      <w:r>
        <w:rPr/>
        <w:fldChar w:fldCharType="end"/>
      </w:r>
      <w:r>
        <w:rPr/>
        <w:fldChar w:fldCharType="begin"/>
      </w:r>
      <w:r>
        <w:instrText xml:space="preserve"> PAGEREF _fukutue1ftwy \h </w:instrText>
      </w:r>
      <w:r>
        <w:rPr/>
        <w:fldChar w:fldCharType="separate"/>
      </w:r>
      <w:r>
        <w:rPr>
          <w:sz w:val="24"/>
          <w:szCs w:val="24"/>
        </w:rPr>
        <w:t>12</w:t>
      </w:r>
      <w:r>
        <w:rPr/>
        <w:fldChar w:fldCharType="end"/>
      </w:r>
    </w:p>
    <w:p>
      <w:pPr>
        <w:pStyle w:val="style0"/>
        <w:widowControl w:val="false"/>
        <w:tabs>
          <w:tab w:val="right" w:leader="none" w:pos="9360"/>
        </w:tabs>
        <w:spacing w:before="60" w:lineRule="auto" w:line="360"/>
        <w:ind w:left="360" w:firstLine="0"/>
        <w:rPr>
          <w:color w:val="000000"/>
          <w:sz w:val="24"/>
          <w:szCs w:val="24"/>
          <w:u w:val="none"/>
        </w:rPr>
      </w:pPr>
      <w:r>
        <w:rPr/>
        <w:fldChar w:fldCharType="begin"/>
      </w:r>
      <w:r>
        <w:instrText xml:space="preserve"> HYPERLINK \l "_hakcql9sm0x0" </w:instrText>
      </w:r>
      <w:r>
        <w:rPr/>
        <w:fldChar w:fldCharType="separate"/>
      </w:r>
      <w:r>
        <w:rPr>
          <w:color w:val="000000"/>
          <w:sz w:val="24"/>
          <w:szCs w:val="24"/>
          <w:u w:val="none"/>
        </w:rPr>
        <w:t>5. Reflective Evaluation of Global Work Capability</w:t>
      </w:r>
      <w:r>
        <w:rPr>
          <w:color w:val="000000"/>
          <w:sz w:val="24"/>
          <w:szCs w:val="24"/>
          <w:u w:val="none"/>
        </w:rPr>
        <w:tab/>
      </w:r>
      <w:r>
        <w:rPr/>
        <w:fldChar w:fldCharType="end"/>
      </w:r>
      <w:r>
        <w:rPr/>
        <w:fldChar w:fldCharType="begin"/>
      </w:r>
      <w:r>
        <w:instrText xml:space="preserve"> PAGEREF _hakcql9sm0x0 \h </w:instrText>
      </w:r>
      <w:r>
        <w:rPr/>
        <w:fldChar w:fldCharType="separate"/>
      </w:r>
      <w:r>
        <w:rPr>
          <w:sz w:val="24"/>
          <w:szCs w:val="24"/>
        </w:rPr>
        <w:t>13</w:t>
      </w:r>
      <w:r>
        <w:rPr/>
        <w:fldChar w:fldCharType="end"/>
      </w:r>
    </w:p>
    <w:p>
      <w:pPr>
        <w:pStyle w:val="style0"/>
        <w:widowControl w:val="false"/>
        <w:tabs>
          <w:tab w:val="right" w:leader="none" w:pos="9360"/>
        </w:tabs>
        <w:spacing w:before="60" w:lineRule="auto" w:line="360"/>
        <w:ind w:left="720" w:firstLine="0"/>
        <w:rPr>
          <w:color w:val="000000"/>
          <w:sz w:val="24"/>
          <w:szCs w:val="24"/>
          <w:u w:val="none"/>
        </w:rPr>
      </w:pPr>
      <w:r>
        <w:rPr/>
        <w:fldChar w:fldCharType="begin"/>
      </w:r>
      <w:r>
        <w:instrText xml:space="preserve"> HYPERLINK \l "_1vly5kvo99qr" </w:instrText>
      </w:r>
      <w:r>
        <w:rPr/>
        <w:fldChar w:fldCharType="separate"/>
      </w:r>
      <w:r>
        <w:rPr>
          <w:color w:val="000000"/>
          <w:sz w:val="24"/>
          <w:szCs w:val="24"/>
          <w:u w:val="none"/>
        </w:rPr>
        <w:t>5.1 Introduction to Reflection Framework</w:t>
      </w:r>
      <w:r>
        <w:rPr>
          <w:color w:val="000000"/>
          <w:sz w:val="24"/>
          <w:szCs w:val="24"/>
          <w:u w:val="none"/>
        </w:rPr>
        <w:tab/>
      </w:r>
      <w:r>
        <w:rPr/>
        <w:fldChar w:fldCharType="end"/>
      </w:r>
      <w:r>
        <w:rPr/>
        <w:fldChar w:fldCharType="begin"/>
      </w:r>
      <w:r>
        <w:instrText xml:space="preserve"> PAGEREF _1vly5kvo99qr \h </w:instrText>
      </w:r>
      <w:r>
        <w:rPr/>
        <w:fldChar w:fldCharType="separate"/>
      </w:r>
      <w:r>
        <w:rPr>
          <w:sz w:val="24"/>
          <w:szCs w:val="24"/>
        </w:rPr>
        <w:t>13</w:t>
      </w:r>
      <w:r>
        <w:rPr/>
        <w:fldChar w:fldCharType="end"/>
      </w:r>
    </w:p>
    <w:p>
      <w:pPr>
        <w:pStyle w:val="style0"/>
        <w:widowControl w:val="false"/>
        <w:tabs>
          <w:tab w:val="right" w:leader="none" w:pos="9360"/>
        </w:tabs>
        <w:spacing w:before="60" w:lineRule="auto" w:line="360"/>
        <w:ind w:left="720" w:firstLine="0"/>
        <w:rPr>
          <w:color w:val="000000"/>
          <w:sz w:val="24"/>
          <w:szCs w:val="24"/>
          <w:u w:val="none"/>
        </w:rPr>
      </w:pPr>
      <w:r>
        <w:rPr/>
        <w:fldChar w:fldCharType="begin"/>
      </w:r>
      <w:r>
        <w:instrText xml:space="preserve"> HYPERLINK \l "_9hbm8zeairgw" </w:instrText>
      </w:r>
      <w:r>
        <w:rPr/>
        <w:fldChar w:fldCharType="separate"/>
      </w:r>
      <w:r>
        <w:rPr>
          <w:color w:val="000000"/>
          <w:sz w:val="24"/>
          <w:szCs w:val="24"/>
          <w:u w:val="none"/>
        </w:rPr>
        <w:t>5.2 Conclusion</w:t>
      </w:r>
      <w:r>
        <w:rPr>
          <w:color w:val="000000"/>
          <w:sz w:val="24"/>
          <w:szCs w:val="24"/>
          <w:u w:val="none"/>
        </w:rPr>
        <w:tab/>
      </w:r>
      <w:r>
        <w:rPr/>
        <w:fldChar w:fldCharType="end"/>
      </w:r>
      <w:r>
        <w:rPr/>
        <w:fldChar w:fldCharType="begin"/>
      </w:r>
      <w:r>
        <w:instrText xml:space="preserve"> PAGEREF _9hbm8zeairgw \h </w:instrText>
      </w:r>
      <w:r>
        <w:rPr/>
        <w:fldChar w:fldCharType="separate"/>
      </w:r>
      <w:r>
        <w:rPr>
          <w:sz w:val="24"/>
          <w:szCs w:val="24"/>
        </w:rPr>
        <w:t>17</w:t>
      </w:r>
      <w:r>
        <w:rPr/>
        <w:fldChar w:fldCharType="end"/>
      </w:r>
    </w:p>
    <w:p>
      <w:pPr>
        <w:pStyle w:val="style0"/>
        <w:widowControl w:val="false"/>
        <w:tabs>
          <w:tab w:val="right" w:leader="none" w:pos="9360"/>
        </w:tabs>
        <w:spacing w:before="60" w:lineRule="auto" w:line="360"/>
        <w:rPr>
          <w:b/>
          <w:color w:val="000000"/>
          <w:sz w:val="24"/>
          <w:szCs w:val="24"/>
          <w:u w:val="none"/>
        </w:rPr>
      </w:pPr>
      <w:r>
        <w:rPr/>
        <w:fldChar w:fldCharType="begin"/>
      </w:r>
      <w:r>
        <w:instrText xml:space="preserve"> HYPERLINK \l "_4k98alkvfcdj" </w:instrText>
      </w:r>
      <w:r>
        <w:rPr/>
        <w:fldChar w:fldCharType="separate"/>
      </w:r>
      <w:r>
        <w:rPr>
          <w:b/>
          <w:color w:val="000000"/>
          <w:sz w:val="24"/>
          <w:szCs w:val="24"/>
          <w:u w:val="none"/>
        </w:rPr>
        <w:t>Reference list</w:t>
      </w:r>
      <w:r>
        <w:rPr>
          <w:b/>
          <w:color w:val="000000"/>
          <w:sz w:val="24"/>
          <w:szCs w:val="24"/>
          <w:u w:val="none"/>
        </w:rPr>
        <w:tab/>
      </w:r>
      <w:r>
        <w:rPr/>
        <w:fldChar w:fldCharType="end"/>
      </w:r>
      <w:r>
        <w:rPr/>
        <w:fldChar w:fldCharType="begin"/>
      </w:r>
      <w:r>
        <w:instrText xml:space="preserve"> PAGEREF _4k98alkvfcdj \h </w:instrText>
      </w:r>
      <w:r>
        <w:rPr/>
        <w:fldChar w:fldCharType="separate"/>
      </w:r>
      <w:r>
        <w:rPr>
          <w:b/>
          <w:sz w:val="24"/>
          <w:szCs w:val="24"/>
        </w:rPr>
        <w:t>18</w:t>
      </w:r>
      <w:r>
        <w:rPr/>
        <w:fldChar w:fldCharType="end"/>
      </w:r>
      <w:r>
        <w:rPr/>
        <w:fldChar w:fldCharType="end"/>
      </w:r>
    </w:p>
    <w:p>
      <w:pPr>
        <w:pStyle w:val="style0"/>
        <w:spacing w:lineRule="auto" w:line="360"/>
        <w:rPr>
          <w:sz w:val="24"/>
          <w:szCs w:val="24"/>
        </w:rPr>
      </w:pPr>
    </w:p>
    <w:p>
      <w:pPr>
        <w:pStyle w:val="style0"/>
        <w:spacing w:lineRule="auto" w:line="360"/>
        <w:rPr>
          <w:b/>
          <w:sz w:val="24"/>
          <w:szCs w:val="24"/>
        </w:rPr>
      </w:pPr>
    </w:p>
    <w:p>
      <w:pPr>
        <w:pStyle w:val="style0"/>
        <w:spacing w:lineRule="auto" w:line="360"/>
        <w:rPr>
          <w:b/>
          <w:sz w:val="24"/>
          <w:szCs w:val="24"/>
        </w:rPr>
      </w:pPr>
    </w:p>
    <w:bookmarkStart w:id="3" w:name="_fquxwg23x32i" w:colFirst="0" w:colLast="0"/>
    <w:bookmarkEnd w:id="3"/>
    <w:p>
      <w:pPr>
        <w:pStyle w:val="style2"/>
        <w:spacing w:lineRule="auto" w:line="360"/>
        <w:ind w:left="0" w:firstLine="0"/>
        <w:rPr>
          <w:b/>
          <w:sz w:val="24"/>
          <w:szCs w:val="24"/>
        </w:rPr>
      </w:pPr>
      <w:r>
        <w:br w:type="page"/>
      </w:r>
    </w:p>
    <w:bookmarkStart w:id="4" w:name="_bfwbiun21nfc" w:colFirst="0" w:colLast="0"/>
    <w:bookmarkEnd w:id="4"/>
    <w:p>
      <w:pPr>
        <w:pStyle w:val="style2"/>
        <w:numPr>
          <w:ilvl w:val="0"/>
          <w:numId w:val="1"/>
        </w:numPr>
        <w:spacing w:lineRule="auto" w:line="360"/>
        <w:ind w:left="720" w:hanging="360"/>
        <w:rPr>
          <w:b/>
          <w:sz w:val="24"/>
          <w:szCs w:val="24"/>
        </w:rPr>
      </w:pPr>
      <w:r>
        <w:rPr>
          <w:b/>
          <w:sz w:val="24"/>
          <w:szCs w:val="24"/>
        </w:rPr>
        <w:t>Introduction</w:t>
      </w:r>
    </w:p>
    <w:p>
      <w:pPr>
        <w:pStyle w:val="style0"/>
        <w:spacing w:before="240" w:after="240" w:lineRule="auto" w:line="360"/>
        <w:jc w:val="both"/>
        <w:rPr>
          <w:sz w:val="24"/>
          <w:szCs w:val="24"/>
        </w:rPr>
      </w:pPr>
      <w:r>
        <w:rPr>
          <w:sz w:val="24"/>
          <w:szCs w:val="24"/>
        </w:rPr>
        <w:t>The report examines key challenges and opportunities in Human Capital Management (HCM) and International Human Resource Management (IHRM), focusing on how global labour markets are reshaped by disruptive forces. It addresses four areas: the impact of technology on work and HR strategies; demographic and geopolitical drivers such as ageing, migration, and instability; HRM approaches to closing skills gaps in technology, hospitality, and healthcare; and a reflective evaluation of personal global work capabilities. The discussion is organised into four sections, followed by concluding insights.</w:t>
      </w:r>
    </w:p>
    <w:bookmarkStart w:id="5" w:name="_rdji244ub8ga" w:colFirst="0" w:colLast="0"/>
    <w:bookmarkEnd w:id="5"/>
    <w:p>
      <w:pPr>
        <w:pStyle w:val="style2"/>
        <w:numPr>
          <w:ilvl w:val="0"/>
          <w:numId w:val="1"/>
        </w:numPr>
        <w:spacing w:lineRule="auto" w:line="360"/>
        <w:ind w:left="720" w:hanging="360"/>
        <w:rPr>
          <w:b/>
          <w:sz w:val="24"/>
          <w:szCs w:val="24"/>
        </w:rPr>
      </w:pPr>
      <w:r>
        <w:rPr>
          <w:b/>
          <w:sz w:val="24"/>
          <w:szCs w:val="24"/>
        </w:rPr>
        <w:t>Technology and Labour Markets</w:t>
      </w:r>
    </w:p>
    <w:p>
      <w:pPr>
        <w:pStyle w:val="style0"/>
        <w:spacing w:before="240" w:after="240" w:lineRule="auto" w:line="360"/>
        <w:jc w:val="both"/>
        <w:rPr>
          <w:color w:val="1155cc"/>
          <w:sz w:val="24"/>
          <w:szCs w:val="24"/>
          <w:u w:val="single"/>
        </w:rPr>
      </w:pPr>
      <w:r>
        <w:rPr>
          <w:sz w:val="24"/>
          <w:szCs w:val="24"/>
        </w:rPr>
        <w:t>The advent of artificial intelligence (AI), automation, and digital platforms is dramatically reshaping how work is organized, executed, and managed. Tasks that were once the domain of humans, especially routine, repetitive, and rule-based work, are increasingly susceptible to automation. Yet, AI does not simply eliminate jobs; it also augments human capability, creates new roles (e.g., AI oversight, prompt engineering), and reconfigures the skill mix that employers demand (Sharps, 2024; IEDC, 2025). In parallel, digital labour platforms (e.g., gig / crowdworking marketplaces) fragment work into micro-tasks, enabling remote matching of supply and demand across geographies with fine granularity (Kuhn et al., 2021; Waldkirch et al., 2021)</w:t>
      </w:r>
    </w:p>
    <w:p>
      <w:pPr>
        <w:pStyle w:val="style0"/>
        <w:spacing w:before="240" w:after="240" w:lineRule="auto" w:line="360"/>
        <w:jc w:val="both"/>
        <w:rPr>
          <w:sz w:val="24"/>
          <w:szCs w:val="24"/>
        </w:rPr>
      </w:pPr>
      <w:r>
        <w:rPr>
          <w:sz w:val="24"/>
          <w:szCs w:val="24"/>
        </w:rPr>
        <w:drawing>
          <wp:inline distL="0" distT="0" distB="0" distR="0">
            <wp:extent cx="5943600" cy="2806700"/>
            <wp:effectExtent l="0" t="0" r="0" b="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5943600" cy="2806700"/>
                    </a:xfrm>
                    <a:prstGeom prst="rect"/>
                    <a:ln cmpd="sng" cap="flat" w="9525">
                      <a:solidFill>
                        <a:srgbClr val="000000"/>
                      </a:solidFill>
                      <a:prstDash val="solid"/>
                      <a:round/>
                      <a:headEnd/>
                      <a:tailEnd/>
                    </a:ln>
                  </pic:spPr>
                </pic:pic>
              </a:graphicData>
            </a:graphic>
          </wp:inline>
        </w:drawing>
      </w:r>
    </w:p>
    <w:p>
      <w:pPr>
        <w:pStyle w:val="style0"/>
        <w:spacing w:before="240" w:after="240" w:lineRule="auto" w:line="360"/>
        <w:jc w:val="center"/>
        <w:rPr>
          <w:i/>
          <w:sz w:val="24"/>
          <w:szCs w:val="24"/>
        </w:rPr>
      </w:pPr>
      <w:r>
        <w:rPr>
          <w:i/>
          <w:sz w:val="24"/>
          <w:szCs w:val="24"/>
        </w:rPr>
        <w:t>Figure 1: Top Fastest Growing Jobs; Source: (IEDC, 2025)</w:t>
      </w:r>
    </w:p>
    <w:p>
      <w:pPr>
        <w:pStyle w:val="style0"/>
        <w:spacing w:before="240" w:after="240" w:lineRule="auto" w:line="360"/>
        <w:jc w:val="both"/>
        <w:rPr>
          <w:sz w:val="24"/>
          <w:szCs w:val="24"/>
        </w:rPr>
      </w:pPr>
      <w:r>
        <w:rPr>
          <w:sz w:val="24"/>
          <w:szCs w:val="24"/>
        </w:rPr>
        <w:t>A useful lens for understanding these dynamics is the task-based view of labor markets: work is decomposed into tasks, and automation replaces or alters tasks, not entire occupations. As the classic Acemoglu &amp; Restrepo (2019) framework suggests, when a subset of functions is automated, demand for remaining tasks and thus for specific skills may increase, shift, or decline. This creates ambiguous effects: some jobs shrink, some reskill, others vanish, and new ones emerge (Webb, 2020). In this context, the Ability-Motivation-Opportunity (AMO) model from HRM theory provides a bridge to strategy. To capture value in a transformed environment, HR policies must enhance employees’ Abilities (reskilling, digital fluency), Motivation (incentives, engagement in AI-augmented work), and Opportunities (job redesign, internal mobility, fluid teaming) (Kellner, Cafferkey, and Townsend, 2019).</w:t>
      </w:r>
    </w:p>
    <w:p>
      <w:pPr>
        <w:pStyle w:val="style0"/>
        <w:spacing w:before="240" w:after="240" w:lineRule="auto" w:line="360"/>
        <w:jc w:val="both"/>
        <w:rPr>
          <w:sz w:val="24"/>
          <w:szCs w:val="24"/>
        </w:rPr>
      </w:pPr>
      <w:r>
        <w:rPr>
          <w:sz w:val="24"/>
          <w:szCs w:val="24"/>
        </w:rPr>
        <w:drawing>
          <wp:inline distL="0" distT="0" distB="0" distR="0">
            <wp:extent cx="5943600" cy="2933700"/>
            <wp:effectExtent l="0" t="0" r="0" b="0"/>
            <wp:docPr id="1027"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3" cstate="print"/>
                    <a:srcRect l="0" t="0" r="0" b="0"/>
                    <a:stretch/>
                  </pic:blipFill>
                  <pic:spPr>
                    <a:xfrm rot="0">
                      <a:off x="0" y="0"/>
                      <a:ext cx="5943600" cy="2933700"/>
                    </a:xfrm>
                    <a:prstGeom prst="rect"/>
                    <a:ln cmpd="sng" cap="flat" w="9525">
                      <a:solidFill>
                        <a:srgbClr val="000000"/>
                      </a:solidFill>
                      <a:prstDash val="solid"/>
                      <a:round/>
                      <a:headEnd/>
                      <a:tailEnd/>
                    </a:ln>
                  </pic:spPr>
                </pic:pic>
              </a:graphicData>
            </a:graphic>
          </wp:inline>
        </w:drawing>
      </w:r>
    </w:p>
    <w:p>
      <w:pPr>
        <w:pStyle w:val="style0"/>
        <w:spacing w:before="240" w:after="240" w:lineRule="auto" w:line="360"/>
        <w:jc w:val="center"/>
        <w:rPr>
          <w:sz w:val="24"/>
          <w:szCs w:val="24"/>
        </w:rPr>
      </w:pPr>
      <w:r>
        <w:rPr>
          <w:i/>
          <w:sz w:val="24"/>
          <w:szCs w:val="24"/>
        </w:rPr>
        <w:t>Figure 2: Ability-Motivation-Opportunity (AMO) model; Source: Guided by Appelbaum et al. (2000)</w:t>
      </w:r>
    </w:p>
    <w:bookmarkStart w:id="6" w:name="_12n6ugll0x9w" w:colFirst="0" w:colLast="0"/>
    <w:bookmarkEnd w:id="6"/>
    <w:p>
      <w:pPr>
        <w:pStyle w:val="style3"/>
        <w:keepNext w:val="false"/>
        <w:keepLines w:val="false"/>
        <w:spacing w:before="280" w:lineRule="auto" w:line="360"/>
        <w:jc w:val="both"/>
        <w:rPr>
          <w:b/>
          <w:color w:val="000000"/>
          <w:sz w:val="24"/>
          <w:szCs w:val="24"/>
        </w:rPr>
      </w:pPr>
      <w:r>
        <w:rPr>
          <w:b/>
          <w:color w:val="000000"/>
          <w:sz w:val="24"/>
          <w:szCs w:val="24"/>
        </w:rPr>
        <w:t>2.1 Strategic Implications for HRM and IHRM</w:t>
      </w:r>
    </w:p>
    <w:p>
      <w:pPr>
        <w:pStyle w:val="style0"/>
        <w:spacing w:before="240" w:after="240" w:lineRule="auto" w:line="360"/>
        <w:jc w:val="both"/>
        <w:rPr>
          <w:sz w:val="24"/>
          <w:szCs w:val="24"/>
        </w:rPr>
      </w:pPr>
      <w:r>
        <w:rPr>
          <w:sz w:val="24"/>
          <w:szCs w:val="24"/>
        </w:rPr>
        <w:t>HR must refine recruitment to prioritize digital literacy, adaptability, data-savviness, and learning agility. AI tools themselves may be used to screen candidates. However, this must be deployed with transparency, fairness, and careful oversight of bias to avoid algorithmic discrimination. Given rapid change, continuous learning is non-negotiable. Organizations should embed microlearning, just-in-time modules, and rotational assignments to help employees refresh and pivot skills toward emerging roles (e.g. AI supervision, human-in-the-loop tasks). HR must build a skill taxonomy to map current-to-future skill gaps and tie development to career paths.</w:t>
      </w:r>
    </w:p>
    <w:p>
      <w:pPr>
        <w:pStyle w:val="style0"/>
        <w:spacing w:before="240" w:after="240" w:lineRule="auto" w:line="360"/>
        <w:jc w:val="both"/>
        <w:rPr>
          <w:sz w:val="24"/>
          <w:szCs w:val="24"/>
        </w:rPr>
      </w:pPr>
      <w:r>
        <w:rPr>
          <w:sz w:val="24"/>
          <w:szCs w:val="24"/>
        </w:rPr>
        <w:t>Furthermore, some tasks will be automated (or “botified”), but human work may shift toward creative, judgmental, relational or oversight functions. HR can redesign roles to leverage human–machine complementarity (humans + AI), ensuring humans take on tasks requiring judgment, empathy, ethics, or strategic thinking. Internal mobility pathways help redeploy talent into newly created roles rather than resorting to layoffs.</w:t>
      </w:r>
    </w:p>
    <w:p>
      <w:pPr>
        <w:pStyle w:val="style0"/>
        <w:spacing w:before="240" w:after="240" w:lineRule="auto" w:line="360"/>
        <w:jc w:val="both"/>
        <w:rPr>
          <w:color w:val="1155cc"/>
          <w:sz w:val="24"/>
          <w:szCs w:val="24"/>
          <w:u w:val="single"/>
        </w:rPr>
      </w:pPr>
      <w:r>
        <w:rPr>
          <w:sz w:val="24"/>
          <w:szCs w:val="24"/>
        </w:rPr>
        <w:t xml:space="preserve">According to Prasad and De (2024), the deployment of AI in HR or operations introduces significant ethical risks, including bias, opacity, surveillance, and fairness. Organizations must establish governance frameworks, conduct algorithmic audits, implement “explainable AI” practices, and maintain transparent communication with employees to foster trust. </w:t>
      </w:r>
    </w:p>
    <w:p>
      <w:pPr>
        <w:pStyle w:val="style0"/>
        <w:spacing w:before="240" w:after="240" w:lineRule="auto" w:line="360"/>
        <w:jc w:val="both"/>
        <w:rPr>
          <w:sz w:val="24"/>
          <w:szCs w:val="24"/>
        </w:rPr>
      </w:pPr>
      <w:r>
        <w:rPr>
          <w:sz w:val="24"/>
          <w:szCs w:val="24"/>
        </w:rPr>
        <w:t>Within IHRM contexts, HR must grapple with cross-jurisdictional compliance for data protection (GDPR, local privacy laws), algorithmic decision-making standards, migration of digital talent, and ensuring equitable access to AI-driven HR tools across geographies. HR policies may require local adaptation while remaining aligned with a global standard of fairness.</w:t>
      </w:r>
    </w:p>
    <w:bookmarkStart w:id="7" w:name="_kx06e5inojo6" w:colFirst="0" w:colLast="0"/>
    <w:bookmarkEnd w:id="7"/>
    <w:p>
      <w:pPr>
        <w:pStyle w:val="style3"/>
        <w:keepNext w:val="false"/>
        <w:keepLines w:val="false"/>
        <w:spacing w:before="280" w:lineRule="auto" w:line="360"/>
        <w:jc w:val="both"/>
        <w:rPr>
          <w:b/>
          <w:color w:val="000000"/>
          <w:sz w:val="24"/>
          <w:szCs w:val="24"/>
        </w:rPr>
      </w:pPr>
      <w:r>
        <w:rPr>
          <w:b/>
          <w:color w:val="000000"/>
          <w:sz w:val="24"/>
          <w:szCs w:val="24"/>
        </w:rPr>
        <w:t>2.2 Synthesis &amp; nuance</w:t>
      </w:r>
    </w:p>
    <w:p>
      <w:pPr>
        <w:pStyle w:val="style0"/>
        <w:spacing w:before="240" w:after="240" w:lineRule="auto" w:line="360"/>
        <w:jc w:val="both"/>
        <w:rPr>
          <w:sz w:val="24"/>
          <w:szCs w:val="24"/>
        </w:rPr>
      </w:pPr>
      <w:r>
        <w:rPr>
          <w:sz w:val="24"/>
          <w:szCs w:val="24"/>
        </w:rPr>
        <w:t>While the prevailing narrative emphasizes job loss, the empirical and theoretical evidence is more nuanced. AI can complement human workers, boosting productivity and creating new roles, especially in analytics or oversight functions. However, these benefits rely on effective upskilling, ethical governance, and organizational adaptation. Pineda et al. (2024) argued, if HR lags, automation may exacerbate inequality, displace lower-skilled workers, and erode trust in the workforce.</w:t>
      </w:r>
    </w:p>
    <w:bookmarkStart w:id="8" w:name="_mcd784mn5lpp" w:colFirst="0" w:colLast="0"/>
    <w:bookmarkEnd w:id="8"/>
    <w:p>
      <w:pPr>
        <w:pStyle w:val="style2"/>
        <w:keepNext w:val="false"/>
        <w:keepLines w:val="false"/>
        <w:numPr>
          <w:ilvl w:val="0"/>
          <w:numId w:val="1"/>
        </w:numPr>
        <w:spacing w:after="80" w:lineRule="auto" w:line="360"/>
        <w:ind w:left="720" w:hanging="360"/>
        <w:jc w:val="both"/>
        <w:rPr>
          <w:b/>
          <w:sz w:val="24"/>
          <w:szCs w:val="24"/>
        </w:rPr>
      </w:pPr>
      <w:r>
        <w:rPr>
          <w:b/>
          <w:sz w:val="24"/>
          <w:szCs w:val="24"/>
        </w:rPr>
        <w:t>Demographic and Geopolitical Drivers</w:t>
      </w:r>
    </w:p>
    <w:bookmarkStart w:id="9" w:name="_yomusd9wqrnr" w:colFirst="0" w:colLast="0"/>
    <w:bookmarkEnd w:id="9"/>
    <w:p>
      <w:pPr>
        <w:pStyle w:val="style3"/>
        <w:keepNext w:val="false"/>
        <w:keepLines w:val="false"/>
        <w:spacing w:before="280" w:lineRule="auto" w:line="360"/>
        <w:jc w:val="both"/>
        <w:rPr>
          <w:b/>
          <w:color w:val="000000"/>
          <w:sz w:val="24"/>
          <w:szCs w:val="24"/>
        </w:rPr>
      </w:pPr>
      <w:r>
        <w:rPr>
          <w:b/>
          <w:color w:val="000000"/>
          <w:sz w:val="24"/>
          <w:szCs w:val="24"/>
        </w:rPr>
        <w:t>3.1 Key Demographic Factors</w:t>
      </w:r>
    </w:p>
    <w:p>
      <w:pPr>
        <w:pStyle w:val="style0"/>
        <w:spacing w:before="240" w:after="240" w:lineRule="auto" w:line="360"/>
        <w:jc w:val="both"/>
        <w:rPr>
          <w:sz w:val="24"/>
          <w:szCs w:val="24"/>
        </w:rPr>
      </w:pPr>
      <w:r>
        <w:rPr>
          <w:sz w:val="24"/>
          <w:szCs w:val="24"/>
        </w:rPr>
        <w:t>Significantly, in many advanced economies, fertility rates are below replacement levels, while life expectancy rises. This leads to a shrinking working-age cohort and rising dependency ratios. As older age groups retire, fewer younger workers are available to sustain economic growth. HR functions must adjust to a smaller talent pool, needing to retain mature workers, encourage later retirement, and design roles sensitive to age-related differences in capacity and flexibility.</w:t>
      </w:r>
    </w:p>
    <w:p>
      <w:pPr>
        <w:pStyle w:val="style0"/>
        <w:spacing w:before="240" w:after="240" w:lineRule="auto" w:line="360"/>
        <w:jc w:val="both"/>
        <w:rPr>
          <w:sz w:val="24"/>
          <w:szCs w:val="24"/>
        </w:rPr>
      </w:pPr>
      <w:r>
        <w:rPr>
          <w:sz w:val="24"/>
          <w:szCs w:val="24"/>
        </w:rPr>
        <w:t>Secondly, Migration acts as a critical demographic buffer. According to ILO estimates, international migrants comprised 4.3% of the global working-age population in 2022 and 4.7% of the worldwide labour force (ILO, 2024). Migrants tend to have higher labour force participation rates than non-migrants globally. Migration helps countries replenish their labour force where birth rates are low, although it presents policy, social, and integration challenges. Migration is associated with higher overall participation. Migrants often enter host economies specifically for jobs, while non-migrants include larger shares of inactive populations (students, carers, discouraged workers) (Noja et al., 2018).</w:t>
      </w:r>
    </w:p>
    <w:p>
      <w:pPr>
        <w:pStyle w:val="style0"/>
        <w:spacing w:before="240" w:after="240" w:lineRule="auto" w:line="360"/>
        <w:jc w:val="center"/>
        <w:rPr>
          <w:sz w:val="24"/>
          <w:szCs w:val="24"/>
        </w:rPr>
      </w:pPr>
      <w:r>
        <w:rPr>
          <w:sz w:val="24"/>
          <w:szCs w:val="24"/>
        </w:rPr>
        <w:drawing>
          <wp:inline distL="0" distT="0" distB="0" distR="0">
            <wp:extent cx="5586547" cy="3804939"/>
            <wp:effectExtent l="0" t="0" r="0" b="0"/>
            <wp:docPr id="1028"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4" cstate="print"/>
                    <a:srcRect l="0" t="0" r="0" b="0"/>
                    <a:stretch/>
                  </pic:blipFill>
                  <pic:spPr>
                    <a:xfrm rot="0">
                      <a:off x="0" y="0"/>
                      <a:ext cx="5586547" cy="3804939"/>
                    </a:xfrm>
                    <a:prstGeom prst="rect"/>
                    <a:ln cmpd="sng" cap="flat" w="9525">
                      <a:solidFill>
                        <a:srgbClr val="000000"/>
                      </a:solidFill>
                      <a:prstDash val="solid"/>
                      <a:round/>
                      <a:headEnd/>
                      <a:tailEnd/>
                    </a:ln>
                  </pic:spPr>
                </pic:pic>
              </a:graphicData>
            </a:graphic>
          </wp:inline>
        </w:drawing>
      </w:r>
    </w:p>
    <w:p>
      <w:pPr>
        <w:pStyle w:val="style0"/>
        <w:spacing w:before="240" w:after="240" w:lineRule="auto" w:line="360"/>
        <w:jc w:val="center"/>
        <w:rPr>
          <w:sz w:val="24"/>
          <w:szCs w:val="24"/>
        </w:rPr>
      </w:pPr>
      <w:r>
        <w:rPr>
          <w:i/>
          <w:sz w:val="24"/>
          <w:szCs w:val="24"/>
        </w:rPr>
        <w:t>Figure 3: Labour force participation rate (LFPR) chart; Source: (Migration Data Portal, 2023)</w:t>
      </w:r>
    </w:p>
    <w:p>
      <w:pPr>
        <w:pStyle w:val="style0"/>
        <w:spacing w:before="240" w:after="240" w:lineRule="auto" w:line="360"/>
        <w:jc w:val="center"/>
        <w:rPr>
          <w:sz w:val="24"/>
          <w:szCs w:val="24"/>
        </w:rPr>
      </w:pPr>
    </w:p>
    <w:p>
      <w:pPr>
        <w:pStyle w:val="style0"/>
        <w:spacing w:before="240" w:after="240" w:lineRule="auto" w:line="360"/>
        <w:jc w:val="left"/>
        <w:rPr>
          <w:sz w:val="24"/>
          <w:szCs w:val="24"/>
        </w:rPr>
      </w:pPr>
      <w:r>
        <w:rPr>
          <w:sz w:val="24"/>
          <w:szCs w:val="24"/>
        </w:rPr>
        <w:t>Workforces now span multiple generations (Baby Boomers, Gen X, Millennials, Gen Z), each with distinct attitudes toward work, tech, mobility, and values. HR must juggle intergenerational expectations, such as flexibility, career pathing, and work–life balance, while managing potential friction. The increasing cultural, ethnic, and gender diversity associated with migration also means that HR must ensure inclusion, equity, and cultural sensitivity.</w:t>
      </w:r>
    </w:p>
    <w:bookmarkStart w:id="10" w:name="_f8wq2ipos493" w:colFirst="0" w:colLast="0"/>
    <w:bookmarkEnd w:id="10"/>
    <w:p>
      <w:pPr>
        <w:pStyle w:val="style3"/>
        <w:keepNext w:val="false"/>
        <w:keepLines w:val="false"/>
        <w:spacing w:before="280" w:lineRule="auto" w:line="360"/>
        <w:jc w:val="both"/>
        <w:rPr>
          <w:b/>
          <w:color w:val="000000"/>
          <w:sz w:val="24"/>
          <w:szCs w:val="24"/>
        </w:rPr>
      </w:pPr>
      <w:r>
        <w:rPr>
          <w:b/>
          <w:color w:val="000000"/>
          <w:sz w:val="24"/>
          <w:szCs w:val="24"/>
        </w:rPr>
        <w:t>3.2 Geopolitical Drivers</w:t>
      </w:r>
    </w:p>
    <w:p>
      <w:pPr>
        <w:pStyle w:val="style0"/>
        <w:spacing w:before="240" w:after="240" w:lineRule="auto" w:line="360"/>
        <w:jc w:val="both"/>
        <w:rPr>
          <w:sz w:val="24"/>
          <w:szCs w:val="24"/>
        </w:rPr>
      </w:pPr>
      <w:r>
        <w:rPr>
          <w:sz w:val="24"/>
          <w:szCs w:val="24"/>
        </w:rPr>
        <w:t>While globalization has long promoted cross-border flows of goods, capital, and labour, rising geopolitical tensions, trade protectionism, and nationalism are driving de-globalization forces. A recent review of anti-globalization trends highlights how political backlash and economic nationalism challenge the assumption of ever-deeper integration (Shi, Qian and Chen, 2025). HR must navigate shifting supply chains, local content mandates, and pressures to localize operations.</w:t>
      </w:r>
    </w:p>
    <w:p>
      <w:pPr>
        <w:pStyle w:val="style0"/>
        <w:spacing w:before="240" w:after="240" w:lineRule="auto" w:line="360"/>
        <w:jc w:val="both"/>
        <w:rPr>
          <w:color w:val="1155cc"/>
          <w:sz w:val="24"/>
          <w:szCs w:val="24"/>
          <w:u w:val="single"/>
        </w:rPr>
      </w:pPr>
      <w:r>
        <w:rPr>
          <w:sz w:val="24"/>
          <w:szCs w:val="24"/>
        </w:rPr>
        <w:t xml:space="preserve">Geopolitical conflicts, sanctions, or diplomatic fractures can disrupt the cross-border movement of goods, capital, and people. For firms with multinational operations, abrupt changes in trade regimes or travel restrictions can threaten the mobility of talent, expatriate assignments, and cross-border HR interoperability. As one HR commentary asks, “Is this the end of the global workforce?” under rising geopolitical tensions (Brady, 2024). </w:t>
      </w:r>
    </w:p>
    <w:p>
      <w:pPr>
        <w:pStyle w:val="style0"/>
        <w:spacing w:before="240" w:after="240" w:lineRule="auto" w:line="360"/>
        <w:jc w:val="both"/>
        <w:rPr>
          <w:sz w:val="24"/>
          <w:szCs w:val="24"/>
        </w:rPr>
      </w:pPr>
      <w:r>
        <w:rPr>
          <w:sz w:val="24"/>
          <w:szCs w:val="24"/>
        </w:rPr>
        <w:t>In a more fractured geopolitical landscape, nations are asserting sovereignty over data, requiring local storage or censorship, limiting the use of AI. HR systems (like cloud HRIS, global applicant tracking systems) must comply with local laws (e.g. data-localization, privacy, surveillance limits). The institutional translation of national rules into local HR practices becomes especially salient.</w:t>
      </w:r>
    </w:p>
    <w:bookmarkStart w:id="11" w:name="_l0lsg2gfik0u" w:colFirst="0" w:colLast="0"/>
    <w:bookmarkEnd w:id="11"/>
    <w:p>
      <w:pPr>
        <w:pStyle w:val="style3"/>
        <w:keepNext w:val="false"/>
        <w:keepLines w:val="false"/>
        <w:spacing w:before="280" w:lineRule="auto" w:line="360"/>
        <w:jc w:val="both"/>
        <w:rPr>
          <w:b/>
          <w:color w:val="000000"/>
          <w:sz w:val="24"/>
          <w:szCs w:val="24"/>
        </w:rPr>
      </w:pPr>
      <w:r>
        <w:rPr>
          <w:b/>
          <w:color w:val="000000"/>
          <w:sz w:val="24"/>
          <w:szCs w:val="24"/>
        </w:rPr>
        <w:t>3.3 HR Challenges &amp; Implications</w:t>
      </w:r>
    </w:p>
    <w:p>
      <w:pPr>
        <w:pStyle w:val="style0"/>
        <w:spacing w:before="240" w:after="240" w:lineRule="auto" w:line="360"/>
        <w:jc w:val="both"/>
        <w:rPr>
          <w:sz w:val="24"/>
          <w:szCs w:val="24"/>
        </w:rPr>
      </w:pPr>
      <w:r>
        <w:rPr>
          <w:sz w:val="24"/>
          <w:szCs w:val="24"/>
        </w:rPr>
        <w:t>An ageing labour force and rising competition for skilled migrants intensify talent scarcity, especially in specialized areas like healthcare, STEM, and high-tech roles. HR must adopt creative sourcing, retention, and internal development strategies.</w:t>
      </w:r>
    </w:p>
    <w:p>
      <w:pPr>
        <w:pStyle w:val="style0"/>
        <w:spacing w:before="240" w:after="240" w:lineRule="auto" w:line="360"/>
        <w:jc w:val="both"/>
        <w:rPr>
          <w:sz w:val="24"/>
          <w:szCs w:val="24"/>
        </w:rPr>
      </w:pPr>
      <w:r>
        <w:rPr>
          <w:sz w:val="24"/>
          <w:szCs w:val="24"/>
        </w:rPr>
        <w:t>Moreover, Regulating migration, visa quotas, welfare eligibility, and changing rmmigration policies pose barriers to moving talent across borders. HR must stay abreast of visa regimes, immigration law, bilateral agreements, and institutional compliance. Migrants or underrepresented groups may face barriers: credential recognition, language, discrimination, cultural adjustment. HR must design fair onboarding, mentoring, inclusive leadership, EDI (equality, diversity, inclusion) policies, and support structures.</w:t>
      </w:r>
    </w:p>
    <w:p>
      <w:pPr>
        <w:pStyle w:val="style0"/>
        <w:spacing w:before="240" w:after="240" w:lineRule="auto" w:line="360"/>
        <w:jc w:val="both"/>
        <w:rPr>
          <w:sz w:val="24"/>
          <w:szCs w:val="24"/>
        </w:rPr>
      </w:pPr>
      <w:r>
        <w:rPr>
          <w:sz w:val="24"/>
          <w:szCs w:val="24"/>
        </w:rPr>
        <w:t>Global operations require HR to reconcile differences in labor laws, social norms, employment contracts, benefit expectations, collective bargaining systems, and local institutional pressures. Policies that work in one country may clash with legal or cultural norms in another.</w:t>
      </w:r>
    </w:p>
    <w:bookmarkStart w:id="12" w:name="_fitdd71x6dsy" w:colFirst="0" w:colLast="0"/>
    <w:bookmarkEnd w:id="12"/>
    <w:p>
      <w:pPr>
        <w:pStyle w:val="style3"/>
        <w:keepNext w:val="false"/>
        <w:keepLines w:val="false"/>
        <w:spacing w:before="280" w:lineRule="auto" w:line="360"/>
        <w:jc w:val="both"/>
        <w:rPr>
          <w:b/>
          <w:color w:val="000000"/>
          <w:sz w:val="24"/>
          <w:szCs w:val="24"/>
        </w:rPr>
      </w:pPr>
      <w:r>
        <w:rPr>
          <w:b/>
          <w:color w:val="000000"/>
          <w:sz w:val="24"/>
          <w:szCs w:val="24"/>
        </w:rPr>
        <w:t>3.4 Towards a Strategic Response</w:t>
      </w:r>
    </w:p>
    <w:p>
      <w:pPr>
        <w:pStyle w:val="style0"/>
        <w:spacing w:before="240" w:after="240" w:lineRule="auto" w:line="360"/>
        <w:jc w:val="both"/>
        <w:rPr>
          <w:sz w:val="24"/>
          <w:szCs w:val="24"/>
        </w:rPr>
      </w:pPr>
      <w:r>
        <w:rPr>
          <w:sz w:val="24"/>
          <w:szCs w:val="24"/>
        </w:rPr>
        <w:t>HR/IHRM must adopt a dual approach: a global standard and local adaptation. Use a PESTLE framework to monitor demographic and geopolitical shifts. Employ institutional theory to understand home/host pressures. Build flexibility into mobility programs, define global equity standards, and localize benefits in sensitive ways. In summary, demographic pressures and geopolitical turbulence necessitate proactive, agile, and context-sensitive HR strategies that strike a balance between global consistency and local legitimacy.</w:t>
      </w:r>
    </w:p>
    <w:bookmarkStart w:id="13" w:name="_s3urk438rucp" w:colFirst="0" w:colLast="0"/>
    <w:bookmarkEnd w:id="13"/>
    <w:p>
      <w:pPr>
        <w:pStyle w:val="style2"/>
        <w:keepNext w:val="false"/>
        <w:keepLines w:val="false"/>
        <w:numPr>
          <w:ilvl w:val="0"/>
          <w:numId w:val="1"/>
        </w:numPr>
        <w:spacing w:after="80" w:lineRule="auto" w:line="360"/>
        <w:ind w:left="720" w:hanging="360"/>
        <w:jc w:val="both"/>
        <w:rPr>
          <w:b/>
          <w:sz w:val="24"/>
          <w:szCs w:val="24"/>
        </w:rPr>
      </w:pPr>
      <w:r>
        <w:rPr>
          <w:b/>
          <w:sz w:val="24"/>
          <w:szCs w:val="24"/>
        </w:rPr>
        <w:t>Addressing Skills Gaps in Specific Sectors</w:t>
      </w:r>
    </w:p>
    <w:p>
      <w:pPr>
        <w:pStyle w:val="style0"/>
        <w:spacing w:before="240" w:after="240" w:lineRule="auto" w:line="360"/>
        <w:jc w:val="both"/>
        <w:rPr>
          <w:sz w:val="24"/>
          <w:szCs w:val="24"/>
        </w:rPr>
      </w:pPr>
      <w:r>
        <w:rPr>
          <w:b/>
          <w:sz w:val="24"/>
          <w:szCs w:val="24"/>
        </w:rPr>
        <w:t>Technology / IT:</w:t>
      </w:r>
      <w:r>
        <w:rPr>
          <w:sz w:val="24"/>
          <w:szCs w:val="24"/>
        </w:rPr>
        <w:t xml:space="preserve"> Skills shortages remain one of the most pressing challenges for human resource management across industries, with the technology, healthcare, and hospitality sectors facing particularly acute pressures. In technology, employers report persistent gaps in artificial intelligence and machine learning expertise, data science, cybersecurity, and cloud architecture. The speed at which digital skills evolve means that obsolescence is rapid, requiring workers to engage in continuous learning to remain employable. Research suggests that skill-based hiring is overtaking credential-based hiring, especially for roles in artificial intelligence (Bone, Ehlinger and Stephany, 2023). It is demonstrable competence in programming languages such as Python or experience with model deployment now carries greater weight than formal qualifications. The scarcity of highly specialised talent, coupled with intense competition between firms, has driven organisations to adopt mixed strategies that combine full-time hires, contractors, and gig workers to fill immediate needs (Mahoutchian et al., 2024).</w:t>
      </w:r>
    </w:p>
    <w:p>
      <w:pPr>
        <w:pStyle w:val="style0"/>
        <w:spacing w:before="240" w:after="240" w:lineRule="auto" w:line="360"/>
        <w:jc w:val="both"/>
        <w:rPr>
          <w:sz w:val="24"/>
          <w:szCs w:val="24"/>
        </w:rPr>
      </w:pPr>
      <w:r>
        <w:rPr>
          <w:b/>
          <w:sz w:val="24"/>
          <w:szCs w:val="24"/>
        </w:rPr>
        <w:t>Healthcare</w:t>
      </w:r>
      <w:r>
        <w:rPr>
          <w:sz w:val="24"/>
          <w:szCs w:val="24"/>
        </w:rPr>
        <w:t>: The healthcare sector illustrates a different but equally significant challenge. Here, the shortages centre on nurses, medical technologists, and specialised practitioners such as radiologists and intensive care physicians. These shortages are exacerbated by high attrition and burnout rates, particularly in the aftermath of the COVID-19 pandemic, when many professionals left the field altogether. Retention, redeployment, and cross-training are therefore as critical as recruitment. Studies modelling internal redeployment strategies have shown that reallocating nurses across units according to demand can mitigate under- and over-staffing while improving patient care (Liu et al., 2025). For HR managers in healthcare, the challenge is not only to attract qualified staff but also to develop resilient systems that maintain workforce stability under pressure.</w:t>
      </w:r>
    </w:p>
    <w:p>
      <w:pPr>
        <w:pStyle w:val="style0"/>
        <w:spacing w:before="240" w:after="240" w:lineRule="auto" w:line="360"/>
        <w:jc w:val="both"/>
        <w:rPr>
          <w:sz w:val="24"/>
          <w:szCs w:val="24"/>
        </w:rPr>
      </w:pPr>
      <w:r>
        <w:rPr>
          <w:b/>
          <w:sz w:val="24"/>
          <w:szCs w:val="24"/>
        </w:rPr>
        <w:t>Hospitality / Service / Leisure:</w:t>
      </w:r>
      <w:r>
        <w:rPr>
          <w:sz w:val="24"/>
          <w:szCs w:val="24"/>
        </w:rPr>
        <w:t xml:space="preserve"> Hospitality presents yet another dimension of the skills gap problem. The industry faces difficulties recruiting multilingual staff and employees with digital hospitality and customer experience expertise, especially as service delivery is increasingly augmented by technology. The pandemic accelerated the exit of many workers from the sector, creating a shortage just as demand for travel and leisure began to rebound. In this context, employers must design pathways to reskill and attract new entrants while simultaneously leveraging automation to cover routine tasks. The introduction of kiosks, mobile ordering platforms, and service robots has reduced some labour pressures. Still, it has also required staff to acquire new oversight and customer-engagement skills to ensure that automation complements rather than replaces human interaction.</w:t>
      </w:r>
    </w:p>
    <w:bookmarkStart w:id="14" w:name="_7ras6oldx304" w:colFirst="0" w:colLast="0"/>
    <w:bookmarkEnd w:id="14"/>
    <w:p>
      <w:pPr>
        <w:pStyle w:val="style3"/>
        <w:spacing w:before="240" w:after="240" w:lineRule="auto" w:line="360"/>
        <w:jc w:val="both"/>
        <w:rPr>
          <w:b/>
          <w:sz w:val="24"/>
          <w:szCs w:val="24"/>
        </w:rPr>
      </w:pPr>
      <w:r>
        <w:rPr>
          <w:b/>
          <w:sz w:val="24"/>
          <w:szCs w:val="24"/>
        </w:rPr>
        <w:t xml:space="preserve">4.1 Strategic HRM Responses: </w:t>
      </w:r>
    </w:p>
    <w:p>
      <w:pPr>
        <w:pStyle w:val="style0"/>
        <w:spacing w:before="240" w:after="240" w:lineRule="auto" w:line="360"/>
        <w:jc w:val="both"/>
        <w:rPr>
          <w:sz w:val="24"/>
          <w:szCs w:val="24"/>
        </w:rPr>
      </w:pPr>
      <w:r>
        <w:rPr>
          <w:sz w:val="24"/>
          <w:szCs w:val="24"/>
        </w:rPr>
        <w:t>A useful strategic framework for addressing these shortages is the “Build–Buy–Borrow–Bot” model (as shown in Figure 4) (Lennon, 2024). Effective strategies typically combine these levers. A technology firm, for instance, might build skills through internal boot camps while simultaneously contracting external consultants for immediate needs. Hospitals might buy scarce specialists while building resilience through cross-training. Hospitality providers may borrow seasonal staff while deploying automation to cover repetitive functions.</w:t>
      </w:r>
    </w:p>
    <w:p>
      <w:pPr>
        <w:pStyle w:val="style0"/>
        <w:spacing w:before="240" w:after="240" w:lineRule="auto" w:line="360"/>
        <w:jc w:val="center"/>
        <w:rPr>
          <w:sz w:val="24"/>
          <w:szCs w:val="24"/>
        </w:rPr>
      </w:pPr>
      <w:r>
        <w:rPr>
          <w:sz w:val="24"/>
          <w:szCs w:val="24"/>
        </w:rPr>
        <w:drawing>
          <wp:inline distL="0" distT="0" distB="0" distR="0">
            <wp:extent cx="4343400" cy="3818467"/>
            <wp:effectExtent l="0" t="0" r="0" b="0"/>
            <wp:docPr id="1029"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5" cstate="print"/>
                    <a:srcRect l="0" t="12339" r="0" b="0"/>
                    <a:stretch/>
                  </pic:blipFill>
                  <pic:spPr>
                    <a:xfrm rot="0">
                      <a:off x="0" y="0"/>
                      <a:ext cx="4343400" cy="3818467"/>
                    </a:xfrm>
                    <a:prstGeom prst="rect"/>
                    <a:ln cmpd="sng" cap="flat" w="9525">
                      <a:solidFill>
                        <a:srgbClr val="000000"/>
                      </a:solidFill>
                      <a:prstDash val="solid"/>
                      <a:round/>
                      <a:headEnd/>
                      <a:tailEnd/>
                    </a:ln>
                  </pic:spPr>
                </pic:pic>
              </a:graphicData>
            </a:graphic>
          </wp:inline>
        </w:drawing>
      </w:r>
    </w:p>
    <w:p>
      <w:pPr>
        <w:pStyle w:val="style0"/>
        <w:spacing w:before="240" w:after="240" w:lineRule="auto" w:line="360"/>
        <w:jc w:val="center"/>
        <w:rPr>
          <w:sz w:val="24"/>
          <w:szCs w:val="24"/>
        </w:rPr>
      </w:pPr>
      <w:r>
        <w:rPr>
          <w:i/>
          <w:sz w:val="24"/>
          <w:szCs w:val="24"/>
        </w:rPr>
        <w:t>Figure 4: “Build–Buy–Borrow–Bot”; Source: User-Created</w:t>
      </w:r>
    </w:p>
    <w:bookmarkStart w:id="15" w:name="_fukutue1ftwy" w:colFirst="0" w:colLast="0"/>
    <w:bookmarkEnd w:id="15"/>
    <w:p>
      <w:pPr>
        <w:pStyle w:val="style3"/>
        <w:spacing w:before="240" w:after="240" w:lineRule="auto" w:line="360"/>
        <w:jc w:val="both"/>
        <w:rPr>
          <w:b/>
          <w:sz w:val="24"/>
          <w:szCs w:val="24"/>
        </w:rPr>
      </w:pPr>
      <w:r>
        <w:rPr>
          <w:b/>
          <w:sz w:val="24"/>
          <w:szCs w:val="24"/>
        </w:rPr>
        <w:t>4.2 Practical HR Tools &amp; Mechanisms:</w:t>
      </w:r>
    </w:p>
    <w:p>
      <w:pPr>
        <w:pStyle w:val="style0"/>
        <w:spacing w:before="240" w:after="240" w:lineRule="auto" w:line="360"/>
        <w:jc w:val="both"/>
        <w:rPr>
          <w:sz w:val="24"/>
          <w:szCs w:val="24"/>
        </w:rPr>
      </w:pPr>
      <w:r>
        <w:rPr>
          <w:sz w:val="24"/>
          <w:szCs w:val="24"/>
        </w:rPr>
        <w:t xml:space="preserve">Supporting these strategies are practical HR tools such as workforce planning, which allows managers to forecast future demand and align training investments accordingly, and internal talent marketplaces, which enable employees to move laterally or take on projects that match their emerging skills. Career pathways and stackable micro-credentials are particularly useful in sectors like technology and healthcare, where skill requirements change rapidly. When well designed, these tools improve retention, increase employee motivation, and provide organisations with the agility needed to respond to dynamic labour market conditions. </w:t>
      </w:r>
    </w:p>
    <w:bookmarkStart w:id="16" w:name="_hakcql9sm0x0" w:colFirst="0" w:colLast="0"/>
    <w:bookmarkEnd w:id="16"/>
    <w:p>
      <w:pPr>
        <w:pStyle w:val="style2"/>
        <w:keepNext w:val="false"/>
        <w:keepLines w:val="false"/>
        <w:numPr>
          <w:ilvl w:val="0"/>
          <w:numId w:val="1"/>
        </w:numPr>
        <w:spacing w:after="80" w:lineRule="auto" w:line="360"/>
        <w:ind w:left="720" w:hanging="360"/>
        <w:jc w:val="both"/>
        <w:rPr>
          <w:b/>
          <w:sz w:val="24"/>
          <w:szCs w:val="24"/>
        </w:rPr>
      </w:pPr>
      <w:r>
        <w:rPr>
          <w:b/>
          <w:sz w:val="24"/>
          <w:szCs w:val="24"/>
        </w:rPr>
        <w:t>Reflective Evaluation of Global Work Capability</w:t>
      </w:r>
    </w:p>
    <w:bookmarkStart w:id="17" w:name="_1vly5kvo99qr" w:colFirst="0" w:colLast="0"/>
    <w:bookmarkEnd w:id="17"/>
    <w:p>
      <w:pPr>
        <w:pStyle w:val="style3"/>
        <w:keepNext w:val="false"/>
        <w:keepLines w:val="false"/>
        <w:spacing w:before="280" w:lineRule="auto" w:line="360"/>
        <w:jc w:val="both"/>
        <w:rPr>
          <w:b/>
          <w:color w:val="000000"/>
          <w:sz w:val="24"/>
          <w:szCs w:val="24"/>
        </w:rPr>
      </w:pPr>
      <w:r>
        <w:rPr>
          <w:b/>
          <w:color w:val="000000"/>
          <w:sz w:val="24"/>
          <w:szCs w:val="24"/>
        </w:rPr>
        <w:t>5.1 Introduction to Reflection Framework</w:t>
      </w:r>
    </w:p>
    <w:p>
      <w:pPr>
        <w:pStyle w:val="style0"/>
        <w:spacing w:before="240" w:after="240" w:lineRule="auto" w:line="360"/>
        <w:jc w:val="both"/>
        <w:rPr>
          <w:sz w:val="24"/>
          <w:szCs w:val="24"/>
        </w:rPr>
      </w:pPr>
      <w:r>
        <w:rPr>
          <w:sz w:val="24"/>
          <w:szCs w:val="24"/>
        </w:rPr>
        <w:t>To evaluate my capability for global work, I employ Gibbs’ Reflective Cycle (1988), which encourages a systematic process of describing experiences, analysing feelings, evaluating strengths and weaknesses, and developing an action plan. Applying this framework enables a critical and structured assessment of how I have performed in recent academic tasks and professional interactions, particularly in relation to technology, communication, teamwork, leadership, and self-directed learning.</w:t>
      </w:r>
    </w:p>
    <w:bookmarkStart w:id="18" w:name="_r0ifytqawuzz" w:colFirst="0" w:colLast="0"/>
    <w:bookmarkEnd w:id="18"/>
    <w:p>
      <w:pPr>
        <w:pStyle w:val="style3"/>
        <w:keepNext w:val="false"/>
        <w:keepLines w:val="false"/>
        <w:spacing w:before="280" w:lineRule="auto" w:line="360"/>
        <w:jc w:val="both"/>
        <w:rPr>
          <w:b/>
          <w:color w:val="000000"/>
          <w:sz w:val="24"/>
          <w:szCs w:val="24"/>
        </w:rPr>
      </w:pPr>
      <w:r>
        <w:rPr>
          <w:b/>
          <w:color w:val="000000"/>
          <w:sz w:val="24"/>
          <w:szCs w:val="24"/>
        </w:rPr>
        <w:t>Technology Skills</w:t>
      </w:r>
    </w:p>
    <w:p>
      <w:pPr>
        <w:pStyle w:val="style0"/>
        <w:spacing w:before="240" w:after="240" w:lineRule="auto" w:line="360"/>
        <w:jc w:val="both"/>
        <w:rPr>
          <w:sz w:val="24"/>
          <w:szCs w:val="24"/>
        </w:rPr>
      </w:pPr>
      <w:r>
        <w:rPr>
          <w:sz w:val="24"/>
          <w:szCs w:val="24"/>
        </w:rPr>
        <w:t xml:space="preserve">During group assignments this term, I was responsible for collating data using HR Information Systems (HRIS) and producing visual dashboards. I initially felt confident in using basic platforms such as Excel and Power BI, but less comfortable with advanced HR analytics functions and AI-enabled tools.  </w:t>
      </w:r>
    </w:p>
    <w:p>
      <w:pPr>
        <w:pStyle w:val="style0"/>
        <w:spacing w:before="240" w:after="240" w:lineRule="auto" w:line="360"/>
        <w:jc w:val="both"/>
        <w:rPr>
          <w:sz w:val="24"/>
          <w:szCs w:val="24"/>
        </w:rPr>
      </w:pPr>
      <w:r>
        <w:rPr>
          <w:sz w:val="24"/>
          <w:szCs w:val="24"/>
        </w:rPr>
        <w:t>A clear strength was my ability to extract and present data in a manner that supported group decision-making. For example, in our project on workforce resourcing, I quickly produced comparative turnover statistics that guided discussion. However, my weakness lay in my limited familiarity with AI-driven HR tools, such as predictive workforce analytics or applicant tracking systems enhanced with machine learning. This lack of exposure reduced my ability to engage in discussions on ethical AI in HRM.</w:t>
      </w:r>
    </w:p>
    <w:p>
      <w:pPr>
        <w:pStyle w:val="style0"/>
        <w:spacing w:before="240" w:after="240" w:lineRule="auto" w:line="360"/>
        <w:jc w:val="both"/>
        <w:rPr>
          <w:sz w:val="24"/>
          <w:szCs w:val="24"/>
        </w:rPr>
      </w:pPr>
      <w:r>
        <w:rPr>
          <w:sz w:val="24"/>
          <w:szCs w:val="24"/>
        </w:rPr>
        <w:t>Technology is central to global HR practice, and the digitalisation of HRM requires competence in both technical skills and ethical awareness. While my foundation is strong, I must deepen expertise in data-driven HR and AI applications to remain competitive in global contexts.</w:t>
      </w:r>
    </w:p>
    <w:bookmarkStart w:id="19" w:name="_aajw5oc7tvrn" w:colFirst="0" w:colLast="0"/>
    <w:bookmarkEnd w:id="19"/>
    <w:p>
      <w:pPr>
        <w:pStyle w:val="style3"/>
        <w:keepNext w:val="false"/>
        <w:keepLines w:val="false"/>
        <w:spacing w:before="280" w:lineRule="auto" w:line="360"/>
        <w:jc w:val="both"/>
        <w:rPr>
          <w:b/>
          <w:color w:val="000000"/>
          <w:sz w:val="24"/>
          <w:szCs w:val="24"/>
        </w:rPr>
      </w:pPr>
      <w:r>
        <w:rPr>
          <w:b/>
          <w:color w:val="000000"/>
          <w:sz w:val="24"/>
          <w:szCs w:val="24"/>
        </w:rPr>
        <w:t>Communication Skills</w:t>
      </w:r>
    </w:p>
    <w:p>
      <w:pPr>
        <w:pStyle w:val="style0"/>
        <w:spacing w:before="240" w:after="240" w:lineRule="auto" w:line="360"/>
        <w:jc w:val="both"/>
        <w:rPr>
          <w:sz w:val="24"/>
          <w:szCs w:val="24"/>
        </w:rPr>
      </w:pPr>
      <w:r>
        <w:rPr>
          <w:sz w:val="24"/>
          <w:szCs w:val="24"/>
        </w:rPr>
        <w:t>In a cross-cultural seminar exercise, I presented findings to an audience including international peers. Initially, I was concerned about whether my examples would resonate across cultural contexts.</w:t>
      </w:r>
    </w:p>
    <w:p>
      <w:pPr>
        <w:pStyle w:val="style0"/>
        <w:spacing w:before="240" w:after="240" w:lineRule="auto" w:line="360"/>
        <w:jc w:val="both"/>
        <w:rPr>
          <w:sz w:val="24"/>
          <w:szCs w:val="24"/>
        </w:rPr>
      </w:pPr>
      <w:r>
        <w:rPr>
          <w:sz w:val="24"/>
          <w:szCs w:val="24"/>
        </w:rPr>
        <w:t>A strength was my clarity and logical structuring of arguments; peers commented positively on my persuasive delivery. However, I struggled at times with adapting examples to diverse cultural backgrounds. For instance, when discussing labour law, I drew heavily on UK practice, which limited accessibility for international classmates.</w:t>
      </w:r>
    </w:p>
    <w:p>
      <w:pPr>
        <w:pStyle w:val="style0"/>
        <w:spacing w:before="240" w:after="240" w:lineRule="auto" w:line="360"/>
        <w:jc w:val="both"/>
        <w:rPr>
          <w:sz w:val="24"/>
          <w:szCs w:val="24"/>
        </w:rPr>
      </w:pPr>
      <w:r>
        <w:rPr>
          <w:sz w:val="24"/>
          <w:szCs w:val="24"/>
        </w:rPr>
        <w:t>Effective cross-cultural communication requires both clarity and cultural sensitivity. I demonstrated strong persuasive ability but need to expand the inclusiveness of my examples and develop better active listening techniques to ensure others’ perspectives are incorporated.</w:t>
      </w:r>
    </w:p>
    <w:bookmarkStart w:id="20" w:name="_u6sikyt8e04u" w:colFirst="0" w:colLast="0"/>
    <w:bookmarkEnd w:id="20"/>
    <w:p>
      <w:pPr>
        <w:pStyle w:val="style3"/>
        <w:keepNext w:val="false"/>
        <w:keepLines w:val="false"/>
        <w:spacing w:before="280" w:lineRule="auto" w:line="360"/>
        <w:jc w:val="both"/>
        <w:rPr>
          <w:b/>
          <w:color w:val="000000"/>
          <w:sz w:val="24"/>
          <w:szCs w:val="24"/>
        </w:rPr>
      </w:pPr>
      <w:r>
        <w:rPr>
          <w:b/>
          <w:color w:val="000000"/>
          <w:sz w:val="24"/>
          <w:szCs w:val="24"/>
        </w:rPr>
        <w:t>Teamwork</w:t>
      </w:r>
    </w:p>
    <w:p>
      <w:pPr>
        <w:pStyle w:val="style0"/>
        <w:spacing w:before="240" w:after="240" w:lineRule="auto" w:line="360"/>
        <w:jc w:val="both"/>
        <w:rPr>
          <w:sz w:val="24"/>
          <w:szCs w:val="24"/>
        </w:rPr>
      </w:pPr>
      <w:r>
        <w:rPr>
          <w:sz w:val="24"/>
          <w:szCs w:val="24"/>
        </w:rPr>
        <w:t>Group tasks highlighted both my collaborative abilities and moments of conflict. In one case, team members disagreed about prioritising research depth over presentation design. I felt frustrated when discussions stalled, but I attempted to mediate.</w:t>
      </w:r>
    </w:p>
    <w:p>
      <w:pPr>
        <w:pStyle w:val="style0"/>
        <w:spacing w:before="240" w:after="240" w:lineRule="auto" w:line="360"/>
        <w:jc w:val="both"/>
        <w:rPr>
          <w:sz w:val="24"/>
          <w:szCs w:val="24"/>
        </w:rPr>
      </w:pPr>
      <w:r>
        <w:rPr>
          <w:sz w:val="24"/>
          <w:szCs w:val="24"/>
        </w:rPr>
        <w:t>My strength was facilitating dialogue; I summarised positions and encouraged compromise. However, I sometimes hesitated to challenge dominant voices, which meant quieter members’ contributions were overlooked.</w:t>
      </w:r>
    </w:p>
    <w:p>
      <w:pPr>
        <w:pStyle w:val="style0"/>
        <w:spacing w:before="240" w:after="240" w:lineRule="auto" w:line="360"/>
        <w:jc w:val="both"/>
        <w:rPr>
          <w:sz w:val="24"/>
          <w:szCs w:val="24"/>
        </w:rPr>
      </w:pPr>
      <w:r>
        <w:rPr>
          <w:sz w:val="24"/>
          <w:szCs w:val="24"/>
        </w:rPr>
        <w:t>Teamwork in global contexts requires balancing assertiveness with empathy. My ability to mediate was valuable, yet I need to strengthen confidence in ensuring inclusivity. Drawing on Belbin’s team roles, I operated largely as a coordinator, but could improve as a shaper by addressing conflict more directly (Belbin, 2010).</w:t>
      </w:r>
    </w:p>
    <w:bookmarkStart w:id="21" w:name="_unmyf47jdnj5" w:colFirst="0" w:colLast="0"/>
    <w:bookmarkEnd w:id="21"/>
    <w:p>
      <w:pPr>
        <w:pStyle w:val="style3"/>
        <w:keepNext w:val="false"/>
        <w:keepLines w:val="false"/>
        <w:spacing w:before="280" w:lineRule="auto" w:line="360"/>
        <w:jc w:val="both"/>
        <w:rPr>
          <w:b/>
          <w:color w:val="000000"/>
          <w:sz w:val="24"/>
          <w:szCs w:val="24"/>
        </w:rPr>
      </w:pPr>
      <w:r>
        <w:rPr>
          <w:b/>
          <w:color w:val="000000"/>
          <w:sz w:val="24"/>
          <w:szCs w:val="24"/>
        </w:rPr>
        <w:t>Leadership</w:t>
      </w:r>
    </w:p>
    <w:p>
      <w:pPr>
        <w:pStyle w:val="style0"/>
        <w:spacing w:before="240" w:after="240" w:lineRule="auto" w:line="360"/>
        <w:jc w:val="both"/>
        <w:rPr>
          <w:sz w:val="24"/>
          <w:szCs w:val="24"/>
        </w:rPr>
      </w:pPr>
      <w:r>
        <w:rPr>
          <w:sz w:val="24"/>
          <w:szCs w:val="24"/>
        </w:rPr>
        <w:t>I assumed leadership in organising a group project timeline. Initially, I felt motivated, but became uncertain when peers questioned deadlines.</w:t>
      </w:r>
    </w:p>
    <w:p>
      <w:pPr>
        <w:pStyle w:val="style0"/>
        <w:spacing w:before="240" w:after="240" w:lineRule="auto" w:line="360"/>
        <w:jc w:val="both"/>
        <w:rPr>
          <w:sz w:val="24"/>
          <w:szCs w:val="24"/>
        </w:rPr>
      </w:pPr>
      <w:r>
        <w:rPr>
          <w:sz w:val="24"/>
          <w:szCs w:val="24"/>
        </w:rPr>
        <w:t>A key strength was setting a clear direction, allocating tasks, and ensuring timely delivery. However, my weakness lay in decision-making under pressure. I sometimes sought consensus at the expense of efficiency, delaying resolution. Additionally, while I considered fairness, I did not always integrate ethical reasoning explicitly when guiding decisions.</w:t>
      </w:r>
    </w:p>
    <w:p>
      <w:pPr>
        <w:pStyle w:val="style0"/>
        <w:spacing w:before="240" w:after="240" w:lineRule="auto" w:line="360"/>
        <w:jc w:val="both"/>
        <w:rPr>
          <w:sz w:val="24"/>
          <w:szCs w:val="24"/>
        </w:rPr>
      </w:pPr>
      <w:r>
        <w:rPr>
          <w:sz w:val="24"/>
          <w:szCs w:val="24"/>
        </w:rPr>
        <w:t>Global leadership requires decisiveness, ethical judgment, and the ability to influence across cultural contexts. I demonstrated competence in organisation and fairness but need to embed stronger ethical leadership principles (e.g., transparency, duty of care) and greater confidence in taking responsibility for difficult decisions (Israel and Bass, 2018).</w:t>
      </w:r>
    </w:p>
    <w:bookmarkStart w:id="22" w:name="_hxbypbfoxk3e" w:colFirst="0" w:colLast="0"/>
    <w:bookmarkEnd w:id="22"/>
    <w:p>
      <w:pPr>
        <w:pStyle w:val="style3"/>
        <w:keepNext w:val="false"/>
        <w:keepLines w:val="false"/>
        <w:spacing w:before="280" w:lineRule="auto" w:line="360"/>
        <w:jc w:val="both"/>
        <w:rPr>
          <w:b/>
          <w:color w:val="000000"/>
          <w:sz w:val="24"/>
          <w:szCs w:val="24"/>
        </w:rPr>
      </w:pPr>
      <w:r>
        <w:rPr>
          <w:b/>
          <w:color w:val="000000"/>
          <w:sz w:val="24"/>
          <w:szCs w:val="24"/>
        </w:rPr>
        <w:t>Self-Directed Learning</w:t>
      </w:r>
    </w:p>
    <w:p>
      <w:pPr>
        <w:pStyle w:val="style0"/>
        <w:spacing w:before="240" w:after="240" w:lineRule="auto" w:line="360"/>
        <w:jc w:val="both"/>
        <w:rPr>
          <w:sz w:val="24"/>
          <w:szCs w:val="24"/>
        </w:rPr>
      </w:pPr>
      <w:r>
        <w:rPr>
          <w:sz w:val="24"/>
          <w:szCs w:val="24"/>
        </w:rPr>
        <w:t>This module required extensive independent research into HRM/IHRM literature. Initially, I felt challenged by the breadth of material, but gradually developed strategies to manage my workload.</w:t>
      </w:r>
    </w:p>
    <w:p>
      <w:pPr>
        <w:pStyle w:val="style0"/>
        <w:spacing w:before="240" w:after="240" w:lineRule="auto" w:line="360"/>
        <w:jc w:val="both"/>
        <w:rPr>
          <w:sz w:val="24"/>
          <w:szCs w:val="24"/>
        </w:rPr>
      </w:pPr>
      <w:r>
        <w:rPr>
          <w:sz w:val="24"/>
          <w:szCs w:val="24"/>
        </w:rPr>
        <w:t>A strength was my proactive goal-setting: I planned weekly research targets and met most deadlines. I also sought feedback from tutors, which improved my writing. However, my weakness was resilience under stress; during peak weeks, I sometimes avoided complex readings, limiting depth in my analysis.</w:t>
      </w:r>
    </w:p>
    <w:p>
      <w:pPr>
        <w:pStyle w:val="style0"/>
        <w:spacing w:before="240" w:after="240" w:lineRule="auto" w:line="360"/>
        <w:jc w:val="both"/>
        <w:rPr>
          <w:sz w:val="24"/>
          <w:szCs w:val="24"/>
        </w:rPr>
      </w:pPr>
      <w:r>
        <w:rPr>
          <w:sz w:val="24"/>
          <w:szCs w:val="24"/>
        </w:rPr>
        <w:t>Self-directed learning is crucial for global work, where adaptability and lifelong learning are essential. I have developed good planning skills, but I need to build resilience and discipline to sustain high-level learning under pressure.</w:t>
      </w:r>
    </w:p>
    <w:p>
      <w:pPr>
        <w:pStyle w:val="style0"/>
        <w:spacing w:lineRule="auto" w:line="360"/>
        <w:jc w:val="both"/>
        <w:rPr>
          <w:sz w:val="24"/>
          <w:szCs w:val="24"/>
        </w:rPr>
      </w:pPr>
      <w:r>
        <w:br w:type="page"/>
      </w:r>
    </w:p>
    <w:p>
      <w:pPr>
        <w:pStyle w:val="style0"/>
        <w:spacing w:lineRule="auto" w:line="360"/>
        <w:jc w:val="both"/>
        <w:rPr>
          <w:i/>
          <w:sz w:val="24"/>
          <w:szCs w:val="24"/>
        </w:rPr>
      </w:pPr>
      <w:r>
        <w:rPr>
          <w:i/>
          <w:sz w:val="24"/>
          <w:szCs w:val="24"/>
        </w:rPr>
        <w:t>Table 1: SMART Action Plan for Global Work Capability Development</w:t>
      </w:r>
    </w:p>
    <w:tbl>
      <w:tblPr>
        <w:tblStyle w:val="style4099"/>
        <w:tblW w:w="11730" w:type="dxa"/>
        <w:jc w:val="left"/>
        <w:tblInd w:w="-1140" w:type="dxa"/>
        <w:tblBorders>
          <w:top w:val="nil"/>
          <w:left w:val="nil"/>
          <w:bottom w:val="nil"/>
          <w:right w:val="nil"/>
          <w:insideH w:val="nil"/>
          <w:insideV w:val="nil"/>
        </w:tblBorders>
        <w:tblLayout w:type="fixed"/>
        <w:tblLook w:val="0600" w:firstRow="0" w:lastRow="0" w:firstColumn="0" w:lastColumn="0" w:noHBand="1" w:noVBand="1"/>
      </w:tblPr>
      <w:tblGrid>
        <w:gridCol w:w="1680"/>
        <w:gridCol w:w="2595"/>
        <w:gridCol w:w="1875"/>
        <w:gridCol w:w="1815"/>
        <w:gridCol w:w="2355"/>
        <w:gridCol w:w="1410"/>
      </w:tblGrid>
      <w:tr>
        <w:trPr>
          <w:cantSplit w:val="false"/>
          <w:trHeight w:val="570" w:hRule="atLeast"/>
          <w:tblHeader w:val="false"/>
          <w:jc w:val="left"/>
        </w:trPr>
        <w:tc>
          <w:tcPr>
            <w:tcW w:w="0" w:type="auto"/>
            <w:tcBorders>
              <w:top w:val="single" w:sz="6" w:space="0" w:color="4bacc6"/>
              <w:left w:val="single" w:sz="6" w:space="0" w:color="4bacc6"/>
              <w:bottom w:val="single" w:sz="6" w:space="0" w:color="4bacc6"/>
              <w:right w:val="nil"/>
            </w:tcBorders>
            <w:shd w:val="clear" w:color="auto" w:fill="4bacc6"/>
            <w:tcMar>
              <w:top w:w="0" w:type="dxa"/>
              <w:left w:w="100" w:type="dxa"/>
              <w:bottom w:w="0" w:type="dxa"/>
              <w:right w:w="100" w:type="dxa"/>
            </w:tcMar>
          </w:tcPr>
          <w:p>
            <w:pPr>
              <w:pStyle w:val="style0"/>
              <w:spacing w:lineRule="auto" w:line="360"/>
              <w:jc w:val="center"/>
              <w:rPr>
                <w:b/>
                <w:color w:val="ffffff"/>
                <w:sz w:val="24"/>
                <w:szCs w:val="24"/>
              </w:rPr>
            </w:pPr>
            <w:r>
              <w:rPr>
                <w:b/>
                <w:color w:val="ffffff"/>
                <w:sz w:val="24"/>
                <w:szCs w:val="24"/>
              </w:rPr>
              <w:t>Capability Area</w:t>
            </w:r>
          </w:p>
        </w:tc>
        <w:tc>
          <w:tcPr>
            <w:tcW w:w="0" w:type="auto"/>
            <w:tcBorders>
              <w:top w:val="single" w:sz="6" w:space="0" w:color="4bacc6"/>
              <w:left w:val="nil"/>
              <w:bottom w:val="single" w:sz="6" w:space="0" w:color="4bacc6"/>
              <w:right w:val="nil"/>
            </w:tcBorders>
            <w:shd w:val="clear" w:color="auto" w:fill="4bacc6"/>
            <w:tcMar>
              <w:top w:w="0" w:type="dxa"/>
              <w:left w:w="100" w:type="dxa"/>
              <w:bottom w:w="0" w:type="dxa"/>
              <w:right w:w="100" w:type="dxa"/>
            </w:tcMar>
          </w:tcPr>
          <w:p>
            <w:pPr>
              <w:pStyle w:val="style0"/>
              <w:spacing w:lineRule="auto" w:line="360"/>
              <w:jc w:val="center"/>
              <w:rPr>
                <w:b/>
                <w:color w:val="ffffff"/>
                <w:sz w:val="24"/>
                <w:szCs w:val="24"/>
              </w:rPr>
            </w:pPr>
            <w:r>
              <w:rPr>
                <w:b/>
                <w:color w:val="ffffff"/>
                <w:sz w:val="24"/>
                <w:szCs w:val="24"/>
              </w:rPr>
              <w:t>Specific Objective</w:t>
            </w:r>
          </w:p>
        </w:tc>
        <w:tc>
          <w:tcPr>
            <w:tcW w:w="0" w:type="auto"/>
            <w:tcBorders>
              <w:top w:val="single" w:sz="6" w:space="0" w:color="4bacc6"/>
              <w:left w:val="nil"/>
              <w:bottom w:val="single" w:sz="6" w:space="0" w:color="4bacc6"/>
              <w:right w:val="nil"/>
            </w:tcBorders>
            <w:shd w:val="clear" w:color="auto" w:fill="4bacc6"/>
            <w:tcMar>
              <w:top w:w="0" w:type="dxa"/>
              <w:left w:w="100" w:type="dxa"/>
              <w:bottom w:w="0" w:type="dxa"/>
              <w:right w:w="100" w:type="dxa"/>
            </w:tcMar>
          </w:tcPr>
          <w:p>
            <w:pPr>
              <w:pStyle w:val="style0"/>
              <w:spacing w:lineRule="auto" w:line="360"/>
              <w:jc w:val="center"/>
              <w:rPr>
                <w:b/>
                <w:color w:val="ffffff"/>
                <w:sz w:val="24"/>
                <w:szCs w:val="24"/>
              </w:rPr>
            </w:pPr>
            <w:r>
              <w:rPr>
                <w:b/>
                <w:color w:val="ffffff"/>
                <w:sz w:val="24"/>
                <w:szCs w:val="24"/>
              </w:rPr>
              <w:t>Measurable</w:t>
            </w:r>
          </w:p>
        </w:tc>
        <w:tc>
          <w:tcPr>
            <w:tcW w:w="0" w:type="auto"/>
            <w:tcBorders>
              <w:top w:val="single" w:sz="6" w:space="0" w:color="4bacc6"/>
              <w:left w:val="nil"/>
              <w:bottom w:val="single" w:sz="6" w:space="0" w:color="4bacc6"/>
              <w:right w:val="nil"/>
            </w:tcBorders>
            <w:shd w:val="clear" w:color="auto" w:fill="4bacc6"/>
            <w:tcMar>
              <w:top w:w="0" w:type="dxa"/>
              <w:left w:w="100" w:type="dxa"/>
              <w:bottom w:w="0" w:type="dxa"/>
              <w:right w:w="100" w:type="dxa"/>
            </w:tcMar>
          </w:tcPr>
          <w:p>
            <w:pPr>
              <w:pStyle w:val="style0"/>
              <w:spacing w:lineRule="auto" w:line="360"/>
              <w:jc w:val="center"/>
              <w:rPr>
                <w:b/>
                <w:color w:val="ffffff"/>
                <w:sz w:val="24"/>
                <w:szCs w:val="24"/>
              </w:rPr>
            </w:pPr>
            <w:r>
              <w:rPr>
                <w:b/>
                <w:color w:val="ffffff"/>
                <w:sz w:val="24"/>
                <w:szCs w:val="24"/>
              </w:rPr>
              <w:t>Achievable</w:t>
            </w:r>
          </w:p>
        </w:tc>
        <w:tc>
          <w:tcPr>
            <w:tcW w:w="0" w:type="auto"/>
            <w:tcBorders>
              <w:top w:val="single" w:sz="6" w:space="0" w:color="4bacc6"/>
              <w:left w:val="nil"/>
              <w:bottom w:val="single" w:sz="6" w:space="0" w:color="4bacc6"/>
              <w:right w:val="nil"/>
            </w:tcBorders>
            <w:shd w:val="clear" w:color="auto" w:fill="4bacc6"/>
            <w:tcMar>
              <w:top w:w="0" w:type="dxa"/>
              <w:left w:w="100" w:type="dxa"/>
              <w:bottom w:w="0" w:type="dxa"/>
              <w:right w:w="100" w:type="dxa"/>
            </w:tcMar>
          </w:tcPr>
          <w:p>
            <w:pPr>
              <w:pStyle w:val="style0"/>
              <w:spacing w:lineRule="auto" w:line="360"/>
              <w:jc w:val="center"/>
              <w:rPr>
                <w:b/>
                <w:color w:val="ffffff"/>
                <w:sz w:val="24"/>
                <w:szCs w:val="24"/>
              </w:rPr>
            </w:pPr>
            <w:r>
              <w:rPr>
                <w:b/>
                <w:color w:val="ffffff"/>
                <w:sz w:val="24"/>
                <w:szCs w:val="24"/>
              </w:rPr>
              <w:t>Relevant</w:t>
            </w:r>
          </w:p>
        </w:tc>
        <w:tc>
          <w:tcPr>
            <w:tcW w:w="0" w:type="auto"/>
            <w:tcBorders>
              <w:top w:val="single" w:sz="6" w:space="0" w:color="4bacc6"/>
              <w:left w:val="nil"/>
              <w:bottom w:val="single" w:sz="6" w:space="0" w:color="4bacc6"/>
              <w:right w:val="single" w:sz="6" w:space="0" w:color="4bacc6"/>
            </w:tcBorders>
            <w:shd w:val="clear" w:color="auto" w:fill="4bacc6"/>
            <w:tcMar>
              <w:top w:w="0" w:type="dxa"/>
              <w:left w:w="100" w:type="dxa"/>
              <w:bottom w:w="0" w:type="dxa"/>
              <w:right w:w="100" w:type="dxa"/>
            </w:tcMar>
          </w:tcPr>
          <w:p>
            <w:pPr>
              <w:pStyle w:val="style0"/>
              <w:spacing w:lineRule="auto" w:line="360"/>
              <w:jc w:val="center"/>
              <w:rPr>
                <w:b/>
                <w:color w:val="ffffff"/>
                <w:sz w:val="24"/>
                <w:szCs w:val="24"/>
              </w:rPr>
            </w:pPr>
            <w:r>
              <w:rPr>
                <w:b/>
                <w:color w:val="ffffff"/>
                <w:sz w:val="24"/>
                <w:szCs w:val="24"/>
              </w:rPr>
              <w:t>Time-Bound</w:t>
            </w:r>
          </w:p>
        </w:tc>
      </w:tr>
      <w:tr>
        <w:tblPrEx/>
        <w:trPr>
          <w:cantSplit w:val="false"/>
          <w:trHeight w:val="1965" w:hRule="atLeast"/>
          <w:tblHeader w:val="false"/>
          <w:jc w:val="left"/>
        </w:trPr>
        <w:tc>
          <w:tcPr>
            <w:tcW w:w="0" w:type="auto"/>
            <w:tcBorders>
              <w:top w:val="nil"/>
              <w:left w:val="single" w:sz="6" w:space="0" w:color="92cddc"/>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b/>
                <w:sz w:val="24"/>
                <w:szCs w:val="24"/>
              </w:rPr>
            </w:pPr>
            <w:r>
              <w:rPr>
                <w:b/>
                <w:sz w:val="24"/>
                <w:szCs w:val="24"/>
              </w:rPr>
              <w:t>Technology</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Complete an online certification in HR analytics and AI in HRM (e.g., CIPD/Coursera).</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Certificate earned by June 2026.</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Two hours weekly for six months.</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Builds competence in predictive HR tools and ethical AI use.</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By June 2026</w:t>
            </w:r>
          </w:p>
        </w:tc>
      </w:tr>
      <w:tr>
        <w:tblPrEx/>
        <w:trPr>
          <w:cantSplit w:val="false"/>
          <w:trHeight w:val="2235" w:hRule="atLeast"/>
          <w:tblHeader w:val="false"/>
          <w:jc w:val="left"/>
        </w:trPr>
        <w:tc>
          <w:tcPr>
            <w:tcW w:w="0" w:type="auto"/>
            <w:tcBorders>
              <w:top w:val="nil"/>
              <w:left w:val="single" w:sz="6" w:space="0" w:color="92cddc"/>
              <w:bottom w:val="single" w:sz="6" w:space="0" w:color="92cddc"/>
              <w:right w:val="single" w:sz="6" w:space="0" w:color="92cddc"/>
            </w:tcBorders>
            <w:tcMar>
              <w:top w:w="0" w:type="dxa"/>
              <w:left w:w="100" w:type="dxa"/>
              <w:bottom w:w="0" w:type="dxa"/>
              <w:right w:w="100" w:type="dxa"/>
            </w:tcMar>
          </w:tcPr>
          <w:p>
            <w:pPr>
              <w:pStyle w:val="style0"/>
              <w:spacing w:lineRule="auto" w:line="360"/>
              <w:jc w:val="both"/>
              <w:rPr>
                <w:b/>
                <w:sz w:val="24"/>
                <w:szCs w:val="24"/>
              </w:rPr>
            </w:pPr>
            <w:r>
              <w:rPr>
                <w:b/>
                <w:sz w:val="24"/>
                <w:szCs w:val="24"/>
              </w:rPr>
              <w:t>Communication</w:t>
            </w:r>
          </w:p>
        </w:tc>
        <w:tc>
          <w:tcPr>
            <w:tcW w:w="0" w:type="auto"/>
            <w:tcBorders>
              <w:top w:val="nil"/>
              <w:left w:val="nil"/>
              <w:bottom w:val="single" w:sz="6" w:space="0" w:color="92cddc"/>
              <w:right w:val="single" w:sz="6" w:space="0" w:color="92cddc"/>
            </w:tcBorders>
            <w:tcMar>
              <w:top w:w="0" w:type="dxa"/>
              <w:left w:w="100" w:type="dxa"/>
              <w:bottom w:w="0" w:type="dxa"/>
              <w:right w:w="100" w:type="dxa"/>
            </w:tcMar>
          </w:tcPr>
          <w:p>
            <w:pPr>
              <w:pStyle w:val="style0"/>
              <w:spacing w:lineRule="auto" w:line="360"/>
              <w:jc w:val="both"/>
              <w:rPr>
                <w:sz w:val="24"/>
                <w:szCs w:val="24"/>
              </w:rPr>
            </w:pPr>
            <w:r>
              <w:rPr>
                <w:sz w:val="24"/>
                <w:szCs w:val="24"/>
              </w:rPr>
              <w:t>Practise cross-cultural communication by joining international student discussion groups.</w:t>
            </w:r>
          </w:p>
        </w:tc>
        <w:tc>
          <w:tcPr>
            <w:tcW w:w="0" w:type="auto"/>
            <w:tcBorders>
              <w:top w:val="nil"/>
              <w:left w:val="nil"/>
              <w:bottom w:val="single" w:sz="6" w:space="0" w:color="92cddc"/>
              <w:right w:val="single" w:sz="6" w:space="0" w:color="92cddc"/>
            </w:tcBorders>
            <w:tcMar>
              <w:top w:w="0" w:type="dxa"/>
              <w:left w:w="100" w:type="dxa"/>
              <w:bottom w:w="0" w:type="dxa"/>
              <w:right w:w="100" w:type="dxa"/>
            </w:tcMar>
          </w:tcPr>
          <w:p>
            <w:pPr>
              <w:pStyle w:val="style0"/>
              <w:spacing w:lineRule="auto" w:line="360"/>
              <w:jc w:val="both"/>
              <w:rPr>
                <w:sz w:val="24"/>
                <w:szCs w:val="24"/>
              </w:rPr>
            </w:pPr>
            <w:r>
              <w:rPr>
                <w:sz w:val="24"/>
                <w:szCs w:val="24"/>
              </w:rPr>
              <w:t>Collect and reflect on feedback after each session.</w:t>
            </w:r>
          </w:p>
        </w:tc>
        <w:tc>
          <w:tcPr>
            <w:tcW w:w="0" w:type="auto"/>
            <w:tcBorders>
              <w:top w:val="nil"/>
              <w:left w:val="nil"/>
              <w:bottom w:val="single" w:sz="6" w:space="0" w:color="92cddc"/>
              <w:right w:val="single" w:sz="6" w:space="0" w:color="92cddc"/>
            </w:tcBorders>
            <w:tcMar>
              <w:top w:w="0" w:type="dxa"/>
              <w:left w:w="100" w:type="dxa"/>
              <w:bottom w:w="0" w:type="dxa"/>
              <w:right w:w="100" w:type="dxa"/>
            </w:tcMar>
          </w:tcPr>
          <w:p>
            <w:pPr>
              <w:pStyle w:val="style0"/>
              <w:spacing w:lineRule="auto" w:line="360"/>
              <w:jc w:val="both"/>
              <w:rPr>
                <w:sz w:val="24"/>
                <w:szCs w:val="24"/>
              </w:rPr>
            </w:pPr>
            <w:r>
              <w:rPr>
                <w:sz w:val="24"/>
                <w:szCs w:val="24"/>
              </w:rPr>
              <w:t>Groups meet bi-weekly, fits schedule.</w:t>
            </w:r>
          </w:p>
        </w:tc>
        <w:tc>
          <w:tcPr>
            <w:tcW w:w="0" w:type="auto"/>
            <w:tcBorders>
              <w:top w:val="nil"/>
              <w:left w:val="nil"/>
              <w:bottom w:val="single" w:sz="6" w:space="0" w:color="92cddc"/>
              <w:right w:val="single" w:sz="6" w:space="0" w:color="92cddc"/>
            </w:tcBorders>
            <w:tcMar>
              <w:top w:w="0" w:type="dxa"/>
              <w:left w:w="100" w:type="dxa"/>
              <w:bottom w:w="0" w:type="dxa"/>
              <w:right w:w="100" w:type="dxa"/>
            </w:tcMar>
          </w:tcPr>
          <w:p>
            <w:pPr>
              <w:pStyle w:val="style0"/>
              <w:spacing w:lineRule="auto" w:line="360"/>
              <w:jc w:val="both"/>
              <w:rPr>
                <w:sz w:val="24"/>
                <w:szCs w:val="24"/>
              </w:rPr>
            </w:pPr>
            <w:r>
              <w:rPr>
                <w:sz w:val="24"/>
                <w:szCs w:val="24"/>
              </w:rPr>
              <w:t>Enhances inclusiveness and adaptability in global contexts.</w:t>
            </w:r>
          </w:p>
        </w:tc>
        <w:tc>
          <w:tcPr>
            <w:tcW w:w="0" w:type="auto"/>
            <w:tcBorders>
              <w:top w:val="nil"/>
              <w:left w:val="nil"/>
              <w:bottom w:val="single" w:sz="6" w:space="0" w:color="92cddc"/>
              <w:right w:val="single" w:sz="6" w:space="0" w:color="92cddc"/>
            </w:tcBorders>
            <w:tcMar>
              <w:top w:w="0" w:type="dxa"/>
              <w:left w:w="100" w:type="dxa"/>
              <w:bottom w:w="0" w:type="dxa"/>
              <w:right w:w="100" w:type="dxa"/>
            </w:tcMar>
          </w:tcPr>
          <w:p>
            <w:pPr>
              <w:pStyle w:val="style0"/>
              <w:spacing w:lineRule="auto" w:line="360"/>
              <w:jc w:val="both"/>
              <w:rPr>
                <w:sz w:val="24"/>
                <w:szCs w:val="24"/>
              </w:rPr>
            </w:pPr>
            <w:r>
              <w:rPr>
                <w:sz w:val="24"/>
                <w:szCs w:val="24"/>
              </w:rPr>
              <w:t>Review after 3 months</w:t>
            </w:r>
          </w:p>
        </w:tc>
      </w:tr>
      <w:tr>
        <w:tblPrEx/>
        <w:trPr>
          <w:cantSplit w:val="false"/>
          <w:trHeight w:val="1410" w:hRule="atLeast"/>
          <w:tblHeader w:val="false"/>
          <w:jc w:val="left"/>
        </w:trPr>
        <w:tc>
          <w:tcPr>
            <w:tcW w:w="0" w:type="auto"/>
            <w:tcBorders>
              <w:top w:val="nil"/>
              <w:left w:val="single" w:sz="6" w:space="0" w:color="92cddc"/>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b/>
                <w:sz w:val="24"/>
                <w:szCs w:val="24"/>
              </w:rPr>
            </w:pPr>
            <w:r>
              <w:rPr>
                <w:b/>
                <w:sz w:val="24"/>
                <w:szCs w:val="24"/>
              </w:rPr>
              <w:t>Teamwork</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Facilitate equal contribution in group projects using structured turn-taking.</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Monitor meeting minutes for balanced input.</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Easy to implement in upcoming assignments.</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Strengthens collaboration and ensures fair participation.</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Immediate, review after next project</w:t>
            </w:r>
          </w:p>
        </w:tc>
      </w:tr>
      <w:tr>
        <w:tblPrEx/>
        <w:trPr>
          <w:cantSplit w:val="false"/>
          <w:trHeight w:val="1680" w:hRule="atLeast"/>
          <w:tblHeader w:val="false"/>
          <w:jc w:val="left"/>
        </w:trPr>
        <w:tc>
          <w:tcPr>
            <w:tcW w:w="0" w:type="auto"/>
            <w:tcBorders>
              <w:top w:val="nil"/>
              <w:left w:val="single" w:sz="6" w:space="0" w:color="92cddc"/>
              <w:bottom w:val="single" w:sz="6" w:space="0" w:color="92cddc"/>
              <w:right w:val="single" w:sz="6" w:space="0" w:color="92cddc"/>
            </w:tcBorders>
            <w:tcMar>
              <w:top w:w="0" w:type="dxa"/>
              <w:left w:w="100" w:type="dxa"/>
              <w:bottom w:w="0" w:type="dxa"/>
              <w:right w:w="100" w:type="dxa"/>
            </w:tcMar>
          </w:tcPr>
          <w:p>
            <w:pPr>
              <w:pStyle w:val="style0"/>
              <w:spacing w:lineRule="auto" w:line="360"/>
              <w:jc w:val="both"/>
              <w:rPr>
                <w:b/>
                <w:sz w:val="24"/>
                <w:szCs w:val="24"/>
              </w:rPr>
            </w:pPr>
            <w:r>
              <w:rPr>
                <w:b/>
                <w:sz w:val="24"/>
                <w:szCs w:val="24"/>
              </w:rPr>
              <w:t>Leadership</w:t>
            </w:r>
          </w:p>
        </w:tc>
        <w:tc>
          <w:tcPr>
            <w:tcW w:w="0" w:type="auto"/>
            <w:tcBorders>
              <w:top w:val="nil"/>
              <w:left w:val="nil"/>
              <w:bottom w:val="single" w:sz="6" w:space="0" w:color="92cddc"/>
              <w:right w:val="single" w:sz="6" w:space="0" w:color="92cddc"/>
            </w:tcBorders>
            <w:tcMar>
              <w:top w:w="0" w:type="dxa"/>
              <w:left w:w="100" w:type="dxa"/>
              <w:bottom w:w="0" w:type="dxa"/>
              <w:right w:w="100" w:type="dxa"/>
            </w:tcMar>
          </w:tcPr>
          <w:p>
            <w:pPr>
              <w:pStyle w:val="style0"/>
              <w:spacing w:lineRule="auto" w:line="360"/>
              <w:jc w:val="both"/>
              <w:rPr>
                <w:sz w:val="24"/>
                <w:szCs w:val="24"/>
              </w:rPr>
            </w:pPr>
            <w:r>
              <w:rPr>
                <w:sz w:val="24"/>
                <w:szCs w:val="24"/>
              </w:rPr>
              <w:t>Undertake a short workshop on ethical leadership and decision-making.</w:t>
            </w:r>
          </w:p>
        </w:tc>
        <w:tc>
          <w:tcPr>
            <w:tcW w:w="0" w:type="auto"/>
            <w:tcBorders>
              <w:top w:val="nil"/>
              <w:left w:val="nil"/>
              <w:bottom w:val="single" w:sz="6" w:space="0" w:color="92cddc"/>
              <w:right w:val="single" w:sz="6" w:space="0" w:color="92cddc"/>
            </w:tcBorders>
            <w:tcMar>
              <w:top w:w="0" w:type="dxa"/>
              <w:left w:w="100" w:type="dxa"/>
              <w:bottom w:w="0" w:type="dxa"/>
              <w:right w:w="100" w:type="dxa"/>
            </w:tcMar>
          </w:tcPr>
          <w:p>
            <w:pPr>
              <w:pStyle w:val="style0"/>
              <w:spacing w:lineRule="auto" w:line="360"/>
              <w:jc w:val="both"/>
              <w:rPr>
                <w:sz w:val="24"/>
                <w:szCs w:val="24"/>
              </w:rPr>
            </w:pPr>
            <w:r>
              <w:rPr>
                <w:sz w:val="24"/>
                <w:szCs w:val="24"/>
              </w:rPr>
              <w:t>Apply learning in one project leadership role.</w:t>
            </w:r>
          </w:p>
        </w:tc>
        <w:tc>
          <w:tcPr>
            <w:tcW w:w="0" w:type="auto"/>
            <w:tcBorders>
              <w:top w:val="nil"/>
              <w:left w:val="nil"/>
              <w:bottom w:val="single" w:sz="6" w:space="0" w:color="92cddc"/>
              <w:right w:val="single" w:sz="6" w:space="0" w:color="92cddc"/>
            </w:tcBorders>
            <w:tcMar>
              <w:top w:w="0" w:type="dxa"/>
              <w:left w:w="100" w:type="dxa"/>
              <w:bottom w:w="0" w:type="dxa"/>
              <w:right w:w="100" w:type="dxa"/>
            </w:tcMar>
          </w:tcPr>
          <w:p>
            <w:pPr>
              <w:pStyle w:val="style0"/>
              <w:spacing w:lineRule="auto" w:line="360"/>
              <w:jc w:val="both"/>
              <w:rPr>
                <w:sz w:val="24"/>
                <w:szCs w:val="24"/>
              </w:rPr>
            </w:pPr>
            <w:r>
              <w:rPr>
                <w:sz w:val="24"/>
                <w:szCs w:val="24"/>
              </w:rPr>
              <w:t>Short online course under 10 hours.</w:t>
            </w:r>
          </w:p>
        </w:tc>
        <w:tc>
          <w:tcPr>
            <w:tcW w:w="0" w:type="auto"/>
            <w:tcBorders>
              <w:top w:val="nil"/>
              <w:left w:val="nil"/>
              <w:bottom w:val="single" w:sz="6" w:space="0" w:color="92cddc"/>
              <w:right w:val="single" w:sz="6" w:space="0" w:color="92cddc"/>
            </w:tcBorders>
            <w:tcMar>
              <w:top w:w="0" w:type="dxa"/>
              <w:left w:w="100" w:type="dxa"/>
              <w:bottom w:w="0" w:type="dxa"/>
              <w:right w:w="100" w:type="dxa"/>
            </w:tcMar>
          </w:tcPr>
          <w:p>
            <w:pPr>
              <w:pStyle w:val="style0"/>
              <w:spacing w:lineRule="auto" w:line="360"/>
              <w:jc w:val="both"/>
              <w:rPr>
                <w:sz w:val="24"/>
                <w:szCs w:val="24"/>
              </w:rPr>
            </w:pPr>
            <w:r>
              <w:rPr>
                <w:sz w:val="24"/>
                <w:szCs w:val="24"/>
              </w:rPr>
              <w:t>Builds confidence in ethical, decisive leadership.</w:t>
            </w:r>
          </w:p>
        </w:tc>
        <w:tc>
          <w:tcPr>
            <w:tcW w:w="0" w:type="auto"/>
            <w:tcBorders>
              <w:top w:val="nil"/>
              <w:left w:val="nil"/>
              <w:bottom w:val="single" w:sz="6" w:space="0" w:color="92cddc"/>
              <w:right w:val="single" w:sz="6" w:space="0" w:color="92cddc"/>
            </w:tcBorders>
            <w:tcMar>
              <w:top w:w="0" w:type="dxa"/>
              <w:left w:w="100" w:type="dxa"/>
              <w:bottom w:w="0" w:type="dxa"/>
              <w:right w:w="100" w:type="dxa"/>
            </w:tcMar>
          </w:tcPr>
          <w:p>
            <w:pPr>
              <w:pStyle w:val="style0"/>
              <w:spacing w:lineRule="auto" w:line="360"/>
              <w:jc w:val="both"/>
              <w:rPr>
                <w:sz w:val="24"/>
                <w:szCs w:val="24"/>
              </w:rPr>
            </w:pPr>
            <w:r>
              <w:rPr>
                <w:sz w:val="24"/>
                <w:szCs w:val="24"/>
              </w:rPr>
              <w:t>By May 2026</w:t>
            </w:r>
          </w:p>
        </w:tc>
      </w:tr>
      <w:tr>
        <w:tblPrEx/>
        <w:trPr>
          <w:cantSplit w:val="false"/>
          <w:trHeight w:val="1680" w:hRule="atLeast"/>
          <w:tblHeader w:val="false"/>
          <w:jc w:val="left"/>
        </w:trPr>
        <w:tc>
          <w:tcPr>
            <w:tcW w:w="0" w:type="auto"/>
            <w:tcBorders>
              <w:top w:val="nil"/>
              <w:left w:val="single" w:sz="6" w:space="0" w:color="92cddc"/>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b/>
                <w:sz w:val="24"/>
                <w:szCs w:val="24"/>
              </w:rPr>
            </w:pPr>
            <w:r>
              <w:rPr>
                <w:b/>
                <w:sz w:val="24"/>
                <w:szCs w:val="24"/>
              </w:rPr>
              <w:t>Self-Directed Learning</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Implement resilience routine with Pomodoro study + reflective journaling.</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Maintain weekly journal entries.</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Requires 15 minutes weekly.</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Enhances stress management and lifelong learning capability.</w:t>
            </w:r>
          </w:p>
        </w:tc>
        <w:tc>
          <w:tcPr>
            <w:tcW w:w="0" w:type="auto"/>
            <w:tcBorders>
              <w:top w:val="nil"/>
              <w:left w:val="nil"/>
              <w:bottom w:val="single" w:sz="6" w:space="0" w:color="92cddc"/>
              <w:right w:val="single" w:sz="6" w:space="0" w:color="92cddc"/>
            </w:tcBorders>
            <w:shd w:val="clear" w:color="auto" w:fill="daeef3"/>
            <w:tcMar>
              <w:top w:w="0" w:type="dxa"/>
              <w:left w:w="100" w:type="dxa"/>
              <w:bottom w:w="0" w:type="dxa"/>
              <w:right w:w="100" w:type="dxa"/>
            </w:tcMar>
          </w:tcPr>
          <w:p>
            <w:pPr>
              <w:pStyle w:val="style0"/>
              <w:spacing w:lineRule="auto" w:line="360"/>
              <w:jc w:val="both"/>
              <w:rPr>
                <w:sz w:val="24"/>
                <w:szCs w:val="24"/>
              </w:rPr>
            </w:pPr>
            <w:r>
              <w:rPr>
                <w:sz w:val="24"/>
                <w:szCs w:val="24"/>
              </w:rPr>
              <w:t>Track for 3 months, review July 2026</w:t>
            </w:r>
          </w:p>
        </w:tc>
      </w:tr>
    </w:tbl>
    <w:p>
      <w:pPr>
        <w:pStyle w:val="style0"/>
        <w:spacing w:lineRule="auto" w:line="360"/>
        <w:jc w:val="both"/>
        <w:rPr>
          <w:sz w:val="24"/>
          <w:szCs w:val="24"/>
        </w:rPr>
      </w:pPr>
      <w:r>
        <w:br w:type="page"/>
      </w:r>
    </w:p>
    <w:bookmarkStart w:id="23" w:name="_9hbm8zeairgw" w:colFirst="0" w:colLast="0"/>
    <w:bookmarkEnd w:id="23"/>
    <w:p>
      <w:pPr>
        <w:pStyle w:val="style3"/>
        <w:keepNext w:val="false"/>
        <w:keepLines w:val="false"/>
        <w:spacing w:before="280" w:lineRule="auto" w:line="360"/>
        <w:jc w:val="both"/>
        <w:rPr>
          <w:b/>
          <w:color w:val="000000"/>
          <w:sz w:val="24"/>
          <w:szCs w:val="24"/>
        </w:rPr>
      </w:pPr>
      <w:r>
        <w:rPr>
          <w:b/>
          <w:color w:val="000000"/>
          <w:sz w:val="24"/>
          <w:szCs w:val="24"/>
        </w:rPr>
        <w:t>5.2 Conclusion</w:t>
      </w:r>
    </w:p>
    <w:p>
      <w:pPr>
        <w:pStyle w:val="style0"/>
        <w:spacing w:before="240" w:after="240" w:lineRule="auto" w:line="360"/>
        <w:jc w:val="both"/>
        <w:rPr>
          <w:sz w:val="24"/>
          <w:szCs w:val="24"/>
        </w:rPr>
      </w:pPr>
      <w:r>
        <w:rPr>
          <w:sz w:val="24"/>
          <w:szCs w:val="24"/>
        </w:rPr>
        <w:t>Reflecting on my global work capabilities highlights both clear strengths such as organisation, persuasive communication, and goal-setting and weaknesses, particularly in ethical leadership, resilience, and advanced digital literacy. By applying Gibbs’ reflective cycle, I have critically evaluated my development areas and constructed a detailed action plan. Through targeted SMART objectives, I aim to strengthen my skills and ensure that I am better prepared to operate effectively in complex, global HRM contexts.</w:t>
      </w:r>
    </w:p>
    <w:p>
      <w:pPr>
        <w:pStyle w:val="style0"/>
        <w:spacing w:lineRule="auto" w:line="360"/>
        <w:jc w:val="both"/>
        <w:rPr>
          <w:sz w:val="24"/>
          <w:szCs w:val="24"/>
        </w:rPr>
      </w:pPr>
      <w:r>
        <w:br w:type="page"/>
      </w:r>
    </w:p>
    <w:bookmarkStart w:id="24" w:name="_4k98alkvfcdj" w:colFirst="0" w:colLast="0"/>
    <w:bookmarkEnd w:id="24"/>
    <w:p>
      <w:pPr>
        <w:pStyle w:val="style1"/>
        <w:keepNext w:val="false"/>
        <w:keepLines w:val="false"/>
        <w:spacing w:before="0" w:after="360" w:lineRule="auto" w:line="360"/>
        <w:jc w:val="both"/>
        <w:rPr>
          <w:b/>
          <w:sz w:val="24"/>
          <w:szCs w:val="24"/>
        </w:rPr>
      </w:pPr>
      <w:r>
        <w:rPr>
          <w:b/>
          <w:sz w:val="24"/>
          <w:szCs w:val="24"/>
        </w:rPr>
        <w:t>Reference list</w:t>
      </w:r>
    </w:p>
    <w:p>
      <w:pPr>
        <w:pStyle w:val="style0"/>
        <w:spacing w:after="240" w:lineRule="auto" w:line="360"/>
        <w:jc w:val="both"/>
        <w:rPr>
          <w:sz w:val="24"/>
          <w:szCs w:val="24"/>
        </w:rPr>
      </w:pPr>
      <w:r>
        <w:rPr>
          <w:sz w:val="24"/>
          <w:szCs w:val="24"/>
        </w:rPr>
        <w:t xml:space="preserve">Acemoglu, D. and Restrepo, P. (2019) ‘Artificial Intelligence, Automation and Work’, </w:t>
      </w:r>
      <w:r>
        <w:rPr>
          <w:i/>
          <w:sz w:val="24"/>
          <w:szCs w:val="24"/>
        </w:rPr>
        <w:t>SSRN Electronic Journal</w:t>
      </w:r>
      <w:r>
        <w:rPr>
          <w:sz w:val="24"/>
          <w:szCs w:val="24"/>
        </w:rPr>
        <w:t>, pp. 197–236. Available at: https://doi.org/10.2139/ssrn.3098384.</w:t>
      </w:r>
    </w:p>
    <w:p>
      <w:pPr>
        <w:pStyle w:val="style0"/>
        <w:spacing w:after="240" w:lineRule="auto" w:line="360"/>
        <w:jc w:val="both"/>
        <w:rPr>
          <w:sz w:val="24"/>
          <w:szCs w:val="24"/>
        </w:rPr>
      </w:pPr>
      <w:r>
        <w:rPr>
          <w:sz w:val="24"/>
          <w:szCs w:val="24"/>
        </w:rPr>
        <w:t xml:space="preserve">Appelbaum, E., Bailey, T., Berg, P., Kalleberg, A.L. and Bailey, P.T.A. (2000) </w:t>
      </w:r>
      <w:r>
        <w:rPr>
          <w:i/>
          <w:sz w:val="24"/>
          <w:szCs w:val="24"/>
        </w:rPr>
        <w:t>Manufacturing Advantage: Why High-performance Work Systems Pay Off</w:t>
      </w:r>
      <w:r>
        <w:rPr>
          <w:sz w:val="24"/>
          <w:szCs w:val="24"/>
        </w:rPr>
        <w:t xml:space="preserve">, </w:t>
      </w:r>
      <w:r>
        <w:rPr>
          <w:i/>
          <w:sz w:val="24"/>
          <w:szCs w:val="24"/>
        </w:rPr>
        <w:t>Google Books</w:t>
      </w:r>
      <w:r>
        <w:rPr>
          <w:sz w:val="24"/>
          <w:szCs w:val="24"/>
        </w:rPr>
        <w:t>. Cornell University Press. Available at: https://books.google.com/books?hl=en&amp;lr=&amp;id=WqfG1HDc3fsC&amp;oi=fnd&amp;pg=PR7&amp;dq=Appelbaum.</w:t>
      </w:r>
    </w:p>
    <w:p>
      <w:pPr>
        <w:pStyle w:val="style0"/>
        <w:spacing w:after="240" w:lineRule="auto" w:line="360"/>
        <w:jc w:val="both"/>
        <w:rPr>
          <w:sz w:val="24"/>
          <w:szCs w:val="24"/>
        </w:rPr>
      </w:pPr>
      <w:r>
        <w:rPr>
          <w:sz w:val="24"/>
          <w:szCs w:val="24"/>
        </w:rPr>
        <w:t>Belbin, R.M., (2010). Management teams. Routledge.</w:t>
      </w:r>
    </w:p>
    <w:p>
      <w:pPr>
        <w:pStyle w:val="style0"/>
        <w:spacing w:after="240" w:lineRule="auto" w:line="360"/>
        <w:jc w:val="both"/>
        <w:rPr>
          <w:sz w:val="24"/>
          <w:szCs w:val="24"/>
        </w:rPr>
      </w:pPr>
      <w:r>
        <w:rPr>
          <w:sz w:val="24"/>
          <w:szCs w:val="24"/>
        </w:rPr>
        <w:t xml:space="preserve">Bone, M., Ehlinger, E. and Stephany, F. (2023) </w:t>
      </w:r>
      <w:r>
        <w:rPr>
          <w:i/>
          <w:sz w:val="24"/>
          <w:szCs w:val="24"/>
        </w:rPr>
        <w:t>Skills or Degree? The Rise of Skill-Based Hiring for AI and Green Jobs</w:t>
      </w:r>
      <w:r>
        <w:rPr>
          <w:sz w:val="24"/>
          <w:szCs w:val="24"/>
        </w:rPr>
        <w:t xml:space="preserve">, </w:t>
      </w:r>
      <w:r>
        <w:rPr>
          <w:i/>
          <w:sz w:val="24"/>
          <w:szCs w:val="24"/>
        </w:rPr>
        <w:t>arXiv.org</w:t>
      </w:r>
      <w:r>
        <w:rPr>
          <w:sz w:val="24"/>
          <w:szCs w:val="24"/>
        </w:rPr>
        <w:t>. Available at: https://arxiv.org/abs/2312.11942.</w:t>
      </w:r>
    </w:p>
    <w:p>
      <w:pPr>
        <w:pStyle w:val="style0"/>
        <w:spacing w:after="240" w:lineRule="auto" w:line="360"/>
        <w:jc w:val="both"/>
        <w:rPr>
          <w:sz w:val="24"/>
          <w:szCs w:val="24"/>
        </w:rPr>
      </w:pPr>
      <w:r>
        <w:rPr>
          <w:sz w:val="24"/>
          <w:szCs w:val="24"/>
        </w:rPr>
        <w:t xml:space="preserve">Brady, J. (2024) </w:t>
      </w:r>
      <w:r>
        <w:rPr>
          <w:i/>
          <w:sz w:val="24"/>
          <w:szCs w:val="24"/>
        </w:rPr>
        <w:t>As Geopolitical Tensions Rise, Is This the End of the Global Workforce?</w:t>
      </w:r>
      <w:r>
        <w:rPr>
          <w:sz w:val="24"/>
          <w:szCs w:val="24"/>
        </w:rPr>
        <w:t xml:space="preserve">, </w:t>
      </w:r>
      <w:r>
        <w:rPr>
          <w:i/>
          <w:sz w:val="24"/>
          <w:szCs w:val="24"/>
        </w:rPr>
        <w:t>Shrm.org</w:t>
      </w:r>
      <w:r>
        <w:rPr>
          <w:sz w:val="24"/>
          <w:szCs w:val="24"/>
        </w:rPr>
        <w:t>. Available at: https://www.shrm.org/enterprise-solutions/insights/as-geopolitical-tensions-rise--is-this-the-end-of-the-global-wor.</w:t>
      </w:r>
    </w:p>
    <w:p>
      <w:pPr>
        <w:pStyle w:val="style0"/>
        <w:spacing w:after="240" w:lineRule="auto" w:line="360"/>
        <w:jc w:val="both"/>
        <w:rPr>
          <w:sz w:val="24"/>
          <w:szCs w:val="24"/>
        </w:rPr>
      </w:pPr>
      <w:r>
        <w:rPr>
          <w:sz w:val="24"/>
          <w:szCs w:val="24"/>
        </w:rPr>
        <w:t xml:space="preserve">IEDC (2025) </w:t>
      </w:r>
      <w:r>
        <w:rPr>
          <w:i/>
          <w:sz w:val="24"/>
          <w:szCs w:val="24"/>
        </w:rPr>
        <w:t>Artificial Intelligence Impact on Labor Markets Literature Review P a g e | 2</w:t>
      </w:r>
      <w:r>
        <w:rPr>
          <w:sz w:val="24"/>
          <w:szCs w:val="24"/>
        </w:rPr>
        <w:t>. Available at: https://www.iedconline.org/clientuploads/EDRP%20Logos/AI_Impact_on_Labor_Markets.pdf.</w:t>
      </w:r>
    </w:p>
    <w:p>
      <w:pPr>
        <w:pStyle w:val="style0"/>
        <w:spacing w:after="240" w:lineRule="auto" w:line="360"/>
        <w:jc w:val="both"/>
        <w:rPr>
          <w:sz w:val="24"/>
          <w:szCs w:val="24"/>
        </w:rPr>
      </w:pPr>
      <w:r>
        <w:rPr>
          <w:sz w:val="24"/>
          <w:szCs w:val="24"/>
        </w:rPr>
        <w:t xml:space="preserve">ILO (2024) </w:t>
      </w:r>
      <w:r>
        <w:rPr>
          <w:i/>
          <w:sz w:val="24"/>
          <w:szCs w:val="24"/>
        </w:rPr>
        <w:t>ILO Global Estimates on International Migrant Workers International migrants in the labour force Fourth edition EMBARGO Executive summary</w:t>
      </w:r>
      <w:r>
        <w:rPr>
          <w:sz w:val="24"/>
          <w:szCs w:val="24"/>
        </w:rPr>
        <w:t>. Available at: https://www.ilo.org/sites/default/files/2024-12/MIGRANT%20%E2%80%93%20ILO%20Global%20Estimates%20Exec%20Summary_Embargo.pdf.</w:t>
      </w:r>
    </w:p>
    <w:p>
      <w:pPr>
        <w:pStyle w:val="style0"/>
        <w:spacing w:after="240" w:lineRule="auto" w:line="360"/>
        <w:jc w:val="both"/>
        <w:rPr>
          <w:sz w:val="24"/>
          <w:szCs w:val="24"/>
        </w:rPr>
      </w:pPr>
      <w:r>
        <w:rPr>
          <w:sz w:val="24"/>
          <w:szCs w:val="24"/>
        </w:rPr>
        <w:t xml:space="preserve">Israel, M.S. and Bass, L., (2018). Modeling ethical leadership: being an ethical leader means modeling principles of self-awareness, reflective practice, transparency, and ethical behavior. In Developing Ethical Principles for School Leadership (pp. 29-49). Routledge. </w:t>
      </w:r>
    </w:p>
    <w:p>
      <w:pPr>
        <w:pStyle w:val="style0"/>
        <w:spacing w:after="240" w:lineRule="auto" w:line="360"/>
        <w:jc w:val="both"/>
        <w:rPr>
          <w:sz w:val="24"/>
          <w:szCs w:val="24"/>
        </w:rPr>
      </w:pPr>
      <w:r>
        <w:rPr>
          <w:sz w:val="24"/>
          <w:szCs w:val="24"/>
        </w:rPr>
        <w:t xml:space="preserve">Kellner, A.K., Cafferkey, K. and Townsend, K. (2019) </w:t>
      </w:r>
      <w:r>
        <w:rPr>
          <w:i/>
          <w:sz w:val="24"/>
          <w:szCs w:val="24"/>
        </w:rPr>
        <w:t>Ability, Motivation and Opportunity theory: a formula for employee performance?</w:t>
      </w:r>
      <w:r>
        <w:rPr>
          <w:sz w:val="24"/>
          <w:szCs w:val="24"/>
        </w:rPr>
        <w:t xml:space="preserve">, </w:t>
      </w:r>
      <w:r>
        <w:rPr>
          <w:i/>
          <w:sz w:val="24"/>
          <w:szCs w:val="24"/>
        </w:rPr>
        <w:t>ResearchGate</w:t>
      </w:r>
      <w:r>
        <w:rPr>
          <w:sz w:val="24"/>
          <w:szCs w:val="24"/>
        </w:rPr>
        <w:t>. Available at: https://www.researchgate.net/publication/333405972_Ability_Motivation_and_Opportunity_theory_a_formula_for_employee_performance.</w:t>
      </w:r>
    </w:p>
    <w:p>
      <w:pPr>
        <w:pStyle w:val="style0"/>
        <w:spacing w:after="240" w:lineRule="auto" w:line="360"/>
        <w:jc w:val="both"/>
        <w:rPr>
          <w:sz w:val="24"/>
          <w:szCs w:val="24"/>
        </w:rPr>
      </w:pPr>
      <w:r>
        <w:rPr>
          <w:sz w:val="24"/>
          <w:szCs w:val="24"/>
        </w:rPr>
        <w:t xml:space="preserve">Kuhn, K.M., Meijerink, J. and Keegan, A. (2021) ‘Human resource management and the gig economy: Challenges and opportunities at the intersection between organizational HR decision-makers and digital labor platforms’, </w:t>
      </w:r>
      <w:r>
        <w:rPr>
          <w:i/>
          <w:sz w:val="24"/>
          <w:szCs w:val="24"/>
        </w:rPr>
        <w:t>Research in Personnel and Human Resources Management</w:t>
      </w:r>
      <w:r>
        <w:rPr>
          <w:sz w:val="24"/>
          <w:szCs w:val="24"/>
        </w:rPr>
        <w:t>, 39(1), pp. 1–46. Available at: https://doi.org/10.1108/s0742-730120210000039001.</w:t>
      </w:r>
    </w:p>
    <w:p>
      <w:pPr>
        <w:pStyle w:val="style0"/>
        <w:spacing w:after="240" w:lineRule="auto" w:line="360"/>
        <w:jc w:val="both"/>
        <w:rPr>
          <w:sz w:val="24"/>
          <w:szCs w:val="24"/>
        </w:rPr>
      </w:pPr>
      <w:r>
        <w:rPr>
          <w:sz w:val="24"/>
          <w:szCs w:val="24"/>
        </w:rPr>
        <w:t xml:space="preserve">Lennon, T. (2024) </w:t>
      </w:r>
      <w:r>
        <w:rPr>
          <w:i/>
          <w:sz w:val="24"/>
          <w:szCs w:val="24"/>
        </w:rPr>
        <w:t>The 4b talent framework - Management trends - CHRO I by IMD</w:t>
      </w:r>
      <w:r>
        <w:rPr>
          <w:sz w:val="24"/>
          <w:szCs w:val="24"/>
        </w:rPr>
        <w:t xml:space="preserve">, </w:t>
      </w:r>
      <w:r>
        <w:rPr>
          <w:i/>
          <w:sz w:val="24"/>
          <w:szCs w:val="24"/>
        </w:rPr>
        <w:t>IMD business school for management and leadership courses</w:t>
      </w:r>
      <w:r>
        <w:rPr>
          <w:sz w:val="24"/>
          <w:szCs w:val="24"/>
        </w:rPr>
        <w:t>. Available at: https://www.imd.org/ibyimd/human-resources/five-trends-that-are-reshaping-the-four-bs (Accessed: 3 October 2025).</w:t>
      </w:r>
    </w:p>
    <w:p>
      <w:pPr>
        <w:pStyle w:val="style0"/>
        <w:spacing w:after="240" w:lineRule="auto" w:line="360"/>
        <w:jc w:val="both"/>
        <w:rPr>
          <w:sz w:val="24"/>
          <w:szCs w:val="24"/>
        </w:rPr>
      </w:pPr>
      <w:r>
        <w:rPr>
          <w:sz w:val="24"/>
          <w:szCs w:val="24"/>
        </w:rPr>
        <w:t xml:space="preserve">Liu, W., Li, T., Lu, M. and Shi, P. (2025) </w:t>
      </w:r>
      <w:r>
        <w:rPr>
          <w:i/>
          <w:sz w:val="24"/>
          <w:szCs w:val="24"/>
        </w:rPr>
        <w:t>Dynamic Redeployment of Nurses Across Hospitals: A Sample Robust Optimization Approach</w:t>
      </w:r>
      <w:r>
        <w:rPr>
          <w:sz w:val="24"/>
          <w:szCs w:val="24"/>
        </w:rPr>
        <w:t xml:space="preserve">, </w:t>
      </w:r>
      <w:r>
        <w:rPr>
          <w:i/>
          <w:sz w:val="24"/>
          <w:szCs w:val="24"/>
        </w:rPr>
        <w:t>arXiv.org</w:t>
      </w:r>
      <w:r>
        <w:rPr>
          <w:sz w:val="24"/>
          <w:szCs w:val="24"/>
        </w:rPr>
        <w:t>. Available at: https://arxiv.org/abs/2509.07387.</w:t>
      </w:r>
    </w:p>
    <w:p>
      <w:pPr>
        <w:pStyle w:val="style0"/>
        <w:spacing w:after="240" w:lineRule="auto" w:line="360"/>
        <w:jc w:val="both"/>
        <w:rPr>
          <w:sz w:val="24"/>
          <w:szCs w:val="24"/>
        </w:rPr>
      </w:pPr>
      <w:r>
        <w:rPr>
          <w:sz w:val="24"/>
          <w:szCs w:val="24"/>
        </w:rPr>
        <w:t xml:space="preserve">Mahoutchian, T., Shact, L., Vert, G. and Kilgour, C. (2024) </w:t>
      </w:r>
      <w:r>
        <w:rPr>
          <w:i/>
          <w:sz w:val="24"/>
          <w:szCs w:val="24"/>
        </w:rPr>
        <w:t>Navigating the tech talent shortage</w:t>
      </w:r>
      <w:r>
        <w:rPr>
          <w:sz w:val="24"/>
          <w:szCs w:val="24"/>
        </w:rPr>
        <w:t xml:space="preserve">, </w:t>
      </w:r>
      <w:r>
        <w:rPr>
          <w:i/>
          <w:sz w:val="24"/>
          <w:szCs w:val="24"/>
        </w:rPr>
        <w:t>Deloitte Insights</w:t>
      </w:r>
      <w:r>
        <w:rPr>
          <w:sz w:val="24"/>
          <w:szCs w:val="24"/>
        </w:rPr>
        <w:t>. Deloitte. Available at: https://www.deloitte.com/us/en/insights/topics/talent/overcoming-the-tech-talent-shortage-amid-transformation.html.</w:t>
      </w:r>
    </w:p>
    <w:p>
      <w:pPr>
        <w:pStyle w:val="style0"/>
        <w:spacing w:after="240" w:lineRule="auto" w:line="360"/>
        <w:jc w:val="both"/>
        <w:rPr>
          <w:sz w:val="24"/>
          <w:szCs w:val="24"/>
        </w:rPr>
      </w:pPr>
      <w:r>
        <w:rPr>
          <w:sz w:val="24"/>
          <w:szCs w:val="24"/>
        </w:rPr>
        <w:t xml:space="preserve">Migration Data Portal (2023) </w:t>
      </w:r>
      <w:r>
        <w:rPr>
          <w:i/>
          <w:sz w:val="24"/>
          <w:szCs w:val="24"/>
        </w:rPr>
        <w:t>Labour Migration</w:t>
      </w:r>
      <w:r>
        <w:rPr>
          <w:sz w:val="24"/>
          <w:szCs w:val="24"/>
        </w:rPr>
        <w:t xml:space="preserve">, </w:t>
      </w:r>
      <w:r>
        <w:rPr>
          <w:i/>
          <w:sz w:val="24"/>
          <w:szCs w:val="24"/>
        </w:rPr>
        <w:t>Migration data portal</w:t>
      </w:r>
      <w:r>
        <w:rPr>
          <w:sz w:val="24"/>
          <w:szCs w:val="24"/>
        </w:rPr>
        <w:t>. Available at: https://www.migrationdataportal.org/themes/labour-migration-statistics.</w:t>
      </w:r>
    </w:p>
    <w:p>
      <w:pPr>
        <w:pStyle w:val="style0"/>
        <w:spacing w:after="240" w:lineRule="auto" w:line="360"/>
        <w:jc w:val="both"/>
        <w:rPr>
          <w:sz w:val="24"/>
          <w:szCs w:val="24"/>
        </w:rPr>
      </w:pPr>
      <w:r>
        <w:rPr>
          <w:sz w:val="24"/>
          <w:szCs w:val="24"/>
        </w:rPr>
        <w:t xml:space="preserve">Noja, G., Cristea, S., Yüksel, A., Pânzaru, C. and Drăcea, R. (2018) ‘Migrants’ Role in Enhancing the Economic Development of Host Countries: Empirical Evidence from Europe’, </w:t>
      </w:r>
      <w:r>
        <w:rPr>
          <w:i/>
          <w:sz w:val="24"/>
          <w:szCs w:val="24"/>
        </w:rPr>
        <w:t>Sustainability</w:t>
      </w:r>
      <w:r>
        <w:rPr>
          <w:sz w:val="24"/>
          <w:szCs w:val="24"/>
        </w:rPr>
        <w:t>, 10(3), p. 894. Available at: https://doi.org/10.3390/su10030894.</w:t>
      </w:r>
    </w:p>
    <w:p>
      <w:pPr>
        <w:pStyle w:val="style0"/>
        <w:spacing w:after="240" w:lineRule="auto" w:line="360"/>
        <w:jc w:val="both"/>
        <w:rPr>
          <w:sz w:val="24"/>
          <w:szCs w:val="24"/>
        </w:rPr>
      </w:pPr>
      <w:r>
        <w:rPr>
          <w:sz w:val="24"/>
          <w:szCs w:val="24"/>
        </w:rPr>
        <w:t xml:space="preserve">Pineda, C.N.P., Cabangunay, M.G., Son, A.M.E. and Francisco, J. (2024) </w:t>
      </w:r>
      <w:r>
        <w:rPr>
          <w:i/>
          <w:sz w:val="24"/>
          <w:szCs w:val="24"/>
        </w:rPr>
        <w:t>Impact of Artificial Intelligence (AI) on the Labor Market</w:t>
      </w:r>
      <w:r>
        <w:rPr>
          <w:sz w:val="24"/>
          <w:szCs w:val="24"/>
        </w:rPr>
        <w:t>. Available at: https://www.researchgate.net/publication/389974988_Impact_of_Artificial_Intelligence_AI_on_the_Labor_Market.</w:t>
      </w:r>
    </w:p>
    <w:p>
      <w:pPr>
        <w:pStyle w:val="style0"/>
        <w:spacing w:after="240" w:lineRule="auto" w:line="360"/>
        <w:jc w:val="both"/>
        <w:rPr>
          <w:sz w:val="24"/>
          <w:szCs w:val="24"/>
        </w:rPr>
      </w:pPr>
      <w:r>
        <w:rPr>
          <w:sz w:val="24"/>
          <w:szCs w:val="24"/>
        </w:rPr>
        <w:t xml:space="preserve">Prasad, V. and De, T. (2024) ‘Generative AI as a catalyst for HRM practices: mediating effects of trust’, </w:t>
      </w:r>
      <w:r>
        <w:rPr>
          <w:i/>
          <w:sz w:val="24"/>
          <w:szCs w:val="24"/>
        </w:rPr>
        <w:t>Humanities and Social Sciences Communications</w:t>
      </w:r>
      <w:r>
        <w:rPr>
          <w:sz w:val="24"/>
          <w:szCs w:val="24"/>
        </w:rPr>
        <w:t>, 11(1). Available at: https://doi.org/10.1057/s41599-024-03842-4.</w:t>
      </w:r>
    </w:p>
    <w:p>
      <w:pPr>
        <w:pStyle w:val="style0"/>
        <w:spacing w:after="240" w:lineRule="auto" w:line="360"/>
        <w:jc w:val="both"/>
        <w:rPr>
          <w:sz w:val="24"/>
          <w:szCs w:val="24"/>
        </w:rPr>
      </w:pPr>
      <w:r>
        <w:rPr>
          <w:sz w:val="24"/>
          <w:szCs w:val="24"/>
        </w:rPr>
        <w:t xml:space="preserve">Sharps, S. (2024) </w:t>
      </w:r>
      <w:r>
        <w:rPr>
          <w:i/>
          <w:sz w:val="24"/>
          <w:szCs w:val="24"/>
        </w:rPr>
        <w:t>The Impact of AI on the Labour Market</w:t>
      </w:r>
      <w:r>
        <w:rPr>
          <w:sz w:val="24"/>
          <w:szCs w:val="24"/>
        </w:rPr>
        <w:t xml:space="preserve">, </w:t>
      </w:r>
      <w:r>
        <w:rPr>
          <w:i/>
          <w:sz w:val="24"/>
          <w:szCs w:val="24"/>
        </w:rPr>
        <w:t>Institute.global</w:t>
      </w:r>
      <w:r>
        <w:rPr>
          <w:sz w:val="24"/>
          <w:szCs w:val="24"/>
        </w:rPr>
        <w:t>. Tony Blair Institute. Available at: https://institute.global/insights/economic-prosperity/the-impact-of-ai-on-the-labour-market.</w:t>
      </w:r>
    </w:p>
    <w:p>
      <w:pPr>
        <w:pStyle w:val="style0"/>
        <w:spacing w:after="240" w:lineRule="auto" w:line="360"/>
        <w:jc w:val="both"/>
        <w:rPr>
          <w:sz w:val="24"/>
          <w:szCs w:val="24"/>
        </w:rPr>
      </w:pPr>
      <w:r>
        <w:rPr>
          <w:sz w:val="24"/>
          <w:szCs w:val="24"/>
        </w:rPr>
        <w:t xml:space="preserve">Shi, X., Qian, H. and Chen, W. (2025) ‘An “EDGES” framework for navigating MNE strategy in a fragmented world: A systematic literature review on anti-globalization and deglobalization’, </w:t>
      </w:r>
      <w:r>
        <w:rPr>
          <w:i/>
          <w:sz w:val="24"/>
          <w:szCs w:val="24"/>
        </w:rPr>
        <w:t>Journal of Digital Economy</w:t>
      </w:r>
      <w:r>
        <w:rPr>
          <w:sz w:val="24"/>
          <w:szCs w:val="24"/>
        </w:rPr>
        <w:t>, 4, pp. 29–51. Available at: https://doi.org/10.1016/j.jdec.2025.05.006.</w:t>
      </w:r>
    </w:p>
    <w:p>
      <w:pPr>
        <w:pStyle w:val="style0"/>
        <w:spacing w:after="240" w:lineRule="auto" w:line="360"/>
        <w:jc w:val="both"/>
        <w:rPr>
          <w:sz w:val="24"/>
          <w:szCs w:val="24"/>
        </w:rPr>
      </w:pPr>
      <w:r>
        <w:rPr>
          <w:sz w:val="24"/>
          <w:szCs w:val="24"/>
        </w:rPr>
        <w:t xml:space="preserve">Waldkirch, M., Bucher, E., Schou, P.K. and Grünwald, E. (2021) ‘Controlled by the algorithm, coached by the crowd – how HRM activities take shape on digital work platforms in the gig economy’, </w:t>
      </w:r>
      <w:r>
        <w:rPr>
          <w:i/>
          <w:sz w:val="24"/>
          <w:szCs w:val="24"/>
        </w:rPr>
        <w:t>The International Journal of Human Resource Management</w:t>
      </w:r>
      <w:r>
        <w:rPr>
          <w:sz w:val="24"/>
          <w:szCs w:val="24"/>
        </w:rPr>
        <w:t>, 32(12), pp. 2643–2682. Available at: https://doi.org/10.1080/09585192.2021.1914129.</w:t>
      </w:r>
    </w:p>
    <w:p>
      <w:pPr>
        <w:pStyle w:val="style0"/>
        <w:spacing w:after="240" w:lineRule="auto" w:line="360"/>
        <w:jc w:val="both"/>
        <w:rPr>
          <w:sz w:val="24"/>
          <w:szCs w:val="24"/>
        </w:rPr>
      </w:pPr>
      <w:r>
        <w:rPr>
          <w:sz w:val="24"/>
          <w:szCs w:val="24"/>
        </w:rPr>
        <w:t xml:space="preserve">Webb, M. (2020) ‘The Impact of Artificial Intelligence on the Labor Market’, </w:t>
      </w:r>
      <w:r>
        <w:rPr>
          <w:i/>
          <w:sz w:val="24"/>
          <w:szCs w:val="24"/>
        </w:rPr>
        <w:t>SSRN Electronic Journal</w:t>
      </w:r>
      <w:r>
        <w:rPr>
          <w:sz w:val="24"/>
          <w:szCs w:val="24"/>
        </w:rPr>
        <w:t xml:space="preserve"> [Preprint]. Available at: https://doi.org/10.2139/ssrn.3482150.</w:t>
      </w:r>
    </w:p>
    <w:p>
      <w:pPr>
        <w:pStyle w:val="style0"/>
        <w:spacing w:lineRule="auto" w:line="360"/>
        <w:jc w:val="both"/>
        <w:rPr>
          <w:sz w:val="24"/>
          <w:szCs w:val="24"/>
        </w:rPr>
      </w:pPr>
    </w:p>
    <w:sectPr>
      <w:headerReference w:type="default" r:id="rId6"/>
      <w:pgSz w:w="12240" w:h="15840" w:orient="portrait"/>
      <w:pgMar w:top="1440" w:right="1440" w:bottom="1440" w:left="1440" w:header="720" w:footer="720"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rPr/>
    </w:pPr>
    <w:r>
      <w:rPr/>
      <w:drawing>
        <wp:inline distL="0" distT="0" distB="0" distR="0">
          <wp:extent cx="1928812" cy="768827"/>
          <wp:effectExtent l="0" t="0" r="0" b="0"/>
          <wp:docPr id="4097"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 cstate="print"/>
                  <a:srcRect l="0" t="0" r="0" b="0"/>
                  <a:stretch/>
                </pic:blipFill>
                <pic:spPr>
                  <a:xfrm rot="0">
                    <a:off x="0" y="0"/>
                    <a:ext cx="1928812" cy="768827"/>
                  </a:xfrm>
                  <a:prstGeom prst="rect"/>
                  <a:ln cmpd="sng" cap="flat" w="9525">
                    <a:solidFill>
                      <a:srgbClr val="000000"/>
                    </a:solidFill>
                    <a:prstDash val="solid"/>
                    <a:round/>
                    <a:headEnd/>
                    <a:tailEnd/>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rPr>
    </w:rPrDefault>
    <w:pPrDefault>
      <w:pPr>
        <w:spacing w:lineRule="auto" w:line="276"/>
      </w:pPr>
    </w:pPrDefault>
  </w:docDefaults>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customStyle="1" w:styleId="style4098">
    <w:name w:val="normal"/>
    <w:next w:val="style4098"/>
    <w:pPr/>
  </w:style>
  <w:style w:type="paragraph" w:styleId="style1">
    <w:name w:val="heading 1"/>
    <w:basedOn w:val="style4098"/>
    <w:next w:val="style4098"/>
    <w:pPr>
      <w:keepNext/>
      <w:keepLines/>
      <w:pageBreakBefore w:val="false"/>
      <w:spacing w:before="400" w:after="120"/>
    </w:pPr>
    <w:rPr>
      <w:sz w:val="40"/>
      <w:szCs w:val="40"/>
    </w:rPr>
  </w:style>
  <w:style w:type="paragraph" w:styleId="style2">
    <w:name w:val="heading 2"/>
    <w:basedOn w:val="style4098"/>
    <w:next w:val="style4098"/>
    <w:pPr>
      <w:keepNext/>
      <w:keepLines/>
      <w:pageBreakBefore w:val="false"/>
      <w:spacing w:before="360" w:after="120"/>
    </w:pPr>
    <w:rPr>
      <w:b w:val="false"/>
      <w:sz w:val="32"/>
      <w:szCs w:val="32"/>
    </w:rPr>
  </w:style>
  <w:style w:type="paragraph" w:styleId="style3">
    <w:name w:val="heading 3"/>
    <w:basedOn w:val="style4098"/>
    <w:next w:val="style4098"/>
    <w:pPr>
      <w:keepNext/>
      <w:keepLines/>
      <w:pageBreakBefore w:val="false"/>
      <w:spacing w:before="320" w:after="80"/>
    </w:pPr>
    <w:rPr>
      <w:b w:val="false"/>
      <w:color w:val="434343"/>
      <w:sz w:val="28"/>
      <w:szCs w:val="28"/>
    </w:rPr>
  </w:style>
  <w:style w:type="paragraph" w:styleId="style4">
    <w:name w:val="heading 4"/>
    <w:basedOn w:val="style4098"/>
    <w:next w:val="style4098"/>
    <w:pPr>
      <w:keepNext/>
      <w:keepLines/>
      <w:pageBreakBefore w:val="false"/>
      <w:spacing w:before="280" w:after="80"/>
    </w:pPr>
    <w:rPr>
      <w:color w:val="666666"/>
      <w:sz w:val="24"/>
      <w:szCs w:val="24"/>
    </w:rPr>
  </w:style>
  <w:style w:type="paragraph" w:styleId="style5">
    <w:name w:val="heading 5"/>
    <w:basedOn w:val="style4098"/>
    <w:next w:val="style4098"/>
    <w:pPr>
      <w:keepNext/>
      <w:keepLines/>
      <w:pageBreakBefore w:val="false"/>
      <w:spacing w:before="240" w:after="80"/>
    </w:pPr>
    <w:rPr>
      <w:color w:val="666666"/>
      <w:sz w:val="22"/>
      <w:szCs w:val="22"/>
    </w:rPr>
  </w:style>
  <w:style w:type="paragraph" w:styleId="style6">
    <w:name w:val="heading 6"/>
    <w:basedOn w:val="style4098"/>
    <w:next w:val="style4098"/>
    <w:pPr>
      <w:keepNext/>
      <w:keepLines/>
      <w:pageBreakBefore w:val="false"/>
      <w:spacing w:before="240" w:after="80"/>
    </w:pPr>
    <w:rPr>
      <w:i/>
      <w:color w:val="666666"/>
      <w:sz w:val="22"/>
      <w:szCs w:val="22"/>
    </w:rPr>
  </w:style>
  <w:style w:type="paragraph" w:styleId="style62">
    <w:name w:val="Title"/>
    <w:basedOn w:val="style4098"/>
    <w:next w:val="style4098"/>
    <w:pPr>
      <w:keepNext/>
      <w:keepLines/>
      <w:pageBreakBefore w:val="false"/>
      <w:spacing w:before="0" w:after="60"/>
    </w:pPr>
    <w:rPr>
      <w:sz w:val="52"/>
      <w:szCs w:val="52"/>
    </w:rPr>
  </w:style>
  <w:style w:type="paragraph" w:styleId="style74">
    <w:name w:val="Subtitle"/>
    <w:basedOn w:val="style4098"/>
    <w:next w:val="style4098"/>
    <w:pPr>
      <w:keepNext/>
      <w:keepLines/>
      <w:pageBreakBefore w:val="false"/>
      <w:spacing w:before="0" w:after="320"/>
    </w:pPr>
    <w:rPr>
      <w:rFonts w:ascii="Arial" w:cs="Arial" w:eastAsia="Arial" w:hAnsi="Arial"/>
      <w:i w:val="false"/>
      <w:color w:val="666666"/>
      <w:sz w:val="30"/>
      <w:szCs w:val="30"/>
    </w:rPr>
  </w:style>
  <w:style w:type="table" w:customStyle="1" w:styleId="style4099">
    <w:basedOn w:val="style4097"/>
    <w:next w:val="style4099"/>
    <w:pPr/>
    <w:rPr/>
    <w:tblPr>
      <w:tblStyleRowBandSize w:val="1"/>
      <w:tblStyleColBandSize w:val="1"/>
      <w:tblCellMar>
        <w:top w:w="100" w:type="dxa"/>
        <w:left w:w="100" w:type="dxa"/>
        <w:bottom w:w="100" w:type="dxa"/>
        <w:right w:w="100" w:type="dxa"/>
      </w:tblCellMar>
    </w:tblPr>
    <w:tcPr>
      <w:tcBorders/>
    </w:tcPr>
  </w:style>
  <w:style w:type="paragraph" w:default="1" w:styleId="style0">
    <w:name w:val="Normal"/>
    <w:pPr>
      <w:jc w:val="both"/>
    </w:pPr>
    <w:rPr>
      <w:sz w:val="21"/>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header" Target="header1.xml"/><Relationship Id="rId7" Type="http://schemas.openxmlformats.org/officeDocument/2006/relationships/styles" Target="styles.xml"/><Relationship Id="rId8" Type="http://schemas.openxmlformats.org/officeDocument/2006/relationships/fontTable" Target="fontTable.xml"/></Relationships>
</file>

<file path=word/_rels/header1.xml.rels><?xml version="1.0" encoding="UTF-8"?>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Words>3452</Words>
  <Characters>22899</Characters>
  <Application>WPS Office</Application>
  <Paragraphs>171</Paragraphs>
  <CharactersWithSpaces>26202</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2025-10-14T10:53:05Z</dcterms:created>
  <dc:creator>WPS Office</dc:creator>
  <lastModifiedBy>24117RN76G</lastModifiedBy>
  <dcterms:modified xsi:type="dcterms:W3CDTF">2025-10-14T10:53:05Z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7e22ee9e95454c76ab9691fbe48d6c22</vt:lpwstr>
  </property>
</Properties>
</file>