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9"/>
        <w:spacing w:line="480" w:lineRule="auto"/>
        <w:jc w:val="both"/>
        <w:rPr>
          <w:rFonts w:ascii="Times New Roman" w:hAnsi="Times New Roman" w:eastAsia="Times New Roman" w:cs="Times New Roman"/>
          <w:color w:val="auto"/>
          <w:sz w:val="24"/>
          <w:szCs w:val="24"/>
          <w:lang w:val="en-GB" w:eastAsia="en-GB"/>
        </w:rPr>
      </w:pPr>
      <w:r>
        <w:rPr>
          <w:rFonts w:ascii="宋体" w:hAnsi="宋体" w:eastAsia="宋体" w:cs="宋体"/>
          <w:sz w:val="24"/>
          <w:szCs w:val="24"/>
        </w:rPr>
        <w:drawing>
          <wp:inline distT="0" distB="0" distL="114300" distR="114300">
            <wp:extent cx="2219325" cy="889635"/>
            <wp:effectExtent l="0" t="0" r="3175" b="12065"/>
            <wp:docPr id="8"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descr="IMG_256"/>
                    <pic:cNvPicPr>
                      <a:picLocks noChangeAspect="1"/>
                    </pic:cNvPicPr>
                  </pic:nvPicPr>
                  <pic:blipFill>
                    <a:blip r:embed="rId7"/>
                    <a:stretch>
                      <a:fillRect/>
                    </a:stretch>
                  </pic:blipFill>
                  <pic:spPr>
                    <a:xfrm>
                      <a:off x="0" y="0"/>
                      <a:ext cx="2219325" cy="889635"/>
                    </a:xfrm>
                    <a:prstGeom prst="rect">
                      <a:avLst/>
                    </a:prstGeom>
                    <a:noFill/>
                    <a:ln w="9525">
                      <a:noFill/>
                    </a:ln>
                  </pic:spPr>
                </pic:pic>
              </a:graphicData>
            </a:graphic>
          </wp:inline>
        </w:drawing>
      </w:r>
    </w:p>
    <w:p>
      <w:pPr>
        <w:pStyle w:val="19"/>
        <w:spacing w:line="480" w:lineRule="auto"/>
        <w:jc w:val="center"/>
        <w:rPr>
          <w:rFonts w:ascii="Times New Roman" w:hAnsi="Times New Roman" w:eastAsia="Times New Roman" w:cs="Times New Roman"/>
          <w:color w:val="auto"/>
          <w:sz w:val="24"/>
          <w:szCs w:val="24"/>
          <w:lang w:val="en-GB" w:eastAsia="en-GB"/>
        </w:rPr>
      </w:pPr>
    </w:p>
    <w:p>
      <w:pPr>
        <w:pStyle w:val="19"/>
        <w:spacing w:line="480" w:lineRule="auto"/>
        <w:jc w:val="center"/>
        <w:rPr>
          <w:rFonts w:hint="default" w:ascii="Times New Roman" w:hAnsi="Times New Roman" w:eastAsia="宋体" w:cs="Times New Roman"/>
          <w:b/>
          <w:bCs/>
          <w:color w:val="auto"/>
          <w:sz w:val="52"/>
          <w:szCs w:val="52"/>
          <w:lang w:val="en-US" w:eastAsia="zh-CN"/>
        </w:rPr>
      </w:pPr>
      <w:r>
        <w:rPr>
          <w:rFonts w:ascii="Times New Roman" w:hAnsi="Times New Roman" w:eastAsia="Times New Roman" w:cs="Times New Roman"/>
          <w:b/>
          <w:bCs/>
          <w:color w:val="auto"/>
          <w:sz w:val="52"/>
          <w:szCs w:val="52"/>
          <w:lang w:val="en-GB" w:eastAsia="en-GB"/>
        </w:rPr>
        <w:t>E</w:t>
      </w:r>
      <w:r>
        <w:rPr>
          <w:rFonts w:hint="eastAsia" w:ascii="Times New Roman" w:hAnsi="Times New Roman" w:eastAsia="宋体" w:cs="Times New Roman"/>
          <w:b/>
          <w:bCs/>
          <w:color w:val="auto"/>
          <w:sz w:val="52"/>
          <w:szCs w:val="52"/>
          <w:lang w:val="en-US" w:eastAsia="zh-CN"/>
        </w:rPr>
        <w:t>mployee</w:t>
      </w:r>
      <w:r>
        <w:rPr>
          <w:rFonts w:ascii="Times New Roman" w:hAnsi="Times New Roman" w:eastAsia="Times New Roman" w:cs="Times New Roman"/>
          <w:b/>
          <w:bCs/>
          <w:color w:val="auto"/>
          <w:sz w:val="52"/>
          <w:szCs w:val="52"/>
          <w:lang w:val="en-GB" w:eastAsia="en-GB"/>
        </w:rPr>
        <w:t xml:space="preserve"> E</w:t>
      </w:r>
      <w:r>
        <w:rPr>
          <w:rFonts w:hint="eastAsia" w:ascii="Times New Roman" w:hAnsi="Times New Roman" w:eastAsia="宋体" w:cs="Times New Roman"/>
          <w:b/>
          <w:bCs/>
          <w:color w:val="auto"/>
          <w:sz w:val="52"/>
          <w:szCs w:val="52"/>
          <w:lang w:val="en-US" w:eastAsia="zh-CN"/>
        </w:rPr>
        <w:t>ngagement</w:t>
      </w:r>
      <w:r>
        <w:rPr>
          <w:rFonts w:ascii="Times New Roman" w:hAnsi="Times New Roman" w:eastAsia="Times New Roman" w:cs="Times New Roman"/>
          <w:b/>
          <w:bCs/>
          <w:color w:val="auto"/>
          <w:sz w:val="52"/>
          <w:szCs w:val="52"/>
          <w:lang w:val="en-GB" w:eastAsia="en-GB"/>
        </w:rPr>
        <w:t xml:space="preserve"> A</w:t>
      </w:r>
      <w:r>
        <w:rPr>
          <w:rFonts w:hint="eastAsia" w:ascii="Times New Roman" w:hAnsi="Times New Roman" w:eastAsia="宋体" w:cs="Times New Roman"/>
          <w:b/>
          <w:bCs/>
          <w:color w:val="auto"/>
          <w:sz w:val="52"/>
          <w:szCs w:val="52"/>
          <w:lang w:val="en-US" w:eastAsia="zh-CN"/>
        </w:rPr>
        <w:t>t</w:t>
      </w:r>
      <w:r>
        <w:rPr>
          <w:rFonts w:ascii="Times New Roman" w:hAnsi="Times New Roman" w:eastAsia="Times New Roman" w:cs="Times New Roman"/>
          <w:b/>
          <w:bCs/>
          <w:color w:val="auto"/>
          <w:sz w:val="52"/>
          <w:szCs w:val="52"/>
          <w:lang w:val="en-GB" w:eastAsia="en-GB"/>
        </w:rPr>
        <w:t xml:space="preserve"> R</w:t>
      </w:r>
      <w:r>
        <w:rPr>
          <w:rFonts w:hint="eastAsia" w:ascii="Times New Roman" w:hAnsi="Times New Roman" w:eastAsia="宋体" w:cs="Times New Roman"/>
          <w:b/>
          <w:bCs/>
          <w:color w:val="auto"/>
          <w:sz w:val="52"/>
          <w:szCs w:val="52"/>
          <w:lang w:val="en-US" w:eastAsia="zh-CN"/>
        </w:rPr>
        <w:t>yanair</w:t>
      </w:r>
    </w:p>
    <w:p>
      <w:pPr>
        <w:pStyle w:val="19"/>
        <w:tabs>
          <w:tab w:val="left" w:pos="3870"/>
        </w:tabs>
        <w:spacing w:line="480" w:lineRule="auto"/>
        <w:rPr>
          <w:rFonts w:ascii="Times New Roman" w:hAnsi="Times New Roman" w:eastAsia="Times New Roman" w:cs="Times New Roman"/>
          <w:color w:val="auto"/>
          <w:sz w:val="24"/>
          <w:szCs w:val="24"/>
          <w:lang w:val="en-GB" w:eastAsia="en-GB"/>
        </w:rPr>
      </w:pPr>
      <w:r>
        <w:rPr>
          <w:rFonts w:ascii="Times New Roman" w:hAnsi="Times New Roman" w:eastAsia="Times New Roman" w:cs="Times New Roman"/>
          <w:color w:val="auto"/>
          <w:sz w:val="24"/>
          <w:szCs w:val="24"/>
          <w:lang w:val="en-GB" w:eastAsia="en-GB"/>
        </w:rPr>
        <w:tab/>
      </w:r>
    </w:p>
    <w:p>
      <w:pPr>
        <w:pStyle w:val="19"/>
        <w:spacing w:line="480" w:lineRule="auto"/>
        <w:rPr>
          <w:rFonts w:ascii="Times New Roman" w:hAnsi="Times New Roman" w:eastAsia="Times New Roman" w:cs="Times New Roman"/>
          <w:color w:val="auto"/>
          <w:sz w:val="24"/>
          <w:szCs w:val="24"/>
          <w:lang w:val="en-GB" w:eastAsia="en-GB"/>
        </w:rPr>
      </w:pPr>
    </w:p>
    <w:p>
      <w:pPr>
        <w:pStyle w:val="19"/>
        <w:spacing w:line="480" w:lineRule="auto"/>
        <w:rPr>
          <w:rFonts w:ascii="Times New Roman" w:hAnsi="Times New Roman" w:eastAsia="Times New Roman" w:cs="Times New Roman"/>
          <w:color w:val="auto"/>
          <w:sz w:val="24"/>
          <w:szCs w:val="24"/>
          <w:lang w:val="en-GB" w:eastAsia="en-GB"/>
        </w:rPr>
      </w:pPr>
    </w:p>
    <w:p>
      <w:pPr>
        <w:rPr>
          <w:rFonts w:ascii="Times New Roman" w:hAnsi="Times New Roman" w:eastAsia="Times New Roman" w:cs="Times New Roman"/>
          <w:color w:val="auto"/>
          <w:sz w:val="24"/>
          <w:szCs w:val="24"/>
          <w:lang w:val="en-GB" w:eastAsia="en-GB"/>
        </w:rPr>
      </w:pPr>
    </w:p>
    <w:p>
      <w:pPr>
        <w:rPr>
          <w:rFonts w:ascii="Times New Roman" w:hAnsi="Times New Roman" w:eastAsia="Times New Roman" w:cs="Times New Roman"/>
          <w:color w:val="auto"/>
          <w:sz w:val="24"/>
          <w:szCs w:val="24"/>
          <w:lang w:val="en-GB" w:eastAsia="en-GB"/>
        </w:rPr>
      </w:pPr>
    </w:p>
    <w:p>
      <w:pPr>
        <w:spacing w:line="480" w:lineRule="auto"/>
        <w:jc w:val="center"/>
        <w:rPr>
          <w:rFonts w:hint="default" w:ascii="Times New Roman" w:hAnsi="Times New Roman" w:cs="Times New Roman"/>
          <w:sz w:val="30"/>
          <w:szCs w:val="30"/>
          <w:lang w:val="en-US" w:eastAsia="zh-CN"/>
        </w:rPr>
      </w:pPr>
      <w:r>
        <w:rPr>
          <w:rFonts w:hint="eastAsia" w:ascii="Times New Roman" w:hAnsi="Times New Roman" w:cs="Times New Roman"/>
          <w:sz w:val="30"/>
          <w:szCs w:val="30"/>
          <w:lang w:val="en-US" w:eastAsia="zh-CN"/>
        </w:rPr>
        <w:t>Student n</w:t>
      </w:r>
      <w:r>
        <w:rPr>
          <w:rFonts w:hint="default" w:ascii="Times New Roman" w:hAnsi="Times New Roman" w:cs="Times New Roman"/>
          <w:sz w:val="30"/>
          <w:szCs w:val="30"/>
          <w:lang w:val="en-US" w:eastAsia="zh-CN"/>
        </w:rPr>
        <w:t>ame:</w:t>
      </w:r>
      <w:r>
        <w:rPr>
          <w:rFonts w:hint="eastAsia" w:ascii="Times New Roman" w:hAnsi="Times New Roman" w:cs="Times New Roman"/>
          <w:sz w:val="30"/>
          <w:szCs w:val="30"/>
          <w:lang w:val="en-US" w:eastAsia="zh-CN"/>
        </w:rPr>
        <w:t>Yifan Liu</w:t>
      </w:r>
    </w:p>
    <w:p>
      <w:pPr>
        <w:spacing w:line="480" w:lineRule="auto"/>
        <w:jc w:val="center"/>
        <w:rPr>
          <w:rFonts w:ascii="Times New Roman" w:hAnsi="Times New Roman" w:cs="Times New Roman"/>
          <w:sz w:val="30"/>
          <w:szCs w:val="30"/>
        </w:rPr>
      </w:pPr>
      <w:r>
        <w:rPr>
          <w:rFonts w:hint="eastAsia" w:ascii="Times New Roman" w:hAnsi="Times New Roman" w:cs="Times New Roman"/>
          <w:sz w:val="30"/>
          <w:szCs w:val="30"/>
          <w:lang w:val="en-US" w:eastAsia="zh-CN"/>
        </w:rPr>
        <w:t xml:space="preserve"> Student number:2206060</w:t>
      </w:r>
    </w:p>
    <w:p>
      <w:pPr>
        <w:spacing w:line="480" w:lineRule="auto"/>
        <w:jc w:val="center"/>
        <w:rPr>
          <w:rFonts w:hint="default" w:ascii="Times New Roman" w:hAnsi="Times New Roman" w:eastAsia="宋体" w:cs="Times New Roman"/>
          <w:sz w:val="30"/>
          <w:szCs w:val="30"/>
          <w:lang w:val="en-US" w:eastAsia="zh-CN"/>
        </w:rPr>
      </w:pPr>
      <w:r>
        <w:rPr>
          <w:rFonts w:ascii="Times New Roman" w:hAnsi="Times New Roman" w:cs="Times New Roman"/>
          <w:sz w:val="30"/>
          <w:szCs w:val="30"/>
        </w:rPr>
        <w:t>Tutor:</w:t>
      </w:r>
      <w:r>
        <w:rPr>
          <w:rFonts w:hint="eastAsia" w:ascii="Times New Roman" w:hAnsi="Times New Roman" w:eastAsia="宋体" w:cs="Times New Roman"/>
          <w:sz w:val="30"/>
          <w:szCs w:val="30"/>
          <w:lang w:val="en-US" w:eastAsia="zh-CN"/>
        </w:rPr>
        <w:t>James Moore</w:t>
      </w:r>
    </w:p>
    <w:p>
      <w:pPr>
        <w:spacing w:line="480" w:lineRule="auto"/>
        <w:jc w:val="center"/>
        <w:rPr>
          <w:rFonts w:ascii="Times New Roman" w:hAnsi="Times New Roman" w:cs="Times New Roman"/>
          <w:sz w:val="30"/>
          <w:szCs w:val="30"/>
        </w:rPr>
      </w:pPr>
      <w:r>
        <w:rPr>
          <w:rFonts w:ascii="Times New Roman" w:hAnsi="Times New Roman" w:cs="Times New Roman"/>
          <w:sz w:val="30"/>
          <w:szCs w:val="30"/>
        </w:rPr>
        <w:t>Course:</w:t>
      </w:r>
      <w:r>
        <w:rPr>
          <w:rFonts w:hint="default" w:ascii="Times New Roman" w:hAnsi="Times New Roman" w:cs="Times New Roman"/>
          <w:sz w:val="30"/>
          <w:szCs w:val="30"/>
        </w:rPr>
        <w:t>Human Resource Management (BMMB7007)</w:t>
      </w:r>
    </w:p>
    <w:p>
      <w:pPr>
        <w:spacing w:line="480" w:lineRule="auto"/>
        <w:jc w:val="center"/>
        <w:rPr>
          <w:rFonts w:hint="default" w:ascii="Times New Roman" w:hAnsi="Times New Roman" w:eastAsia="宋体" w:cs="Times New Roman"/>
          <w:sz w:val="30"/>
          <w:szCs w:val="30"/>
          <w:lang w:val="en-US" w:eastAsia="zh-CN"/>
        </w:rPr>
      </w:pPr>
    </w:p>
    <w:p>
      <w:pPr>
        <w:spacing w:line="480" w:lineRule="auto"/>
        <w:jc w:val="center"/>
        <w:rPr>
          <w:rFonts w:ascii="Times New Roman" w:hAnsi="Times New Roman" w:cs="Times New Roman"/>
          <w:sz w:val="30"/>
          <w:szCs w:val="30"/>
        </w:rPr>
      </w:pPr>
    </w:p>
    <w:p>
      <w:pPr>
        <w:spacing w:line="480" w:lineRule="auto"/>
        <w:jc w:val="center"/>
        <w:rPr>
          <w:rFonts w:hint="default" w:ascii="Times New Roman" w:hAnsi="Times New Roman" w:eastAsia="宋体" w:cs="Times New Roman"/>
          <w:sz w:val="30"/>
          <w:szCs w:val="30"/>
          <w:lang w:val="en-US" w:eastAsia="zh-CN"/>
        </w:rPr>
      </w:pPr>
      <w:r>
        <w:rPr>
          <w:rFonts w:ascii="Times New Roman" w:hAnsi="Times New Roman" w:cs="Times New Roman"/>
          <w:sz w:val="30"/>
          <w:szCs w:val="30"/>
        </w:rPr>
        <w:t>Date:</w:t>
      </w:r>
      <w:r>
        <w:rPr>
          <w:rFonts w:hint="eastAsia" w:ascii="Times New Roman" w:hAnsi="Times New Roman" w:eastAsia="宋体" w:cs="Times New Roman"/>
          <w:sz w:val="30"/>
          <w:szCs w:val="30"/>
          <w:lang w:val="en-US" w:eastAsia="zh-CN"/>
        </w:rPr>
        <w:t>23/3/2023</w:t>
      </w:r>
    </w:p>
    <w:p>
      <w:pPr>
        <w:spacing w:after="160"/>
        <w:rPr>
          <w:rFonts w:ascii="Times New Roman" w:hAnsi="Times New Roman"/>
          <w:szCs w:val="24"/>
        </w:rPr>
      </w:pPr>
      <w:r>
        <w:rPr>
          <w:rFonts w:ascii="Times New Roman" w:hAnsi="Times New Roman"/>
          <w:szCs w:val="24"/>
        </w:rPr>
        <w:br w:type="page"/>
      </w:r>
    </w:p>
    <w:sdt>
      <w:sdtPr>
        <w:rPr>
          <w:rFonts w:ascii="Times New Roman" w:hAnsi="Times New Roman" w:eastAsia="Times New Roman" w:cs="Times New Roman"/>
          <w:color w:val="auto"/>
          <w:sz w:val="24"/>
          <w:szCs w:val="24"/>
          <w:lang w:val="en-GB" w:eastAsia="en-GB"/>
        </w:rPr>
        <w:id w:val="-1719038218"/>
        <w:docPartObj>
          <w:docPartGallery w:val="Table of Contents"/>
          <w:docPartUnique/>
        </w:docPartObj>
      </w:sdtPr>
      <w:sdtEndPr>
        <w:rPr>
          <w:rFonts w:ascii="Times New Roman" w:hAnsi="Times New Roman" w:eastAsia="Times New Roman" w:cs="Times New Roman"/>
          <w:b/>
          <w:bCs/>
          <w:color w:val="auto"/>
          <w:sz w:val="24"/>
          <w:szCs w:val="24"/>
          <w:lang w:val="en-GB" w:eastAsia="en-GB"/>
        </w:rPr>
      </w:sdtEndPr>
      <w:sdtContent>
        <w:p>
          <w:pPr>
            <w:pStyle w:val="19"/>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7"/>
            <w:tabs>
              <w:tab w:val="right" w:leader="dot" w:pos="9016"/>
            </w:tabs>
            <w:rPr>
              <w:rFonts w:asciiTheme="minorHAnsi" w:hAnsiTheme="minorHAnsi" w:eastAsiaTheme="minorEastAsia" w:cstheme="minorBidi"/>
              <w:sz w:val="22"/>
              <w:szCs w:val="22"/>
              <w:lang w:val="zh-CN" w:eastAsia="zh-CN"/>
            </w:rPr>
          </w:pPr>
          <w:r>
            <w:rPr>
              <w:rFonts w:ascii="Times New Roman" w:hAnsi="Times New Roman"/>
              <w:b/>
              <w:bCs/>
              <w:szCs w:val="24"/>
            </w:rPr>
            <w:fldChar w:fldCharType="begin"/>
          </w:r>
          <w:r>
            <w:rPr>
              <w:rFonts w:ascii="Times New Roman" w:hAnsi="Times New Roman"/>
              <w:b/>
              <w:bCs/>
              <w:szCs w:val="24"/>
            </w:rPr>
            <w:instrText xml:space="preserve"> TOC \o "1-3" \h \z \u </w:instrText>
          </w:r>
          <w:r>
            <w:rPr>
              <w:rFonts w:ascii="Times New Roman" w:hAnsi="Times New Roman"/>
              <w:b/>
              <w:bCs/>
              <w:szCs w:val="24"/>
            </w:rPr>
            <w:fldChar w:fldCharType="separate"/>
          </w:r>
          <w:r>
            <w:fldChar w:fldCharType="begin"/>
          </w:r>
          <w:r>
            <w:instrText xml:space="preserve"> HYPERLINK \l "_Toc127875386" </w:instrText>
          </w:r>
          <w:r>
            <w:fldChar w:fldCharType="separate"/>
          </w:r>
          <w:r>
            <w:rPr>
              <w:rStyle w:val="13"/>
              <w:rFonts w:ascii="Times New Roman" w:hAnsi="Times New Roman"/>
              <w:b/>
              <w:bCs/>
              <w:iCs/>
            </w:rPr>
            <w:t xml:space="preserve">1.0 </w:t>
          </w:r>
          <w:r>
            <w:rPr>
              <w:rStyle w:val="13"/>
              <w:rFonts w:ascii="Times New Roman" w:hAnsi="Times New Roman"/>
              <w:b/>
            </w:rPr>
            <w:t>Introduction</w:t>
          </w:r>
          <w:r>
            <w:tab/>
          </w:r>
          <w:r>
            <w:fldChar w:fldCharType="begin"/>
          </w:r>
          <w:r>
            <w:instrText xml:space="preserve"> PAGEREF _Toc127875386 \h </w:instrText>
          </w:r>
          <w:r>
            <w:fldChar w:fldCharType="separate"/>
          </w:r>
          <w:r>
            <w:t>3</w:t>
          </w:r>
          <w:r>
            <w:fldChar w:fldCharType="end"/>
          </w:r>
          <w:r>
            <w:fldChar w:fldCharType="end"/>
          </w:r>
        </w:p>
        <w:p>
          <w:pPr>
            <w:pStyle w:val="7"/>
            <w:tabs>
              <w:tab w:val="right" w:leader="dot" w:pos="9016"/>
            </w:tabs>
            <w:rPr>
              <w:rFonts w:asciiTheme="minorHAnsi" w:hAnsiTheme="minorHAnsi" w:eastAsiaTheme="minorEastAsia" w:cstheme="minorBidi"/>
              <w:sz w:val="22"/>
              <w:szCs w:val="22"/>
              <w:lang w:val="zh-CN" w:eastAsia="zh-CN"/>
            </w:rPr>
          </w:pPr>
          <w:r>
            <w:fldChar w:fldCharType="begin"/>
          </w:r>
          <w:r>
            <w:instrText xml:space="preserve"> HYPERLINK \l "_Toc127875387" </w:instrText>
          </w:r>
          <w:r>
            <w:fldChar w:fldCharType="separate"/>
          </w:r>
          <w:r>
            <w:rPr>
              <w:rStyle w:val="13"/>
              <w:rFonts w:ascii="Times New Roman" w:hAnsi="Times New Roman"/>
              <w:b/>
            </w:rPr>
            <w:t>2.0 Organisational Overview</w:t>
          </w:r>
          <w:r>
            <w:tab/>
          </w:r>
          <w:r>
            <w:fldChar w:fldCharType="begin"/>
          </w:r>
          <w:r>
            <w:instrText xml:space="preserve"> PAGEREF _Toc127875387 \h </w:instrText>
          </w:r>
          <w:r>
            <w:fldChar w:fldCharType="separate"/>
          </w:r>
          <w:r>
            <w:t>3</w:t>
          </w:r>
          <w:r>
            <w:fldChar w:fldCharType="end"/>
          </w:r>
          <w:r>
            <w:fldChar w:fldCharType="end"/>
          </w:r>
        </w:p>
        <w:p>
          <w:pPr>
            <w:pStyle w:val="7"/>
            <w:tabs>
              <w:tab w:val="left" w:pos="660"/>
              <w:tab w:val="right" w:leader="dot" w:pos="9016"/>
            </w:tabs>
            <w:rPr>
              <w:rFonts w:asciiTheme="minorHAnsi" w:hAnsiTheme="minorHAnsi" w:eastAsiaTheme="minorEastAsia" w:cstheme="minorBidi"/>
              <w:sz w:val="22"/>
              <w:szCs w:val="22"/>
              <w:lang w:val="zh-CN" w:eastAsia="zh-CN"/>
            </w:rPr>
          </w:pPr>
          <w:r>
            <w:fldChar w:fldCharType="begin"/>
          </w:r>
          <w:r>
            <w:instrText xml:space="preserve"> HYPERLINK \l "_Toc127875388" </w:instrText>
          </w:r>
          <w:r>
            <w:fldChar w:fldCharType="separate"/>
          </w:r>
          <w:r>
            <w:rPr>
              <w:rStyle w:val="13"/>
              <w:rFonts w:ascii="Times New Roman" w:hAnsi="Times New Roman"/>
              <w:b/>
            </w:rPr>
            <w:t>3.0</w:t>
          </w:r>
          <w:r>
            <w:rPr>
              <w:rStyle w:val="13"/>
              <w:rFonts w:hint="eastAsia" w:ascii="Times New Roman" w:hAnsi="Times New Roman" w:eastAsia="宋体"/>
              <w:b/>
              <w:lang w:val="en-US" w:eastAsia="zh-CN"/>
            </w:rPr>
            <w:t xml:space="preserve"> </w:t>
          </w:r>
          <w:r>
            <w:rPr>
              <w:rStyle w:val="13"/>
              <w:rFonts w:ascii="Times New Roman" w:hAnsi="Times New Roman"/>
              <w:b/>
            </w:rPr>
            <w:t>Main discussion</w:t>
          </w:r>
          <w:r>
            <w:tab/>
          </w:r>
          <w:r>
            <w:fldChar w:fldCharType="begin"/>
          </w:r>
          <w:r>
            <w:instrText xml:space="preserve"> PAGEREF _Toc127875388 \h </w:instrText>
          </w:r>
          <w:r>
            <w:fldChar w:fldCharType="separate"/>
          </w:r>
          <w:r>
            <w:t>4</w:t>
          </w:r>
          <w:r>
            <w:fldChar w:fldCharType="end"/>
          </w:r>
          <w:r>
            <w:fldChar w:fldCharType="end"/>
          </w:r>
        </w:p>
        <w:p>
          <w:pPr>
            <w:pStyle w:val="8"/>
            <w:tabs>
              <w:tab w:val="right" w:leader="dot" w:pos="9016"/>
            </w:tabs>
            <w:rPr>
              <w:rFonts w:hint="default" w:ascii="Times New Roman" w:hAnsi="Times New Roman" w:cs="Times New Roman" w:eastAsiaTheme="minorEastAsia"/>
              <w:i w:val="0"/>
              <w:iCs w:val="0"/>
              <w:sz w:val="22"/>
              <w:szCs w:val="22"/>
              <w:lang w:val="zh-CN" w:eastAsia="zh-CN"/>
            </w:rPr>
          </w:pP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HYPERLINK \l "_Toc127875389" </w:instrText>
          </w:r>
          <w:r>
            <w:rPr>
              <w:rFonts w:hint="default" w:ascii="Times New Roman" w:hAnsi="Times New Roman" w:cs="Times New Roman"/>
              <w:i w:val="0"/>
              <w:iCs w:val="0"/>
            </w:rPr>
            <w:fldChar w:fldCharType="separate"/>
          </w:r>
          <w:r>
            <w:rPr>
              <w:rStyle w:val="13"/>
              <w:rFonts w:hint="default" w:ascii="Times New Roman" w:hAnsi="Times New Roman" w:cs="Times New Roman"/>
              <w:i w:val="0"/>
              <w:iCs w:val="0"/>
            </w:rPr>
            <w:t>3.1 The Priority Area that needs improving</w:t>
          </w:r>
          <w:r>
            <w:rPr>
              <w:rFonts w:hint="default" w:ascii="Times New Roman" w:hAnsi="Times New Roman" w:cs="Times New Roman"/>
              <w:i w:val="0"/>
              <w:iCs w:val="0"/>
            </w:rPr>
            <w:tab/>
          </w: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PAGEREF _Toc127875389 \h </w:instrText>
          </w:r>
          <w:r>
            <w:rPr>
              <w:rFonts w:hint="default" w:ascii="Times New Roman" w:hAnsi="Times New Roman" w:cs="Times New Roman"/>
              <w:i w:val="0"/>
              <w:iCs w:val="0"/>
            </w:rPr>
            <w:fldChar w:fldCharType="separate"/>
          </w:r>
          <w:r>
            <w:rPr>
              <w:rFonts w:hint="default" w:ascii="Times New Roman" w:hAnsi="Times New Roman" w:cs="Times New Roman"/>
              <w:i w:val="0"/>
              <w:iCs w:val="0"/>
            </w:rPr>
            <w:t>4</w:t>
          </w:r>
          <w:r>
            <w:rPr>
              <w:rFonts w:hint="default" w:ascii="Times New Roman" w:hAnsi="Times New Roman" w:cs="Times New Roman"/>
              <w:i w:val="0"/>
              <w:iCs w:val="0"/>
            </w:rPr>
            <w:fldChar w:fldCharType="end"/>
          </w:r>
          <w:r>
            <w:rPr>
              <w:rFonts w:hint="default" w:ascii="Times New Roman" w:hAnsi="Times New Roman" w:cs="Times New Roman"/>
              <w:i w:val="0"/>
              <w:iCs w:val="0"/>
            </w:rPr>
            <w:fldChar w:fldCharType="end"/>
          </w:r>
        </w:p>
        <w:p>
          <w:pPr>
            <w:pStyle w:val="8"/>
            <w:tabs>
              <w:tab w:val="right" w:leader="dot" w:pos="9016"/>
            </w:tabs>
            <w:rPr>
              <w:rFonts w:hint="default" w:ascii="Times New Roman" w:hAnsi="Times New Roman" w:cs="Times New Roman" w:eastAsiaTheme="minorEastAsia"/>
              <w:i w:val="0"/>
              <w:iCs w:val="0"/>
              <w:sz w:val="22"/>
              <w:szCs w:val="22"/>
              <w:lang w:val="zh-CN" w:eastAsia="zh-CN"/>
            </w:rPr>
          </w:pP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HYPERLINK \l "_Toc127875390" </w:instrText>
          </w:r>
          <w:r>
            <w:rPr>
              <w:rFonts w:hint="default" w:ascii="Times New Roman" w:hAnsi="Times New Roman" w:cs="Times New Roman"/>
              <w:i w:val="0"/>
              <w:iCs w:val="0"/>
            </w:rPr>
            <w:fldChar w:fldCharType="separate"/>
          </w:r>
          <w:r>
            <w:rPr>
              <w:rStyle w:val="13"/>
              <w:rFonts w:hint="default" w:ascii="Times New Roman" w:hAnsi="Times New Roman" w:cs="Times New Roman"/>
              <w:i w:val="0"/>
              <w:iCs w:val="0"/>
            </w:rPr>
            <w:t>3.2 The Justification for Improving Employee Engagement and the Current Shortfalls</w:t>
          </w:r>
          <w:r>
            <w:rPr>
              <w:rFonts w:hint="default" w:ascii="Times New Roman" w:hAnsi="Times New Roman" w:cs="Times New Roman"/>
              <w:i w:val="0"/>
              <w:iCs w:val="0"/>
            </w:rPr>
            <w:tab/>
          </w: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PAGEREF _Toc127875390 \h </w:instrText>
          </w:r>
          <w:r>
            <w:rPr>
              <w:rFonts w:hint="default" w:ascii="Times New Roman" w:hAnsi="Times New Roman" w:cs="Times New Roman"/>
              <w:i w:val="0"/>
              <w:iCs w:val="0"/>
            </w:rPr>
            <w:fldChar w:fldCharType="separate"/>
          </w:r>
          <w:r>
            <w:rPr>
              <w:rFonts w:hint="default" w:ascii="Times New Roman" w:hAnsi="Times New Roman" w:cs="Times New Roman"/>
              <w:i w:val="0"/>
              <w:iCs w:val="0"/>
            </w:rPr>
            <w:t>5</w:t>
          </w:r>
          <w:r>
            <w:rPr>
              <w:rFonts w:hint="default" w:ascii="Times New Roman" w:hAnsi="Times New Roman" w:cs="Times New Roman"/>
              <w:i w:val="0"/>
              <w:iCs w:val="0"/>
            </w:rPr>
            <w:fldChar w:fldCharType="end"/>
          </w:r>
          <w:r>
            <w:rPr>
              <w:rFonts w:hint="default" w:ascii="Times New Roman" w:hAnsi="Times New Roman" w:cs="Times New Roman"/>
              <w:i w:val="0"/>
              <w:iCs w:val="0"/>
            </w:rPr>
            <w:fldChar w:fldCharType="end"/>
          </w:r>
        </w:p>
        <w:p>
          <w:pPr>
            <w:pStyle w:val="8"/>
            <w:tabs>
              <w:tab w:val="right" w:leader="dot" w:pos="9016"/>
            </w:tabs>
            <w:rPr>
              <w:rFonts w:hint="default" w:ascii="Times New Roman" w:hAnsi="Times New Roman" w:cs="Times New Roman" w:eastAsiaTheme="minorEastAsia"/>
              <w:i w:val="0"/>
              <w:iCs w:val="0"/>
              <w:sz w:val="22"/>
              <w:szCs w:val="22"/>
              <w:lang w:val="zh-CN" w:eastAsia="zh-CN"/>
            </w:rPr>
          </w:pP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HYPERLINK \l "_Toc127875391" </w:instrText>
          </w:r>
          <w:r>
            <w:rPr>
              <w:rFonts w:hint="default" w:ascii="Times New Roman" w:hAnsi="Times New Roman" w:cs="Times New Roman"/>
              <w:i w:val="0"/>
              <w:iCs w:val="0"/>
            </w:rPr>
            <w:fldChar w:fldCharType="separate"/>
          </w:r>
          <w:r>
            <w:rPr>
              <w:rStyle w:val="13"/>
              <w:rFonts w:hint="default" w:ascii="Times New Roman" w:hAnsi="Times New Roman" w:cs="Times New Roman"/>
              <w:i w:val="0"/>
              <w:iCs w:val="0"/>
            </w:rPr>
            <w:t>3.3 The Impact of Employee Engagement Deficiency on the Performance or Effectiveness of the Organisation</w:t>
          </w:r>
          <w:r>
            <w:rPr>
              <w:rFonts w:hint="default" w:ascii="Times New Roman" w:hAnsi="Times New Roman" w:cs="Times New Roman"/>
              <w:i w:val="0"/>
              <w:iCs w:val="0"/>
            </w:rPr>
            <w:tab/>
          </w: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PAGEREF _Toc127875391 \h </w:instrText>
          </w:r>
          <w:r>
            <w:rPr>
              <w:rFonts w:hint="default" w:ascii="Times New Roman" w:hAnsi="Times New Roman" w:cs="Times New Roman"/>
              <w:i w:val="0"/>
              <w:iCs w:val="0"/>
            </w:rPr>
            <w:fldChar w:fldCharType="separate"/>
          </w:r>
          <w:r>
            <w:rPr>
              <w:rFonts w:hint="default" w:ascii="Times New Roman" w:hAnsi="Times New Roman" w:cs="Times New Roman"/>
              <w:i w:val="0"/>
              <w:iCs w:val="0"/>
            </w:rPr>
            <w:t>6</w:t>
          </w:r>
          <w:r>
            <w:rPr>
              <w:rFonts w:hint="default" w:ascii="Times New Roman" w:hAnsi="Times New Roman" w:cs="Times New Roman"/>
              <w:i w:val="0"/>
              <w:iCs w:val="0"/>
            </w:rPr>
            <w:fldChar w:fldCharType="end"/>
          </w:r>
          <w:r>
            <w:rPr>
              <w:rFonts w:hint="default" w:ascii="Times New Roman" w:hAnsi="Times New Roman" w:cs="Times New Roman"/>
              <w:i w:val="0"/>
              <w:iCs w:val="0"/>
            </w:rPr>
            <w:fldChar w:fldCharType="end"/>
          </w:r>
        </w:p>
        <w:p>
          <w:pPr>
            <w:pStyle w:val="8"/>
            <w:tabs>
              <w:tab w:val="right" w:leader="dot" w:pos="9016"/>
            </w:tabs>
            <w:rPr>
              <w:rFonts w:asciiTheme="minorHAnsi" w:hAnsiTheme="minorHAnsi" w:eastAsiaTheme="minorEastAsia" w:cstheme="minorBidi"/>
              <w:sz w:val="22"/>
              <w:szCs w:val="22"/>
              <w:lang w:val="zh-CN" w:eastAsia="zh-CN"/>
            </w:rPr>
          </w:pP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HYPERLINK \l "_Toc127875392" </w:instrText>
          </w:r>
          <w:r>
            <w:rPr>
              <w:rFonts w:hint="default" w:ascii="Times New Roman" w:hAnsi="Times New Roman" w:cs="Times New Roman"/>
              <w:i w:val="0"/>
              <w:iCs w:val="0"/>
            </w:rPr>
            <w:fldChar w:fldCharType="separate"/>
          </w:r>
          <w:r>
            <w:rPr>
              <w:rStyle w:val="13"/>
              <w:rFonts w:hint="default" w:ascii="Times New Roman" w:hAnsi="Times New Roman" w:cs="Times New Roman"/>
              <w:i w:val="0"/>
              <w:iCs w:val="0"/>
            </w:rPr>
            <w:t>3.4 The Benefits</w:t>
          </w:r>
          <w:r>
            <w:rPr>
              <w:rStyle w:val="13"/>
              <w:rFonts w:hint="default" w:ascii="Times New Roman" w:hAnsi="Times New Roman" w:cs="Times New Roman"/>
              <w:i w:val="0"/>
              <w:iCs w:val="0"/>
              <w:shd w:val="clear" w:color="auto" w:fill="FFFFFF"/>
            </w:rPr>
            <w:t xml:space="preserve"> of improving the Priority Area for the Organisation, Employees, and other Organisational Stakeholders</w:t>
          </w:r>
          <w:r>
            <w:rPr>
              <w:rFonts w:hint="default" w:ascii="Times New Roman" w:hAnsi="Times New Roman" w:cs="Times New Roman"/>
              <w:i w:val="0"/>
              <w:iCs w:val="0"/>
            </w:rPr>
            <w:tab/>
          </w:r>
          <w:r>
            <w:rPr>
              <w:rFonts w:hint="default" w:ascii="Times New Roman" w:hAnsi="Times New Roman" w:cs="Times New Roman"/>
              <w:i w:val="0"/>
              <w:iCs w:val="0"/>
            </w:rPr>
            <w:fldChar w:fldCharType="begin"/>
          </w:r>
          <w:r>
            <w:rPr>
              <w:rFonts w:hint="default" w:ascii="Times New Roman" w:hAnsi="Times New Roman" w:cs="Times New Roman"/>
              <w:i w:val="0"/>
              <w:iCs w:val="0"/>
            </w:rPr>
            <w:instrText xml:space="preserve"> PAGEREF _Toc127875392 \h </w:instrText>
          </w:r>
          <w:r>
            <w:rPr>
              <w:rFonts w:hint="default" w:ascii="Times New Roman" w:hAnsi="Times New Roman" w:cs="Times New Roman"/>
              <w:i w:val="0"/>
              <w:iCs w:val="0"/>
            </w:rPr>
            <w:fldChar w:fldCharType="separate"/>
          </w:r>
          <w:r>
            <w:rPr>
              <w:rFonts w:hint="default" w:ascii="Times New Roman" w:hAnsi="Times New Roman" w:cs="Times New Roman"/>
              <w:i w:val="0"/>
              <w:iCs w:val="0"/>
            </w:rPr>
            <w:t>6</w:t>
          </w:r>
          <w:r>
            <w:rPr>
              <w:rFonts w:hint="default" w:ascii="Times New Roman" w:hAnsi="Times New Roman" w:cs="Times New Roman"/>
              <w:i w:val="0"/>
              <w:iCs w:val="0"/>
            </w:rPr>
            <w:fldChar w:fldCharType="end"/>
          </w:r>
          <w:r>
            <w:rPr>
              <w:rFonts w:hint="default" w:ascii="Times New Roman" w:hAnsi="Times New Roman" w:cs="Times New Roman"/>
              <w:i w:val="0"/>
              <w:iCs w:val="0"/>
            </w:rPr>
            <w:fldChar w:fldCharType="end"/>
          </w:r>
        </w:p>
        <w:p>
          <w:pPr>
            <w:pStyle w:val="7"/>
            <w:tabs>
              <w:tab w:val="left" w:pos="660"/>
              <w:tab w:val="right" w:leader="dot" w:pos="9016"/>
            </w:tabs>
            <w:rPr>
              <w:rFonts w:asciiTheme="minorHAnsi" w:hAnsiTheme="minorHAnsi" w:eastAsiaTheme="minorEastAsia" w:cstheme="minorBidi"/>
              <w:sz w:val="22"/>
              <w:szCs w:val="22"/>
              <w:lang w:val="zh-CN" w:eastAsia="zh-CN"/>
            </w:rPr>
          </w:pPr>
          <w:r>
            <w:fldChar w:fldCharType="begin"/>
          </w:r>
          <w:r>
            <w:instrText xml:space="preserve"> HYPERLINK \l "_Toc127875393" </w:instrText>
          </w:r>
          <w:r>
            <w:fldChar w:fldCharType="separate"/>
          </w:r>
          <w:r>
            <w:rPr>
              <w:rStyle w:val="13"/>
              <w:rFonts w:ascii="Times New Roman" w:hAnsi="Times New Roman"/>
              <w:b/>
            </w:rPr>
            <w:t>4.0</w:t>
          </w:r>
          <w:r>
            <w:rPr>
              <w:rStyle w:val="13"/>
              <w:rFonts w:hint="eastAsia" w:ascii="Times New Roman" w:hAnsi="Times New Roman" w:eastAsia="宋体"/>
              <w:b/>
              <w:lang w:val="en-US" w:eastAsia="zh-CN"/>
            </w:rPr>
            <w:t xml:space="preserve"> </w:t>
          </w:r>
          <w:r>
            <w:rPr>
              <w:rStyle w:val="13"/>
              <w:rFonts w:ascii="Times New Roman" w:hAnsi="Times New Roman"/>
              <w:b/>
              <w:shd w:val="clear" w:color="auto" w:fill="FFFFFF"/>
            </w:rPr>
            <w:t>Conclusions</w:t>
          </w:r>
          <w:r>
            <w:tab/>
          </w:r>
          <w:r>
            <w:fldChar w:fldCharType="begin"/>
          </w:r>
          <w:r>
            <w:instrText xml:space="preserve"> PAGEREF _Toc127875393 \h </w:instrText>
          </w:r>
          <w:r>
            <w:fldChar w:fldCharType="separate"/>
          </w:r>
          <w:r>
            <w:t>8</w:t>
          </w:r>
          <w:r>
            <w:fldChar w:fldCharType="end"/>
          </w:r>
          <w:r>
            <w:fldChar w:fldCharType="end"/>
          </w:r>
        </w:p>
        <w:p>
          <w:pPr>
            <w:pStyle w:val="7"/>
            <w:tabs>
              <w:tab w:val="right" w:leader="dot" w:pos="9016"/>
            </w:tabs>
            <w:rPr>
              <w:rFonts w:asciiTheme="minorHAnsi" w:hAnsiTheme="minorHAnsi" w:eastAsiaTheme="minorEastAsia" w:cstheme="minorBidi"/>
              <w:sz w:val="22"/>
              <w:szCs w:val="22"/>
              <w:lang w:val="zh-CN" w:eastAsia="zh-CN"/>
            </w:rPr>
          </w:pPr>
          <w:r>
            <w:fldChar w:fldCharType="begin"/>
          </w:r>
          <w:r>
            <w:instrText xml:space="preserve"> HYPERLINK \l "_Toc127875394" </w:instrText>
          </w:r>
          <w:r>
            <w:fldChar w:fldCharType="separate"/>
          </w:r>
          <w:r>
            <w:rPr>
              <w:rStyle w:val="13"/>
              <w:rFonts w:ascii="Times New Roman" w:hAnsi="Times New Roman"/>
              <w:b/>
              <w:shd w:val="clear" w:color="auto" w:fill="FFFFFF"/>
            </w:rPr>
            <w:t>5.0 Recommendations</w:t>
          </w:r>
          <w:r>
            <w:tab/>
          </w:r>
          <w:r>
            <w:fldChar w:fldCharType="begin"/>
          </w:r>
          <w:r>
            <w:instrText xml:space="preserve"> PAGEREF _Toc127875394 \h </w:instrText>
          </w:r>
          <w:r>
            <w:fldChar w:fldCharType="separate"/>
          </w:r>
          <w:r>
            <w:t>9</w:t>
          </w:r>
          <w:r>
            <w:fldChar w:fldCharType="end"/>
          </w:r>
          <w:r>
            <w:fldChar w:fldCharType="end"/>
          </w:r>
        </w:p>
        <w:p>
          <w:pPr>
            <w:pStyle w:val="7"/>
            <w:tabs>
              <w:tab w:val="left" w:pos="660"/>
              <w:tab w:val="right" w:leader="dot" w:pos="9016"/>
            </w:tabs>
            <w:rPr>
              <w:rFonts w:asciiTheme="minorHAnsi" w:hAnsiTheme="minorHAnsi" w:eastAsiaTheme="minorEastAsia" w:cstheme="minorBidi"/>
              <w:sz w:val="22"/>
              <w:szCs w:val="22"/>
              <w:lang w:val="zh-CN" w:eastAsia="zh-CN"/>
            </w:rPr>
          </w:pPr>
          <w:r>
            <w:fldChar w:fldCharType="begin"/>
          </w:r>
          <w:r>
            <w:instrText xml:space="preserve"> HYPERLINK \l "_Toc127875395" </w:instrText>
          </w:r>
          <w:r>
            <w:fldChar w:fldCharType="separate"/>
          </w:r>
          <w:r>
            <w:rPr>
              <w:rStyle w:val="13"/>
              <w:rFonts w:ascii="Times New Roman" w:hAnsi="Times New Roman"/>
              <w:b/>
            </w:rPr>
            <w:t>5.0</w:t>
          </w:r>
          <w:r>
            <w:rPr>
              <w:rStyle w:val="13"/>
              <w:rFonts w:hint="eastAsia" w:ascii="Times New Roman" w:hAnsi="Times New Roman" w:eastAsia="宋体"/>
              <w:b/>
              <w:lang w:val="en-US" w:eastAsia="zh-CN"/>
            </w:rPr>
            <w:t xml:space="preserve"> </w:t>
          </w:r>
          <w:r>
            <w:rPr>
              <w:rStyle w:val="13"/>
              <w:rFonts w:ascii="Times New Roman" w:hAnsi="Times New Roman"/>
              <w:b/>
              <w:shd w:val="clear" w:color="auto" w:fill="FFFFFF"/>
            </w:rPr>
            <w:t>Reference list</w:t>
          </w:r>
          <w:r>
            <w:tab/>
          </w:r>
          <w:r>
            <w:fldChar w:fldCharType="begin"/>
          </w:r>
          <w:r>
            <w:instrText xml:space="preserve"> PAGEREF _Toc127875395 \h </w:instrText>
          </w:r>
          <w:r>
            <w:fldChar w:fldCharType="separate"/>
          </w:r>
          <w:r>
            <w:t>12</w:t>
          </w:r>
          <w:r>
            <w:fldChar w:fldCharType="end"/>
          </w:r>
          <w:r>
            <w:fldChar w:fldCharType="end"/>
          </w:r>
        </w:p>
        <w:p>
          <w:pPr>
            <w:pStyle w:val="7"/>
            <w:tabs>
              <w:tab w:val="right" w:leader="dot" w:pos="9016"/>
            </w:tabs>
            <w:rPr>
              <w:rFonts w:asciiTheme="minorHAnsi" w:hAnsiTheme="minorHAnsi" w:eastAsiaTheme="minorEastAsia" w:cstheme="minorBidi"/>
              <w:sz w:val="22"/>
              <w:szCs w:val="22"/>
              <w:lang w:val="zh-CN" w:eastAsia="zh-CN"/>
            </w:rPr>
          </w:pPr>
          <w:r>
            <w:fldChar w:fldCharType="begin"/>
          </w:r>
          <w:r>
            <w:instrText xml:space="preserve"> HYPERLINK \l "_Toc127875396" </w:instrText>
          </w:r>
          <w:r>
            <w:fldChar w:fldCharType="separate"/>
          </w:r>
          <w:r>
            <w:rPr>
              <w:rStyle w:val="13"/>
              <w:rFonts w:ascii="Times New Roman" w:hAnsi="Times New Roman"/>
              <w:b/>
              <w:shd w:val="clear" w:color="auto" w:fill="FFFFFF"/>
            </w:rPr>
            <w:t>7.0 Appendices</w:t>
          </w:r>
          <w:r>
            <w:tab/>
          </w:r>
          <w:r>
            <w:fldChar w:fldCharType="begin"/>
          </w:r>
          <w:r>
            <w:instrText xml:space="preserve"> PAGEREF _Toc127875396 \h </w:instrText>
          </w:r>
          <w:r>
            <w:fldChar w:fldCharType="separate"/>
          </w:r>
          <w:r>
            <w:t>15</w:t>
          </w:r>
          <w:r>
            <w:fldChar w:fldCharType="end"/>
          </w:r>
          <w:r>
            <w:fldChar w:fldCharType="end"/>
          </w:r>
        </w:p>
        <w:p>
          <w:pPr>
            <w:rPr>
              <w:rFonts w:ascii="Times New Roman" w:hAnsi="Times New Roman"/>
              <w:szCs w:val="24"/>
            </w:rPr>
          </w:pPr>
          <w:r>
            <w:rPr>
              <w:rFonts w:ascii="Times New Roman" w:hAnsi="Times New Roman"/>
              <w:b/>
              <w:bCs/>
              <w:szCs w:val="24"/>
            </w:rPr>
            <w:fldChar w:fldCharType="end"/>
          </w:r>
        </w:p>
      </w:sdtContent>
    </w:sdt>
    <w:p>
      <w:pPr>
        <w:rPr>
          <w:rFonts w:ascii="Times New Roman" w:hAnsi="Times New Roman"/>
          <w:b/>
          <w:bCs/>
          <w:iCs/>
          <w:szCs w:val="24"/>
        </w:rPr>
      </w:pPr>
    </w:p>
    <w:p>
      <w:pPr>
        <w:spacing w:after="160"/>
        <w:rPr>
          <w:rFonts w:ascii="Times New Roman" w:hAnsi="Times New Roman"/>
          <w:b/>
          <w:bCs/>
          <w:iCs/>
          <w:szCs w:val="24"/>
        </w:rPr>
      </w:pPr>
      <w:r>
        <w:rPr>
          <w:rFonts w:ascii="Times New Roman" w:hAnsi="Times New Roman"/>
          <w:b/>
          <w:bCs/>
          <w:iCs/>
          <w:szCs w:val="24"/>
        </w:rPr>
        <w:br w:type="page"/>
      </w:r>
    </w:p>
    <w:p>
      <w:pPr>
        <w:pStyle w:val="2"/>
        <w:jc w:val="center"/>
        <w:rPr>
          <w:rFonts w:ascii="Times New Roman" w:hAnsi="Times New Roman" w:cs="Times New Roman"/>
          <w:b/>
          <w:bCs/>
          <w:iCs/>
          <w:color w:val="auto"/>
          <w:sz w:val="24"/>
          <w:szCs w:val="24"/>
        </w:rPr>
      </w:pPr>
      <w:bookmarkStart w:id="0" w:name="_Toc127875386"/>
      <w:r>
        <w:rPr>
          <w:rFonts w:ascii="Times New Roman" w:hAnsi="Times New Roman" w:cs="Times New Roman"/>
          <w:b/>
          <w:bCs/>
          <w:iCs/>
          <w:color w:val="auto"/>
          <w:sz w:val="24"/>
          <w:szCs w:val="24"/>
        </w:rPr>
        <w:t xml:space="preserve">1.0 </w:t>
      </w:r>
      <w:r>
        <w:rPr>
          <w:rStyle w:val="18"/>
          <w:rFonts w:ascii="Times New Roman" w:hAnsi="Times New Roman" w:cs="Times New Roman"/>
          <w:b/>
          <w:color w:val="auto"/>
          <w:sz w:val="24"/>
          <w:szCs w:val="24"/>
        </w:rPr>
        <w:t>Introduction</w:t>
      </w:r>
      <w:bookmarkEnd w:id="0"/>
    </w:p>
    <w:p>
      <w:pPr>
        <w:ind w:firstLine="567"/>
        <w:rPr>
          <w:rFonts w:ascii="Times New Roman" w:hAnsi="Times New Roman"/>
          <w:iCs/>
          <w:szCs w:val="24"/>
        </w:rPr>
      </w:pPr>
      <w:r>
        <w:rPr>
          <w:rFonts w:ascii="Times New Roman" w:hAnsi="Times New Roman"/>
          <w:iCs/>
          <w:szCs w:val="24"/>
        </w:rPr>
        <w:t>Employee engagement is an important aspect of human resource management (HRM). It relates to how employees invest emotional attachment into the organisation. This paper uses the case of Ryanair to evaluate the significance of employee engagement. It begins with an overview of the company and then discusses the priority HR area that should be improved. It highlights the issues around employee engagement, including poor training programs, low pay, and the failure to address employee complaints. These poor HR practices affect the company's stakeholders, including the employees, shareholders, and customers. The paper explains what areas should be changed, as well as the costs, risks, and disadvantages. Overall, the paper finds that more engaged employees will contribute to better individual and organisational performance, which will benefit all the stakeholders.</w:t>
      </w:r>
    </w:p>
    <w:p>
      <w:pPr>
        <w:pStyle w:val="2"/>
        <w:jc w:val="center"/>
        <w:rPr>
          <w:rFonts w:ascii="Times New Roman" w:hAnsi="Times New Roman" w:cs="Times New Roman"/>
          <w:b/>
          <w:color w:val="auto"/>
          <w:sz w:val="24"/>
          <w:szCs w:val="24"/>
        </w:rPr>
      </w:pPr>
      <w:bookmarkStart w:id="1" w:name="_Toc127875387"/>
      <w:r>
        <w:rPr>
          <w:rFonts w:ascii="Times New Roman" w:hAnsi="Times New Roman" w:cs="Times New Roman"/>
          <w:b/>
          <w:color w:val="auto"/>
          <w:sz w:val="24"/>
          <w:szCs w:val="24"/>
        </w:rPr>
        <w:t>2.0 Organisational Overview</w:t>
      </w:r>
      <w:bookmarkEnd w:id="1"/>
    </w:p>
    <w:p>
      <w:pPr>
        <w:ind w:firstLine="567"/>
        <w:rPr>
          <w:rFonts w:ascii="Times New Roman" w:hAnsi="Times New Roman"/>
          <w:iCs/>
          <w:szCs w:val="24"/>
        </w:rPr>
      </w:pPr>
      <w:r>
        <w:rPr>
          <w:rFonts w:ascii="Times New Roman" w:hAnsi="Times New Roman"/>
          <w:iCs/>
          <w:szCs w:val="24"/>
        </w:rPr>
        <w:t xml:space="preserve">Ryanair Holdings plc is an Irish low-cost carrier headquartered in Dublin. It operates mostly from London Stansted and Dublin airports. It is the largest airline based on flight destinations and scheduled passengers who have flown since 2016 </w:t>
      </w:r>
      <w:r>
        <w:rPr>
          <w:rFonts w:ascii="Times New Roman" w:hAnsi="Times New Roman"/>
          <w:szCs w:val="24"/>
        </w:rPr>
        <w:t>(Business Insider India, 2022)</w:t>
      </w:r>
      <w:r>
        <w:rPr>
          <w:rFonts w:ascii="Times New Roman" w:hAnsi="Times New Roman"/>
          <w:iCs/>
          <w:szCs w:val="24"/>
        </w:rPr>
        <w:t xml:space="preserve">. The company carries more international passengers than others in Europe and globally. It had a total equity of €4.647 billion as of 2018 and has about 19,000 employees as of 2022 </w:t>
      </w:r>
      <w:r>
        <w:rPr>
          <w:rFonts w:ascii="Times New Roman" w:hAnsi="Times New Roman"/>
          <w:szCs w:val="24"/>
        </w:rPr>
        <w:t>(Ryanair Holdings PLC, 2022)</w:t>
      </w:r>
      <w:r>
        <w:rPr>
          <w:rFonts w:ascii="Times New Roman" w:hAnsi="Times New Roman"/>
          <w:iCs/>
          <w:szCs w:val="24"/>
        </w:rPr>
        <w:t xml:space="preserve">. In the second half of 2022, Ryanair had 514 aircraft, which was 190 more than the second-largest airline, easyJet Group. In 2021, the company reported a revenue of 1.636 billion EUR. According to Statista (2023), Ryanair's profit has been declining since the 2018/19 financial year, and it made a loss in 2020 and 2021. </w:t>
      </w:r>
    </w:p>
    <w:p>
      <w:pPr>
        <w:ind w:firstLine="567"/>
        <w:rPr>
          <w:rFonts w:ascii="Times New Roman" w:hAnsi="Times New Roman"/>
          <w:iCs/>
          <w:szCs w:val="24"/>
        </w:rPr>
      </w:pPr>
      <w:r>
        <w:rPr>
          <w:rFonts w:ascii="Times New Roman" w:hAnsi="Times New Roman"/>
          <w:iCs/>
          <w:szCs w:val="24"/>
        </w:rPr>
        <w:t xml:space="preserve">Ryanair has adopted a regiocentric approach to human resource management (HRM) </w:t>
      </w:r>
      <w:r>
        <w:rPr>
          <w:rFonts w:ascii="Times New Roman" w:hAnsi="Times New Roman"/>
          <w:szCs w:val="24"/>
        </w:rPr>
        <w:t>(Gilmore &amp; Williams, 2013)</w:t>
      </w:r>
      <w:r>
        <w:rPr>
          <w:rFonts w:ascii="Times New Roman" w:hAnsi="Times New Roman"/>
          <w:iCs/>
          <w:szCs w:val="24"/>
        </w:rPr>
        <w:t>. This means that it has human resource departments in different countries. However, this approach is characterised by a lack of international experience in managing staff. Besides, senior management has control over HRM in this company. Besides, HRM is characterised by tight control, autocratic leadership, and a lack of communication.</w:t>
      </w:r>
    </w:p>
    <w:p>
      <w:pPr>
        <w:pStyle w:val="2"/>
        <w:numPr>
          <w:ilvl w:val="0"/>
          <w:numId w:val="1"/>
        </w:numPr>
        <w:jc w:val="center"/>
        <w:rPr>
          <w:rFonts w:ascii="Times New Roman" w:hAnsi="Times New Roman" w:cs="Times New Roman"/>
          <w:b/>
          <w:color w:val="auto"/>
          <w:sz w:val="24"/>
          <w:szCs w:val="24"/>
        </w:rPr>
      </w:pPr>
      <w:bookmarkStart w:id="2" w:name="_Toc127875388"/>
      <w:r>
        <w:rPr>
          <w:rFonts w:ascii="Times New Roman" w:hAnsi="Times New Roman" w:cs="Times New Roman"/>
          <w:b/>
          <w:color w:val="auto"/>
          <w:sz w:val="24"/>
          <w:szCs w:val="24"/>
        </w:rPr>
        <w:t>Main discussion</w:t>
      </w:r>
      <w:bookmarkEnd w:id="2"/>
    </w:p>
    <w:p>
      <w:pPr>
        <w:pStyle w:val="3"/>
        <w:rPr>
          <w:rFonts w:ascii="Times New Roman" w:hAnsi="Times New Roman" w:cs="Times New Roman"/>
          <w:i/>
          <w:color w:val="auto"/>
          <w:sz w:val="24"/>
          <w:szCs w:val="24"/>
        </w:rPr>
      </w:pPr>
      <w:bookmarkStart w:id="3" w:name="_Toc127875389"/>
      <w:r>
        <w:rPr>
          <w:rFonts w:ascii="Times New Roman" w:hAnsi="Times New Roman" w:cs="Times New Roman"/>
          <w:i/>
          <w:color w:val="auto"/>
          <w:sz w:val="24"/>
          <w:szCs w:val="24"/>
        </w:rPr>
        <w:t>3.1 The Priority Area that needs improving</w:t>
      </w:r>
      <w:bookmarkEnd w:id="3"/>
    </w:p>
    <w:p>
      <w:pPr>
        <w:ind w:firstLine="567"/>
        <w:rPr>
          <w:rFonts w:ascii="Times New Roman" w:hAnsi="Times New Roman"/>
          <w:szCs w:val="24"/>
        </w:rPr>
      </w:pPr>
      <w:r>
        <w:rPr>
          <w:rFonts w:ascii="Times New Roman" w:hAnsi="Times New Roman"/>
          <w:iCs/>
          <w:szCs w:val="24"/>
        </w:rPr>
        <w:t xml:space="preserve">Ryanair’s employment-relations strategy involves focusing on low costs. Thus, the company minimises wages for its employees. It also uses the control-and-command approach and avoids unionisation. Furthermore, employees in this company pay for their meals, training, job interview applications, and uniforms </w:t>
      </w:r>
      <w:r>
        <w:rPr>
          <w:rFonts w:ascii="Times New Roman" w:hAnsi="Times New Roman"/>
          <w:szCs w:val="24"/>
        </w:rPr>
        <w:t>(Farhoud, 2017)</w:t>
      </w:r>
      <w:r>
        <w:rPr>
          <w:rFonts w:ascii="Times New Roman" w:hAnsi="Times New Roman"/>
          <w:iCs/>
          <w:szCs w:val="24"/>
        </w:rPr>
        <w:t xml:space="preserve">. </w:t>
      </w:r>
      <w:r>
        <w:rPr>
          <w:rFonts w:ascii="Times New Roman" w:hAnsi="Times New Roman"/>
          <w:szCs w:val="24"/>
        </w:rPr>
        <w:t xml:space="preserve">In recent years, Ryanair's human resource department has been facing numerous issues relating to employee complaints. Consequently, staff turnover has been high, and customer service has deteriorated (Martin, 2017). The company also avoids giving permanent employment terms because it can easily replace workers who protest the poor working conditions. In 2017, striking pilots termed Ryanair a disgrace after the company failed to address their demands for better employment terms. The cabin crew soon joined the strike. </w:t>
      </w:r>
      <w:r>
        <w:rPr>
          <w:rFonts w:ascii="Times New Roman" w:hAnsi="Times New Roman"/>
          <w:iCs/>
          <w:szCs w:val="24"/>
        </w:rPr>
        <w:t xml:space="preserve">The CEO issued a memo apologising due to rostering errors, but up to 50 flights were cancelled daily. These events affected up to 315,000 passengers </w:t>
      </w:r>
      <w:r>
        <w:rPr>
          <w:rFonts w:ascii="Times New Roman" w:hAnsi="Times New Roman"/>
          <w:szCs w:val="24"/>
        </w:rPr>
        <w:t>(Davies, 2017)</w:t>
      </w:r>
      <w:r>
        <w:rPr>
          <w:rFonts w:ascii="Times New Roman" w:hAnsi="Times New Roman"/>
          <w:iCs/>
          <w:szCs w:val="24"/>
        </w:rPr>
        <w:t xml:space="preserve">. Most pilots working with this company work under temporary contracts through agencies, as the company seeks to cut down costs </w:t>
      </w:r>
      <w:r>
        <w:rPr>
          <w:rFonts w:ascii="Times New Roman" w:hAnsi="Times New Roman"/>
          <w:szCs w:val="24"/>
        </w:rPr>
        <w:t>(Davies, 2017). Unfortunately, these issues have negatively affected Rynair’s performance. Therefore, the priority area that needs changing is dissatisfied employees, who are discontented with the working conditions and are not engaged enough to remain in the organisation. This implies that the HR function is highly connected with the top management of Ryanair.</w:t>
      </w:r>
    </w:p>
    <w:p>
      <w:pPr>
        <w:ind w:firstLine="567"/>
        <w:rPr>
          <w:rFonts w:ascii="Times New Roman" w:hAnsi="Times New Roman"/>
          <w:iCs/>
          <w:szCs w:val="24"/>
        </w:rPr>
      </w:pPr>
      <w:r>
        <w:rPr>
          <w:rFonts w:ascii="Times New Roman" w:hAnsi="Times New Roman"/>
          <w:szCs w:val="24"/>
        </w:rPr>
        <w:t>In 2018, Ryanair faced legal claims from unions because it allegedly contravened labour laws when it put the jobs of striking workers in jeopardy. The company's low-cost model makes the company mistreat its workers and there were strikes in 2018 in Sweden, the Netherlands, Ireland, Germany, and Belgium. Due to these strikes, Ryanair cancelled hundreds of flights. In 2018, Michael O’Leary, the company's CEO, hesitantly allowed employee unionisation for cabin crew staff and pilots, even though his interest was to save the airline's business (Beesley, 2018). Subsequently, the company made a loss in the first quarter of the year. It failed to engage with workers even after committing to the unions (Davies &amp; Brignall, 2019). Instead, the company issued redundancy notices to hundreds of workers in Dublin, Ireland. It also shifted some planes from Ireland to Poland. According to Farrell and Davies (2018), the CEO was adamant that the workers' strikes were unwarranted and that people would lose their jobs.</w:t>
      </w:r>
    </w:p>
    <w:p>
      <w:pPr>
        <w:pStyle w:val="3"/>
        <w:rPr>
          <w:rFonts w:ascii="Times New Roman" w:hAnsi="Times New Roman" w:cs="Times New Roman"/>
          <w:i/>
          <w:color w:val="auto"/>
          <w:sz w:val="24"/>
          <w:szCs w:val="24"/>
        </w:rPr>
      </w:pPr>
      <w:bookmarkStart w:id="4" w:name="_Toc127875390"/>
      <w:r>
        <w:rPr>
          <w:rFonts w:ascii="Times New Roman" w:hAnsi="Times New Roman" w:cs="Times New Roman"/>
          <w:i/>
          <w:color w:val="auto"/>
          <w:sz w:val="24"/>
          <w:szCs w:val="24"/>
        </w:rPr>
        <w:t>3.2 The Justification for Improving Employee Engagement and the Current Shortfalls</w:t>
      </w:r>
      <w:bookmarkEnd w:id="4"/>
    </w:p>
    <w:p>
      <w:pPr>
        <w:ind w:firstLine="567"/>
        <w:rPr>
          <w:rFonts w:ascii="Times New Roman" w:hAnsi="Times New Roman"/>
          <w:iCs/>
          <w:szCs w:val="24"/>
        </w:rPr>
      </w:pPr>
      <w:r>
        <w:rPr>
          <w:rFonts w:ascii="Times New Roman" w:hAnsi="Times New Roman"/>
          <w:iCs/>
          <w:szCs w:val="24"/>
        </w:rPr>
        <w:t xml:space="preserve">The lack of employee engagement at Ryanair needs to be improved because it can lead to better organisational performance. Employee engagement denotes what workers invest emotionally into their company. It refers to the involvement, motivation, and passion that they bring to work and can guide what the employees do </w:t>
      </w:r>
      <w:r>
        <w:rPr>
          <w:rFonts w:ascii="Times New Roman" w:hAnsi="Times New Roman"/>
          <w:szCs w:val="24"/>
        </w:rPr>
        <w:t>(Robinson et al., 2004)</w:t>
      </w:r>
      <w:r>
        <w:rPr>
          <w:rFonts w:ascii="Times New Roman" w:hAnsi="Times New Roman"/>
          <w:iCs/>
          <w:szCs w:val="24"/>
        </w:rPr>
        <w:t xml:space="preserve">. Engaged employees are happy to deliver what the organisation expects from them and align their goals with those of the organisation. Physically engaged employees are willing to put their effort to ensure organisational success because they know they will benefit too. They derive their energy and motivation from working for the organisation. Similarly, emotionally engaged employees are passionate and have a positive attitude towards their job. When employees are engaged cognitively, they are more devoted to their work and do not easily quit </w:t>
      </w:r>
      <w:r>
        <w:rPr>
          <w:rFonts w:ascii="Times New Roman" w:hAnsi="Times New Roman"/>
          <w:szCs w:val="24"/>
        </w:rPr>
        <w:t>(Llopis, 2022)</w:t>
      </w:r>
      <w:r>
        <w:rPr>
          <w:rFonts w:ascii="Times New Roman" w:hAnsi="Times New Roman"/>
          <w:iCs/>
          <w:szCs w:val="24"/>
        </w:rPr>
        <w:t>. More employee engagement leads to more commitment and connection to the job and the organisation.</w:t>
      </w:r>
    </w:p>
    <w:p>
      <w:pPr>
        <w:ind w:firstLine="567"/>
        <w:rPr>
          <w:rFonts w:ascii="Times New Roman" w:hAnsi="Times New Roman"/>
          <w:iCs/>
          <w:szCs w:val="24"/>
        </w:rPr>
      </w:pPr>
      <w:r>
        <w:rPr>
          <w:rFonts w:ascii="Times New Roman" w:hAnsi="Times New Roman"/>
          <w:iCs/>
          <w:szCs w:val="24"/>
        </w:rPr>
        <w:t xml:space="preserve">Unfortunately, the employees at Ryanair are not engaged because their jobs are not secure and their employer does not address their needs or listen to their complaints. Several shortfalls may make it difficult to improve the organisation. First, the top management, including the CEO, is part of the problem. The HR function of Ryanair is highly connected to the top management, and any effort to engage the employees cannot succeed </w:t>
      </w:r>
      <w:r>
        <w:rPr>
          <w:rFonts w:ascii="Times New Roman" w:hAnsi="Times New Roman"/>
          <w:szCs w:val="24"/>
        </w:rPr>
        <w:t>(Sikander, 2019)</w:t>
      </w:r>
      <w:r>
        <w:rPr>
          <w:rFonts w:ascii="Times New Roman" w:hAnsi="Times New Roman"/>
          <w:iCs/>
          <w:szCs w:val="24"/>
        </w:rPr>
        <w:t xml:space="preserve">. The HR function in this organisation seems to be decentralised because every country has its own department, making employee management difficult. Another shortfall in Ryanair is that most employees do not have a permanent contract, and engaging them is nearly impossible </w:t>
      </w:r>
      <w:r>
        <w:rPr>
          <w:rFonts w:ascii="Times New Roman" w:hAnsi="Times New Roman"/>
          <w:szCs w:val="24"/>
        </w:rPr>
        <w:t>(Emmott &amp; Halpin, 2018)</w:t>
      </w:r>
      <w:r>
        <w:rPr>
          <w:rFonts w:ascii="Times New Roman" w:hAnsi="Times New Roman"/>
          <w:iCs/>
          <w:szCs w:val="24"/>
        </w:rPr>
        <w:t>. This is because it is difficult to motivate employees whose jobs are seemingly insecure. Finally, HR practices in this company impede employee engagement. For example, people’s complaints are not addressed, and protests threaten their jobs.</w:t>
      </w:r>
    </w:p>
    <w:p>
      <w:pPr>
        <w:pStyle w:val="3"/>
        <w:rPr>
          <w:rFonts w:ascii="Times New Roman" w:hAnsi="Times New Roman" w:cs="Times New Roman"/>
          <w:i/>
          <w:color w:val="auto"/>
          <w:sz w:val="24"/>
          <w:szCs w:val="24"/>
        </w:rPr>
      </w:pPr>
      <w:bookmarkStart w:id="5" w:name="_Toc127875391"/>
      <w:r>
        <w:rPr>
          <w:rFonts w:ascii="Times New Roman" w:hAnsi="Times New Roman" w:cs="Times New Roman"/>
          <w:i/>
          <w:color w:val="auto"/>
          <w:sz w:val="24"/>
          <w:szCs w:val="24"/>
        </w:rPr>
        <w:t>3.3 The Impact of Employee Engagement Deficiency on the Performance or Effectiveness of the Organisation</w:t>
      </w:r>
      <w:bookmarkEnd w:id="5"/>
    </w:p>
    <w:p>
      <w:pPr>
        <w:ind w:firstLine="567"/>
        <w:rPr>
          <w:rFonts w:ascii="Times New Roman" w:hAnsi="Times New Roman"/>
          <w:iCs/>
          <w:szCs w:val="24"/>
        </w:rPr>
      </w:pPr>
      <w:r>
        <w:rPr>
          <w:rFonts w:ascii="Times New Roman" w:hAnsi="Times New Roman"/>
          <w:iCs/>
          <w:szCs w:val="24"/>
        </w:rPr>
        <w:t xml:space="preserve">It can be seen that the lack of employee engagement negatively impacts the performance and effectiveness of the organisation. The company has to keep changing its business strategy to compensate for the time and resources lost because of strikes </w:t>
      </w:r>
      <w:r>
        <w:rPr>
          <w:rFonts w:ascii="Times New Roman" w:hAnsi="Times New Roman"/>
          <w:szCs w:val="24"/>
        </w:rPr>
        <w:t>(Demony &amp; Pereira, 2022)</w:t>
      </w:r>
      <w:r>
        <w:rPr>
          <w:rFonts w:ascii="Times New Roman" w:hAnsi="Times New Roman"/>
          <w:iCs/>
          <w:szCs w:val="24"/>
        </w:rPr>
        <w:t xml:space="preserve">. Furthermore, less motivated employees tend to perform poorly, as seen in how the customer service at Ryanair has deteriorated </w:t>
      </w:r>
      <w:r>
        <w:rPr>
          <w:rFonts w:ascii="Times New Roman" w:hAnsi="Times New Roman"/>
          <w:szCs w:val="24"/>
        </w:rPr>
        <w:t>(Aznizan &amp; Ibrahim, 2019)</w:t>
      </w:r>
      <w:r>
        <w:rPr>
          <w:rFonts w:ascii="Times New Roman" w:hAnsi="Times New Roman"/>
          <w:iCs/>
          <w:szCs w:val="24"/>
        </w:rPr>
        <w:t xml:space="preserve">. The company also has to replace employees so many times because its HR department does not address the issues raised. As mentioned earlier, the company severally reported losses, which are attributable to the strikes and poor performance due to the lack of motivation by employees </w:t>
      </w:r>
      <w:r>
        <w:rPr>
          <w:rFonts w:ascii="Times New Roman" w:hAnsi="Times New Roman"/>
          <w:szCs w:val="24"/>
        </w:rPr>
        <w:t>(Rodríguez-García et al., 2020)</w:t>
      </w:r>
      <w:r>
        <w:rPr>
          <w:rFonts w:ascii="Times New Roman" w:hAnsi="Times New Roman"/>
          <w:iCs/>
          <w:szCs w:val="24"/>
        </w:rPr>
        <w:t>. Finally, the company loses customers who are disappointed by delayed or rescheduled flights owing to internal conflicts.</w:t>
      </w:r>
    </w:p>
    <w:p>
      <w:pPr>
        <w:pStyle w:val="3"/>
        <w:rPr>
          <w:rFonts w:ascii="Times New Roman" w:hAnsi="Times New Roman" w:cs="Times New Roman"/>
          <w:i/>
          <w:color w:val="auto"/>
          <w:sz w:val="24"/>
          <w:szCs w:val="24"/>
          <w:shd w:val="clear" w:color="auto" w:fill="FFFFFF"/>
        </w:rPr>
      </w:pPr>
      <w:bookmarkStart w:id="6" w:name="_Toc127875392"/>
      <w:r>
        <w:rPr>
          <w:rFonts w:ascii="Times New Roman" w:hAnsi="Times New Roman" w:cs="Times New Roman"/>
          <w:i/>
          <w:iCs/>
          <w:color w:val="auto"/>
          <w:sz w:val="24"/>
          <w:szCs w:val="24"/>
        </w:rPr>
        <w:t>3.4 The Benefits</w:t>
      </w:r>
      <w:r>
        <w:rPr>
          <w:rFonts w:ascii="Times New Roman" w:hAnsi="Times New Roman" w:cs="Times New Roman"/>
          <w:i/>
          <w:color w:val="auto"/>
          <w:sz w:val="24"/>
          <w:szCs w:val="24"/>
          <w:shd w:val="clear" w:color="auto" w:fill="FFFFFF"/>
        </w:rPr>
        <w:t xml:space="preserve"> of improving the Priority Area for the Organisation, Employees, and other Organisational Stakeholders</w:t>
      </w:r>
      <w:bookmarkEnd w:id="6"/>
    </w:p>
    <w:p>
      <w:pPr>
        <w:ind w:firstLine="567"/>
        <w:rPr>
          <w:rStyle w:val="12"/>
          <w:rFonts w:ascii="Times New Roman" w:hAnsi="Times New Roman"/>
          <w:b w:val="0"/>
          <w:bCs w:val="0"/>
          <w:iCs/>
          <w:szCs w:val="24"/>
        </w:rPr>
      </w:pPr>
      <w:r>
        <w:rPr>
          <w:rStyle w:val="12"/>
          <w:rFonts w:ascii="Times New Roman" w:hAnsi="Times New Roman"/>
          <w:b w:val="0"/>
          <w:bCs w:val="0"/>
          <w:iCs/>
          <w:szCs w:val="24"/>
        </w:rPr>
        <w:t xml:space="preserve">Introducing changes in Ryanair's human resources management will be beneficial to the company and its stakeholders. First, keeping employees fully engaged will lead to better performance, as they will be motivated to work and remain in the organisation. According to the AMO model, which stands for ability, motivation, and opportunity, the outcomes of individuals within the company depend on how well it understands its employees in the three areas </w:t>
      </w:r>
      <w:r>
        <w:rPr>
          <w:rFonts w:ascii="Times New Roman" w:hAnsi="Times New Roman"/>
          <w:szCs w:val="24"/>
        </w:rPr>
        <w:t>(Aznizan &amp; Ibrahim, 2019)</w:t>
      </w:r>
      <w:r>
        <w:rPr>
          <w:rStyle w:val="12"/>
          <w:rFonts w:ascii="Times New Roman" w:hAnsi="Times New Roman"/>
          <w:b w:val="0"/>
          <w:bCs w:val="0"/>
          <w:iCs/>
          <w:szCs w:val="24"/>
        </w:rPr>
        <w:t xml:space="preserve">. Using this model, Ryanair can be more strategic in improving employee success. Companies that consider their employees’ abilities, motivation, and opportunities can achieve their goals more effectively and make their staff function better. The use of this model can shape the performance of employees. Prioritising the three elements is better than considering one or two of these. The use of the AMO model leads to motivated employees who then contribute to better organisational performance </w:t>
      </w:r>
      <w:r>
        <w:rPr>
          <w:rFonts w:ascii="Times New Roman" w:hAnsi="Times New Roman"/>
          <w:szCs w:val="24"/>
        </w:rPr>
        <w:t>(Taylor &amp; Woodhams, 2022)</w:t>
      </w:r>
      <w:r>
        <w:rPr>
          <w:rStyle w:val="12"/>
          <w:rFonts w:ascii="Times New Roman" w:hAnsi="Times New Roman"/>
          <w:b w:val="0"/>
          <w:bCs w:val="0"/>
          <w:iCs/>
          <w:szCs w:val="24"/>
        </w:rPr>
        <w:t xml:space="preserve">. As seen in this case, Ryanair relies on agencies to train its employees. This makes it hard to track each employee’s abilities and sources of motivation. It is also difficult to identify the best people unless in a real working environment. Thus, changes are needed in employee training, which will help implement the right programmes and methods to motivate staff. </w:t>
      </w:r>
    </w:p>
    <w:p>
      <w:pPr>
        <w:ind w:firstLine="567"/>
        <w:rPr>
          <w:rStyle w:val="12"/>
          <w:rFonts w:ascii="Times New Roman" w:hAnsi="Times New Roman"/>
          <w:b w:val="0"/>
          <w:bCs w:val="0"/>
          <w:iCs/>
          <w:szCs w:val="24"/>
        </w:rPr>
      </w:pPr>
      <w:r>
        <w:rPr>
          <w:rStyle w:val="12"/>
          <w:rFonts w:ascii="Times New Roman" w:hAnsi="Times New Roman"/>
          <w:b w:val="0"/>
          <w:bCs w:val="0"/>
          <w:iCs/>
          <w:szCs w:val="24"/>
        </w:rPr>
        <w:t xml:space="preserve">If Ryanair keeps its employees engaged, it can retain top talent because they will be attached to the organisation. When the organisation manages its employees' expectations, it makes the employees invest emotional capital. The employees will be more motivated to work and remain in the organisation. Furthermore, engaged employees are likely to be more productive, which is good for the company. Regrettably, Ryanair uses the command and control approach and ensures its employees work more than they get </w:t>
      </w:r>
      <w:r>
        <w:rPr>
          <w:rFonts w:ascii="Times New Roman" w:hAnsi="Times New Roman"/>
          <w:szCs w:val="24"/>
        </w:rPr>
        <w:t>(Khomyak, 2021)</w:t>
      </w:r>
      <w:r>
        <w:rPr>
          <w:rStyle w:val="12"/>
          <w:rFonts w:ascii="Times New Roman" w:hAnsi="Times New Roman"/>
          <w:b w:val="0"/>
          <w:bCs w:val="0"/>
          <w:iCs/>
          <w:szCs w:val="24"/>
        </w:rPr>
        <w:t xml:space="preserve">. If the workers are more engaged, they can help the company in reviewing its HR policies. Similarly, the employees will be more motivated to work, which will be good for their growth and the success of Ryanair. More engaged employees will have better mental wellness and less burnout </w:t>
      </w:r>
      <w:r>
        <w:rPr>
          <w:rFonts w:ascii="Times New Roman" w:hAnsi="Times New Roman"/>
          <w:szCs w:val="24"/>
        </w:rPr>
        <w:t>(Shuck &amp; Reio, 2013)</w:t>
      </w:r>
      <w:r>
        <w:rPr>
          <w:rStyle w:val="12"/>
          <w:rFonts w:ascii="Times New Roman" w:hAnsi="Times New Roman"/>
          <w:b w:val="0"/>
          <w:bCs w:val="0"/>
          <w:iCs/>
          <w:szCs w:val="24"/>
        </w:rPr>
        <w:t>. The company will have reduced absenteeism and lower staff turnover. All these will be beneficial to the shareholders, who will worry less about the declining effectiveness and competitiveness of the firm. Another benefit of introducing changes will be to the employees, who might have better pay and improved working conditions.</w:t>
      </w:r>
    </w:p>
    <w:p>
      <w:pPr>
        <w:ind w:firstLine="567"/>
        <w:rPr>
          <w:rStyle w:val="12"/>
          <w:rFonts w:ascii="Times New Roman" w:hAnsi="Times New Roman"/>
          <w:b w:val="0"/>
          <w:bCs w:val="0"/>
          <w:iCs/>
          <w:szCs w:val="24"/>
        </w:rPr>
      </w:pPr>
      <w:r>
        <w:rPr>
          <w:rStyle w:val="12"/>
          <w:rFonts w:ascii="Times New Roman" w:hAnsi="Times New Roman"/>
          <w:b w:val="0"/>
          <w:bCs w:val="0"/>
          <w:iCs/>
          <w:szCs w:val="24"/>
        </w:rPr>
        <w:t xml:space="preserve">Finally, having engaged employees will benefit the customers. This is because employee protests and strikes are likely to reduce, and the company will not have to cancel its flights. Better customer experience will translate into more business and enable the company to be profitable </w:t>
      </w:r>
      <w:r>
        <w:rPr>
          <w:rFonts w:ascii="Times New Roman" w:hAnsi="Times New Roman"/>
          <w:szCs w:val="24"/>
        </w:rPr>
        <w:t>(Manrai &amp; Meadow, 2015)</w:t>
      </w:r>
      <w:r>
        <w:rPr>
          <w:rStyle w:val="12"/>
          <w:rFonts w:ascii="Times New Roman" w:hAnsi="Times New Roman"/>
          <w:b w:val="0"/>
          <w:bCs w:val="0"/>
          <w:iCs/>
          <w:szCs w:val="24"/>
        </w:rPr>
        <w:t xml:space="preserve">. In this context, various stakeholders will benefit, including the organisation, the employees, and the shareholders. The employees’ jobs will be more secure and the shareholders will have better returns for their investment </w:t>
      </w:r>
      <w:r>
        <w:rPr>
          <w:rFonts w:ascii="Times New Roman" w:hAnsi="Times New Roman"/>
          <w:szCs w:val="24"/>
        </w:rPr>
        <w:t>(Anderson et al., 2004)</w:t>
      </w:r>
      <w:r>
        <w:rPr>
          <w:rStyle w:val="12"/>
          <w:rFonts w:ascii="Times New Roman" w:hAnsi="Times New Roman"/>
          <w:b w:val="0"/>
          <w:bCs w:val="0"/>
          <w:iCs/>
          <w:szCs w:val="24"/>
        </w:rPr>
        <w:t>. The organisation will not only be profitable, but it will also redeem its reputation. This will attract even more shareholders, safeguarding the future of this company.</w:t>
      </w:r>
    </w:p>
    <w:p>
      <w:pPr>
        <w:pStyle w:val="2"/>
        <w:numPr>
          <w:ilvl w:val="0"/>
          <w:numId w:val="1"/>
        </w:numPr>
        <w:jc w:val="center"/>
        <w:rPr>
          <w:rFonts w:ascii="Times New Roman" w:hAnsi="Times New Roman" w:cs="Times New Roman"/>
          <w:b/>
          <w:color w:val="auto"/>
          <w:sz w:val="24"/>
          <w:szCs w:val="24"/>
          <w:shd w:val="clear" w:color="auto" w:fill="FFFFFF"/>
        </w:rPr>
      </w:pPr>
      <w:bookmarkStart w:id="7" w:name="_Toc127875393"/>
      <w:r>
        <w:rPr>
          <w:rFonts w:ascii="Times New Roman" w:hAnsi="Times New Roman" w:cs="Times New Roman"/>
          <w:b/>
          <w:color w:val="auto"/>
          <w:sz w:val="24"/>
          <w:szCs w:val="24"/>
          <w:shd w:val="clear" w:color="auto" w:fill="FFFFFF"/>
        </w:rPr>
        <w:t>Conclusions</w:t>
      </w:r>
      <w:bookmarkEnd w:id="7"/>
    </w:p>
    <w:p>
      <w:pPr>
        <w:ind w:firstLine="567"/>
        <w:rPr>
          <w:rFonts w:ascii="Times New Roman" w:hAnsi="Times New Roman"/>
          <w:b/>
          <w:szCs w:val="24"/>
          <w:shd w:val="clear" w:color="auto" w:fill="FFFFFF"/>
        </w:rPr>
      </w:pPr>
      <w:r>
        <w:rPr>
          <w:rStyle w:val="12"/>
          <w:rFonts w:ascii="Times New Roman" w:hAnsi="Times New Roman"/>
          <w:b w:val="0"/>
          <w:bCs w:val="0"/>
          <w:iCs/>
          <w:szCs w:val="24"/>
        </w:rPr>
        <w:t>Several issues have been pointed out in this report regarding Ryanair’s shortcomings in terms of employee engagement. Intrinsic and extrinsic rewards are lacking in this organisation. From the recruitment stage to getting a job, employees in this company seem detached from operations. Pilots have to pay for their training, work extra hours that are not paid, and do their job under harsh conditions. All these make employees lack the motivation to work and remain in the organisation. These issues are also coupled with the lack of intrinsic rewards, which are the benefits that employees feel when they progress in their careers, enjoy work, and remain motivated. The other area that needs improving relates to extrinsic rewards. Employees in this company need recognition and tangible benefits, including holiday allowances, pay rates, and bonuses. Extrinsic rewards can effectively motivate employees. Regrettably, the top leadership at Ryanair is part of the employee engagement problem. It does not want the employees to air their complaints or join unions. Thus, job satisfaction among most employees is low. Training opportunities in this company are also lacking. The lack of training opportunities limits the likelihood of professional growth, impeling workers to apply for jobs in other organisations. Besides, workers are not motivated to be proactive and innovative because the management does not encourage them to use independent thinking. Rather, the managers follow the employees around and expect them to deliver.</w:t>
      </w:r>
    </w:p>
    <w:p>
      <w:pPr>
        <w:pStyle w:val="2"/>
        <w:jc w:val="center"/>
        <w:rPr>
          <w:rFonts w:ascii="Times New Roman" w:hAnsi="Times New Roman" w:cs="Times New Roman"/>
          <w:b/>
          <w:color w:val="auto"/>
          <w:sz w:val="24"/>
          <w:szCs w:val="24"/>
          <w:shd w:val="clear" w:color="auto" w:fill="FFFFFF"/>
        </w:rPr>
      </w:pPr>
      <w:bookmarkStart w:id="8" w:name="_Toc127875394"/>
      <w:r>
        <w:rPr>
          <w:rFonts w:ascii="Times New Roman" w:hAnsi="Times New Roman" w:cs="Times New Roman"/>
          <w:b/>
          <w:color w:val="auto"/>
          <w:sz w:val="24"/>
          <w:szCs w:val="24"/>
          <w:shd w:val="clear" w:color="auto" w:fill="FFFFFF"/>
        </w:rPr>
        <w:t>5.0 Recommendations</w:t>
      </w:r>
      <w:bookmarkEnd w:id="8"/>
    </w:p>
    <w:p>
      <w:pPr>
        <w:ind w:firstLine="567"/>
        <w:rPr>
          <w:rStyle w:val="12"/>
          <w:rFonts w:ascii="Times New Roman" w:hAnsi="Times New Roman"/>
          <w:b w:val="0"/>
          <w:bCs w:val="0"/>
          <w:iCs/>
          <w:szCs w:val="24"/>
        </w:rPr>
      </w:pPr>
      <w:r>
        <w:rPr>
          <w:rStyle w:val="12"/>
          <w:rFonts w:ascii="Times New Roman" w:hAnsi="Times New Roman"/>
          <w:b w:val="0"/>
          <w:bCs w:val="0"/>
          <w:iCs/>
          <w:szCs w:val="24"/>
        </w:rPr>
        <w:t xml:space="preserve">The lack of employee engagement at Ryanair can be addressed through several approaches. The first approach would be applying strategic human resource management, which denotes the pattern of planned human resource activities and deployments aimed to help the company accomplish its goals </w:t>
      </w:r>
      <w:r>
        <w:rPr>
          <w:rFonts w:ascii="Times New Roman" w:hAnsi="Times New Roman"/>
          <w:szCs w:val="24"/>
        </w:rPr>
        <w:t>(Armstrong, 2011)</w:t>
      </w:r>
      <w:r>
        <w:rPr>
          <w:rStyle w:val="12"/>
          <w:rFonts w:ascii="Times New Roman" w:hAnsi="Times New Roman"/>
          <w:b w:val="0"/>
          <w:bCs w:val="0"/>
          <w:iCs/>
          <w:szCs w:val="24"/>
        </w:rPr>
        <w:t xml:space="preserve">. Strategic human resource management can also refer to a management approach that uses HR strategies which improve organisational performance and allow evaluation of the impact of the strategies on organisational performance </w:t>
      </w:r>
      <w:r>
        <w:rPr>
          <w:rFonts w:ascii="Times New Roman" w:hAnsi="Times New Roman"/>
          <w:szCs w:val="24"/>
        </w:rPr>
        <w:t>(Stone et al., 2021)</w:t>
      </w:r>
      <w:r>
        <w:rPr>
          <w:rStyle w:val="12"/>
          <w:rFonts w:ascii="Times New Roman" w:hAnsi="Times New Roman"/>
          <w:b w:val="0"/>
          <w:bCs w:val="0"/>
          <w:iCs/>
          <w:szCs w:val="24"/>
        </w:rPr>
        <w:t xml:space="preserve">. In this sense, Ryanair should ensure it is in touch with its employees’ experiences so that it can evaluate their impact on organisational performance. The aim is to align the human resource systems and formal structure to drive Ryanair’s strategic objectives. </w:t>
      </w:r>
    </w:p>
    <w:p>
      <w:pPr>
        <w:ind w:firstLine="567"/>
        <w:rPr>
          <w:rStyle w:val="12"/>
          <w:rFonts w:ascii="Times New Roman" w:hAnsi="Times New Roman"/>
          <w:b w:val="0"/>
          <w:bCs w:val="0"/>
          <w:iCs/>
          <w:szCs w:val="24"/>
        </w:rPr>
      </w:pPr>
      <w:r>
        <w:rPr>
          <w:rStyle w:val="12"/>
          <w:rFonts w:ascii="Times New Roman" w:hAnsi="Times New Roman"/>
          <w:b w:val="0"/>
          <w:bCs w:val="0"/>
          <w:iCs/>
          <w:szCs w:val="24"/>
        </w:rPr>
        <w:t xml:space="preserve">To better apply the strategic human resource management approach, it is imperative to consider the employees to be an important resource. The resource-based view argues that the company can draw a competitive advantage from its resources, including its human resources </w:t>
      </w:r>
      <w:r>
        <w:rPr>
          <w:rFonts w:ascii="Times New Roman" w:hAnsi="Times New Roman"/>
          <w:szCs w:val="24"/>
        </w:rPr>
        <w:t>(Rees &amp; Smith, 2017)</w:t>
      </w:r>
      <w:r>
        <w:rPr>
          <w:rStyle w:val="12"/>
          <w:rFonts w:ascii="Times New Roman" w:hAnsi="Times New Roman"/>
          <w:b w:val="0"/>
          <w:bCs w:val="0"/>
          <w:iCs/>
          <w:szCs w:val="24"/>
        </w:rPr>
        <w:t>. A business organisation is a collection of essential resources, and this theory accentuates the utilisation of the current resources and the generation of new ones. For example, in the case of Ryanair, the company should improve the working conditions, training terms, and pay for its employees. This should ensure that the most experienced employees are retained. In the future, the most experienced employees can be an important resource for training new hires. Besides, the company should have its own training program rather than having external agencies conduct all training.</w:t>
      </w:r>
    </w:p>
    <w:p>
      <w:pPr>
        <w:ind w:firstLine="567"/>
        <w:rPr>
          <w:rStyle w:val="12"/>
          <w:rFonts w:ascii="Times New Roman" w:hAnsi="Times New Roman"/>
          <w:b w:val="0"/>
          <w:bCs w:val="0"/>
          <w:iCs/>
          <w:szCs w:val="24"/>
        </w:rPr>
      </w:pPr>
      <w:r>
        <w:rPr>
          <w:rStyle w:val="12"/>
          <w:rFonts w:ascii="Times New Roman" w:hAnsi="Times New Roman"/>
          <w:b w:val="0"/>
          <w:bCs w:val="0"/>
          <w:iCs/>
          <w:szCs w:val="24"/>
        </w:rPr>
        <w:t xml:space="preserve">Using resource-based strategic human resource management can enable Ryanair to produce a human resource advantage. The goal should be to develop strategic capability. This implies having a strategic fit between opportunities and resources, getting more value from the effectual deployment of resources, and ensuring that managers plan and think strategically, including in the human resources department </w:t>
      </w:r>
      <w:r>
        <w:rPr>
          <w:rFonts w:ascii="Times New Roman" w:hAnsi="Times New Roman"/>
          <w:szCs w:val="24"/>
        </w:rPr>
        <w:t>(Storey et al., 2020)</w:t>
      </w:r>
      <w:r>
        <w:rPr>
          <w:rStyle w:val="12"/>
          <w:rFonts w:ascii="Times New Roman" w:hAnsi="Times New Roman"/>
          <w:b w:val="0"/>
          <w:bCs w:val="0"/>
          <w:iCs/>
          <w:szCs w:val="24"/>
        </w:rPr>
        <w:t xml:space="preserve">. Based on the human capital framework, the resource-based view accentuates investment in the employees to increase the organisational value. Ryanair should develop a sustainable competitive advantage by capitalising on its human resource pool in a way that cannot be substituted or imitated by its rivals. This can ensure that employees do not quit in preference for other companies. </w:t>
      </w:r>
    </w:p>
    <w:p>
      <w:pPr>
        <w:ind w:firstLine="567"/>
        <w:rPr>
          <w:rFonts w:ascii="Times New Roman" w:hAnsi="Times New Roman"/>
          <w:szCs w:val="24"/>
          <w:shd w:val="clear" w:color="auto" w:fill="FFFFFF"/>
        </w:rPr>
      </w:pPr>
      <w:r>
        <w:rPr>
          <w:rStyle w:val="12"/>
          <w:rFonts w:ascii="Times New Roman" w:hAnsi="Times New Roman"/>
          <w:b w:val="0"/>
          <w:bCs w:val="0"/>
          <w:iCs/>
          <w:szCs w:val="24"/>
        </w:rPr>
        <w:t xml:space="preserve">Based on the resource-based view, Ryanair also needs to observe the strategic goal of being flexible in how it hires and manages its employees. For example, it can invest more in its own training and waive or eliminate training charges. It can employ its vast infrastructure, the most experienced staff, and technology to ensure more vibrant human resources </w:t>
      </w:r>
      <w:r>
        <w:rPr>
          <w:rFonts w:ascii="Times New Roman" w:hAnsi="Times New Roman"/>
          <w:szCs w:val="24"/>
        </w:rPr>
        <w:t>(Rees &amp; Smith, 2017)</w:t>
      </w:r>
      <w:r>
        <w:rPr>
          <w:rStyle w:val="12"/>
          <w:rFonts w:ascii="Times New Roman" w:hAnsi="Times New Roman"/>
          <w:b w:val="0"/>
          <w:bCs w:val="0"/>
          <w:iCs/>
          <w:szCs w:val="24"/>
        </w:rPr>
        <w:t>. In other words, the most experienced employees can enhance the organisation and will feel motivated to keep working. These recommendations consider the needs and resources of the company. The company has the human resources it needs and only has to address its issues.</w:t>
      </w:r>
    </w:p>
    <w:p>
      <w:pPr>
        <w:ind w:firstLine="567"/>
        <w:rPr>
          <w:rFonts w:ascii="Times New Roman" w:hAnsi="Times New Roman"/>
          <w:szCs w:val="24"/>
          <w:shd w:val="clear" w:color="auto" w:fill="FFFFFF"/>
        </w:rPr>
      </w:pPr>
      <w:r>
        <w:rPr>
          <w:rFonts w:ascii="Times New Roman" w:hAnsi="Times New Roman"/>
          <w:szCs w:val="24"/>
          <w:shd w:val="clear" w:color="auto" w:fill="FFFFFF"/>
        </w:rPr>
        <w:t>The d</w:t>
      </w:r>
      <w:r>
        <w:rPr>
          <w:rFonts w:ascii="Times New Roman" w:hAnsi="Times New Roman"/>
          <w:szCs w:val="24"/>
        </w:rPr>
        <w:t>isadvantage of the above recommendations is that the company’s culture has to be changed to accommodate employee views. The risk is that the company will spend more money on training and increasing pay, but motivated employees will contribute much more. In this report, a major ethical issue is a reliance on news media reports, and no primary research was conducted to see if the managers have begun addressing the issues raised. However, the news reports were essential because they helped build the case and identify the issues that needed improving.</w:t>
      </w:r>
    </w:p>
    <w:p>
      <w:pPr>
        <w:spacing w:after="160"/>
        <w:rPr>
          <w:rFonts w:ascii="Times New Roman" w:hAnsi="Times New Roman" w:eastAsiaTheme="majorEastAsia"/>
          <w:b/>
          <w:szCs w:val="24"/>
          <w:shd w:val="clear" w:color="auto" w:fill="FFFFFF"/>
        </w:rPr>
      </w:pPr>
      <w:r>
        <w:rPr>
          <w:rFonts w:ascii="Times New Roman" w:hAnsi="Times New Roman"/>
          <w:b/>
          <w:szCs w:val="24"/>
          <w:shd w:val="clear" w:color="auto" w:fill="FFFFFF"/>
        </w:rPr>
        <w:br w:type="page"/>
      </w:r>
    </w:p>
    <w:p>
      <w:pPr>
        <w:pStyle w:val="2"/>
        <w:numPr>
          <w:ilvl w:val="0"/>
          <w:numId w:val="1"/>
        </w:numPr>
        <w:jc w:val="center"/>
        <w:rPr>
          <w:rFonts w:ascii="Times New Roman" w:hAnsi="Times New Roman" w:cs="Times New Roman"/>
          <w:b/>
          <w:color w:val="auto"/>
          <w:sz w:val="24"/>
          <w:szCs w:val="24"/>
          <w:shd w:val="clear" w:color="auto" w:fill="FFFFFF"/>
        </w:rPr>
      </w:pPr>
      <w:bookmarkStart w:id="9" w:name="_Toc127875395"/>
      <w:r>
        <w:rPr>
          <w:rFonts w:ascii="Times New Roman" w:hAnsi="Times New Roman" w:cs="Times New Roman"/>
          <w:b/>
          <w:color w:val="auto"/>
          <w:sz w:val="24"/>
          <w:szCs w:val="24"/>
          <w:shd w:val="clear" w:color="auto" w:fill="FFFFFF"/>
        </w:rPr>
        <w:t>Reference list</w:t>
      </w:r>
      <w:bookmarkEnd w:id="9"/>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Anderson, E.W.Fornell, C. and Mazvancheryl, S.K. (2004) “Customer satisfaction and shareholder value,” </w:t>
      </w:r>
      <w:r>
        <w:rPr>
          <w:i/>
          <w:iCs/>
        </w:rPr>
        <w:t>Journal of Marketing</w:t>
      </w:r>
      <w:r>
        <w:t xml:space="preserve">, 68(4), pp. 172–185.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Armstrong, M. (2011) </w:t>
      </w:r>
      <w:r>
        <w:rPr>
          <w:rFonts w:ascii="Times New Roman" w:hAnsi="Times New Roman"/>
          <w:i/>
          <w:iCs/>
          <w:szCs w:val="24"/>
          <w:lang w:val="zh-CN" w:eastAsia="zh-CN"/>
        </w:rPr>
        <w:t>Armstrong's Strategic Human Resource Management</w:t>
      </w:r>
      <w:r>
        <w:rPr>
          <w:rFonts w:ascii="Times New Roman" w:hAnsi="Times New Roman"/>
          <w:szCs w:val="24"/>
          <w:lang w:val="zh-CN" w:eastAsia="zh-CN"/>
        </w:rPr>
        <w:t xml:space="preserve">. London: Kogan Page.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Aznizan, N. and Ibrahim, N. (2019) </w:t>
      </w:r>
      <w:r>
        <w:rPr>
          <w:i/>
          <w:iCs/>
        </w:rPr>
        <w:t xml:space="preserve">Job motivation </w:t>
      </w:r>
      <w:r>
        <w:t xml:space="preserve">, </w:t>
      </w:r>
      <w:r>
        <w:rPr>
          <w:i/>
          <w:iCs/>
        </w:rPr>
        <w:t>Researchgate</w:t>
      </w:r>
      <w:r>
        <w:t xml:space="preserve">. Available at: https://www.researchgate.net/publication/337006564_Job_Motivation (Accessed: </w:t>
      </w:r>
      <w:r>
        <w:rPr>
          <w:rFonts w:hint="eastAsia" w:eastAsia="宋体"/>
          <w:lang w:val="en-US" w:eastAsia="zh-CN"/>
        </w:rPr>
        <w:t xml:space="preserve">18 </w:t>
      </w:r>
      <w:r>
        <w:t xml:space="preserve">February 2023).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Beesley, J.S.(2018) </w:t>
      </w:r>
      <w:r>
        <w:rPr>
          <w:rFonts w:ascii="Times New Roman" w:hAnsi="Times New Roman"/>
          <w:i/>
          <w:iCs/>
          <w:szCs w:val="24"/>
          <w:lang w:val="zh-CN" w:eastAsia="zh-CN"/>
        </w:rPr>
        <w:t>Has Ryanair chief Michael O'Leary lost his cost-killing touch?</w:t>
      </w:r>
      <w:r>
        <w:rPr>
          <w:rFonts w:ascii="Times New Roman" w:hAnsi="Times New Roman"/>
          <w:szCs w:val="24"/>
          <w:lang w:val="zh-CN" w:eastAsia="zh-CN"/>
        </w:rPr>
        <w:t xml:space="preserve">, </w:t>
      </w:r>
      <w:r>
        <w:rPr>
          <w:rFonts w:ascii="Times New Roman" w:hAnsi="Times New Roman"/>
          <w:i/>
          <w:iCs/>
          <w:szCs w:val="24"/>
          <w:lang w:val="zh-CN" w:eastAsia="zh-CN"/>
        </w:rPr>
        <w:t>CNBC</w:t>
      </w:r>
      <w:r>
        <w:rPr>
          <w:rFonts w:ascii="Times New Roman" w:hAnsi="Times New Roman"/>
          <w:szCs w:val="24"/>
          <w:lang w:val="zh-CN" w:eastAsia="zh-CN"/>
        </w:rPr>
        <w:t xml:space="preserve">. CNBC. Available at: https://www.cnbc.com/2018/10/05/has-ryanair-chief-michael-oleary-lost-his-cost-killing-touch.html (Accessed: </w:t>
      </w:r>
      <w:r>
        <w:rPr>
          <w:rFonts w:hint="eastAsia" w:ascii="Times New Roman" w:hAnsi="Times New Roman"/>
          <w:szCs w:val="24"/>
          <w:lang w:val="en-US" w:eastAsia="zh-CN"/>
        </w:rPr>
        <w:t xml:space="preserve">27 </w:t>
      </w:r>
      <w:r>
        <w:rPr>
          <w:rFonts w:ascii="Times New Roman" w:hAnsi="Times New Roman"/>
          <w:szCs w:val="24"/>
          <w:lang w:val="zh-CN" w:eastAsia="zh-CN"/>
        </w:rPr>
        <w:t>February</w:t>
      </w:r>
      <w:r>
        <w:rPr>
          <w:rFonts w:hint="eastAsia" w:ascii="Times New Roman" w:hAnsi="Times New Roman"/>
          <w:szCs w:val="24"/>
          <w:lang w:val="en-US" w:eastAsia="zh-CN"/>
        </w:rPr>
        <w:t xml:space="preserve"> </w:t>
      </w:r>
      <w:r>
        <w:rPr>
          <w:rFonts w:ascii="Times New Roman" w:hAnsi="Times New Roman"/>
          <w:szCs w:val="24"/>
          <w:lang w:val="zh-CN" w:eastAsia="zh-CN"/>
        </w:rP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Business Insider India (2022) </w:t>
      </w:r>
      <w:r>
        <w:rPr>
          <w:i/>
          <w:iCs/>
        </w:rPr>
        <w:t>Top 10 largest airlines in the World in 2022: Stats and performance explained</w:t>
      </w:r>
      <w:r>
        <w:t xml:space="preserve">, </w:t>
      </w:r>
      <w:r>
        <w:rPr>
          <w:i/>
          <w:iCs/>
        </w:rPr>
        <w:t>Business Insider</w:t>
      </w:r>
      <w:r>
        <w:t xml:space="preserve">. Available at: https://www.businessinsider.in/business/news/top-10-airlines-in-the-world/slidelist/92950615.cms#slideid=92950977 (Accessed: </w:t>
      </w:r>
      <w:r>
        <w:rPr>
          <w:rFonts w:hint="eastAsia" w:eastAsia="宋体"/>
          <w:lang w:val="en-US" w:eastAsia="zh-CN"/>
        </w:rPr>
        <w:t xml:space="preserve">20 </w:t>
      </w:r>
      <w:r>
        <w:t>February</w:t>
      </w:r>
      <w:r>
        <w:rPr>
          <w:rFonts w:hint="eastAsia" w:eastAsia="宋体"/>
          <w:lang w:val="en-US" w:eastAsia="zh-CN"/>
        </w:rPr>
        <w:t xml:space="preserve"> </w:t>
      </w:r>
      <w: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Davies, R. (2017) </w:t>
      </w:r>
      <w:r>
        <w:rPr>
          <w:i/>
          <w:iCs/>
        </w:rPr>
        <w:t>Ryanair Staff Brand Company A 'disgrace' over handling of issues</w:t>
      </w:r>
      <w:r>
        <w:t xml:space="preserve">, </w:t>
      </w:r>
      <w:r>
        <w:rPr>
          <w:i/>
          <w:iCs/>
        </w:rPr>
        <w:t>The Guardian</w:t>
      </w:r>
      <w:r>
        <w:t xml:space="preserve">. Guardian News and Media. Available at: https://www.theguardian.com/business/2017/sep/22/ryanair-pilots-michael-oleary-cancellations (Accessed: </w:t>
      </w:r>
      <w:r>
        <w:rPr>
          <w:rFonts w:hint="eastAsia" w:eastAsia="宋体"/>
          <w:lang w:val="en-US" w:eastAsia="zh-CN"/>
        </w:rPr>
        <w:t xml:space="preserve">19 </w:t>
      </w:r>
      <w:r>
        <w:t>February</w:t>
      </w:r>
      <w:r>
        <w:rPr>
          <w:rFonts w:hint="eastAsia" w:eastAsia="宋体"/>
          <w:lang w:val="en-US" w:eastAsia="zh-CN"/>
        </w:rPr>
        <w:t xml:space="preserve"> </w:t>
      </w:r>
      <w: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Davies, R. and Brignall, M. (2019) </w:t>
      </w:r>
      <w:r>
        <w:rPr>
          <w:i/>
          <w:iCs/>
        </w:rPr>
        <w:t>Ryanair Strikes: All you need to know about pilots' five days of action</w:t>
      </w:r>
      <w:r>
        <w:t xml:space="preserve">, </w:t>
      </w:r>
      <w:r>
        <w:rPr>
          <w:i/>
          <w:iCs/>
        </w:rPr>
        <w:t>The Guardian</w:t>
      </w:r>
      <w:r>
        <w:t xml:space="preserve">. Guardian News and Media. Available at: https://www.theguardian.com/business/2019/aug/08/ryanair-strike-when-does-it-start-flights-affected (Accessed: </w:t>
      </w:r>
      <w:r>
        <w:rPr>
          <w:rFonts w:hint="eastAsia" w:eastAsia="宋体"/>
          <w:lang w:val="en-US" w:eastAsia="zh-CN"/>
        </w:rPr>
        <w:t xml:space="preserve">15 </w:t>
      </w:r>
      <w:r>
        <w:t xml:space="preserve">February 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Demony, C. and Pereira, M. (2022) </w:t>
      </w:r>
      <w:r>
        <w:rPr>
          <w:i/>
          <w:iCs/>
        </w:rPr>
        <w:t>Ryanair cabin staff strike as labour unrest spreads across Europe</w:t>
      </w:r>
      <w:r>
        <w:t xml:space="preserve">, </w:t>
      </w:r>
      <w:r>
        <w:rPr>
          <w:i/>
          <w:iCs/>
        </w:rPr>
        <w:t>Reuters</w:t>
      </w:r>
      <w:r>
        <w:t xml:space="preserve">. Thomson Reuters. Available at: https://www.reuters.com/business/aerospace-defense/ryanair-cabin-staff-strike-cancels-dozens-flights-europe-2022-06-24/ (Accessed: </w:t>
      </w:r>
      <w:r>
        <w:rPr>
          <w:rFonts w:hint="eastAsia" w:eastAsia="宋体"/>
          <w:lang w:val="en-US" w:eastAsia="zh-CN"/>
        </w:rPr>
        <w:t xml:space="preserve">21 </w:t>
      </w:r>
      <w:r>
        <w:t xml:space="preserve">February 2023).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Emmott, R. and Halpin, P. (2018) </w:t>
      </w:r>
      <w:r>
        <w:rPr>
          <w:rFonts w:ascii="Times New Roman" w:hAnsi="Times New Roman"/>
          <w:i/>
          <w:iCs/>
          <w:szCs w:val="24"/>
          <w:lang w:val="zh-CN" w:eastAsia="zh-CN"/>
        </w:rPr>
        <w:t>Ryanair faces one-day strike in five countries over contracts</w:t>
      </w:r>
      <w:r>
        <w:rPr>
          <w:rFonts w:ascii="Times New Roman" w:hAnsi="Times New Roman"/>
          <w:szCs w:val="24"/>
          <w:lang w:val="zh-CN" w:eastAsia="zh-CN"/>
        </w:rPr>
        <w:t xml:space="preserve">, </w:t>
      </w:r>
      <w:r>
        <w:rPr>
          <w:rFonts w:ascii="Times New Roman" w:hAnsi="Times New Roman"/>
          <w:i/>
          <w:iCs/>
          <w:szCs w:val="24"/>
          <w:lang w:val="zh-CN" w:eastAsia="zh-CN"/>
        </w:rPr>
        <w:t>Reuters</w:t>
      </w:r>
      <w:r>
        <w:rPr>
          <w:rFonts w:ascii="Times New Roman" w:hAnsi="Times New Roman"/>
          <w:szCs w:val="24"/>
          <w:lang w:val="zh-CN" w:eastAsia="zh-CN"/>
        </w:rPr>
        <w:t xml:space="preserve">. Thomson Reuters. Available at: https://www.reuters.com/article/us-ryanair-unions-idUSKCN1LT18K (Accessed: </w:t>
      </w:r>
      <w:r>
        <w:rPr>
          <w:rFonts w:hint="eastAsia" w:ascii="Times New Roman" w:hAnsi="Times New Roman"/>
          <w:szCs w:val="24"/>
          <w:lang w:val="en-US" w:eastAsia="zh-CN"/>
        </w:rPr>
        <w:t xml:space="preserve">15 </w:t>
      </w:r>
      <w:r>
        <w:rPr>
          <w:rFonts w:ascii="Times New Roman" w:hAnsi="Times New Roman"/>
          <w:szCs w:val="24"/>
          <w:lang w:val="zh-CN" w:eastAsia="zh-CN"/>
        </w:rPr>
        <w:t xml:space="preserve">February 2023).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Farhoud, N. (2017) </w:t>
      </w:r>
      <w:r>
        <w:rPr>
          <w:rFonts w:ascii="Times New Roman" w:hAnsi="Times New Roman"/>
          <w:i/>
          <w:iCs/>
          <w:szCs w:val="24"/>
          <w:lang w:val="zh-CN" w:eastAsia="zh-CN"/>
        </w:rPr>
        <w:t>Revealed: What it's really like to work for Ryanair</w:t>
      </w:r>
      <w:r>
        <w:rPr>
          <w:rFonts w:ascii="Times New Roman" w:hAnsi="Times New Roman"/>
          <w:szCs w:val="24"/>
          <w:lang w:val="zh-CN" w:eastAsia="zh-CN"/>
        </w:rPr>
        <w:t xml:space="preserve">, </w:t>
      </w:r>
      <w:r>
        <w:rPr>
          <w:rFonts w:ascii="Times New Roman" w:hAnsi="Times New Roman"/>
          <w:i/>
          <w:iCs/>
          <w:szCs w:val="24"/>
          <w:lang w:val="zh-CN" w:eastAsia="zh-CN"/>
        </w:rPr>
        <w:t>Mirror</w:t>
      </w:r>
      <w:r>
        <w:rPr>
          <w:rFonts w:ascii="Times New Roman" w:hAnsi="Times New Roman"/>
          <w:szCs w:val="24"/>
          <w:lang w:val="zh-CN" w:eastAsia="zh-CN"/>
        </w:rPr>
        <w:t xml:space="preserve">. Available at: https://www.mirror.co.uk/money/what-its-really-like-work-11209793 (Accessed: </w:t>
      </w:r>
      <w:r>
        <w:rPr>
          <w:rFonts w:hint="eastAsia" w:ascii="Times New Roman" w:hAnsi="Times New Roman"/>
          <w:szCs w:val="24"/>
          <w:lang w:val="en-US" w:eastAsia="zh-CN"/>
        </w:rPr>
        <w:t xml:space="preserve">16 </w:t>
      </w:r>
      <w:r>
        <w:rPr>
          <w:rFonts w:ascii="Times New Roman" w:hAnsi="Times New Roman"/>
          <w:szCs w:val="24"/>
          <w:lang w:val="zh-CN" w:eastAsia="zh-CN"/>
        </w:rPr>
        <w:t>Februar</w:t>
      </w:r>
      <w:r>
        <w:rPr>
          <w:rFonts w:hint="eastAsia" w:ascii="Times New Roman" w:hAnsi="Times New Roman"/>
          <w:szCs w:val="24"/>
          <w:lang w:val="en-US" w:eastAsia="zh-CN"/>
        </w:rPr>
        <w:t xml:space="preserve"> </w:t>
      </w:r>
      <w:r>
        <w:rPr>
          <w:rFonts w:ascii="Times New Roman" w:hAnsi="Times New Roman"/>
          <w:szCs w:val="24"/>
          <w:lang w:val="zh-CN" w:eastAsia="zh-CN"/>
        </w:rP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Farrell, S. and Davies, R. (2018) </w:t>
      </w:r>
      <w:r>
        <w:rPr>
          <w:i/>
          <w:iCs/>
        </w:rPr>
        <w:t>Ryanair strike: Unions accuse airline of breaching Labour Laws</w:t>
      </w:r>
      <w:r>
        <w:t xml:space="preserve">, </w:t>
      </w:r>
      <w:r>
        <w:rPr>
          <w:i/>
          <w:iCs/>
        </w:rPr>
        <w:t>The Guardian</w:t>
      </w:r>
      <w:r>
        <w:t xml:space="preserve">. Guardian News and Media. Available at: https://www.theguardian.com/business/2018/aug/09/unions-accuse-ryanair-of-breaching-labour-law-after-crews-go-on-strike (Accessed: </w:t>
      </w:r>
      <w:r>
        <w:rPr>
          <w:rFonts w:hint="eastAsia" w:eastAsia="宋体"/>
          <w:lang w:val="en-US" w:eastAsia="zh-CN"/>
        </w:rPr>
        <w:t xml:space="preserve">14 </w:t>
      </w:r>
      <w:r>
        <w:t>February</w:t>
      </w:r>
      <w:r>
        <w:rPr>
          <w:rFonts w:hint="eastAsia" w:eastAsia="宋体"/>
          <w:lang w:val="en-US" w:eastAsia="zh-CN"/>
        </w:rPr>
        <w:t xml:space="preserve"> </w:t>
      </w:r>
      <w: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Gilmore, S. and Williams, S. (2013) </w:t>
      </w:r>
      <w:r>
        <w:rPr>
          <w:i/>
          <w:iCs/>
        </w:rPr>
        <w:t>Human Resource Management</w:t>
      </w:r>
      <w:r>
        <w:t xml:space="preserve">. Oxford: Oxford University Press.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Khomyak, A. (2021) </w:t>
      </w:r>
      <w:r>
        <w:rPr>
          <w:i/>
          <w:iCs/>
        </w:rPr>
        <w:t>Ryanair Business Strategy Analysis in the face of covid-19 crisis</w:t>
      </w:r>
      <w:r>
        <w:t xml:space="preserve">, </w:t>
      </w:r>
      <w:r>
        <w:rPr>
          <w:i/>
          <w:iCs/>
        </w:rPr>
        <w:t>Researchgate</w:t>
      </w:r>
      <w:r>
        <w:t xml:space="preserve">. Available at: https://www.researchgate.net/publication/361240119_Ryanair_business_strategy_analysis_in_the_face_of_Covid-19_crisis (Accessed: </w:t>
      </w:r>
      <w:r>
        <w:rPr>
          <w:rFonts w:hint="eastAsia" w:eastAsia="宋体"/>
          <w:lang w:val="en-US" w:eastAsia="zh-CN"/>
        </w:rPr>
        <w:t xml:space="preserve">15 </w:t>
      </w:r>
      <w:r>
        <w:t>February</w:t>
      </w:r>
      <w:r>
        <w:rPr>
          <w:rFonts w:hint="eastAsia" w:eastAsia="宋体"/>
          <w:lang w:val="en-US" w:eastAsia="zh-CN"/>
        </w:rPr>
        <w:t xml:space="preserve"> </w:t>
      </w:r>
      <w:r>
        <w:t xml:space="preserve">2023).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Llopis, G. (2022) </w:t>
      </w:r>
      <w:r>
        <w:rPr>
          <w:rFonts w:ascii="Times New Roman" w:hAnsi="Times New Roman"/>
          <w:i/>
          <w:iCs/>
          <w:szCs w:val="24"/>
          <w:lang w:val="zh-CN" w:eastAsia="zh-CN"/>
        </w:rPr>
        <w:t>6 things wise leaders do to engage their employees</w:t>
      </w:r>
      <w:r>
        <w:rPr>
          <w:rFonts w:ascii="Times New Roman" w:hAnsi="Times New Roman"/>
          <w:szCs w:val="24"/>
          <w:lang w:val="zh-CN" w:eastAsia="zh-CN"/>
        </w:rPr>
        <w:t xml:space="preserve">, </w:t>
      </w:r>
      <w:r>
        <w:rPr>
          <w:rFonts w:ascii="Times New Roman" w:hAnsi="Times New Roman"/>
          <w:i/>
          <w:iCs/>
          <w:szCs w:val="24"/>
          <w:lang w:val="zh-CN" w:eastAsia="zh-CN"/>
        </w:rPr>
        <w:t>Forbes</w:t>
      </w:r>
      <w:r>
        <w:rPr>
          <w:rFonts w:ascii="Times New Roman" w:hAnsi="Times New Roman"/>
          <w:szCs w:val="24"/>
          <w:lang w:val="zh-CN" w:eastAsia="zh-CN"/>
        </w:rPr>
        <w:t xml:space="preserve">. Forbes Magazine. Available at: https://www.forbes.com/sites/glennllopis/2015/02/02/6-things-wise-leaders-do-to-engage-their-employees/ (Accessed: </w:t>
      </w:r>
      <w:r>
        <w:rPr>
          <w:rFonts w:hint="eastAsia" w:ascii="Times New Roman" w:hAnsi="Times New Roman"/>
          <w:szCs w:val="24"/>
          <w:lang w:val="en-US" w:eastAsia="zh-CN"/>
        </w:rPr>
        <w:t xml:space="preserve">10 March </w:t>
      </w:r>
      <w:r>
        <w:rPr>
          <w:rFonts w:ascii="Times New Roman" w:hAnsi="Times New Roman"/>
          <w:szCs w:val="24"/>
          <w:lang w:val="zh-CN" w:eastAsia="zh-CN"/>
        </w:rP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Manrai, A.K. and Meadow, H.L. (2015) </w:t>
      </w:r>
      <w:r>
        <w:rPr>
          <w:i/>
          <w:iCs/>
        </w:rPr>
        <w:t>Global Perspectives in Marketing for the 21st Century: Proceedings of the 1999 World Marketing Congress jointly organised by the Academy of Marketing Science and the University of Malta, Qawra, Malta, June 23-26, 1999</w:t>
      </w:r>
      <w:r>
        <w:t xml:space="preserve">. Cham: Springer.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Martin, N. (2017) </w:t>
      </w:r>
      <w:r>
        <w:rPr>
          <w:i/>
          <w:iCs/>
        </w:rPr>
        <w:t>Ryanair Chaos turns tables on workers' rights – DW – 10/09/2017</w:t>
      </w:r>
      <w:r>
        <w:t xml:space="preserve">, </w:t>
      </w:r>
      <w:r>
        <w:rPr>
          <w:i/>
          <w:iCs/>
        </w:rPr>
        <w:t>dw.com</w:t>
      </w:r>
      <w:r>
        <w:t xml:space="preserve">. Deutsche Welle. Available at: https://www.dw.com/en/ryanair-chaos-turns-tables-on-workers-rights/a-40875982 (Accessed: </w:t>
      </w:r>
      <w:r>
        <w:rPr>
          <w:rFonts w:hint="eastAsia" w:eastAsia="宋体"/>
          <w:lang w:val="en-US" w:eastAsia="zh-CN"/>
        </w:rPr>
        <w:t xml:space="preserve">21 </w:t>
      </w:r>
      <w:r>
        <w:t xml:space="preserve">February 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Rees, G. and Smith, P. (2017) </w:t>
      </w:r>
      <w:r>
        <w:rPr>
          <w:i/>
          <w:iCs/>
        </w:rPr>
        <w:t>Strategic Human Resource Management: An International Perspective</w:t>
      </w:r>
      <w:r>
        <w:t xml:space="preserve">. Newcastle upon Tyne, United Kingdom: SAGE.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Robinson, D., Perryman, S. and Hayday, S. (2004) </w:t>
      </w:r>
      <w:r>
        <w:rPr>
          <w:i/>
          <w:iCs/>
        </w:rPr>
        <w:t>The drivers of employee engagement</w:t>
      </w:r>
      <w:r>
        <w:t xml:space="preserve">. Brighton: Institute for Employment Studies.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Rodríguez-García, M., Orero-Blat, M. and Palacios-Marqués, D. (2020) “Challenges in the business model of low-cost airlines,” </w:t>
      </w:r>
      <w:r>
        <w:rPr>
          <w:i/>
          <w:iCs/>
        </w:rPr>
        <w:t>International Journal of Enterprise Information Systems</w:t>
      </w:r>
      <w:r>
        <w:t xml:space="preserve">, 16(3), pp. 64–77.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Ryanair Holdings PLC (2022) </w:t>
      </w:r>
      <w:r>
        <w:rPr>
          <w:rFonts w:ascii="Times New Roman" w:hAnsi="Times New Roman"/>
          <w:i/>
          <w:iCs/>
          <w:szCs w:val="24"/>
          <w:lang w:val="zh-CN" w:eastAsia="zh-CN"/>
        </w:rPr>
        <w:t>RYANAIR REPORTS HALF-YEAR PROFITS OF EURO 1.37BN</w:t>
      </w:r>
      <w:r>
        <w:rPr>
          <w:rFonts w:ascii="Times New Roman" w:hAnsi="Times New Roman"/>
          <w:szCs w:val="24"/>
          <w:lang w:val="zh-CN" w:eastAsia="zh-CN"/>
        </w:rPr>
        <w:t xml:space="preserve">, </w:t>
      </w:r>
      <w:r>
        <w:rPr>
          <w:rFonts w:ascii="Times New Roman" w:hAnsi="Times New Roman"/>
          <w:i/>
          <w:iCs/>
          <w:szCs w:val="24"/>
          <w:lang w:val="zh-CN" w:eastAsia="zh-CN"/>
        </w:rPr>
        <w:t>FT.com</w:t>
      </w:r>
      <w:r>
        <w:rPr>
          <w:rFonts w:ascii="Times New Roman" w:hAnsi="Times New Roman"/>
          <w:szCs w:val="24"/>
          <w:lang w:val="zh-CN" w:eastAsia="zh-CN"/>
        </w:rPr>
        <w:t xml:space="preserve">. Available at: https://markets.ft.com/data/announce/detail?dockey=1323-15703749-2AD9QM3G29OJCQC3MPCJK3B9IN (Accessed: </w:t>
      </w:r>
      <w:r>
        <w:rPr>
          <w:rFonts w:hint="eastAsia" w:ascii="Times New Roman" w:hAnsi="Times New Roman"/>
          <w:szCs w:val="24"/>
          <w:lang w:val="en-US" w:eastAsia="zh-CN"/>
        </w:rPr>
        <w:t xml:space="preserve">26 </w:t>
      </w:r>
      <w:r>
        <w:rPr>
          <w:rFonts w:ascii="Times New Roman" w:hAnsi="Times New Roman"/>
          <w:szCs w:val="24"/>
          <w:lang w:val="zh-CN" w:eastAsia="zh-CN"/>
        </w:rPr>
        <w:t>February</w:t>
      </w:r>
      <w:r>
        <w:rPr>
          <w:rFonts w:hint="eastAsia" w:ascii="Times New Roman" w:hAnsi="Times New Roman"/>
          <w:szCs w:val="24"/>
          <w:lang w:val="en-US" w:eastAsia="zh-CN"/>
        </w:rPr>
        <w:t xml:space="preserve"> </w:t>
      </w:r>
      <w:r>
        <w:rPr>
          <w:rFonts w:ascii="Times New Roman" w:hAnsi="Times New Roman"/>
          <w:szCs w:val="24"/>
          <w:lang w:val="zh-CN" w:eastAsia="zh-CN"/>
        </w:rP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Shuck, B. and Reio, T.G. (2013) “Employee engagement and well-being,” </w:t>
      </w:r>
      <w:r>
        <w:rPr>
          <w:i/>
          <w:iCs/>
        </w:rPr>
        <w:t>Journal of Leadership &amp; Organizational Studies</w:t>
      </w:r>
      <w:r>
        <w:t xml:space="preserve">, 21(1), pp. 43–58.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Sikander, A. (2019) </w:t>
      </w:r>
      <w:r>
        <w:rPr>
          <w:i/>
          <w:iCs/>
        </w:rPr>
        <w:t>Aviation and its management: Global Challenges and Opportunities</w:t>
      </w:r>
      <w:r>
        <w:t xml:space="preserve">. New York City: IntechOpen.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Statista (2) (2023) </w:t>
      </w:r>
      <w:r>
        <w:rPr>
          <w:i/>
          <w:iCs/>
        </w:rPr>
        <w:t>Largest Airlines in Europe based on passengers</w:t>
      </w:r>
      <w:r>
        <w:t xml:space="preserve">, </w:t>
      </w:r>
      <w:r>
        <w:rPr>
          <w:i/>
          <w:iCs/>
        </w:rPr>
        <w:t>Statista</w:t>
      </w:r>
      <w:r>
        <w:t xml:space="preserve">. Available at: https://www.statista.com/statistics/1094759/largest-airlines-in-europe-based-on-passengers/ (Accessed: </w:t>
      </w:r>
      <w:r>
        <w:rPr>
          <w:rFonts w:hint="eastAsia" w:eastAsia="宋体"/>
          <w:lang w:val="en-US" w:eastAsia="zh-CN"/>
        </w:rPr>
        <w:t xml:space="preserve">1 March </w:t>
      </w:r>
      <w: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Statista (2023) </w:t>
      </w:r>
      <w:r>
        <w:rPr>
          <w:i/>
          <w:iCs/>
        </w:rPr>
        <w:t>Ryanair: Net profit 2010-2022</w:t>
      </w:r>
      <w:r>
        <w:t xml:space="preserve">, </w:t>
      </w:r>
      <w:r>
        <w:rPr>
          <w:i/>
          <w:iCs/>
        </w:rPr>
        <w:t>Statista</w:t>
      </w:r>
      <w:r>
        <w:t xml:space="preserve">. Available at: https://www.statista.com/statistics/756093/ryanair-net-profit/ (Accessed: </w:t>
      </w:r>
      <w:r>
        <w:rPr>
          <w:rFonts w:hint="eastAsia" w:eastAsia="宋体"/>
          <w:lang w:val="en-US" w:eastAsia="zh-CN"/>
        </w:rPr>
        <w:t xml:space="preserve">28 </w:t>
      </w:r>
      <w:r>
        <w:t xml:space="preserve">February </w:t>
      </w:r>
      <w:r>
        <w:rPr>
          <w:rFonts w:hint="eastAsia" w:eastAsia="宋体"/>
          <w:lang w:val="en-US" w:eastAsia="zh-CN"/>
        </w:rPr>
        <w:t xml:space="preserve"> </w:t>
      </w:r>
      <w:bookmarkStart w:id="11" w:name="_GoBack"/>
      <w:bookmarkEnd w:id="11"/>
      <w:r>
        <w:t xml:space="preserve">2023). </w:t>
      </w:r>
    </w:p>
    <w:p>
      <w:pPr>
        <w:pStyle w:val="9"/>
        <w:keepNext w:val="0"/>
        <w:keepLines w:val="0"/>
        <w:pageBreakBefore w:val="0"/>
        <w:widowControl/>
        <w:kinsoku/>
        <w:wordWrap w:val="0"/>
        <w:overflowPunct/>
        <w:topLinePunct w:val="0"/>
        <w:autoSpaceDE/>
        <w:autoSpaceDN/>
        <w:bidi w:val="0"/>
        <w:adjustRightInd/>
        <w:snapToGrid/>
        <w:spacing w:line="480" w:lineRule="auto"/>
        <w:ind w:left="0" w:firstLine="0"/>
        <w:textAlignment w:val="auto"/>
      </w:pPr>
      <w:r>
        <w:t xml:space="preserve">Stone, R.J., Cox, A.N. and Gavin, M. (2021) </w:t>
      </w:r>
      <w:r>
        <w:rPr>
          <w:i/>
          <w:iCs/>
        </w:rPr>
        <w:t>Human Resource Management</w:t>
      </w:r>
      <w:r>
        <w:t xml:space="preserve">. Milton, QLD: John Wiley and Sons Australia, Ltd.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lang w:val="zh-CN" w:eastAsia="zh-CN"/>
        </w:rPr>
      </w:pPr>
      <w:r>
        <w:rPr>
          <w:rFonts w:ascii="Times New Roman" w:hAnsi="Times New Roman"/>
          <w:szCs w:val="24"/>
          <w:lang w:val="zh-CN" w:eastAsia="zh-CN"/>
        </w:rPr>
        <w:t xml:space="preserve">Storey, J., Ulrich, D. and Wright, P.M. (2020) </w:t>
      </w:r>
      <w:r>
        <w:rPr>
          <w:rFonts w:ascii="Times New Roman" w:hAnsi="Times New Roman"/>
          <w:i/>
          <w:iCs/>
          <w:szCs w:val="24"/>
          <w:lang w:val="zh-CN" w:eastAsia="zh-CN"/>
        </w:rPr>
        <w:t>Strategic Human Resource Management: A research overview</w:t>
      </w:r>
      <w:r>
        <w:rPr>
          <w:rFonts w:ascii="Times New Roman" w:hAnsi="Times New Roman"/>
          <w:szCs w:val="24"/>
          <w:lang w:val="zh-CN" w:eastAsia="zh-CN"/>
        </w:rPr>
        <w:t xml:space="preserve">. S.l.: ROUTLEDGE. </w:t>
      </w:r>
    </w:p>
    <w:p>
      <w:pPr>
        <w:keepNext w:val="0"/>
        <w:keepLines w:val="0"/>
        <w:pageBreakBefore w:val="0"/>
        <w:widowControl/>
        <w:kinsoku/>
        <w:wordWrap w:val="0"/>
        <w:overflowPunct/>
        <w:topLinePunct w:val="0"/>
        <w:autoSpaceDE/>
        <w:autoSpaceDN/>
        <w:bidi w:val="0"/>
        <w:adjustRightInd/>
        <w:snapToGrid/>
        <w:spacing w:before="100" w:beforeAutospacing="1" w:after="100" w:afterAutospacing="1"/>
        <w:ind w:left="0" w:firstLine="0"/>
        <w:textAlignment w:val="auto"/>
        <w:rPr>
          <w:rFonts w:ascii="Times New Roman" w:hAnsi="Times New Roman"/>
          <w:szCs w:val="24"/>
        </w:rPr>
      </w:pPr>
      <w:r>
        <w:rPr>
          <w:rFonts w:ascii="Times New Roman" w:hAnsi="Times New Roman"/>
          <w:szCs w:val="24"/>
          <w:lang w:val="zh-CN" w:eastAsia="zh-CN"/>
        </w:rPr>
        <w:t xml:space="preserve">Taylor, S. and Woodhams, C. (2022) </w:t>
      </w:r>
      <w:r>
        <w:rPr>
          <w:rFonts w:ascii="Times New Roman" w:hAnsi="Times New Roman"/>
          <w:i/>
          <w:iCs/>
          <w:szCs w:val="24"/>
          <w:lang w:val="zh-CN" w:eastAsia="zh-CN"/>
        </w:rPr>
        <w:t>Human Resource Management People and Organisations</w:t>
      </w:r>
      <w:r>
        <w:rPr>
          <w:rFonts w:ascii="Times New Roman" w:hAnsi="Times New Roman"/>
          <w:szCs w:val="24"/>
          <w:lang w:val="zh-CN" w:eastAsia="zh-CN"/>
        </w:rPr>
        <w:t xml:space="preserve">. New York, NY: Kogan Page Inc. </w:t>
      </w:r>
    </w:p>
    <w:p>
      <w:pPr>
        <w:spacing w:after="160"/>
        <w:rPr>
          <w:rFonts w:ascii="Times New Roman" w:hAnsi="Times New Roman" w:eastAsiaTheme="majorEastAsia"/>
          <w:b/>
          <w:szCs w:val="24"/>
          <w:shd w:val="clear" w:color="auto" w:fill="FFFFFF"/>
        </w:rPr>
      </w:pPr>
      <w:r>
        <w:rPr>
          <w:rFonts w:ascii="Times New Roman" w:hAnsi="Times New Roman"/>
          <w:b/>
          <w:szCs w:val="24"/>
          <w:shd w:val="clear" w:color="auto" w:fill="FFFFFF"/>
        </w:rPr>
        <w:br w:type="page"/>
      </w:r>
    </w:p>
    <w:p>
      <w:pPr>
        <w:pStyle w:val="2"/>
        <w:jc w:val="center"/>
        <w:rPr>
          <w:rFonts w:ascii="Times New Roman" w:hAnsi="Times New Roman" w:cs="Times New Roman"/>
          <w:b/>
          <w:color w:val="auto"/>
          <w:sz w:val="24"/>
          <w:szCs w:val="24"/>
          <w:shd w:val="clear" w:color="auto" w:fill="FFFFFF"/>
        </w:rPr>
      </w:pPr>
      <w:bookmarkStart w:id="10" w:name="_Toc127875396"/>
      <w:r>
        <w:rPr>
          <w:rFonts w:ascii="Times New Roman" w:hAnsi="Times New Roman" w:cs="Times New Roman"/>
          <w:b/>
          <w:color w:val="auto"/>
          <w:sz w:val="24"/>
          <w:szCs w:val="24"/>
          <w:shd w:val="clear" w:color="auto" w:fill="FFFFFF"/>
        </w:rPr>
        <w:t>7.0 Appendices</w:t>
      </w:r>
      <w:bookmarkEnd w:id="10"/>
    </w:p>
    <w:p>
      <w:pPr>
        <w:rPr>
          <w:rFonts w:ascii="Times New Roman" w:hAnsi="Times New Roman"/>
          <w:szCs w:val="24"/>
        </w:rPr>
      </w:pPr>
      <w:r>
        <w:rPr>
          <w:rFonts w:ascii="Times New Roman" w:hAnsi="Times New Roman"/>
          <w:szCs w:val="24"/>
        </w:rPr>
        <w:t>Appendix 1</w:t>
      </w:r>
    </w:p>
    <w:p>
      <w:pPr>
        <w:keepNext/>
        <w:jc w:val="both"/>
        <w:rPr>
          <w:rFonts w:ascii="Times New Roman" w:hAnsi="Times New Roman"/>
          <w:szCs w:val="24"/>
        </w:rPr>
      </w:pPr>
      <w:r>
        <w:rPr>
          <w:rFonts w:ascii="Times New Roman" w:hAnsi="Times New Roman"/>
          <w:szCs w:val="24"/>
          <w:shd w:val="clear" w:color="auto" w:fill="FFFFFF"/>
        </w:rPr>
        <w:t xml:space="preserve"> </w:t>
      </w:r>
      <w:r>
        <w:rPr>
          <w:rFonts w:ascii="Times New Roman" w:hAnsi="Times New Roman"/>
          <w:szCs w:val="24"/>
          <w:lang w:val="zh-CN" w:eastAsia="zh-CN"/>
        </w:rPr>
        <w:drawing>
          <wp:inline distT="0" distB="0" distL="0" distR="0">
            <wp:extent cx="4429125" cy="2657475"/>
            <wp:effectExtent l="0" t="0" r="9525" b="9525"/>
            <wp:docPr id="2" name="Picture 2" descr="Striking Ryanair pilots in Frankfurt, Germany, last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triking Ryanair pilots in Frankfurt, Germany, last yea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429125" cy="2657475"/>
                    </a:xfrm>
                    <a:prstGeom prst="rect">
                      <a:avLst/>
                    </a:prstGeom>
                    <a:noFill/>
                    <a:ln>
                      <a:noFill/>
                    </a:ln>
                  </pic:spPr>
                </pic:pic>
              </a:graphicData>
            </a:graphic>
          </wp:inline>
        </w:drawing>
      </w:r>
    </w:p>
    <w:p>
      <w:pPr>
        <w:pStyle w:val="4"/>
        <w:spacing w:line="480" w:lineRule="auto"/>
        <w:jc w:val="both"/>
        <w:rPr>
          <w:rFonts w:ascii="Times New Roman" w:hAnsi="Times New Roman"/>
          <w:color w:val="auto"/>
          <w:sz w:val="24"/>
          <w:szCs w:val="24"/>
        </w:rPr>
      </w:pPr>
      <w:r>
        <w:rPr>
          <w:rFonts w:ascii="Times New Roman" w:hAnsi="Times New Roman"/>
          <w:color w:val="auto"/>
          <w:sz w:val="24"/>
          <w:szCs w:val="24"/>
        </w:rPr>
        <w:t xml:space="preserve">Figure </w:t>
      </w:r>
      <w:r>
        <w:rPr>
          <w:rFonts w:ascii="Times New Roman" w:hAnsi="Times New Roman"/>
          <w:color w:val="auto"/>
          <w:sz w:val="24"/>
          <w:szCs w:val="24"/>
        </w:rPr>
        <w:fldChar w:fldCharType="begin"/>
      </w:r>
      <w:r>
        <w:rPr>
          <w:rFonts w:ascii="Times New Roman" w:hAnsi="Times New Roman"/>
          <w:color w:val="auto"/>
          <w:sz w:val="24"/>
          <w:szCs w:val="24"/>
        </w:rPr>
        <w:instrText xml:space="preserve"> SEQ Figure \* ARABIC </w:instrText>
      </w:r>
      <w:r>
        <w:rPr>
          <w:rFonts w:ascii="Times New Roman" w:hAnsi="Times New Roman"/>
          <w:color w:val="auto"/>
          <w:sz w:val="24"/>
          <w:szCs w:val="24"/>
        </w:rPr>
        <w:fldChar w:fldCharType="separate"/>
      </w:r>
      <w:r>
        <w:rPr>
          <w:rFonts w:ascii="Times New Roman" w:hAnsi="Times New Roman"/>
          <w:color w:val="auto"/>
          <w:sz w:val="24"/>
          <w:szCs w:val="24"/>
        </w:rPr>
        <w:t>1</w:t>
      </w:r>
      <w:r>
        <w:rPr>
          <w:rFonts w:ascii="Times New Roman" w:hAnsi="Times New Roman"/>
          <w:color w:val="auto"/>
          <w:sz w:val="24"/>
          <w:szCs w:val="24"/>
        </w:rPr>
        <w:fldChar w:fldCharType="end"/>
      </w:r>
      <w:r>
        <w:rPr>
          <w:rFonts w:ascii="Times New Roman" w:hAnsi="Times New Roman"/>
          <w:color w:val="auto"/>
          <w:sz w:val="24"/>
          <w:szCs w:val="24"/>
        </w:rPr>
        <w:t>: Striking workers in 2018 (Davies &amp; Brignall, 2019)</w:t>
      </w:r>
    </w:p>
    <w:p>
      <w:pPr>
        <w:rPr>
          <w:rFonts w:ascii="Times New Roman" w:hAnsi="Times New Roman"/>
          <w:szCs w:val="24"/>
        </w:rPr>
      </w:pPr>
      <w:r>
        <w:rPr>
          <w:rFonts w:ascii="Times New Roman" w:hAnsi="Times New Roman"/>
          <w:szCs w:val="24"/>
        </w:rPr>
        <w:t>Appendix 2</w:t>
      </w:r>
    </w:p>
    <w:p>
      <w:pPr>
        <w:keepNext/>
        <w:rPr>
          <w:rFonts w:ascii="Times New Roman" w:hAnsi="Times New Roman"/>
          <w:szCs w:val="24"/>
        </w:rPr>
      </w:pPr>
      <w:r>
        <w:rPr>
          <w:rFonts w:ascii="Times New Roman" w:hAnsi="Times New Roman"/>
          <w:szCs w:val="24"/>
          <w:lang w:val="zh-CN" w:eastAsia="zh-CN"/>
        </w:rPr>
        <w:drawing>
          <wp:inline distT="0" distB="0" distL="0" distR="0">
            <wp:extent cx="5731510" cy="2876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5731510" cy="2876550"/>
                    </a:xfrm>
                    <a:prstGeom prst="rect">
                      <a:avLst/>
                    </a:prstGeom>
                  </pic:spPr>
                </pic:pic>
              </a:graphicData>
            </a:graphic>
          </wp:inline>
        </w:drawing>
      </w:r>
    </w:p>
    <w:p>
      <w:pPr>
        <w:pStyle w:val="4"/>
        <w:spacing w:line="480" w:lineRule="auto"/>
        <w:rPr>
          <w:rFonts w:ascii="Times New Roman" w:hAnsi="Times New Roman"/>
          <w:color w:val="auto"/>
          <w:sz w:val="24"/>
          <w:szCs w:val="24"/>
        </w:rPr>
      </w:pPr>
      <w:r>
        <w:rPr>
          <w:rFonts w:ascii="Times New Roman" w:hAnsi="Times New Roman"/>
          <w:color w:val="auto"/>
          <w:sz w:val="24"/>
          <w:szCs w:val="24"/>
        </w:rPr>
        <w:t xml:space="preserve">Figure </w:t>
      </w:r>
      <w:r>
        <w:rPr>
          <w:rFonts w:ascii="Times New Roman" w:hAnsi="Times New Roman"/>
          <w:color w:val="auto"/>
          <w:sz w:val="24"/>
          <w:szCs w:val="24"/>
        </w:rPr>
        <w:fldChar w:fldCharType="begin"/>
      </w:r>
      <w:r>
        <w:rPr>
          <w:rFonts w:ascii="Times New Roman" w:hAnsi="Times New Roman"/>
          <w:color w:val="auto"/>
          <w:sz w:val="24"/>
          <w:szCs w:val="24"/>
        </w:rPr>
        <w:instrText xml:space="preserve"> SEQ Figure \* ARABIC </w:instrText>
      </w:r>
      <w:r>
        <w:rPr>
          <w:rFonts w:ascii="Times New Roman" w:hAnsi="Times New Roman"/>
          <w:color w:val="auto"/>
          <w:sz w:val="24"/>
          <w:szCs w:val="24"/>
        </w:rPr>
        <w:fldChar w:fldCharType="separate"/>
      </w:r>
      <w:r>
        <w:rPr>
          <w:rFonts w:ascii="Times New Roman" w:hAnsi="Times New Roman"/>
          <w:color w:val="auto"/>
          <w:sz w:val="24"/>
          <w:szCs w:val="24"/>
        </w:rPr>
        <w:t>2</w:t>
      </w:r>
      <w:r>
        <w:rPr>
          <w:rFonts w:ascii="Times New Roman" w:hAnsi="Times New Roman"/>
          <w:color w:val="auto"/>
          <w:sz w:val="24"/>
          <w:szCs w:val="24"/>
        </w:rPr>
        <w:fldChar w:fldCharType="end"/>
      </w:r>
      <w:r>
        <w:rPr>
          <w:rFonts w:ascii="Times New Roman" w:hAnsi="Times New Roman"/>
          <w:color w:val="auto"/>
          <w:sz w:val="24"/>
          <w:szCs w:val="24"/>
        </w:rPr>
        <w:t>: The leading airlines in Europe (Statista (2), 2023)</w:t>
      </w: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color w:val="auto"/>
        <w:sz w:val="24"/>
        <w:szCs w:val="24"/>
      </w:rPr>
      <w:id w:val="1217624413"/>
      <w:docPartObj>
        <w:docPartGallery w:val="autotext"/>
      </w:docPartObj>
    </w:sdtPr>
    <w:sdtEndPr>
      <w:rPr>
        <w:rFonts w:ascii="Times New Roman" w:hAnsi="Times New Roman" w:cs="Times New Roman"/>
        <w:color w:val="auto"/>
        <w:sz w:val="24"/>
        <w:szCs w:val="24"/>
      </w:rPr>
    </w:sdtEndPr>
    <w:sdtContent>
      <w:p>
        <w:pPr>
          <w:pStyle w:val="19"/>
          <w:spacing w:line="480" w:lineRule="auto"/>
          <w:jc w:val="right"/>
          <w:rPr>
            <w:rFonts w:ascii="Times New Roman" w:hAnsi="Times New Roman" w:eastAsia="Times New Roman" w:cs="Times New Roman"/>
            <w:color w:val="auto"/>
            <w:sz w:val="24"/>
            <w:szCs w:val="24"/>
            <w:lang w:val="en-GB" w:eastAsia="en-GB"/>
          </w:rPr>
        </w:pPr>
        <w:r>
          <w:rPr>
            <w:rFonts w:ascii="Times New Roman" w:hAnsi="Times New Roman" w:eastAsia="Times New Roman" w:cs="Times New Roman"/>
            <w:color w:val="auto"/>
            <w:sz w:val="24"/>
            <w:szCs w:val="24"/>
            <w:lang w:val="en-GB" w:eastAsia="en-GB"/>
          </w:rPr>
          <w:t xml:space="preserve">Employee Engagement at Ryanair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PAGE   \* MERGEFORMAT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16</w:t>
        </w:r>
        <w:r>
          <w:rPr>
            <w:rFonts w:ascii="Times New Roman" w:hAnsi="Times New Roman" w:cs="Times New Roman"/>
            <w:color w:val="auto"/>
            <w:sz w:val="24"/>
            <w:szCs w:val="24"/>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09525D2"/>
    <w:multiLevelType w:val="multilevel"/>
    <w:tmpl w:val="509525D2"/>
    <w:lvl w:ilvl="0" w:tentative="0">
      <w:start w:val="3"/>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hideSpellingErrors/>
  <w:hideGrammaticalErrors/>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AAEubmZoaWpmYWRko6SsGpxcWZ+XkgBca1AJeZBdUsAAAA"/>
    <w:docVar w:name="commondata" w:val="eyJoZGlkIjoiOWMyMThjZTllOGM3Y2RkYjE5MDliM2E4MzNkOGM1MWUifQ=="/>
  </w:docVars>
  <w:rsids>
    <w:rsidRoot w:val="008330CA"/>
    <w:rsid w:val="0000183E"/>
    <w:rsid w:val="00010818"/>
    <w:rsid w:val="00020487"/>
    <w:rsid w:val="000251DE"/>
    <w:rsid w:val="00026B60"/>
    <w:rsid w:val="00033A26"/>
    <w:rsid w:val="00035517"/>
    <w:rsid w:val="000406B6"/>
    <w:rsid w:val="00044F60"/>
    <w:rsid w:val="00051D71"/>
    <w:rsid w:val="000624BF"/>
    <w:rsid w:val="00064060"/>
    <w:rsid w:val="00073376"/>
    <w:rsid w:val="00074FD4"/>
    <w:rsid w:val="00076471"/>
    <w:rsid w:val="000831DB"/>
    <w:rsid w:val="00084FBD"/>
    <w:rsid w:val="00086294"/>
    <w:rsid w:val="00096910"/>
    <w:rsid w:val="000A0C36"/>
    <w:rsid w:val="000A0EA3"/>
    <w:rsid w:val="000A3F51"/>
    <w:rsid w:val="000A3FEB"/>
    <w:rsid w:val="000B5B19"/>
    <w:rsid w:val="000C59F3"/>
    <w:rsid w:val="000C7ECF"/>
    <w:rsid w:val="000E1B0F"/>
    <w:rsid w:val="000E7324"/>
    <w:rsid w:val="000F4FC0"/>
    <w:rsid w:val="00101DF2"/>
    <w:rsid w:val="00111F6A"/>
    <w:rsid w:val="00114F4A"/>
    <w:rsid w:val="001218D3"/>
    <w:rsid w:val="00124C00"/>
    <w:rsid w:val="00124C37"/>
    <w:rsid w:val="001257E1"/>
    <w:rsid w:val="001326B7"/>
    <w:rsid w:val="00133E42"/>
    <w:rsid w:val="00140691"/>
    <w:rsid w:val="00141F6D"/>
    <w:rsid w:val="00162993"/>
    <w:rsid w:val="001635F7"/>
    <w:rsid w:val="0017609B"/>
    <w:rsid w:val="00176F07"/>
    <w:rsid w:val="001776A0"/>
    <w:rsid w:val="001816C3"/>
    <w:rsid w:val="00183ACA"/>
    <w:rsid w:val="0018647F"/>
    <w:rsid w:val="00193583"/>
    <w:rsid w:val="001A2A7C"/>
    <w:rsid w:val="001A4A56"/>
    <w:rsid w:val="001B5544"/>
    <w:rsid w:val="001B5CFF"/>
    <w:rsid w:val="001B7B87"/>
    <w:rsid w:val="001D0063"/>
    <w:rsid w:val="001D0936"/>
    <w:rsid w:val="001E059F"/>
    <w:rsid w:val="001E366E"/>
    <w:rsid w:val="001F0463"/>
    <w:rsid w:val="001F095A"/>
    <w:rsid w:val="001F34AA"/>
    <w:rsid w:val="00201309"/>
    <w:rsid w:val="00203D58"/>
    <w:rsid w:val="00207010"/>
    <w:rsid w:val="00210A66"/>
    <w:rsid w:val="00211A5D"/>
    <w:rsid w:val="002147B4"/>
    <w:rsid w:val="0022247D"/>
    <w:rsid w:val="00223AE0"/>
    <w:rsid w:val="0024736C"/>
    <w:rsid w:val="00264993"/>
    <w:rsid w:val="00270449"/>
    <w:rsid w:val="00284037"/>
    <w:rsid w:val="00295757"/>
    <w:rsid w:val="0029752F"/>
    <w:rsid w:val="002A6BBB"/>
    <w:rsid w:val="002B1B5F"/>
    <w:rsid w:val="002B552C"/>
    <w:rsid w:val="002B5D6A"/>
    <w:rsid w:val="002C3DCB"/>
    <w:rsid w:val="002D75E6"/>
    <w:rsid w:val="002E1FBD"/>
    <w:rsid w:val="002E59C8"/>
    <w:rsid w:val="002E64AA"/>
    <w:rsid w:val="002F3FCE"/>
    <w:rsid w:val="002F7A9F"/>
    <w:rsid w:val="0030182F"/>
    <w:rsid w:val="00307657"/>
    <w:rsid w:val="00313888"/>
    <w:rsid w:val="0031464B"/>
    <w:rsid w:val="00323F8C"/>
    <w:rsid w:val="003265EF"/>
    <w:rsid w:val="00326EE9"/>
    <w:rsid w:val="003319DE"/>
    <w:rsid w:val="00341E21"/>
    <w:rsid w:val="00354901"/>
    <w:rsid w:val="00363AE6"/>
    <w:rsid w:val="00363C3A"/>
    <w:rsid w:val="00366AD2"/>
    <w:rsid w:val="0037056F"/>
    <w:rsid w:val="00370A7B"/>
    <w:rsid w:val="0037670B"/>
    <w:rsid w:val="003828E7"/>
    <w:rsid w:val="00392C5A"/>
    <w:rsid w:val="00393797"/>
    <w:rsid w:val="0039646C"/>
    <w:rsid w:val="00396CE4"/>
    <w:rsid w:val="003A58EA"/>
    <w:rsid w:val="003B0812"/>
    <w:rsid w:val="003B3D23"/>
    <w:rsid w:val="003B42F7"/>
    <w:rsid w:val="003B5764"/>
    <w:rsid w:val="003B7AD2"/>
    <w:rsid w:val="003C22B6"/>
    <w:rsid w:val="003C54EB"/>
    <w:rsid w:val="003C7952"/>
    <w:rsid w:val="003D3038"/>
    <w:rsid w:val="003D3372"/>
    <w:rsid w:val="003D53E7"/>
    <w:rsid w:val="003D69BC"/>
    <w:rsid w:val="003D76E2"/>
    <w:rsid w:val="003D77AB"/>
    <w:rsid w:val="003E2AA9"/>
    <w:rsid w:val="003E40A5"/>
    <w:rsid w:val="003E432D"/>
    <w:rsid w:val="003F1A17"/>
    <w:rsid w:val="003F369E"/>
    <w:rsid w:val="00403804"/>
    <w:rsid w:val="00404A85"/>
    <w:rsid w:val="00405638"/>
    <w:rsid w:val="00416D1E"/>
    <w:rsid w:val="004313A6"/>
    <w:rsid w:val="00436B32"/>
    <w:rsid w:val="00442A82"/>
    <w:rsid w:val="00444C7E"/>
    <w:rsid w:val="00445EB1"/>
    <w:rsid w:val="00447EFA"/>
    <w:rsid w:val="00451D62"/>
    <w:rsid w:val="004565CA"/>
    <w:rsid w:val="004568BB"/>
    <w:rsid w:val="00457910"/>
    <w:rsid w:val="004672EE"/>
    <w:rsid w:val="004675AD"/>
    <w:rsid w:val="00472BB6"/>
    <w:rsid w:val="00480624"/>
    <w:rsid w:val="00481E81"/>
    <w:rsid w:val="00482789"/>
    <w:rsid w:val="00487402"/>
    <w:rsid w:val="00490D3B"/>
    <w:rsid w:val="00495A9E"/>
    <w:rsid w:val="004A05FD"/>
    <w:rsid w:val="004A6359"/>
    <w:rsid w:val="004B3422"/>
    <w:rsid w:val="004B45FA"/>
    <w:rsid w:val="004B4F03"/>
    <w:rsid w:val="004C2D1E"/>
    <w:rsid w:val="004C3A7A"/>
    <w:rsid w:val="004C66D7"/>
    <w:rsid w:val="004D0622"/>
    <w:rsid w:val="004D1D5E"/>
    <w:rsid w:val="004D66B5"/>
    <w:rsid w:val="004E5DA5"/>
    <w:rsid w:val="004E7A6A"/>
    <w:rsid w:val="004F01B9"/>
    <w:rsid w:val="0051280E"/>
    <w:rsid w:val="005129E4"/>
    <w:rsid w:val="00512CFA"/>
    <w:rsid w:val="0051416B"/>
    <w:rsid w:val="0051419A"/>
    <w:rsid w:val="005152B4"/>
    <w:rsid w:val="00517D25"/>
    <w:rsid w:val="005256F5"/>
    <w:rsid w:val="00531D9F"/>
    <w:rsid w:val="00541F95"/>
    <w:rsid w:val="00556CF7"/>
    <w:rsid w:val="00562CB7"/>
    <w:rsid w:val="00571BCD"/>
    <w:rsid w:val="005842E2"/>
    <w:rsid w:val="00585213"/>
    <w:rsid w:val="00591C96"/>
    <w:rsid w:val="005A287D"/>
    <w:rsid w:val="005B123D"/>
    <w:rsid w:val="005B4C7B"/>
    <w:rsid w:val="005B701F"/>
    <w:rsid w:val="005D14CB"/>
    <w:rsid w:val="005D3D52"/>
    <w:rsid w:val="005D459B"/>
    <w:rsid w:val="005D6577"/>
    <w:rsid w:val="005E6A32"/>
    <w:rsid w:val="005F2DEC"/>
    <w:rsid w:val="00611022"/>
    <w:rsid w:val="006121AE"/>
    <w:rsid w:val="0061246E"/>
    <w:rsid w:val="006130E6"/>
    <w:rsid w:val="006160FA"/>
    <w:rsid w:val="00622031"/>
    <w:rsid w:val="00622BB3"/>
    <w:rsid w:val="0062471F"/>
    <w:rsid w:val="00634A3D"/>
    <w:rsid w:val="00646857"/>
    <w:rsid w:val="00651176"/>
    <w:rsid w:val="006566A4"/>
    <w:rsid w:val="006652E0"/>
    <w:rsid w:val="00675512"/>
    <w:rsid w:val="00680329"/>
    <w:rsid w:val="00681053"/>
    <w:rsid w:val="00690DEB"/>
    <w:rsid w:val="00692787"/>
    <w:rsid w:val="00693E54"/>
    <w:rsid w:val="00694186"/>
    <w:rsid w:val="0069519D"/>
    <w:rsid w:val="006A283E"/>
    <w:rsid w:val="006A2E84"/>
    <w:rsid w:val="006A3CE2"/>
    <w:rsid w:val="006B3411"/>
    <w:rsid w:val="006B35F3"/>
    <w:rsid w:val="006B6934"/>
    <w:rsid w:val="006C0052"/>
    <w:rsid w:val="006D04A2"/>
    <w:rsid w:val="006D11C3"/>
    <w:rsid w:val="006D5F71"/>
    <w:rsid w:val="006D6FCF"/>
    <w:rsid w:val="006D79C9"/>
    <w:rsid w:val="006E3639"/>
    <w:rsid w:val="006E4E3A"/>
    <w:rsid w:val="006F1E58"/>
    <w:rsid w:val="006F24AB"/>
    <w:rsid w:val="006F3558"/>
    <w:rsid w:val="006F56A2"/>
    <w:rsid w:val="006F62AD"/>
    <w:rsid w:val="00703DB3"/>
    <w:rsid w:val="007057AD"/>
    <w:rsid w:val="007173A5"/>
    <w:rsid w:val="00720D87"/>
    <w:rsid w:val="0073229C"/>
    <w:rsid w:val="00734713"/>
    <w:rsid w:val="00737888"/>
    <w:rsid w:val="00740C3A"/>
    <w:rsid w:val="00742C38"/>
    <w:rsid w:val="007439B0"/>
    <w:rsid w:val="00753324"/>
    <w:rsid w:val="00753795"/>
    <w:rsid w:val="00756294"/>
    <w:rsid w:val="0075785D"/>
    <w:rsid w:val="007616DC"/>
    <w:rsid w:val="00761BE6"/>
    <w:rsid w:val="007648AB"/>
    <w:rsid w:val="00766331"/>
    <w:rsid w:val="0076690B"/>
    <w:rsid w:val="00766D30"/>
    <w:rsid w:val="00770C6A"/>
    <w:rsid w:val="0079707B"/>
    <w:rsid w:val="00797B3E"/>
    <w:rsid w:val="007A6C63"/>
    <w:rsid w:val="007B16CF"/>
    <w:rsid w:val="007C4D33"/>
    <w:rsid w:val="007C617B"/>
    <w:rsid w:val="007D10F7"/>
    <w:rsid w:val="007D3513"/>
    <w:rsid w:val="007D375F"/>
    <w:rsid w:val="007E608A"/>
    <w:rsid w:val="00803E79"/>
    <w:rsid w:val="00803FE0"/>
    <w:rsid w:val="00807741"/>
    <w:rsid w:val="00811EE8"/>
    <w:rsid w:val="00817800"/>
    <w:rsid w:val="00824D4E"/>
    <w:rsid w:val="008330CA"/>
    <w:rsid w:val="00836E11"/>
    <w:rsid w:val="00840847"/>
    <w:rsid w:val="008434B5"/>
    <w:rsid w:val="00850BA3"/>
    <w:rsid w:val="00864464"/>
    <w:rsid w:val="00864FB9"/>
    <w:rsid w:val="0087443B"/>
    <w:rsid w:val="00880164"/>
    <w:rsid w:val="00881959"/>
    <w:rsid w:val="0088354D"/>
    <w:rsid w:val="008911B9"/>
    <w:rsid w:val="00895DC4"/>
    <w:rsid w:val="00895E33"/>
    <w:rsid w:val="008A3DE1"/>
    <w:rsid w:val="008A418D"/>
    <w:rsid w:val="008A77CA"/>
    <w:rsid w:val="008B2DB4"/>
    <w:rsid w:val="008B690B"/>
    <w:rsid w:val="008C44C7"/>
    <w:rsid w:val="008D57C7"/>
    <w:rsid w:val="008E1837"/>
    <w:rsid w:val="008E69FC"/>
    <w:rsid w:val="008F62E2"/>
    <w:rsid w:val="008F69E1"/>
    <w:rsid w:val="00901B2F"/>
    <w:rsid w:val="00901C7C"/>
    <w:rsid w:val="00904295"/>
    <w:rsid w:val="00913CF5"/>
    <w:rsid w:val="00914BDF"/>
    <w:rsid w:val="00917BB1"/>
    <w:rsid w:val="00920FD5"/>
    <w:rsid w:val="00926DAD"/>
    <w:rsid w:val="00935AFB"/>
    <w:rsid w:val="00941D7A"/>
    <w:rsid w:val="0094342B"/>
    <w:rsid w:val="009454DD"/>
    <w:rsid w:val="00947108"/>
    <w:rsid w:val="00952A45"/>
    <w:rsid w:val="009556C7"/>
    <w:rsid w:val="00965A80"/>
    <w:rsid w:val="00971820"/>
    <w:rsid w:val="00971C0F"/>
    <w:rsid w:val="009723D7"/>
    <w:rsid w:val="00975293"/>
    <w:rsid w:val="009754FB"/>
    <w:rsid w:val="00983603"/>
    <w:rsid w:val="00985F54"/>
    <w:rsid w:val="00995F7C"/>
    <w:rsid w:val="00997014"/>
    <w:rsid w:val="009B0E92"/>
    <w:rsid w:val="009C0281"/>
    <w:rsid w:val="009C3E30"/>
    <w:rsid w:val="009C6328"/>
    <w:rsid w:val="009D3E11"/>
    <w:rsid w:val="009D6947"/>
    <w:rsid w:val="009D6C61"/>
    <w:rsid w:val="009D779E"/>
    <w:rsid w:val="009E0A6F"/>
    <w:rsid w:val="009F17BD"/>
    <w:rsid w:val="009F1FAF"/>
    <w:rsid w:val="009F2872"/>
    <w:rsid w:val="009F4C09"/>
    <w:rsid w:val="00A026EE"/>
    <w:rsid w:val="00A0336B"/>
    <w:rsid w:val="00A05F70"/>
    <w:rsid w:val="00A06AA4"/>
    <w:rsid w:val="00A154F1"/>
    <w:rsid w:val="00A22583"/>
    <w:rsid w:val="00A27D4A"/>
    <w:rsid w:val="00A355D5"/>
    <w:rsid w:val="00A36F8D"/>
    <w:rsid w:val="00A37D4E"/>
    <w:rsid w:val="00A64AC5"/>
    <w:rsid w:val="00A65151"/>
    <w:rsid w:val="00A65773"/>
    <w:rsid w:val="00A71C12"/>
    <w:rsid w:val="00A75DE3"/>
    <w:rsid w:val="00A871EA"/>
    <w:rsid w:val="00A87804"/>
    <w:rsid w:val="00A9191C"/>
    <w:rsid w:val="00A95065"/>
    <w:rsid w:val="00AA20ED"/>
    <w:rsid w:val="00AA2DA9"/>
    <w:rsid w:val="00AC05A3"/>
    <w:rsid w:val="00AC322F"/>
    <w:rsid w:val="00AD31A2"/>
    <w:rsid w:val="00AD3BCB"/>
    <w:rsid w:val="00AD3C98"/>
    <w:rsid w:val="00AE2DC1"/>
    <w:rsid w:val="00AE4236"/>
    <w:rsid w:val="00AE6455"/>
    <w:rsid w:val="00AF2930"/>
    <w:rsid w:val="00AF6DF9"/>
    <w:rsid w:val="00B034F0"/>
    <w:rsid w:val="00B06D6B"/>
    <w:rsid w:val="00B10580"/>
    <w:rsid w:val="00B14FF5"/>
    <w:rsid w:val="00B16C6C"/>
    <w:rsid w:val="00B206CE"/>
    <w:rsid w:val="00B21032"/>
    <w:rsid w:val="00B22458"/>
    <w:rsid w:val="00B2697B"/>
    <w:rsid w:val="00B26DC4"/>
    <w:rsid w:val="00B343CD"/>
    <w:rsid w:val="00B40EA7"/>
    <w:rsid w:val="00B43A5C"/>
    <w:rsid w:val="00B538C2"/>
    <w:rsid w:val="00B572D0"/>
    <w:rsid w:val="00B60EF3"/>
    <w:rsid w:val="00B65AD2"/>
    <w:rsid w:val="00B65DFF"/>
    <w:rsid w:val="00B72627"/>
    <w:rsid w:val="00B733ED"/>
    <w:rsid w:val="00B82D14"/>
    <w:rsid w:val="00B833BB"/>
    <w:rsid w:val="00B91123"/>
    <w:rsid w:val="00B91332"/>
    <w:rsid w:val="00B93491"/>
    <w:rsid w:val="00BA6711"/>
    <w:rsid w:val="00BB29B1"/>
    <w:rsid w:val="00BB4BE4"/>
    <w:rsid w:val="00BC2896"/>
    <w:rsid w:val="00BC358D"/>
    <w:rsid w:val="00BC58AD"/>
    <w:rsid w:val="00BC727C"/>
    <w:rsid w:val="00BE529F"/>
    <w:rsid w:val="00BE7B2F"/>
    <w:rsid w:val="00BF6740"/>
    <w:rsid w:val="00C0152E"/>
    <w:rsid w:val="00C01A9A"/>
    <w:rsid w:val="00C24154"/>
    <w:rsid w:val="00C34A0E"/>
    <w:rsid w:val="00C350C2"/>
    <w:rsid w:val="00C367D8"/>
    <w:rsid w:val="00C44A30"/>
    <w:rsid w:val="00C452EF"/>
    <w:rsid w:val="00C61631"/>
    <w:rsid w:val="00C733CC"/>
    <w:rsid w:val="00C74795"/>
    <w:rsid w:val="00C77E27"/>
    <w:rsid w:val="00C802AA"/>
    <w:rsid w:val="00C82865"/>
    <w:rsid w:val="00C832E2"/>
    <w:rsid w:val="00C84DA1"/>
    <w:rsid w:val="00CB2F16"/>
    <w:rsid w:val="00CC3421"/>
    <w:rsid w:val="00CD2444"/>
    <w:rsid w:val="00CD2FC9"/>
    <w:rsid w:val="00CD4D1E"/>
    <w:rsid w:val="00CD7853"/>
    <w:rsid w:val="00CF0B20"/>
    <w:rsid w:val="00CF18A5"/>
    <w:rsid w:val="00CF2D1D"/>
    <w:rsid w:val="00CF6DD7"/>
    <w:rsid w:val="00D0677C"/>
    <w:rsid w:val="00D23F27"/>
    <w:rsid w:val="00D2716D"/>
    <w:rsid w:val="00D504FC"/>
    <w:rsid w:val="00D509A9"/>
    <w:rsid w:val="00D543D0"/>
    <w:rsid w:val="00D6768D"/>
    <w:rsid w:val="00D67D82"/>
    <w:rsid w:val="00D707BD"/>
    <w:rsid w:val="00D738F2"/>
    <w:rsid w:val="00D74CA3"/>
    <w:rsid w:val="00D7704C"/>
    <w:rsid w:val="00D828AD"/>
    <w:rsid w:val="00D86EDD"/>
    <w:rsid w:val="00D96B2D"/>
    <w:rsid w:val="00D96BB1"/>
    <w:rsid w:val="00DA2366"/>
    <w:rsid w:val="00DA296B"/>
    <w:rsid w:val="00DA53DF"/>
    <w:rsid w:val="00DA5472"/>
    <w:rsid w:val="00DB04A2"/>
    <w:rsid w:val="00DB3CD7"/>
    <w:rsid w:val="00DB3F88"/>
    <w:rsid w:val="00DC4C94"/>
    <w:rsid w:val="00DC4D91"/>
    <w:rsid w:val="00DD4925"/>
    <w:rsid w:val="00DD55E7"/>
    <w:rsid w:val="00DE4DB3"/>
    <w:rsid w:val="00DF24D8"/>
    <w:rsid w:val="00E01A47"/>
    <w:rsid w:val="00E128E4"/>
    <w:rsid w:val="00E151B4"/>
    <w:rsid w:val="00E3292B"/>
    <w:rsid w:val="00E34E07"/>
    <w:rsid w:val="00E351D6"/>
    <w:rsid w:val="00E35E41"/>
    <w:rsid w:val="00E36A0D"/>
    <w:rsid w:val="00E42F4F"/>
    <w:rsid w:val="00E43C1E"/>
    <w:rsid w:val="00E45313"/>
    <w:rsid w:val="00E50DC0"/>
    <w:rsid w:val="00E529B6"/>
    <w:rsid w:val="00E63CBA"/>
    <w:rsid w:val="00E7454C"/>
    <w:rsid w:val="00E8044A"/>
    <w:rsid w:val="00E80F95"/>
    <w:rsid w:val="00E83981"/>
    <w:rsid w:val="00E83BE1"/>
    <w:rsid w:val="00E85F68"/>
    <w:rsid w:val="00EA0AA1"/>
    <w:rsid w:val="00EA2A5B"/>
    <w:rsid w:val="00EA3A96"/>
    <w:rsid w:val="00EA5B38"/>
    <w:rsid w:val="00EB0476"/>
    <w:rsid w:val="00EB3164"/>
    <w:rsid w:val="00EB6014"/>
    <w:rsid w:val="00EC4DB6"/>
    <w:rsid w:val="00EC6AE2"/>
    <w:rsid w:val="00EC7EB1"/>
    <w:rsid w:val="00ED36E8"/>
    <w:rsid w:val="00ED61F1"/>
    <w:rsid w:val="00EF7BFE"/>
    <w:rsid w:val="00F065EA"/>
    <w:rsid w:val="00F129E6"/>
    <w:rsid w:val="00F16711"/>
    <w:rsid w:val="00F37201"/>
    <w:rsid w:val="00F523E5"/>
    <w:rsid w:val="00F57897"/>
    <w:rsid w:val="00F63B24"/>
    <w:rsid w:val="00F63C3F"/>
    <w:rsid w:val="00F84914"/>
    <w:rsid w:val="00F85FD6"/>
    <w:rsid w:val="00F94122"/>
    <w:rsid w:val="00FB2BE5"/>
    <w:rsid w:val="00FC0DB6"/>
    <w:rsid w:val="00FD5AC8"/>
    <w:rsid w:val="00FE2770"/>
    <w:rsid w:val="00FE4475"/>
    <w:rsid w:val="00FF4373"/>
    <w:rsid w:val="00FF6EA8"/>
    <w:rsid w:val="11C4697F"/>
    <w:rsid w:val="26D450C1"/>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pPr>
    <w:rPr>
      <w:rFonts w:ascii="Arial" w:hAnsi="Arial" w:eastAsia="Times New Roman" w:cs="Times New Roman"/>
      <w:sz w:val="24"/>
      <w:szCs w:val="20"/>
      <w:lang w:val="en-GB" w:eastAsia="en-GB" w:bidi="ar-SA"/>
    </w:rPr>
  </w:style>
  <w:style w:type="paragraph" w:styleId="2">
    <w:name w:val="heading 1"/>
    <w:basedOn w:val="1"/>
    <w:next w:val="1"/>
    <w:link w:val="18"/>
    <w:qFormat/>
    <w:uiPriority w:val="9"/>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0"/>
    <w:unhideWhenUsed/>
    <w:qFormat/>
    <w:uiPriority w:val="9"/>
    <w:pPr>
      <w:keepNext/>
      <w:keepLines/>
      <w:spacing w:before="40"/>
      <w:outlineLvl w:val="1"/>
    </w:pPr>
    <w:rPr>
      <w:rFonts w:asciiTheme="majorHAnsi" w:hAnsiTheme="majorHAnsi" w:eastAsiaTheme="majorEastAsia" w:cstheme="majorBidi"/>
      <w:color w:val="2E75B6" w:themeColor="accent1" w:themeShade="BF"/>
      <w:sz w:val="26"/>
      <w:szCs w:val="26"/>
    </w:rPr>
  </w:style>
  <w:style w:type="character" w:default="1" w:styleId="11">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4">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5">
    <w:name w:val="footer"/>
    <w:basedOn w:val="1"/>
    <w:link w:val="17"/>
    <w:unhideWhenUsed/>
    <w:uiPriority w:val="99"/>
    <w:pPr>
      <w:tabs>
        <w:tab w:val="center" w:pos="4513"/>
        <w:tab w:val="right" w:pos="9026"/>
      </w:tabs>
      <w:spacing w:line="240" w:lineRule="auto"/>
    </w:pPr>
  </w:style>
  <w:style w:type="paragraph" w:styleId="6">
    <w:name w:val="header"/>
    <w:basedOn w:val="1"/>
    <w:link w:val="16"/>
    <w:unhideWhenUsed/>
    <w:uiPriority w:val="99"/>
    <w:pPr>
      <w:tabs>
        <w:tab w:val="center" w:pos="4513"/>
        <w:tab w:val="right" w:pos="9026"/>
      </w:tabs>
      <w:spacing w:line="240" w:lineRule="auto"/>
    </w:p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40"/>
    </w:pPr>
  </w:style>
  <w:style w:type="paragraph" w:styleId="9">
    <w:name w:val="Normal (Web)"/>
    <w:basedOn w:val="1"/>
    <w:unhideWhenUsed/>
    <w:qFormat/>
    <w:uiPriority w:val="99"/>
    <w:pPr>
      <w:spacing w:before="100" w:beforeAutospacing="1" w:after="100" w:afterAutospacing="1" w:line="240" w:lineRule="auto"/>
    </w:pPr>
    <w:rPr>
      <w:rFonts w:ascii="Times New Roman" w:hAnsi="Times New Roman"/>
      <w:szCs w:val="24"/>
      <w:lang w:val="zh-CN" w:eastAsia="zh-CN"/>
    </w:rPr>
  </w:style>
  <w:style w:type="character" w:styleId="12">
    <w:name w:val="Strong"/>
    <w:qFormat/>
    <w:uiPriority w:val="0"/>
    <w:rPr>
      <w:b/>
      <w:bCs/>
    </w:rPr>
  </w:style>
  <w:style w:type="character" w:styleId="13">
    <w:name w:val="Hyperlink"/>
    <w:basedOn w:val="11"/>
    <w:unhideWhenUsed/>
    <w:qFormat/>
    <w:uiPriority w:val="99"/>
    <w:rPr>
      <w:color w:val="0563C1" w:themeColor="hyperlink"/>
      <w:u w:val="single"/>
      <w14:textFill>
        <w14:solidFill>
          <w14:schemeClr w14:val="hlink"/>
        </w14:solidFill>
      </w14:textFill>
    </w:rPr>
  </w:style>
  <w:style w:type="paragraph" w:styleId="14">
    <w:name w:val="List Paragraph"/>
    <w:basedOn w:val="1"/>
    <w:link w:val="15"/>
    <w:qFormat/>
    <w:uiPriority w:val="34"/>
    <w:pPr>
      <w:ind w:left="720"/>
      <w:contextualSpacing/>
    </w:pPr>
  </w:style>
  <w:style w:type="character" w:customStyle="1" w:styleId="15">
    <w:name w:val="List Paragraph Char"/>
    <w:link w:val="14"/>
    <w:locked/>
    <w:uiPriority w:val="34"/>
    <w:rPr>
      <w:rFonts w:ascii="Arial" w:hAnsi="Arial" w:eastAsia="Times New Roman" w:cs="Times New Roman"/>
      <w:sz w:val="24"/>
      <w:szCs w:val="20"/>
      <w:lang w:val="en-GB" w:eastAsia="en-GB"/>
    </w:rPr>
  </w:style>
  <w:style w:type="character" w:customStyle="1" w:styleId="16">
    <w:name w:val="Header Char"/>
    <w:basedOn w:val="11"/>
    <w:link w:val="6"/>
    <w:uiPriority w:val="99"/>
    <w:rPr>
      <w:rFonts w:ascii="Arial" w:hAnsi="Arial" w:eastAsia="Times New Roman" w:cs="Times New Roman"/>
      <w:sz w:val="24"/>
      <w:szCs w:val="20"/>
      <w:lang w:val="en-GB" w:eastAsia="en-GB"/>
    </w:rPr>
  </w:style>
  <w:style w:type="character" w:customStyle="1" w:styleId="17">
    <w:name w:val="Footer Char"/>
    <w:basedOn w:val="11"/>
    <w:link w:val="5"/>
    <w:uiPriority w:val="99"/>
    <w:rPr>
      <w:rFonts w:ascii="Arial" w:hAnsi="Arial" w:eastAsia="Times New Roman" w:cs="Times New Roman"/>
      <w:sz w:val="24"/>
      <w:szCs w:val="20"/>
      <w:lang w:val="en-GB" w:eastAsia="en-GB"/>
    </w:rPr>
  </w:style>
  <w:style w:type="character" w:customStyle="1" w:styleId="18">
    <w:name w:val="Heading 1 Char"/>
    <w:basedOn w:val="11"/>
    <w:link w:val="2"/>
    <w:uiPriority w:val="9"/>
    <w:rPr>
      <w:rFonts w:asciiTheme="majorHAnsi" w:hAnsiTheme="majorHAnsi" w:eastAsiaTheme="majorEastAsia" w:cstheme="majorBidi"/>
      <w:color w:val="2E75B6" w:themeColor="accent1" w:themeShade="BF"/>
      <w:sz w:val="32"/>
      <w:szCs w:val="32"/>
      <w:lang w:val="en-GB" w:eastAsia="en-GB"/>
    </w:rPr>
  </w:style>
  <w:style w:type="paragraph" w:customStyle="1" w:styleId="19">
    <w:name w:val="TOC Heading"/>
    <w:basedOn w:val="2"/>
    <w:next w:val="1"/>
    <w:unhideWhenUsed/>
    <w:qFormat/>
    <w:uiPriority w:val="39"/>
    <w:pPr>
      <w:spacing w:line="259" w:lineRule="auto"/>
      <w:outlineLvl w:val="9"/>
    </w:pPr>
    <w:rPr>
      <w:lang w:val="en-US" w:eastAsia="en-US"/>
    </w:rPr>
  </w:style>
  <w:style w:type="character" w:customStyle="1" w:styleId="20">
    <w:name w:val="Heading 2 Char"/>
    <w:basedOn w:val="11"/>
    <w:link w:val="3"/>
    <w:qFormat/>
    <w:uiPriority w:val="9"/>
    <w:rPr>
      <w:rFonts w:asciiTheme="majorHAnsi" w:hAnsiTheme="majorHAnsi" w:eastAsiaTheme="majorEastAsia" w:cstheme="majorBidi"/>
      <w:color w:val="2E75B6" w:themeColor="accent1" w:themeShade="BF"/>
      <w:sz w:val="26"/>
      <w:szCs w:val="26"/>
      <w:lang w:val="en-GB" w:eastAsia="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239EC2A-1164-45E2-B94F-8E3F5B787183}">
  <ds:schemaRefs/>
</ds:datastoreItem>
</file>

<file path=docProps/app.xml><?xml version="1.0" encoding="utf-8"?>
<Properties xmlns="http://schemas.openxmlformats.org/officeDocument/2006/extended-properties" xmlns:vt="http://schemas.openxmlformats.org/officeDocument/2006/docPropsVTypes">
  <Template>Normal</Template>
  <Pages>15</Pages>
  <Words>3204</Words>
  <Characters>19533</Characters>
  <Lines>166</Lines>
  <Paragraphs>46</Paragraphs>
  <TotalTime>24</TotalTime>
  <ScaleCrop>false</ScaleCrop>
  <LinksUpToDate>false</LinksUpToDate>
  <CharactersWithSpaces>22716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2023-02-14T07:27:00Z</dcterms:created>
  <dc:creator>User</dc:creator>
  <cp:lastModifiedBy>WPS_1604321163</cp:lastModifiedBy>
  <dcterms:modified xsi:type="dcterms:W3CDTF">2023-03-09T22:02:32Z</dcterms:modified>
  <cp:revision>511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3B79051A96984D6D9F814C12F6291162</vt:lpwstr>
  </property>
</Properties>
</file>