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76887A" w14:textId="1B8509C8" w:rsidR="00565885" w:rsidRDefault="00565885" w:rsidP="002B444D">
      <w:pPr>
        <w:pStyle w:val="Heading2"/>
        <w:spacing w:line="240" w:lineRule="auto"/>
        <w:rPr>
          <w:rFonts w:asciiTheme="minorHAnsi" w:hAnsiTheme="minorHAnsi" w:cstheme="minorHAnsi"/>
          <w:b w:val="0"/>
        </w:rPr>
      </w:pPr>
      <w:r>
        <w:rPr>
          <w:rFonts w:asciiTheme="minorHAnsi" w:hAnsiTheme="minorHAnsi" w:cstheme="minorHAnsi"/>
          <w:b w:val="0"/>
        </w:rPr>
        <w:t>T</w:t>
      </w:r>
      <w:r w:rsidR="00B37619">
        <w:rPr>
          <w:rFonts w:asciiTheme="minorHAnsi" w:hAnsiTheme="minorHAnsi" w:cstheme="minorHAnsi"/>
          <w:b w:val="0"/>
        </w:rPr>
        <w:t>he title of the dissertation is</w:t>
      </w:r>
      <w:r>
        <w:rPr>
          <w:rFonts w:asciiTheme="minorHAnsi" w:hAnsiTheme="minorHAnsi" w:cstheme="minorHAnsi"/>
          <w:b w:val="0"/>
        </w:rPr>
        <w:t xml:space="preserve"> </w:t>
      </w:r>
      <w:r w:rsidRPr="00565885">
        <w:rPr>
          <w:rFonts w:asciiTheme="minorHAnsi" w:hAnsiTheme="minorHAnsi" w:cstheme="minorHAnsi"/>
          <w:b w:val="0"/>
        </w:rPr>
        <w:t>Sherborne Abbey and Sherborne Castle: What were the social impacts of the proximity of ecclesiastical and military sites on town of Sherborne?</w:t>
      </w:r>
      <w:r>
        <w:rPr>
          <w:rFonts w:asciiTheme="minorHAnsi" w:hAnsiTheme="minorHAnsi" w:cstheme="minorHAnsi"/>
          <w:b w:val="0"/>
        </w:rPr>
        <w:t xml:space="preserve"> The aim of this dissertation to discuss and assess whether the events of Anarchy, All Hallows </w:t>
      </w:r>
      <w:r w:rsidR="00B1322C">
        <w:rPr>
          <w:rFonts w:asciiTheme="minorHAnsi" w:hAnsiTheme="minorHAnsi" w:cstheme="minorHAnsi"/>
          <w:b w:val="0"/>
        </w:rPr>
        <w:t>R</w:t>
      </w:r>
      <w:r w:rsidR="00722BF4">
        <w:rPr>
          <w:rFonts w:asciiTheme="minorHAnsi" w:hAnsiTheme="minorHAnsi" w:cstheme="minorHAnsi"/>
          <w:b w:val="0"/>
        </w:rPr>
        <w:t>i</w:t>
      </w:r>
      <w:r>
        <w:rPr>
          <w:rFonts w:asciiTheme="minorHAnsi" w:hAnsiTheme="minorHAnsi" w:cstheme="minorHAnsi"/>
          <w:b w:val="0"/>
        </w:rPr>
        <w:t>ot and the English Civil war affected social relations between the town, abbey and castles and also whe</w:t>
      </w:r>
      <w:r w:rsidR="00F05B94">
        <w:rPr>
          <w:rFonts w:asciiTheme="minorHAnsi" w:hAnsiTheme="minorHAnsi" w:cstheme="minorHAnsi"/>
          <w:b w:val="0"/>
        </w:rPr>
        <w:t xml:space="preserve">ther the proximity of the sites during these events has made a difference in social impact and changing relations. There is a wide amount of local </w:t>
      </w:r>
      <w:r w:rsidR="00B37619">
        <w:rPr>
          <w:rFonts w:asciiTheme="minorHAnsi" w:hAnsiTheme="minorHAnsi" w:cstheme="minorHAnsi"/>
          <w:b w:val="0"/>
        </w:rPr>
        <w:t>literature</w:t>
      </w:r>
      <w:r w:rsidR="00B1322C">
        <w:rPr>
          <w:rFonts w:asciiTheme="minorHAnsi" w:hAnsiTheme="minorHAnsi" w:cstheme="minorHAnsi"/>
          <w:b w:val="0"/>
        </w:rPr>
        <w:t>, largely tourism booklets,</w:t>
      </w:r>
      <w:r w:rsidR="00722BF4">
        <w:rPr>
          <w:rFonts w:asciiTheme="minorHAnsi" w:hAnsiTheme="minorHAnsi" w:cstheme="minorHAnsi"/>
          <w:b w:val="0"/>
        </w:rPr>
        <w:t xml:space="preserve"> (McIlwain, 2014, P1-30)</w:t>
      </w:r>
      <w:r w:rsidR="00F05B94">
        <w:rPr>
          <w:rFonts w:asciiTheme="minorHAnsi" w:hAnsiTheme="minorHAnsi" w:cstheme="minorHAnsi"/>
          <w:b w:val="0"/>
        </w:rPr>
        <w:t xml:space="preserve"> on the general background of the Abbey in particular being a major, well-loved landmark that is used by the church, town, school and so on. It is also a reminder of Sherborne’s long and at times, important history. Something that often gets overlooked on the wider stage. This dissertation will focus mainly on historical sources, with some archaeological sources and theories that will enable a clear understanding of social change and the impacts it may have had over time and the events given</w:t>
      </w:r>
      <w:r w:rsidR="00F05095">
        <w:rPr>
          <w:rFonts w:asciiTheme="minorHAnsi" w:hAnsiTheme="minorHAnsi" w:cstheme="minorHAnsi"/>
          <w:b w:val="0"/>
        </w:rPr>
        <w:t>.</w:t>
      </w:r>
      <w:bookmarkStart w:id="0" w:name="_GoBack"/>
      <w:bookmarkEnd w:id="0"/>
      <w:r w:rsidR="00F05095">
        <w:rPr>
          <w:rFonts w:asciiTheme="minorHAnsi" w:hAnsiTheme="minorHAnsi" w:cstheme="minorHAnsi"/>
          <w:b w:val="0"/>
        </w:rPr>
        <w:t>(</w:t>
      </w:r>
      <w:r w:rsidR="00722BF4">
        <w:rPr>
          <w:rFonts w:asciiTheme="minorHAnsi" w:hAnsiTheme="minorHAnsi" w:cstheme="minorHAnsi"/>
          <w:b w:val="0"/>
        </w:rPr>
        <w:t xml:space="preserve">McIlwain, 2014, PP1-30: </w:t>
      </w:r>
      <w:r w:rsidR="00F05095">
        <w:rPr>
          <w:rFonts w:asciiTheme="minorHAnsi" w:hAnsiTheme="minorHAnsi" w:cstheme="minorHAnsi"/>
          <w:b w:val="0"/>
        </w:rPr>
        <w:t xml:space="preserve"> Legg, </w:t>
      </w:r>
      <w:r w:rsidR="00722BF4">
        <w:rPr>
          <w:rFonts w:asciiTheme="minorHAnsi" w:hAnsiTheme="minorHAnsi" w:cstheme="minorHAnsi"/>
          <w:b w:val="0"/>
        </w:rPr>
        <w:t>2012,</w:t>
      </w:r>
      <w:r w:rsidR="00722BF4" w:rsidRPr="00722BF4">
        <w:t xml:space="preserve"> </w:t>
      </w:r>
      <w:r w:rsidR="00722BF4" w:rsidRPr="00691BAE">
        <w:rPr>
          <w:rFonts w:asciiTheme="minorHAnsi" w:hAnsiTheme="minorHAnsi" w:cstheme="minorHAnsi"/>
          <w:b w:val="0"/>
        </w:rPr>
        <w:t>PP1-159</w:t>
      </w:r>
      <w:r w:rsidR="00722BF4">
        <w:t xml:space="preserve">: </w:t>
      </w:r>
      <w:r w:rsidR="00F05095">
        <w:rPr>
          <w:rFonts w:asciiTheme="minorHAnsi" w:hAnsiTheme="minorHAnsi" w:cstheme="minorHAnsi"/>
          <w:b w:val="0"/>
        </w:rPr>
        <w:t>Barker</w:t>
      </w:r>
      <w:r w:rsidR="00722BF4">
        <w:rPr>
          <w:rFonts w:asciiTheme="minorHAnsi" w:hAnsiTheme="minorHAnsi" w:cstheme="minorHAnsi"/>
          <w:b w:val="0"/>
        </w:rPr>
        <w:t>: Sherborne Abbey, 2016.</w:t>
      </w:r>
      <w:r w:rsidR="00F05095">
        <w:rPr>
          <w:rFonts w:asciiTheme="minorHAnsi" w:hAnsiTheme="minorHAnsi" w:cstheme="minorHAnsi"/>
          <w:b w:val="0"/>
        </w:rPr>
        <w:t>)</w:t>
      </w:r>
    </w:p>
    <w:p w14:paraId="6A5EB11F" w14:textId="77777777" w:rsidR="002B444D" w:rsidRPr="002B444D" w:rsidRDefault="002B444D" w:rsidP="002B444D">
      <w:pPr>
        <w:rPr>
          <w:lang w:val="en-US" w:eastAsia="ja-JP"/>
        </w:rPr>
      </w:pPr>
    </w:p>
    <w:p w14:paraId="7C23454D" w14:textId="70D4FE8A" w:rsidR="00362875" w:rsidRDefault="009A1BFB" w:rsidP="00362875">
      <w:r>
        <w:rPr>
          <w:lang w:val="en-US" w:eastAsia="ja-JP"/>
        </w:rPr>
        <w:t>There will be 4 main chapters one on Anarchy, the All Hallows Riot, the English Civil War and the impacts of the proximity of the castle and abbey respectively which will tie the previous chapters together.</w:t>
      </w:r>
      <w:r w:rsidR="002B444D">
        <w:rPr>
          <w:lang w:val="en-US" w:eastAsia="ja-JP"/>
        </w:rPr>
        <w:t xml:space="preserve"> The Anarchy chapter will discuss how the early Saxon history of Sherborne as a centre for the west, and it’s long standing presence  may have been impacted socially during Anarchy, in </w:t>
      </w:r>
      <w:r w:rsidR="00B37619">
        <w:rPr>
          <w:lang w:val="en-US" w:eastAsia="ja-JP"/>
        </w:rPr>
        <w:t>conjunction</w:t>
      </w:r>
      <w:r w:rsidR="002B444D">
        <w:rPr>
          <w:lang w:val="en-US" w:eastAsia="ja-JP"/>
        </w:rPr>
        <w:t xml:space="preserve"> with the much younger castle and its changing allegiances during the conflict</w:t>
      </w:r>
      <w:r>
        <w:rPr>
          <w:lang w:val="en-US" w:eastAsia="ja-JP"/>
        </w:rPr>
        <w:t>.</w:t>
      </w:r>
      <w:r w:rsidR="002B444D">
        <w:rPr>
          <w:lang w:val="en-US" w:eastAsia="ja-JP"/>
        </w:rPr>
        <w:t xml:space="preserve"> </w:t>
      </w:r>
      <w:r w:rsidR="0075625E">
        <w:rPr>
          <w:lang w:val="en-US" w:eastAsia="ja-JP"/>
        </w:rPr>
        <w:t xml:space="preserve">This section will also look at any potential significance of the Sherborne Monastery and any impact that it may have had. </w:t>
      </w:r>
      <w:r w:rsidR="002B444D">
        <w:rPr>
          <w:lang w:val="en-US" w:eastAsia="ja-JP"/>
        </w:rPr>
        <w:t xml:space="preserve">The All Hallows Riot pivots on </w:t>
      </w:r>
      <w:r w:rsidR="00C428EE">
        <w:rPr>
          <w:lang w:val="en-US" w:eastAsia="ja-JP"/>
        </w:rPr>
        <w:t xml:space="preserve">the </w:t>
      </w:r>
      <w:r w:rsidR="002B444D">
        <w:rPr>
          <w:lang w:val="en-US" w:eastAsia="ja-JP"/>
        </w:rPr>
        <w:t xml:space="preserve">dispute between the Benedictine monks and the towns people. The </w:t>
      </w:r>
      <w:r w:rsidR="00ED74BA">
        <w:rPr>
          <w:lang w:val="en-US" w:eastAsia="ja-JP"/>
        </w:rPr>
        <w:t>t</w:t>
      </w:r>
      <w:r w:rsidR="002B444D">
        <w:rPr>
          <w:lang w:val="en-US" w:eastAsia="ja-JP"/>
        </w:rPr>
        <w:t xml:space="preserve">own is </w:t>
      </w:r>
      <w:r w:rsidR="00C428EE">
        <w:rPr>
          <w:lang w:val="en-US" w:eastAsia="ja-JP"/>
        </w:rPr>
        <w:t xml:space="preserve">moved </w:t>
      </w:r>
      <w:r w:rsidR="002B444D">
        <w:rPr>
          <w:lang w:val="en-US" w:eastAsia="ja-JP"/>
        </w:rPr>
        <w:t xml:space="preserve">into All Hallows church on the end of the Abbey, only being allowed access for baptism or procession. </w:t>
      </w:r>
      <w:r w:rsidR="00C428EE">
        <w:rPr>
          <w:lang w:val="en-US" w:eastAsia="ja-JP"/>
        </w:rPr>
        <w:t>The</w:t>
      </w:r>
      <w:r w:rsidR="002B444D">
        <w:rPr>
          <w:lang w:val="en-US" w:eastAsia="ja-JP"/>
        </w:rPr>
        <w:t xml:space="preserve"> town decided to create their own font, the monk responded by </w:t>
      </w:r>
      <w:r w:rsidR="00C428EE">
        <w:rPr>
          <w:lang w:val="en-US" w:eastAsia="ja-JP"/>
        </w:rPr>
        <w:t>attempting</w:t>
      </w:r>
      <w:r w:rsidR="002B444D">
        <w:rPr>
          <w:lang w:val="en-US" w:eastAsia="ja-JP"/>
        </w:rPr>
        <w:t xml:space="preserve"> to destroy it, thus sparking a riot. This chapter will look at the social relations largely between town and church, and the social impact the riot had on these relations. Theory</w:t>
      </w:r>
      <w:r w:rsidR="00ED74BA">
        <w:rPr>
          <w:lang w:val="en-US" w:eastAsia="ja-JP"/>
        </w:rPr>
        <w:t xml:space="preserve"> </w:t>
      </w:r>
      <w:r w:rsidR="00B1322C">
        <w:rPr>
          <w:lang w:val="en-US" w:eastAsia="ja-JP"/>
        </w:rPr>
        <w:t>(discussed below)</w:t>
      </w:r>
      <w:r w:rsidR="002B444D">
        <w:rPr>
          <w:lang w:val="en-US" w:eastAsia="ja-JP"/>
        </w:rPr>
        <w:t xml:space="preserve"> will be applie</w:t>
      </w:r>
      <w:r w:rsidR="00B1322C">
        <w:rPr>
          <w:lang w:val="en-US" w:eastAsia="ja-JP"/>
        </w:rPr>
        <w:t>d</w:t>
      </w:r>
      <w:r w:rsidR="002B444D">
        <w:rPr>
          <w:lang w:val="en-US" w:eastAsia="ja-JP"/>
        </w:rPr>
        <w:t xml:space="preserve"> to both the abbey building, its design and internal decorations but also to the Almshouse, built as a secondary response by the town towards the monks. The third section deals with the English Civil war and how this post-dissolution setting alters social relations</w:t>
      </w:r>
      <w:r w:rsidR="0075625E">
        <w:rPr>
          <w:lang w:val="en-US" w:eastAsia="ja-JP"/>
        </w:rPr>
        <w:t>,</w:t>
      </w:r>
      <w:r w:rsidR="002B444D">
        <w:rPr>
          <w:lang w:val="en-US" w:eastAsia="ja-JP"/>
        </w:rPr>
        <w:t xml:space="preserve"> particularly at the end of the Civil war with the loss of the Old Castle, thus preventing Sherborne from being a militarily significant site.</w:t>
      </w:r>
      <w:r w:rsidR="00B22818">
        <w:rPr>
          <w:lang w:val="en-US" w:eastAsia="ja-JP"/>
        </w:rPr>
        <w:t xml:space="preserve"> This will also look partly at whether the All Hallows Riot left a legacy – the Riot suggests that the Abbey was viewed as the people’s or town’s church. After the Dissolution the town buy the Abbey from Sir John Horsey in order to keep it as a parish church, as it is today. </w:t>
      </w:r>
      <w:r w:rsidR="00F05095">
        <w:rPr>
          <w:lang w:val="en-US" w:eastAsia="ja-JP"/>
        </w:rPr>
        <w:t>(</w:t>
      </w:r>
      <w:r w:rsidR="00362875">
        <w:rPr>
          <w:lang w:val="en-US" w:eastAsia="ja-JP"/>
        </w:rPr>
        <w:t>McIlwain, 2014, PP1-30: Sherborne</w:t>
      </w:r>
      <w:r w:rsidR="00F05095">
        <w:rPr>
          <w:lang w:val="en-US" w:eastAsia="ja-JP"/>
        </w:rPr>
        <w:t xml:space="preserve"> Abbey</w:t>
      </w:r>
      <w:r w:rsidR="00362875">
        <w:rPr>
          <w:lang w:val="en-US" w:eastAsia="ja-JP"/>
        </w:rPr>
        <w:t>, 2016:</w:t>
      </w:r>
      <w:r w:rsidR="00F05095">
        <w:rPr>
          <w:lang w:val="en-US" w:eastAsia="ja-JP"/>
        </w:rPr>
        <w:t>, Legg,</w:t>
      </w:r>
      <w:r w:rsidR="00362875">
        <w:rPr>
          <w:lang w:val="en-US" w:eastAsia="ja-JP"/>
        </w:rPr>
        <w:t>2012, PP1-59: Gibb, 1971,</w:t>
      </w:r>
      <w:r w:rsidR="00362875">
        <w:t>PP197-210</w:t>
      </w:r>
      <w:r w:rsidR="00362875">
        <w:t>: Also see Gibb, n.d.)</w:t>
      </w:r>
    </w:p>
    <w:p w14:paraId="4DBDD564" w14:textId="798CDFC9" w:rsidR="009A1BFB" w:rsidRDefault="009A1BFB" w:rsidP="009A1BFB">
      <w:pPr>
        <w:rPr>
          <w:lang w:val="en-US" w:eastAsia="ja-JP"/>
        </w:rPr>
      </w:pPr>
    </w:p>
    <w:p w14:paraId="06B04316" w14:textId="2E006CE0" w:rsidR="00EF20BF" w:rsidRDefault="00B37619" w:rsidP="009A1BFB">
      <w:pPr>
        <w:rPr>
          <w:lang w:val="en-US" w:eastAsia="ja-JP"/>
        </w:rPr>
      </w:pPr>
      <w:r>
        <w:rPr>
          <w:lang w:val="en-US" w:eastAsia="ja-JP"/>
        </w:rPr>
        <w:t xml:space="preserve">The main archaeological theory that will be used is </w:t>
      </w:r>
      <w:r w:rsidR="00C428EE">
        <w:rPr>
          <w:lang w:val="en-US" w:eastAsia="ja-JP"/>
        </w:rPr>
        <w:t>E</w:t>
      </w:r>
      <w:r>
        <w:rPr>
          <w:lang w:val="en-US" w:eastAsia="ja-JP"/>
        </w:rPr>
        <w:t xml:space="preserve">ntanglement. By treating the Abbey and Castle as objects means that this theory can be made applicable. Entanglement looks at the way an object is entwined in the life of those around it and how </w:t>
      </w:r>
      <w:r w:rsidR="00C428EE">
        <w:rPr>
          <w:lang w:val="en-US" w:eastAsia="ja-JP"/>
        </w:rPr>
        <w:t>it</w:t>
      </w:r>
      <w:r>
        <w:rPr>
          <w:lang w:val="en-US" w:eastAsia="ja-JP"/>
        </w:rPr>
        <w:t xml:space="preserve"> need</w:t>
      </w:r>
      <w:r w:rsidR="00C428EE">
        <w:rPr>
          <w:lang w:val="en-US" w:eastAsia="ja-JP"/>
        </w:rPr>
        <w:t>s</w:t>
      </w:r>
      <w:r>
        <w:rPr>
          <w:lang w:val="en-US" w:eastAsia="ja-JP"/>
        </w:rPr>
        <w:t xml:space="preserve"> people to be created, used and discarded but also the way they interact with it through its design, decoration and associate connotations.</w:t>
      </w:r>
      <w:r w:rsidR="00B1322C">
        <w:rPr>
          <w:lang w:val="en-US" w:eastAsia="ja-JP"/>
        </w:rPr>
        <w:t xml:space="preserve"> Entanglement boils down to HH (Human to Human), HT (Human to Thing), TH (Thing to Human), TT (Thing to thing) connections. So people need others to create the idea of the abbey</w:t>
      </w:r>
      <w:r w:rsidR="008B16D9">
        <w:rPr>
          <w:lang w:val="en-US" w:eastAsia="ja-JP"/>
        </w:rPr>
        <w:t xml:space="preserve"> (HH)</w:t>
      </w:r>
      <w:r w:rsidR="00B1322C">
        <w:rPr>
          <w:lang w:val="en-US" w:eastAsia="ja-JP"/>
        </w:rPr>
        <w:t>. The abbey needs people to build it</w:t>
      </w:r>
      <w:r w:rsidR="008B16D9">
        <w:rPr>
          <w:lang w:val="en-US" w:eastAsia="ja-JP"/>
        </w:rPr>
        <w:t xml:space="preserve"> (TH)</w:t>
      </w:r>
      <w:r w:rsidR="00B1322C">
        <w:rPr>
          <w:lang w:val="en-US" w:eastAsia="ja-JP"/>
        </w:rPr>
        <w:t xml:space="preserve">. People need the Abbey to worship </w:t>
      </w:r>
      <w:r w:rsidR="008B16D9">
        <w:rPr>
          <w:lang w:val="en-US" w:eastAsia="ja-JP"/>
        </w:rPr>
        <w:t xml:space="preserve">(HT) </w:t>
      </w:r>
      <w:r w:rsidR="00B1322C">
        <w:rPr>
          <w:lang w:val="en-US" w:eastAsia="ja-JP"/>
        </w:rPr>
        <w:t xml:space="preserve">and certain parts of the abbey cannot function without each other (thus TT) such as arches with their keystones. </w:t>
      </w:r>
      <w:r>
        <w:rPr>
          <w:lang w:val="en-US" w:eastAsia="ja-JP"/>
        </w:rPr>
        <w:t xml:space="preserve"> This </w:t>
      </w:r>
      <w:r w:rsidR="008B16D9">
        <w:rPr>
          <w:lang w:val="en-US" w:eastAsia="ja-JP"/>
        </w:rPr>
        <w:t>allows us to examine the proximity of the sites and the changing nature of social relationships in the town</w:t>
      </w:r>
      <w:r>
        <w:rPr>
          <w:lang w:val="en-US" w:eastAsia="ja-JP"/>
        </w:rPr>
        <w:t>. The theory can be used both on the buildings as a whole</w:t>
      </w:r>
      <w:r w:rsidR="001E72C1">
        <w:rPr>
          <w:lang w:val="en-US" w:eastAsia="ja-JP"/>
        </w:rPr>
        <w:t>,</w:t>
      </w:r>
      <w:r>
        <w:rPr>
          <w:lang w:val="en-US" w:eastAsia="ja-JP"/>
        </w:rPr>
        <w:t xml:space="preserve"> and certain parts or decorations such as ceiling bosses, windows and so on. </w:t>
      </w:r>
      <w:r w:rsidR="00362875">
        <w:rPr>
          <w:lang w:val="en-US" w:eastAsia="ja-JP"/>
        </w:rPr>
        <w:t>(Hodder,</w:t>
      </w:r>
      <w:r w:rsidR="00EF20BF">
        <w:rPr>
          <w:lang w:val="en-US" w:eastAsia="ja-JP"/>
        </w:rPr>
        <w:t xml:space="preserve"> </w:t>
      </w:r>
      <w:r w:rsidR="00362875">
        <w:rPr>
          <w:lang w:val="en-US" w:eastAsia="ja-JP"/>
        </w:rPr>
        <w:t>2012,</w:t>
      </w:r>
      <w:r w:rsidR="00362875" w:rsidRPr="00362875">
        <w:t xml:space="preserve"> </w:t>
      </w:r>
      <w:r w:rsidR="00362875">
        <w:t>PP1-223.</w:t>
      </w:r>
      <w:r w:rsidR="00362875">
        <w:t>)</w:t>
      </w:r>
      <w:r w:rsidR="00EF20BF">
        <w:rPr>
          <w:lang w:val="en-US" w:eastAsia="ja-JP"/>
        </w:rPr>
        <w:t xml:space="preserve">There is also scope to use theories such as </w:t>
      </w:r>
      <w:r w:rsidR="00ED74BA">
        <w:rPr>
          <w:lang w:val="en-US" w:eastAsia="ja-JP"/>
        </w:rPr>
        <w:lastRenderedPageBreak/>
        <w:t>Biography of Objects</w:t>
      </w:r>
      <w:r w:rsidR="00F05095">
        <w:rPr>
          <w:lang w:val="en-US" w:eastAsia="ja-JP"/>
        </w:rPr>
        <w:t xml:space="preserve"> (</w:t>
      </w:r>
      <w:r w:rsidR="008B16D9">
        <w:rPr>
          <w:lang w:val="en-US" w:eastAsia="ja-JP"/>
        </w:rPr>
        <w:t>p</w:t>
      </w:r>
      <w:r w:rsidR="00F05095">
        <w:rPr>
          <w:lang w:val="en-US" w:eastAsia="ja-JP"/>
        </w:rPr>
        <w:t>artially researched)</w:t>
      </w:r>
      <w:r w:rsidR="00ED74BA">
        <w:rPr>
          <w:lang w:val="en-US" w:eastAsia="ja-JP"/>
        </w:rPr>
        <w:t xml:space="preserve"> </w:t>
      </w:r>
      <w:r w:rsidR="00EF20BF">
        <w:rPr>
          <w:lang w:val="en-US" w:eastAsia="ja-JP"/>
        </w:rPr>
        <w:t>Marxism, materiality, structuralism, Agency, Networks, relationships as suggested by a supervisor – although these have not yet been researched</w:t>
      </w:r>
      <w:r w:rsidR="00F05095">
        <w:rPr>
          <w:lang w:val="en-US" w:eastAsia="ja-JP"/>
        </w:rPr>
        <w:t>.</w:t>
      </w:r>
      <w:r w:rsidR="00C428EE">
        <w:rPr>
          <w:lang w:val="en-US" w:eastAsia="ja-JP"/>
        </w:rPr>
        <w:t>(</w:t>
      </w:r>
      <w:r w:rsidR="00F05095">
        <w:rPr>
          <w:lang w:val="en-US" w:eastAsia="ja-JP"/>
        </w:rPr>
        <w:t>Hodder,</w:t>
      </w:r>
      <w:r w:rsidR="00362875">
        <w:rPr>
          <w:lang w:val="en-US" w:eastAsia="ja-JP"/>
        </w:rPr>
        <w:t xml:space="preserve"> 2012</w:t>
      </w:r>
      <w:r w:rsidR="00362875">
        <w:t xml:space="preserve">, </w:t>
      </w:r>
      <w:r w:rsidR="00362875">
        <w:t>PP1-223</w:t>
      </w:r>
      <w:r w:rsidR="00362875">
        <w:t>:</w:t>
      </w:r>
      <w:r w:rsidR="00F05095">
        <w:rPr>
          <w:lang w:val="en-US" w:eastAsia="ja-JP"/>
        </w:rPr>
        <w:t xml:space="preserve"> Hoskins</w:t>
      </w:r>
      <w:r w:rsidR="00362875">
        <w:rPr>
          <w:lang w:val="en-US" w:eastAsia="ja-JP"/>
        </w:rPr>
        <w:t xml:space="preserve">, 1998, </w:t>
      </w:r>
      <w:r w:rsidR="00362875">
        <w:t>PP1-199</w:t>
      </w:r>
      <w:r w:rsidR="00F05095">
        <w:rPr>
          <w:lang w:val="en-US" w:eastAsia="ja-JP"/>
        </w:rPr>
        <w:t>)</w:t>
      </w:r>
    </w:p>
    <w:p w14:paraId="2CBB6141" w14:textId="2A214976" w:rsidR="00883424" w:rsidRDefault="00B1322C" w:rsidP="009A1BFB">
      <w:pPr>
        <w:rPr>
          <w:lang w:val="en-US" w:eastAsia="ja-JP"/>
        </w:rPr>
      </w:pPr>
      <w:r>
        <w:rPr>
          <w:lang w:val="en-US" w:eastAsia="ja-JP"/>
        </w:rPr>
        <w:t xml:space="preserve">Within this theoretical framework the </w:t>
      </w:r>
      <w:r w:rsidR="00ED74BA">
        <w:rPr>
          <w:lang w:val="en-US" w:eastAsia="ja-JP"/>
        </w:rPr>
        <w:t>relationships</w:t>
      </w:r>
      <w:r>
        <w:rPr>
          <w:lang w:val="en-US" w:eastAsia="ja-JP"/>
        </w:rPr>
        <w:t xml:space="preserve"> formed by the </w:t>
      </w:r>
      <w:r w:rsidR="00B37619">
        <w:rPr>
          <w:lang w:val="en-US" w:eastAsia="ja-JP"/>
        </w:rPr>
        <w:t>proximity of the Abbey and castle is one of the main themes of the dissertation. The distance between the sites leaves potential for influence in how these sites are seen. They may be seen as separate, playing off each other, perhaps as working in tandem, or to be relatively separate. Over the course of the piece discussion will be made over whether the aforementioned options are the case. This will partly tie into potential work in mapping and place names – looking at whether place and road names in the town reflect ecclesiastical influence or secular, and also if possible what period these are thought to date to. Thus indicating potential periods of influence alongside other historical or archaeological sources</w:t>
      </w:r>
      <w:r w:rsidR="00C428EE">
        <w:rPr>
          <w:lang w:val="en-US" w:eastAsia="ja-JP"/>
        </w:rPr>
        <w:t>.</w:t>
      </w:r>
      <w:r w:rsidR="007823B1" w:rsidRPr="007823B1">
        <w:rPr>
          <w:lang w:val="en-US" w:eastAsia="ja-JP"/>
        </w:rPr>
        <w:t xml:space="preserve"> </w:t>
      </w:r>
      <w:r w:rsidR="007823B1">
        <w:rPr>
          <w:lang w:val="en-US" w:eastAsia="ja-JP"/>
        </w:rPr>
        <w:t>(Hodder, 2012</w:t>
      </w:r>
      <w:r w:rsidR="007823B1">
        <w:t>, PP1-223:</w:t>
      </w:r>
      <w:r w:rsidR="007823B1">
        <w:rPr>
          <w:lang w:val="en-US" w:eastAsia="ja-JP"/>
        </w:rPr>
        <w:t xml:space="preserve"> Hoskins, 1998, </w:t>
      </w:r>
      <w:r w:rsidR="007823B1">
        <w:t>PP1-199</w:t>
      </w:r>
      <w:r w:rsidR="007823B1">
        <w:rPr>
          <w:lang w:val="en-US" w:eastAsia="ja-JP"/>
        </w:rPr>
        <w:t>)</w:t>
      </w:r>
    </w:p>
    <w:p w14:paraId="2B8EB7AE" w14:textId="2C72158F" w:rsidR="00883424" w:rsidRPr="009A1BFB" w:rsidRDefault="00883424" w:rsidP="009A1BFB">
      <w:pPr>
        <w:rPr>
          <w:lang w:val="en-US" w:eastAsia="ja-JP"/>
        </w:rPr>
      </w:pPr>
      <w:r>
        <w:rPr>
          <w:lang w:val="en-US" w:eastAsia="ja-JP"/>
        </w:rPr>
        <w:t xml:space="preserve">One of the other things this dissertation hopes to bring out is the potential for other research and also the importance of Sherborne. Much is made of it locally but various parts of its history, such as its Anglo-Saxon importance, and later in its history during Civil war and with William of Orange is perhaps something that could be brought more to the fore. There appears to be a fair quantity of history on the Abbey itself, but not on the impact it has such as via it’s priory in </w:t>
      </w:r>
      <w:r w:rsidR="001079F9">
        <w:rPr>
          <w:lang w:val="en-US" w:eastAsia="ja-JP"/>
        </w:rPr>
        <w:t>Kidwelly</w:t>
      </w:r>
      <w:r>
        <w:rPr>
          <w:lang w:val="en-US" w:eastAsia="ja-JP"/>
        </w:rPr>
        <w:t xml:space="preserve"> or in the lands it held. The predominant body of work appears to be, to the greater extent on just the building and its immediate surroundings. Certainly little appears in conjunction with the castle.</w:t>
      </w:r>
      <w:r w:rsidR="00B1322C">
        <w:rPr>
          <w:lang w:val="en-US" w:eastAsia="ja-JP"/>
        </w:rPr>
        <w:t xml:space="preserve"> The importance of using 3 different events over several hundred years, is that it allows snapshots of social change within the town. This was limited to 3 in order to prevent the areas being covered being to wide, hence lack of a chapter of the Dissolution</w:t>
      </w:r>
      <w:r w:rsidR="00C428EE">
        <w:rPr>
          <w:lang w:val="en-US" w:eastAsia="ja-JP"/>
        </w:rPr>
        <w:t xml:space="preserve"> by itself (partially discussed as part of Civil War chapter)</w:t>
      </w:r>
      <w:r w:rsidR="00B1322C">
        <w:rPr>
          <w:lang w:val="en-US" w:eastAsia="ja-JP"/>
        </w:rPr>
        <w:t>.</w:t>
      </w:r>
      <w:r w:rsidR="00C428EE">
        <w:rPr>
          <w:lang w:val="en-US" w:eastAsia="ja-JP"/>
        </w:rPr>
        <w:t xml:space="preserve"> (Burton,</w:t>
      </w:r>
      <w:r w:rsidR="00136085">
        <w:rPr>
          <w:lang w:val="en-US" w:eastAsia="ja-JP"/>
        </w:rPr>
        <w:t xml:space="preserve"> 2013, </w:t>
      </w:r>
      <w:r w:rsidR="00136085">
        <w:t>PP1-247</w:t>
      </w:r>
      <w:r w:rsidR="00136085">
        <w:t>:</w:t>
      </w:r>
      <w:r w:rsidR="00C428EE">
        <w:rPr>
          <w:lang w:val="en-US" w:eastAsia="ja-JP"/>
        </w:rPr>
        <w:t xml:space="preserve"> Heale,</w:t>
      </w:r>
      <w:r w:rsidR="00691BAE">
        <w:rPr>
          <w:lang w:val="en-US" w:eastAsia="ja-JP"/>
        </w:rPr>
        <w:t xml:space="preserve"> 2004, </w:t>
      </w:r>
      <w:r w:rsidR="00691BAE">
        <w:t>PP1-315</w:t>
      </w:r>
      <w:r w:rsidR="00691BAE">
        <w:rPr>
          <w:lang w:val="en-US" w:eastAsia="ja-JP"/>
        </w:rPr>
        <w:t>:Gaunt, 2003,</w:t>
      </w:r>
      <w:r w:rsidR="00691BAE" w:rsidRPr="00691BAE">
        <w:t xml:space="preserve"> </w:t>
      </w:r>
      <w:r w:rsidR="00691BAE">
        <w:t>PP1-94</w:t>
      </w:r>
      <w:r w:rsidR="00C428EE">
        <w:rPr>
          <w:lang w:val="en-US" w:eastAsia="ja-JP"/>
        </w:rPr>
        <w:t>)</w:t>
      </w:r>
    </w:p>
    <w:p w14:paraId="58C029F0" w14:textId="43E54864" w:rsidR="00082FAA" w:rsidRDefault="00883424" w:rsidP="00082FAA">
      <w:r>
        <w:t>One of the changes that could potentially be made it to the question altering it to feature ‘To what extent…’ in order to better focus on comparing and contrasting the 2 sites</w:t>
      </w:r>
      <w:r w:rsidR="00744983">
        <w:t>. The title was constructed before using social theory as part of the dissertation had been suggested</w:t>
      </w:r>
      <w:r>
        <w:t xml:space="preserve">. </w:t>
      </w:r>
      <w:r w:rsidR="00744983">
        <w:t>The current title of the dissertation in ‘Sherborne Abbey and Sherborne Castle: What were the social impacts  of the proximity of ecclesiastical and military sites on the town of Sherborne’. This could potentially be changed so something more along the lines of; ‘To what extend did events such as Anarchy, the All Hallows Riot and the English Civil War socially impact the town of Sherborne?</w:t>
      </w:r>
      <w:r w:rsidR="004D171F">
        <w:t xml:space="preserve"> This would thus </w:t>
      </w:r>
      <w:r w:rsidR="001E4E44">
        <w:t>indicate more of the time periods and the comparisons between them that this dissertation will address and study.</w:t>
      </w:r>
      <w:r w:rsidR="00B1322C">
        <w:t xml:space="preserve"> So here there is a choice between contextualising the case studies within a framework of theories or looking at the assessment of social impacts of aforementioned events. At the current point in research, with the space that will be needed in order to fully address theories</w:t>
      </w:r>
      <w:r w:rsidR="00082FAA">
        <w:t xml:space="preserve"> it is not yet clear which will be more appropriate. The original aim was to assess impacts but use of theory, once they are better understood and more fully understood may make contextualisation more ideal</w:t>
      </w:r>
      <w:r w:rsidR="00B1322C">
        <w:t>.</w:t>
      </w:r>
    </w:p>
    <w:p w14:paraId="560F7852" w14:textId="7F4C273F" w:rsidR="00744983" w:rsidRDefault="00082FAA">
      <w:r>
        <w:t>The potential for narrowing the study is available</w:t>
      </w:r>
      <w:r w:rsidR="00C428EE">
        <w:t>,</w:t>
      </w:r>
      <w:r>
        <w:t xml:space="preserve"> should either the Castle or Abbey have t</w:t>
      </w:r>
      <w:r w:rsidR="00C428EE">
        <w:t>o</w:t>
      </w:r>
      <w:r>
        <w:t xml:space="preserve">o little material available or one case study has such a large body of material compared to the other focusing on the other proves to be more straight-forward. The </w:t>
      </w:r>
      <w:r w:rsidR="001E72C1">
        <w:t>c</w:t>
      </w:r>
      <w:r>
        <w:t>astle currently is the most likely to be cut, much material references the castle in passing but not necessarily in detail and those that do are mainly local historical sources etc. making it difficult to gage Sherborne’s impact on a wider scale. However general castle studies and the use of theory make the combination of the case studies more feasible as does the ability to compare them through the term ‘castrum’, which would allow some material/information to be crossed over.</w:t>
      </w:r>
      <w:r w:rsidR="00C825CC">
        <w:t xml:space="preserve"> </w:t>
      </w:r>
      <w:bookmarkStart w:id="1" w:name="_Hlk498685036"/>
      <w:r w:rsidR="00C825CC">
        <w:t xml:space="preserve">(Liddiard, </w:t>
      </w:r>
      <w:r w:rsidR="00691BAE">
        <w:t>2012,</w:t>
      </w:r>
      <w:r w:rsidR="00691BAE" w:rsidRPr="00691BAE">
        <w:t xml:space="preserve"> </w:t>
      </w:r>
      <w:r w:rsidR="00691BAE">
        <w:t>PP1-168</w:t>
      </w:r>
      <w:r w:rsidR="00691BAE">
        <w:t xml:space="preserve">: </w:t>
      </w:r>
      <w:r w:rsidR="00C825CC">
        <w:t>Creighton,</w:t>
      </w:r>
      <w:r w:rsidR="00691BAE">
        <w:t xml:space="preserve"> 2005, </w:t>
      </w:r>
      <w:r w:rsidR="00691BAE">
        <w:t>PP1-229</w:t>
      </w:r>
      <w:r w:rsidR="00691BAE">
        <w:t>:</w:t>
      </w:r>
      <w:r w:rsidR="00C825CC">
        <w:t xml:space="preserve"> Brown</w:t>
      </w:r>
      <w:r w:rsidR="00691BAE">
        <w:t xml:space="preserve">, 1976, </w:t>
      </w:r>
      <w:r w:rsidR="00691BAE">
        <w:t>P1-235</w:t>
      </w:r>
      <w:r w:rsidR="00C825CC">
        <w:t>)</w:t>
      </w:r>
    </w:p>
    <w:bookmarkEnd w:id="1"/>
    <w:p w14:paraId="2A87CC44" w14:textId="7D9B721D" w:rsidR="00883424" w:rsidRDefault="006D1833">
      <w:r>
        <w:lastRenderedPageBreak/>
        <w:t>Research undertaken so far has largely focused on the Abbey and its later medieval history and the castle and its Civil War history. More information appears to be available on the abbey than the castle, however this may be due to personal bias toward the Abbey’s medieval history and this will be addressed with further research. In terms of primary sources, the Abbey does seem to be predominant but useful sources such as those to do with medieval rebuilding appear to have been lost</w:t>
      </w:r>
      <w:r w:rsidR="00082FAA">
        <w:t>. This imbalance may be in part due t</w:t>
      </w:r>
      <w:r w:rsidR="00ED74BA">
        <w:t>o</w:t>
      </w:r>
      <w:r w:rsidR="00082FAA">
        <w:t xml:space="preserve"> an initial focus on the Abbey due to familiarity and ease of accumulating available sources, thus more research for the castle needs to be done. As of yet however, it does appear that literature favours the abbey as opposed to the castle – perhaps simply due to the fact that the Abbey is far more visible within the town and intact in structure, thus making research physically a little easier. If the imbalance is purely down to imbalance in literature then other castles, such as Kidwelly to which Sherborne’s priory is associated with may be viable comparisons.</w:t>
      </w:r>
      <w:r w:rsidR="00C825CC">
        <w:t xml:space="preserve"> (</w:t>
      </w:r>
      <w:r w:rsidR="00691BAE">
        <w:rPr>
          <w:lang w:val="en-US" w:eastAsia="ja-JP"/>
        </w:rPr>
        <w:t xml:space="preserve">Burton, 2013, </w:t>
      </w:r>
      <w:r w:rsidR="00691BAE">
        <w:t>PP1-247:</w:t>
      </w:r>
      <w:r w:rsidR="00691BAE">
        <w:rPr>
          <w:lang w:val="en-US" w:eastAsia="ja-JP"/>
        </w:rPr>
        <w:t xml:space="preserve"> Heale, 2004, </w:t>
      </w:r>
      <w:r w:rsidR="00691BAE">
        <w:t>PP1-315</w:t>
      </w:r>
      <w:r w:rsidR="00C825CC">
        <w:t>)</w:t>
      </w:r>
    </w:p>
    <w:p w14:paraId="36B40473" w14:textId="64B1D54F" w:rsidR="00082FAA" w:rsidRDefault="00082FAA" w:rsidP="00082FAA">
      <w:r>
        <w:t>There is also the possibility of using Sherborne’s priory as a small case study as it is also situated relatively close to Kidwelly castle – if time and sources allow it may be possible to see the difference in social relations between the Mother house and its associated castle and the Priory and its associated castle. If there are similarities or difference it would be possible to discuss why and whether this is a reflection of one house on another or simply due to more environmental factors.</w:t>
      </w:r>
      <w:r w:rsidR="00C825CC">
        <w:t xml:space="preserve">( </w:t>
      </w:r>
      <w:r w:rsidR="00691BAE">
        <w:rPr>
          <w:lang w:val="en-US" w:eastAsia="ja-JP"/>
        </w:rPr>
        <w:t xml:space="preserve">Burton, 2013, </w:t>
      </w:r>
      <w:r w:rsidR="00691BAE">
        <w:t>PP1-247:</w:t>
      </w:r>
      <w:r w:rsidR="00691BAE">
        <w:rPr>
          <w:lang w:val="en-US" w:eastAsia="ja-JP"/>
        </w:rPr>
        <w:t xml:space="preserve"> Heale, 2004, </w:t>
      </w:r>
      <w:r w:rsidR="00691BAE">
        <w:t>PP1-315</w:t>
      </w:r>
      <w:r w:rsidR="00C825CC">
        <w:t>)</w:t>
      </w:r>
    </w:p>
    <w:p w14:paraId="434A3AC2" w14:textId="0A17981B" w:rsidR="00883424" w:rsidRDefault="00082FAA">
      <w:r>
        <w:t>The general method of research so far has been to focus on secondary sources to allow a decent platform of background information in which the theory and primary sources can be inserted. It also allows a better view of information available making it easier to narrow down what primary sources will be needed – wasting less time on documents that may be potentially difficult to read, only to find they are not usable. The data obtained; information of events, dates, which of the sites mentioned were involved, are largely available via secondary sources which primary will then support -  some such as photographs, place names can be also be done by survey and by the researcher.</w:t>
      </w:r>
    </w:p>
    <w:p w14:paraId="2A104089" w14:textId="4C88856F" w:rsidR="00691BAE" w:rsidRDefault="00883424" w:rsidP="00691BAE">
      <w:r>
        <w:t>An aspect of the dissertation that is potentially flexible is the idea of ‘proximity’</w:t>
      </w:r>
      <w:r w:rsidR="001079F9">
        <w:t xml:space="preserve">. </w:t>
      </w:r>
      <w:r w:rsidR="00C825CC">
        <w:t>There are two potential approache</w:t>
      </w:r>
      <w:r w:rsidR="00691BAE">
        <w:t>s</w:t>
      </w:r>
      <w:r w:rsidR="00C825CC">
        <w:t xml:space="preserve"> here: One being </w:t>
      </w:r>
      <w:r w:rsidR="001079F9">
        <w:t xml:space="preserve">the literal distance between the two sites and how having a castle relatively nearby, yet on the outskirt of the town has altered the social relations and the way the two sites have been interacted with. For example: did the events mentioned have any impact on the Abbey more than the castle, or was one causing pressure on the other? </w:t>
      </w:r>
      <w:r w:rsidR="00C825CC">
        <w:t xml:space="preserve">The second approach </w:t>
      </w:r>
      <w:r w:rsidR="001079F9">
        <w:t>would be through the work on castle and their landscapes in 2 separate works by Creighton</w:t>
      </w:r>
      <w:r w:rsidR="00C825CC">
        <w:t>,</w:t>
      </w:r>
      <w:r w:rsidR="001079F9">
        <w:t xml:space="preserve"> and  R Liddiard. ‘Castrum’ was a medieval term applied to castle but could also be applied to other authoritative structures</w:t>
      </w:r>
      <w:r w:rsidR="00C825CC">
        <w:t xml:space="preserve"> thus</w:t>
      </w:r>
      <w:r w:rsidR="001079F9">
        <w:t xml:space="preserve"> the Abbey could be treated as a ‘</w:t>
      </w:r>
      <w:r w:rsidR="00F0475E">
        <w:t>c</w:t>
      </w:r>
      <w:r w:rsidR="001079F9">
        <w:t>astrum’</w:t>
      </w:r>
      <w:r w:rsidR="00CD3C02">
        <w:t>. T</w:t>
      </w:r>
      <w:r w:rsidR="001079F9">
        <w:t>hus work</w:t>
      </w:r>
      <w:r w:rsidR="00CD3C02">
        <w:t>s</w:t>
      </w:r>
      <w:r w:rsidR="001079F9">
        <w:t xml:space="preserve"> on castles can in theory</w:t>
      </w:r>
      <w:r w:rsidR="00C825CC">
        <w:t>,</w:t>
      </w:r>
      <w:r w:rsidR="001079F9">
        <w:t xml:space="preserve"> be applied to the abbey</w:t>
      </w:r>
      <w:r w:rsidR="00C825CC">
        <w:t>.</w:t>
      </w:r>
      <w:r w:rsidR="001079F9">
        <w:t xml:space="preserve"> </w:t>
      </w:r>
      <w:r w:rsidR="00C825CC">
        <w:t>It would suggest that despite the modern idea of castle an abbey as separate,</w:t>
      </w:r>
      <w:r w:rsidR="001079F9">
        <w:t xml:space="preserve"> as a ‘castrum’ in a medieval context</w:t>
      </w:r>
      <w:r w:rsidR="00C825CC">
        <w:t>,</w:t>
      </w:r>
      <w:r w:rsidR="001079F9">
        <w:t xml:space="preserve"> the Abbey and the castle may have been much more closely linked.</w:t>
      </w:r>
      <w:r w:rsidR="001E4E44">
        <w:t xml:space="preserve"> Creighton and Liddiard are also supported  by the way they look at castles by Brown, all three authors argue that earlier castle studies would focus on either just the castle or garden but not he wider surrounding landscape into which it was placed which meant that larger areas of landscaping and positioning of features of the castle and castle grounds have been missed. Brown supports the aforementioned authors in asserting that castles need to be studied within their surrounding landscape in order to be understood effectively. </w:t>
      </w:r>
      <w:r w:rsidR="00C825CC">
        <w:t>(</w:t>
      </w:r>
      <w:r w:rsidR="00691BAE">
        <w:t xml:space="preserve">Liddiard, </w:t>
      </w:r>
      <w:r w:rsidR="00691BAE">
        <w:t>2012,</w:t>
      </w:r>
      <w:r w:rsidR="00691BAE" w:rsidRPr="00691BAE">
        <w:t xml:space="preserve"> </w:t>
      </w:r>
      <w:r w:rsidR="00691BAE">
        <w:t xml:space="preserve">PP1-168: </w:t>
      </w:r>
      <w:r w:rsidR="00691BAE">
        <w:t>Creighton,</w:t>
      </w:r>
      <w:r w:rsidR="00691BAE">
        <w:t xml:space="preserve"> 2005, PP1-229:</w:t>
      </w:r>
      <w:r w:rsidR="00691BAE">
        <w:t xml:space="preserve"> Brown</w:t>
      </w:r>
      <w:r w:rsidR="00691BAE">
        <w:t>, 1976, P1-235</w:t>
      </w:r>
      <w:r w:rsidR="00691BAE">
        <w:t>)</w:t>
      </w:r>
    </w:p>
    <w:p w14:paraId="4412DBE8" w14:textId="7672B82B" w:rsidR="00EF20BF" w:rsidRDefault="00EF20BF"/>
    <w:p w14:paraId="4EA842F2" w14:textId="0C0926F1" w:rsidR="00EF20BF" w:rsidRDefault="00C825CC">
      <w:r>
        <w:lastRenderedPageBreak/>
        <w:t>Overall, t</w:t>
      </w:r>
      <w:r w:rsidR="00FA1BDB">
        <w:t xml:space="preserve">here is huge scope with the varying periods and applicable theories to look at social changes both over time within Sherborne between the town, </w:t>
      </w:r>
      <w:r>
        <w:t>a</w:t>
      </w:r>
      <w:r w:rsidR="00FA1BDB">
        <w:t xml:space="preserve">bbey and </w:t>
      </w:r>
      <w:r>
        <w:t>c</w:t>
      </w:r>
      <w:r w:rsidR="00FA1BDB">
        <w:t>astle</w:t>
      </w:r>
      <w:r>
        <w:t>.</w:t>
      </w:r>
      <w:r w:rsidR="00691BAE" w:rsidRPr="00691BAE">
        <w:t xml:space="preserve"> </w:t>
      </w:r>
      <w:r w:rsidR="00691BAE">
        <w:t xml:space="preserve">(Liddiard, </w:t>
      </w:r>
      <w:r w:rsidR="00691BAE">
        <w:t xml:space="preserve">2012: </w:t>
      </w:r>
      <w:r w:rsidR="00691BAE">
        <w:t>Creighton,</w:t>
      </w:r>
      <w:r w:rsidR="00691BAE">
        <w:t xml:space="preserve"> 2005:</w:t>
      </w:r>
      <w:r w:rsidR="00691BAE">
        <w:t xml:space="preserve"> Legg, 2012</w:t>
      </w:r>
      <w:r w:rsidR="00691BAE">
        <w:t>)</w:t>
      </w:r>
      <w:r w:rsidR="00FA1BDB">
        <w:t xml:space="preserve"> </w:t>
      </w:r>
      <w:r>
        <w:t>It will also allow</w:t>
      </w:r>
      <w:r w:rsidR="00FA1BDB">
        <w:t xml:space="preserve"> </w:t>
      </w:r>
      <w:r>
        <w:t xml:space="preserve">a </w:t>
      </w:r>
      <w:r w:rsidR="00FA1BDB">
        <w:t>display</w:t>
      </w:r>
      <w:r>
        <w:t xml:space="preserve"> of</w:t>
      </w:r>
      <w:r w:rsidR="00FA1BDB">
        <w:t xml:space="preserve"> the vast amount of history, archaeology and its importan</w:t>
      </w:r>
      <w:r w:rsidR="00F0475E">
        <w:t>ce</w:t>
      </w:r>
      <w:r w:rsidR="00FA1BDB">
        <w:t xml:space="preserve"> which often appears to get lost. The theories allow the researcher to gain different angles and thus information that would not be available by using the sources alone and allows a better understanding of how the </w:t>
      </w:r>
      <w:r w:rsidR="00A85BCC">
        <w:t>social</w:t>
      </w:r>
      <w:r w:rsidR="00FA1BDB">
        <w:t xml:space="preserve"> landscape within Sherborne changes, why and how significant that may be. It also allows discussion of buildings and event that </w:t>
      </w:r>
      <w:r w:rsidR="00A85BCC">
        <w:t>so far in the course of research do not appear to have been covered (I.e. treating the buildings simply as objects for application of theory). The main focus will be on entanglement and biography of object as these theories give us a good look at social links and changes, and thus allow good comparisons and contrasts for each of the time periods given.</w:t>
      </w:r>
      <w:r w:rsidR="00691BAE">
        <w:t xml:space="preserve"> (</w:t>
      </w:r>
      <w:r w:rsidR="00691BAE">
        <w:t>Hodder,2012: Hoskins, 1998</w:t>
      </w:r>
      <w:r w:rsidR="00691BAE">
        <w:t>)</w:t>
      </w:r>
    </w:p>
    <w:p w14:paraId="281D0F4A" w14:textId="5008DC82" w:rsidR="00FA1BDB" w:rsidRDefault="00C825CC">
      <w:r>
        <w:t>Word count: 2175</w:t>
      </w:r>
    </w:p>
    <w:p w14:paraId="7DE04765" w14:textId="77777777" w:rsidR="00EF20BF" w:rsidRDefault="00B76040">
      <w:r>
        <w:t>Bibliography:</w:t>
      </w:r>
    </w:p>
    <w:p w14:paraId="05734432" w14:textId="3DD49431" w:rsidR="00B76040" w:rsidRDefault="006E5396" w:rsidP="00B76040">
      <w:r>
        <w:t>Books and Pamphlets:</w:t>
      </w:r>
    </w:p>
    <w:p w14:paraId="320BF24E" w14:textId="2BED95BA" w:rsidR="00B76040" w:rsidRPr="00722BF4" w:rsidRDefault="00B76040" w:rsidP="00B76040">
      <w:r>
        <w:t>Barker</w:t>
      </w:r>
      <w:r w:rsidR="00A42262">
        <w:t>, K; Hinton, A, D; Hunt, A. 2005.</w:t>
      </w:r>
      <w:r>
        <w:t xml:space="preserve"> (eds)</w:t>
      </w:r>
      <w:r w:rsidR="00A42262">
        <w:t xml:space="preserve"> St Wulfsige and Sherborne. </w:t>
      </w:r>
      <w:r w:rsidR="00A42262">
        <w:rPr>
          <w:i/>
        </w:rPr>
        <w:t>Bournemouth University, School of Conservation Sciences. Occasional Paper 8.</w:t>
      </w:r>
      <w:r w:rsidR="00A42262">
        <w:t xml:space="preserve"> PP1-232.</w:t>
      </w:r>
    </w:p>
    <w:p w14:paraId="0F5B6066" w14:textId="5627AB3D" w:rsidR="00B76040" w:rsidRPr="00722BF4" w:rsidRDefault="00B76040" w:rsidP="00B76040">
      <w:r>
        <w:t>Barker</w:t>
      </w:r>
      <w:r w:rsidR="00A42262">
        <w:t>, K; Brooks, N. 2010.</w:t>
      </w:r>
      <w:r>
        <w:t xml:space="preserve"> </w:t>
      </w:r>
      <w:r w:rsidR="00A42262">
        <w:t>(</w:t>
      </w:r>
      <w:r>
        <w:t>eds)</w:t>
      </w:r>
      <w:r w:rsidR="00A42262">
        <w:t xml:space="preserve"> Aldhelm and Sherborne; Essays to celebrate the founding of the Bishropic. Oxbow Books, Oxford, PP1-301.</w:t>
      </w:r>
    </w:p>
    <w:p w14:paraId="3F8DD629" w14:textId="703BCB7E" w:rsidR="00B76040" w:rsidRDefault="00B76040" w:rsidP="00B76040">
      <w:r>
        <w:t>Bond,</w:t>
      </w:r>
      <w:r w:rsidR="00A42262">
        <w:t xml:space="preserve"> James,</w:t>
      </w:r>
      <w:r w:rsidR="00543DC6">
        <w:t xml:space="preserve"> 2004. Monastic Landscapes. Tempus Publishing LTD, Stroud. PP1-358.</w:t>
      </w:r>
    </w:p>
    <w:p w14:paraId="3F5DCA12" w14:textId="7C144745" w:rsidR="00B76040" w:rsidRDefault="00B76040" w:rsidP="00B76040">
      <w:r>
        <w:t>Brown,</w:t>
      </w:r>
      <w:r w:rsidR="00543DC6">
        <w:t xml:space="preserve"> A, R. 1976 (3</w:t>
      </w:r>
      <w:r w:rsidR="00543DC6" w:rsidRPr="002C2A8D">
        <w:rPr>
          <w:vertAlign w:val="superscript"/>
        </w:rPr>
        <w:t>rd</w:t>
      </w:r>
      <w:r w:rsidR="00543DC6">
        <w:t xml:space="preserve"> Ed.). English Castles. B. T. Batsford LTD, London. P1-235.</w:t>
      </w:r>
    </w:p>
    <w:p w14:paraId="73FE2905" w14:textId="2E0954DF" w:rsidR="00B76040" w:rsidRDefault="00B76040">
      <w:r>
        <w:t>Burton,</w:t>
      </w:r>
      <w:r w:rsidR="00543DC6">
        <w:t xml:space="preserve"> J; Stober, K. 2013. (Eds) Monastic Wales: New Approaches. University of Wales Press, Cardiff. PP1-247.</w:t>
      </w:r>
    </w:p>
    <w:p w14:paraId="78788F5D" w14:textId="5BCC0CDC" w:rsidR="00B76040" w:rsidRDefault="00B76040">
      <w:r>
        <w:t>Carpenter,</w:t>
      </w:r>
      <w:r w:rsidR="00543DC6">
        <w:t xml:space="preserve"> D. 2004. The Struggle for Mastery: The Penguin History of Britain 1066-1284. Penguin Books, London. PP1-531.</w:t>
      </w:r>
    </w:p>
    <w:p w14:paraId="4420C803" w14:textId="63AAF7B8" w:rsidR="00B76040" w:rsidRDefault="00B76040" w:rsidP="00722BF4">
      <w:r>
        <w:t>Chibnall,</w:t>
      </w:r>
      <w:r w:rsidR="0063503C">
        <w:t xml:space="preserve"> M, 1991. The Empress Matilda: Queen Consort, Queen Mother and Lady of the English. Basil Blackwell LTD, Oxford. PP1-207.</w:t>
      </w:r>
    </w:p>
    <w:p w14:paraId="38A60437" w14:textId="5B5EA9A5" w:rsidR="00B76040" w:rsidRDefault="00B76040">
      <w:r>
        <w:t>Creighton,</w:t>
      </w:r>
      <w:r w:rsidR="0063503C">
        <w:t xml:space="preserve"> H O. 2005. Castle and Landscapes: Power, Community and Fortification in Medieval England. Equinox Publishing LTD, London. PP1-229.</w:t>
      </w:r>
    </w:p>
    <w:p w14:paraId="53FC85C0" w14:textId="4C9F0C39" w:rsidR="00B76040" w:rsidRDefault="00B76040">
      <w:r>
        <w:t>Costen,</w:t>
      </w:r>
      <w:r w:rsidR="0063503C">
        <w:t xml:space="preserve"> M. 2011. Anglo-Saxon Somerset. Oxbow Books, Oxford. PP1-237.</w:t>
      </w:r>
    </w:p>
    <w:p w14:paraId="0CA4BA1B" w14:textId="518AABB5" w:rsidR="00FB5D4E" w:rsidRDefault="00FB5D4E">
      <w:r>
        <w:t>Gaunt, P. 2003. The English Civil War. Essential Histories Series. Osprey Publishing, Oxford. PP1-94.</w:t>
      </w:r>
    </w:p>
    <w:p w14:paraId="4FEA2375" w14:textId="620D9A01" w:rsidR="00FB5D4E" w:rsidRDefault="00FB5D4E">
      <w:r>
        <w:t xml:space="preserve">Gibb, J. 1971. An Interim Report of Excavations carried out at West End of Sherborne Abbey in 1964 and 1965. </w:t>
      </w:r>
      <w:r>
        <w:rPr>
          <w:i/>
        </w:rPr>
        <w:t xml:space="preserve">Proceedings of the Dorset Natural History and Archaeology Society. Vol. 93. </w:t>
      </w:r>
      <w:r>
        <w:t>(1971). PP197-210.</w:t>
      </w:r>
    </w:p>
    <w:p w14:paraId="3EDA14AB" w14:textId="675D3C49" w:rsidR="006E5396" w:rsidRPr="00722BF4" w:rsidRDefault="006E5396">
      <w:r>
        <w:t xml:space="preserve">Gibb, J, H, P. (n.d) </w:t>
      </w:r>
      <w:r>
        <w:rPr>
          <w:i/>
        </w:rPr>
        <w:t>Fan Vaults and Medieval Sculpture of Sherborne Abbey.</w:t>
      </w:r>
      <w:r>
        <w:t xml:space="preserve"> Friends of Sherborne Abbey, Sherborne.</w:t>
      </w:r>
    </w:p>
    <w:p w14:paraId="19A3F370" w14:textId="108B9B21" w:rsidR="00B76040" w:rsidRPr="00722BF4" w:rsidRDefault="00B76040" w:rsidP="00B76040">
      <w:r>
        <w:t>Heale,</w:t>
      </w:r>
      <w:r w:rsidR="0063503C">
        <w:t xml:space="preserve"> M. 2004. The Dependant Priories of Medieval English Monasteries. </w:t>
      </w:r>
      <w:r w:rsidR="0063503C">
        <w:rPr>
          <w:i/>
        </w:rPr>
        <w:t xml:space="preserve">Studies in the History of Medieval Religion. </w:t>
      </w:r>
      <w:r w:rsidR="0063503C">
        <w:t xml:space="preserve">Vol. 22. </w:t>
      </w:r>
      <w:r w:rsidR="00CC04B0">
        <w:t xml:space="preserve">Boydell Press, Woodbridge. </w:t>
      </w:r>
      <w:r w:rsidR="0063503C">
        <w:t>PP1-315.</w:t>
      </w:r>
    </w:p>
    <w:p w14:paraId="41BEDD9D" w14:textId="3BB8718F" w:rsidR="00B76040" w:rsidRDefault="00B76040" w:rsidP="00B76040">
      <w:r>
        <w:lastRenderedPageBreak/>
        <w:t>Hodder,</w:t>
      </w:r>
      <w:r w:rsidR="00CC04B0">
        <w:t xml:space="preserve"> I. 2012. Entangled: An Archaeology of the Relationships between Humans and Things. John Wiley and Sons Inc, Chichester.</w:t>
      </w:r>
      <w:r w:rsidR="00D42A6A" w:rsidRPr="00D42A6A">
        <w:t xml:space="preserve"> </w:t>
      </w:r>
      <w:r w:rsidR="00D42A6A">
        <w:t>PP1-223.</w:t>
      </w:r>
    </w:p>
    <w:p w14:paraId="481FCE41" w14:textId="01184C20" w:rsidR="00B76040" w:rsidRDefault="00B76040" w:rsidP="00B76040">
      <w:r>
        <w:t>Hoskins,</w:t>
      </w:r>
      <w:r w:rsidR="00D42A6A">
        <w:t xml:space="preserve"> J. 1998. Biographical Objects: How things tell the stories of people’s lives.  Routledge, London. PP1-199.</w:t>
      </w:r>
    </w:p>
    <w:p w14:paraId="07387300" w14:textId="38605539" w:rsidR="00B76040" w:rsidRDefault="00B76040" w:rsidP="00B76040">
      <w:r>
        <w:t>Legg,</w:t>
      </w:r>
      <w:r w:rsidR="00ED2D12">
        <w:t xml:space="preserve"> R. 2012. The Book of Sherborne and Castleton: Abbey, Town and School. Halsgrove, Wellington. PP1-</w:t>
      </w:r>
      <w:r w:rsidR="00AF76FF">
        <w:t xml:space="preserve">159. </w:t>
      </w:r>
    </w:p>
    <w:p w14:paraId="4DA4A5A9" w14:textId="1C2D0D77" w:rsidR="00FB5D4E" w:rsidRDefault="00B76040">
      <w:r>
        <w:t>Liddiard,</w:t>
      </w:r>
      <w:r w:rsidR="00AF76FF">
        <w:t xml:space="preserve"> R. 2012. Castles in Context: Power, Symbolism and Landscape. Windgather Press, Oxford. PP1-168. </w:t>
      </w:r>
    </w:p>
    <w:p w14:paraId="77D7BCDC" w14:textId="16518C93" w:rsidR="00B76040" w:rsidRDefault="00FB5D4E">
      <w:r>
        <w:t>Luxford, M, J. 2005. The Art and Architecture of English Benedictine Monasteries 1300-1540: A Patronage History. Boydell Press, Woodbridge. PP1-218.</w:t>
      </w:r>
    </w:p>
    <w:p w14:paraId="0DCE3F84" w14:textId="4AE12C22" w:rsidR="00FB5D4E" w:rsidRDefault="00B76040" w:rsidP="00B76040">
      <w:r>
        <w:t>March,</w:t>
      </w:r>
      <w:r w:rsidR="00AF76FF">
        <w:t xml:space="preserve"> R. 1979. Sherborne Castle. Sherborne Castle Estates, Sherborne. P1-48.</w:t>
      </w:r>
    </w:p>
    <w:p w14:paraId="5DCFF5F1" w14:textId="37FD7047" w:rsidR="00FB5D4E" w:rsidRDefault="00FB5D4E" w:rsidP="00B76040">
      <w:r>
        <w:t>McIlwain, J. 2014. (eds) Sherborne Abbey. Scala Arts and Heritage Publishers LTD, London. P1-30.</w:t>
      </w:r>
    </w:p>
    <w:p w14:paraId="6C6D97DB" w14:textId="6E432F66" w:rsidR="00B76040" w:rsidRDefault="00AF76FF" w:rsidP="00B76040">
      <w:r>
        <w:t>Ross, C. 2000. The Canons of Salisbury Cathedral: A Record of the Dignitaries, Prebendaries and Office Holders and their Place in the Quire of Salisbury Cathedral. Dean and Chapter of Salisbury Cathedral, Salisbury. P1-231.</w:t>
      </w:r>
    </w:p>
    <w:p w14:paraId="43679037" w14:textId="2A80C821" w:rsidR="00B76040" w:rsidRDefault="00B76040">
      <w:r>
        <w:t>Speed,</w:t>
      </w:r>
      <w:r w:rsidR="00AF76FF">
        <w:t xml:space="preserve"> P. 1994. Dorset, A County History. Countryside Book, Newbury. PP1-204.</w:t>
      </w:r>
    </w:p>
    <w:p w14:paraId="771457EF" w14:textId="77777777" w:rsidR="00B76040" w:rsidRDefault="00B76040"/>
    <w:p w14:paraId="627E5060" w14:textId="37770CAF" w:rsidR="00B76040" w:rsidRDefault="006E5396">
      <w:r>
        <w:t>Websites:</w:t>
      </w:r>
    </w:p>
    <w:p w14:paraId="53A3B3E3" w14:textId="77777777" w:rsidR="006E5396" w:rsidRDefault="006E5396" w:rsidP="006E5396">
      <w:pPr>
        <w:spacing w:after="0" w:line="240" w:lineRule="auto"/>
        <w:rPr>
          <w:rFonts w:eastAsia="Times New Roman" w:cstheme="minorHAnsi"/>
          <w:lang w:eastAsia="en-GB"/>
        </w:rPr>
      </w:pPr>
      <w:r w:rsidRPr="00334A70">
        <w:rPr>
          <w:rFonts w:eastAsia="Times New Roman" w:cstheme="minorHAnsi"/>
          <w:lang w:eastAsia="en-GB"/>
        </w:rPr>
        <w:t xml:space="preserve">'Sherborne', in </w:t>
      </w:r>
      <w:r w:rsidRPr="00334A70">
        <w:rPr>
          <w:rFonts w:eastAsia="Times New Roman" w:cstheme="minorHAnsi"/>
          <w:i/>
          <w:iCs/>
          <w:lang w:eastAsia="en-GB"/>
        </w:rPr>
        <w:t>An Inventory of the Historical Monuments in Dorset, Volume 1, West</w:t>
      </w:r>
      <w:r w:rsidRPr="00334A70">
        <w:rPr>
          <w:rFonts w:eastAsia="Times New Roman" w:cstheme="minorHAnsi"/>
          <w:lang w:eastAsia="en-GB"/>
        </w:rPr>
        <w:t xml:space="preserve"> (London, 1952), pp. 199-221. </w:t>
      </w:r>
      <w:r w:rsidRPr="00334A70">
        <w:rPr>
          <w:rFonts w:eastAsia="Times New Roman" w:cstheme="minorHAnsi"/>
          <w:i/>
          <w:iCs/>
          <w:lang w:eastAsia="en-GB"/>
        </w:rPr>
        <w:t>British History Online</w:t>
      </w:r>
      <w:r w:rsidRPr="00334A70">
        <w:rPr>
          <w:rFonts w:eastAsia="Times New Roman" w:cstheme="minorHAnsi"/>
          <w:lang w:eastAsia="en-GB"/>
        </w:rPr>
        <w:t xml:space="preserve"> http://www.british-history.ac.uk/rchme/dorset/vol1/pp199-221 [accessed 12 December 2016].</w:t>
      </w:r>
    </w:p>
    <w:p w14:paraId="22DE6A17" w14:textId="5887E2C1" w:rsidR="00B76040" w:rsidRDefault="00B76040"/>
    <w:p w14:paraId="211A8ED0" w14:textId="77777777" w:rsidR="006E5396" w:rsidRDefault="006E5396" w:rsidP="006E5396">
      <w:r>
        <w:t xml:space="preserve">Sherborne Abbey. Friends of Sherborne Abbey. 2016. Available From: </w:t>
      </w:r>
      <w:hyperlink r:id="rId7" w:history="1">
        <w:r w:rsidRPr="005C5C56">
          <w:rPr>
            <w:rStyle w:val="Hyperlink"/>
          </w:rPr>
          <w:t>http://sherborneabbey.com/visit/about-sherborne-abbey/</w:t>
        </w:r>
      </w:hyperlink>
      <w:r>
        <w:t>. [Accessed: 12/12/16.]</w:t>
      </w:r>
    </w:p>
    <w:p w14:paraId="12E5806E" w14:textId="77777777" w:rsidR="006E5396" w:rsidRDefault="006E5396" w:rsidP="006E5396">
      <w:r>
        <w:t xml:space="preserve">A Brief History. Sherborne Boys School. n.d. Available from: </w:t>
      </w:r>
      <w:hyperlink r:id="rId8" w:history="1">
        <w:r w:rsidRPr="005C5C56">
          <w:rPr>
            <w:rStyle w:val="Hyperlink"/>
          </w:rPr>
          <w:t>http://www.sherborne.org/about-us/a-brief-history/</w:t>
        </w:r>
      </w:hyperlink>
      <w:r>
        <w:t>. [Accessed: 12/12/16]</w:t>
      </w:r>
    </w:p>
    <w:p w14:paraId="097CBEA7" w14:textId="77777777" w:rsidR="006E5396" w:rsidRDefault="006E5396" w:rsidP="006E5396">
      <w:r>
        <w:t xml:space="preserve">Notable Alumni. Sherborne Boys School. n.d. Available from: </w:t>
      </w:r>
      <w:hyperlink r:id="rId9" w:history="1">
        <w:r w:rsidRPr="006B3B32">
          <w:rPr>
            <w:rStyle w:val="Hyperlink"/>
          </w:rPr>
          <w:t>http://www.sherborne.org/about-us/after-sherborne/notable-alumni/</w:t>
        </w:r>
      </w:hyperlink>
      <w:r>
        <w:t xml:space="preserve"> [Accessed: 12/12/16]</w:t>
      </w:r>
    </w:p>
    <w:p w14:paraId="11AAB31C" w14:textId="77777777" w:rsidR="006E5396" w:rsidRDefault="006E5396" w:rsidP="006E5396">
      <w:r>
        <w:t xml:space="preserve">‘Finer than Salisbury Cathedral’-Sherborne Abbey. Dorset Life. 2013. Available from: </w:t>
      </w:r>
      <w:hyperlink r:id="rId10" w:history="1">
        <w:r>
          <w:rPr>
            <w:rStyle w:val="Hyperlink"/>
          </w:rPr>
          <w:t>http://www.dorsetlife.co.uk/2013/07/finer-than-salisbury-cathedral-sherborne-abbey/</w:t>
        </w:r>
      </w:hyperlink>
      <w:r>
        <w:t xml:space="preserve"> [Accessed: 9/1/17]</w:t>
      </w:r>
    </w:p>
    <w:p w14:paraId="5CA5F39D" w14:textId="77777777" w:rsidR="006E5396" w:rsidRDefault="006E5396" w:rsidP="006E5396">
      <w:r>
        <w:t xml:space="preserve">Home. Sherborne Castle. n.d. Available from: </w:t>
      </w:r>
      <w:hyperlink r:id="rId11" w:history="1">
        <w:r>
          <w:rPr>
            <w:rStyle w:val="Hyperlink"/>
          </w:rPr>
          <w:t>http://www.sherbornecastle.com/</w:t>
        </w:r>
      </w:hyperlink>
      <w:r>
        <w:t>. Accessed: 12/12/16]</w:t>
      </w:r>
    </w:p>
    <w:p w14:paraId="662F899C" w14:textId="77777777" w:rsidR="006E5396" w:rsidRDefault="006E5396" w:rsidP="006E5396">
      <w:r>
        <w:t xml:space="preserve">Anon. n.d. Reconstruction of Sherborne Abbey and Monastery, c.1530. Available from: </w:t>
      </w:r>
      <w:r w:rsidRPr="007D2B69">
        <w:t>oldshirburnian.org.uk/sherborne-school-and-its-buildings/</w:t>
      </w:r>
      <w:r>
        <w:t xml:space="preserve"> [Accessed:12/12/16]</w:t>
      </w:r>
    </w:p>
    <w:p w14:paraId="48BF20DB" w14:textId="77777777" w:rsidR="006E5396" w:rsidRDefault="006E5396" w:rsidP="006E5396">
      <w:r>
        <w:t>Gourlay, A, B. (2</w:t>
      </w:r>
      <w:r w:rsidRPr="007D2B69">
        <w:rPr>
          <w:vertAlign w:val="superscript"/>
        </w:rPr>
        <w:t>nd</w:t>
      </w:r>
      <w:r>
        <w:t xml:space="preserve"> ed) 1971. </w:t>
      </w:r>
      <w:r>
        <w:rPr>
          <w:i/>
        </w:rPr>
        <w:t>A History of Sherborne School.</w:t>
      </w:r>
      <w:r>
        <w:t xml:space="preserve"> Available From: </w:t>
      </w:r>
      <w:r w:rsidRPr="007D2B69">
        <w:t>oldshirburnian.org.uk/sherborne-school-and-its-buildings/</w:t>
      </w:r>
      <w:r>
        <w:t xml:space="preserve"> [Accessed: 12/12/16.]</w:t>
      </w:r>
    </w:p>
    <w:p w14:paraId="675C3CB6" w14:textId="77777777" w:rsidR="006E5396" w:rsidRDefault="006E5396" w:rsidP="006E5396">
      <w:r>
        <w:lastRenderedPageBreak/>
        <w:t xml:space="preserve">Anon. n.d. Historic Buildings of Sherborne School. N.d. </w:t>
      </w:r>
      <w:r>
        <w:rPr>
          <w:i/>
        </w:rPr>
        <w:t>A History of Sherborne School.</w:t>
      </w:r>
      <w:r>
        <w:t xml:space="preserve"> Available From: </w:t>
      </w:r>
      <w:r w:rsidRPr="007D2B69">
        <w:t>oldshirburnian.org.uk/sherborne-school-and-its-buildings/</w:t>
      </w:r>
      <w:r>
        <w:t>[Accessed: 12/12/16]</w:t>
      </w:r>
    </w:p>
    <w:p w14:paraId="5C86FCD9" w14:textId="77777777" w:rsidR="006E5396" w:rsidRDefault="006E5396" w:rsidP="006E5396">
      <w:r>
        <w:t>Dorset Historic Towns Survey: Sherborne. Part 5: Historical Analysis (2011) Pp25-31.</w:t>
      </w:r>
    </w:p>
    <w:p w14:paraId="419F02A6" w14:textId="77777777" w:rsidR="006E5396" w:rsidRPr="001A12C6" w:rsidRDefault="006E5396" w:rsidP="006E5396">
      <w:r>
        <w:t xml:space="preserve">Anglo-Saxon Churches. (n.d.) Abbey Church of St Mary, Sherborne, Dorset. Available From: </w:t>
      </w:r>
      <w:hyperlink r:id="rId12" w:history="1">
        <w:r w:rsidRPr="00E91980">
          <w:rPr>
            <w:rStyle w:val="Hyperlink"/>
          </w:rPr>
          <w:t>www.anglo-saxon-churches.co.uk/sherborne.pdf</w:t>
        </w:r>
      </w:hyperlink>
      <w:r>
        <w:rPr>
          <w:rStyle w:val="HTMLCite"/>
        </w:rPr>
        <w:t xml:space="preserve"> </w:t>
      </w:r>
      <w:r>
        <w:rPr>
          <w:rStyle w:val="HTMLCite"/>
          <w:i w:val="0"/>
        </w:rPr>
        <w:t>[Accessed: 31/12/16]</w:t>
      </w:r>
    </w:p>
    <w:p w14:paraId="7012ECFD" w14:textId="77777777" w:rsidR="006E5396" w:rsidRDefault="006E5396"/>
    <w:sectPr w:rsidR="006E539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62C834" w14:textId="77777777" w:rsidR="009443F6" w:rsidRDefault="009443F6" w:rsidP="00FA1BDB">
      <w:pPr>
        <w:spacing w:after="0" w:line="240" w:lineRule="auto"/>
      </w:pPr>
      <w:r>
        <w:separator/>
      </w:r>
    </w:p>
  </w:endnote>
  <w:endnote w:type="continuationSeparator" w:id="0">
    <w:p w14:paraId="58719F0F" w14:textId="77777777" w:rsidR="009443F6" w:rsidRDefault="009443F6" w:rsidP="00FA1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ED983E" w14:textId="77777777" w:rsidR="009443F6" w:rsidRDefault="009443F6" w:rsidP="00FA1BDB">
      <w:pPr>
        <w:spacing w:after="0" w:line="240" w:lineRule="auto"/>
      </w:pPr>
      <w:r>
        <w:separator/>
      </w:r>
    </w:p>
  </w:footnote>
  <w:footnote w:type="continuationSeparator" w:id="0">
    <w:p w14:paraId="0710761C" w14:textId="77777777" w:rsidR="009443F6" w:rsidRDefault="009443F6" w:rsidP="00FA1B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F8662B" w14:textId="77777777" w:rsidR="00E2505F" w:rsidRDefault="00E2505F">
    <w:pPr>
      <w:pStyle w:val="Header"/>
    </w:pPr>
    <w:r>
      <w:t>Due Nov 17. Reflective Dissertation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885"/>
    <w:rsid w:val="00082FAA"/>
    <w:rsid w:val="000D1504"/>
    <w:rsid w:val="000F564C"/>
    <w:rsid w:val="001079F9"/>
    <w:rsid w:val="00136085"/>
    <w:rsid w:val="0016159E"/>
    <w:rsid w:val="001A1C36"/>
    <w:rsid w:val="001E4E44"/>
    <w:rsid w:val="001E72C1"/>
    <w:rsid w:val="002A710F"/>
    <w:rsid w:val="002B444D"/>
    <w:rsid w:val="002C2A8D"/>
    <w:rsid w:val="002F1B9B"/>
    <w:rsid w:val="002F6800"/>
    <w:rsid w:val="00362875"/>
    <w:rsid w:val="00465046"/>
    <w:rsid w:val="004B0687"/>
    <w:rsid w:val="004D171F"/>
    <w:rsid w:val="005262BB"/>
    <w:rsid w:val="00543DC6"/>
    <w:rsid w:val="00565885"/>
    <w:rsid w:val="0063503C"/>
    <w:rsid w:val="006465DF"/>
    <w:rsid w:val="006665BB"/>
    <w:rsid w:val="0068123C"/>
    <w:rsid w:val="00691BAE"/>
    <w:rsid w:val="00693D16"/>
    <w:rsid w:val="00696F5C"/>
    <w:rsid w:val="006D1833"/>
    <w:rsid w:val="006E5396"/>
    <w:rsid w:val="006F58B7"/>
    <w:rsid w:val="00722BF4"/>
    <w:rsid w:val="00734CB1"/>
    <w:rsid w:val="00744983"/>
    <w:rsid w:val="0075625E"/>
    <w:rsid w:val="00774589"/>
    <w:rsid w:val="00781DE8"/>
    <w:rsid w:val="007823B1"/>
    <w:rsid w:val="007C7508"/>
    <w:rsid w:val="007F5623"/>
    <w:rsid w:val="00853157"/>
    <w:rsid w:val="00864A9F"/>
    <w:rsid w:val="00883424"/>
    <w:rsid w:val="008B16D9"/>
    <w:rsid w:val="009443F6"/>
    <w:rsid w:val="00994F7A"/>
    <w:rsid w:val="009A1BFB"/>
    <w:rsid w:val="009F4F42"/>
    <w:rsid w:val="00A42262"/>
    <w:rsid w:val="00A60FCA"/>
    <w:rsid w:val="00A85BCC"/>
    <w:rsid w:val="00AF76FF"/>
    <w:rsid w:val="00B1322C"/>
    <w:rsid w:val="00B22818"/>
    <w:rsid w:val="00B37619"/>
    <w:rsid w:val="00B559B7"/>
    <w:rsid w:val="00B76040"/>
    <w:rsid w:val="00BE7452"/>
    <w:rsid w:val="00C216BC"/>
    <w:rsid w:val="00C428EE"/>
    <w:rsid w:val="00C46A4B"/>
    <w:rsid w:val="00C825CC"/>
    <w:rsid w:val="00C92147"/>
    <w:rsid w:val="00CC04B0"/>
    <w:rsid w:val="00CD3C02"/>
    <w:rsid w:val="00D42A6A"/>
    <w:rsid w:val="00DB2217"/>
    <w:rsid w:val="00E2505F"/>
    <w:rsid w:val="00ED2D12"/>
    <w:rsid w:val="00ED74BA"/>
    <w:rsid w:val="00EE2C47"/>
    <w:rsid w:val="00EF20BF"/>
    <w:rsid w:val="00F0475E"/>
    <w:rsid w:val="00F05095"/>
    <w:rsid w:val="00F05B94"/>
    <w:rsid w:val="00F272EB"/>
    <w:rsid w:val="00F7548A"/>
    <w:rsid w:val="00FA1BDB"/>
    <w:rsid w:val="00FB5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F0DBF"/>
  <w15:chartTrackingRefBased/>
  <w15:docId w15:val="{D6D5EA9C-43CB-45AB-8D47-A92EF606E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4"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4"/>
    <w:unhideWhenUsed/>
    <w:qFormat/>
    <w:rsid w:val="00565885"/>
    <w:pPr>
      <w:keepNext/>
      <w:keepLines/>
      <w:spacing w:after="0" w:line="480" w:lineRule="auto"/>
      <w:outlineLvl w:val="1"/>
    </w:pPr>
    <w:rPr>
      <w:rFonts w:asciiTheme="majorHAnsi" w:eastAsiaTheme="majorEastAsia" w:hAnsiTheme="majorHAnsi" w:cstheme="majorBidi"/>
      <w:b/>
      <w:bCs/>
      <w:kern w:val="24"/>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4"/>
    <w:rsid w:val="00565885"/>
    <w:rPr>
      <w:rFonts w:asciiTheme="majorHAnsi" w:eastAsiaTheme="majorEastAsia" w:hAnsiTheme="majorHAnsi" w:cstheme="majorBidi"/>
      <w:b/>
      <w:bCs/>
      <w:kern w:val="24"/>
      <w:sz w:val="24"/>
      <w:szCs w:val="24"/>
      <w:lang w:val="en-US" w:eastAsia="ja-JP"/>
    </w:rPr>
  </w:style>
  <w:style w:type="paragraph" w:styleId="FootnoteText">
    <w:name w:val="footnote text"/>
    <w:basedOn w:val="Normal"/>
    <w:link w:val="FootnoteTextChar"/>
    <w:uiPriority w:val="99"/>
    <w:semiHidden/>
    <w:unhideWhenUsed/>
    <w:rsid w:val="00FA1B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1BDB"/>
    <w:rPr>
      <w:sz w:val="20"/>
      <w:szCs w:val="20"/>
    </w:rPr>
  </w:style>
  <w:style w:type="character" w:styleId="FootnoteReference">
    <w:name w:val="footnote reference"/>
    <w:basedOn w:val="DefaultParagraphFont"/>
    <w:uiPriority w:val="99"/>
    <w:semiHidden/>
    <w:unhideWhenUsed/>
    <w:rsid w:val="00FA1BDB"/>
    <w:rPr>
      <w:vertAlign w:val="superscript"/>
    </w:rPr>
  </w:style>
  <w:style w:type="paragraph" w:styleId="Header">
    <w:name w:val="header"/>
    <w:basedOn w:val="Normal"/>
    <w:link w:val="HeaderChar"/>
    <w:uiPriority w:val="99"/>
    <w:unhideWhenUsed/>
    <w:rsid w:val="00E25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05F"/>
  </w:style>
  <w:style w:type="paragraph" w:styleId="Footer">
    <w:name w:val="footer"/>
    <w:basedOn w:val="Normal"/>
    <w:link w:val="FooterChar"/>
    <w:uiPriority w:val="99"/>
    <w:unhideWhenUsed/>
    <w:rsid w:val="00E25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05F"/>
  </w:style>
  <w:style w:type="character" w:styleId="CommentReference">
    <w:name w:val="annotation reference"/>
    <w:basedOn w:val="DefaultParagraphFont"/>
    <w:uiPriority w:val="99"/>
    <w:semiHidden/>
    <w:unhideWhenUsed/>
    <w:rsid w:val="000F564C"/>
    <w:rPr>
      <w:sz w:val="16"/>
      <w:szCs w:val="16"/>
    </w:rPr>
  </w:style>
  <w:style w:type="paragraph" w:styleId="CommentText">
    <w:name w:val="annotation text"/>
    <w:basedOn w:val="Normal"/>
    <w:link w:val="CommentTextChar"/>
    <w:uiPriority w:val="99"/>
    <w:semiHidden/>
    <w:unhideWhenUsed/>
    <w:rsid w:val="000F564C"/>
    <w:pPr>
      <w:spacing w:line="240" w:lineRule="auto"/>
    </w:pPr>
    <w:rPr>
      <w:sz w:val="20"/>
      <w:szCs w:val="20"/>
    </w:rPr>
  </w:style>
  <w:style w:type="character" w:customStyle="1" w:styleId="CommentTextChar">
    <w:name w:val="Comment Text Char"/>
    <w:basedOn w:val="DefaultParagraphFont"/>
    <w:link w:val="CommentText"/>
    <w:uiPriority w:val="99"/>
    <w:semiHidden/>
    <w:rsid w:val="000F564C"/>
    <w:rPr>
      <w:sz w:val="20"/>
      <w:szCs w:val="20"/>
    </w:rPr>
  </w:style>
  <w:style w:type="paragraph" w:styleId="CommentSubject">
    <w:name w:val="annotation subject"/>
    <w:basedOn w:val="CommentText"/>
    <w:next w:val="CommentText"/>
    <w:link w:val="CommentSubjectChar"/>
    <w:uiPriority w:val="99"/>
    <w:semiHidden/>
    <w:unhideWhenUsed/>
    <w:rsid w:val="000F564C"/>
    <w:rPr>
      <w:b/>
      <w:bCs/>
    </w:rPr>
  </w:style>
  <w:style w:type="character" w:customStyle="1" w:styleId="CommentSubjectChar">
    <w:name w:val="Comment Subject Char"/>
    <w:basedOn w:val="CommentTextChar"/>
    <w:link w:val="CommentSubject"/>
    <w:uiPriority w:val="99"/>
    <w:semiHidden/>
    <w:rsid w:val="000F564C"/>
    <w:rPr>
      <w:b/>
      <w:bCs/>
      <w:sz w:val="20"/>
      <w:szCs w:val="20"/>
    </w:rPr>
  </w:style>
  <w:style w:type="paragraph" w:styleId="BalloonText">
    <w:name w:val="Balloon Text"/>
    <w:basedOn w:val="Normal"/>
    <w:link w:val="BalloonTextChar"/>
    <w:uiPriority w:val="99"/>
    <w:semiHidden/>
    <w:unhideWhenUsed/>
    <w:rsid w:val="000F56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64C"/>
    <w:rPr>
      <w:rFonts w:ascii="Segoe UI" w:hAnsi="Segoe UI" w:cs="Segoe UI"/>
      <w:sz w:val="18"/>
      <w:szCs w:val="18"/>
    </w:rPr>
  </w:style>
  <w:style w:type="character" w:styleId="Hyperlink">
    <w:name w:val="Hyperlink"/>
    <w:basedOn w:val="DefaultParagraphFont"/>
    <w:uiPriority w:val="99"/>
    <w:unhideWhenUsed/>
    <w:rsid w:val="006E5396"/>
    <w:rPr>
      <w:color w:val="0563C1" w:themeColor="hyperlink"/>
      <w:u w:val="single"/>
    </w:rPr>
  </w:style>
  <w:style w:type="character" w:styleId="HTMLCite">
    <w:name w:val="HTML Cite"/>
    <w:basedOn w:val="DefaultParagraphFont"/>
    <w:uiPriority w:val="99"/>
    <w:semiHidden/>
    <w:unhideWhenUsed/>
    <w:rsid w:val="006E539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862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herborne.org/about-us/a-brief-history/"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erborneabbey.com/visit/about-sherborne-abbey/" TargetMode="External"/><Relationship Id="rId12" Type="http://schemas.openxmlformats.org/officeDocument/2006/relationships/hyperlink" Target="http://www.anglo-saxon-churches.co.uk/sherborne.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herbornecastle.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dorsetlife.co.uk/2013/07/finer-than-salisbury-cathedral-sherborne-abbey/" TargetMode="External"/><Relationship Id="rId4" Type="http://schemas.openxmlformats.org/officeDocument/2006/relationships/webSettings" Target="webSettings.xml"/><Relationship Id="rId9" Type="http://schemas.openxmlformats.org/officeDocument/2006/relationships/hyperlink" Target="http://www.sherborne.org/about-us/after-sherborne/notable-alumn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38ECF9-D4F0-4BAF-BFB7-936E54676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6</Pages>
  <Words>2731</Words>
  <Characters>15570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Harris</dc:creator>
  <cp:keywords/>
  <dc:description/>
  <cp:lastModifiedBy>Charlotte Harris</cp:lastModifiedBy>
  <cp:revision>5</cp:revision>
  <dcterms:created xsi:type="dcterms:W3CDTF">2017-11-17T11:34:00Z</dcterms:created>
  <dcterms:modified xsi:type="dcterms:W3CDTF">2017-11-17T12:51:00Z</dcterms:modified>
</cp:coreProperties>
</file>