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024AF" w14:textId="77777777" w:rsidR="00976B0F" w:rsidRDefault="00976B0F" w:rsidP="00976B0F">
      <w:pPr>
        <w:spacing w:line="360" w:lineRule="auto"/>
        <w:rPr>
          <w:rFonts w:ascii="Arial" w:hAnsi="Arial" w:cs="Arial"/>
          <w:b/>
          <w:bCs/>
          <w:color w:val="000000" w:themeColor="text1"/>
        </w:rPr>
      </w:pPr>
      <w:r>
        <w:rPr>
          <w:rFonts w:ascii="Arial" w:hAnsi="Arial" w:cs="Arial"/>
          <w:b/>
          <w:bCs/>
          <w:noProof/>
          <w:color w:val="000000" w:themeColor="text1"/>
        </w:rPr>
        <w:drawing>
          <wp:anchor distT="0" distB="0" distL="114300" distR="114300" simplePos="0" relativeHeight="251659264" behindDoc="1" locked="0" layoutInCell="1" allowOverlap="1" wp14:anchorId="2BDBF5D7" wp14:editId="3072F473">
            <wp:simplePos x="0" y="0"/>
            <wp:positionH relativeFrom="column">
              <wp:posOffset>-619125</wp:posOffset>
            </wp:positionH>
            <wp:positionV relativeFrom="paragraph">
              <wp:posOffset>-666750</wp:posOffset>
            </wp:positionV>
            <wp:extent cx="2200910" cy="743585"/>
            <wp:effectExtent l="0" t="0" r="8890" b="0"/>
            <wp:wrapNone/>
            <wp:docPr id="13426923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anchor>
        </w:drawing>
      </w:r>
    </w:p>
    <w:p w14:paraId="332C55DF" w14:textId="77777777" w:rsidR="00976B0F" w:rsidRPr="0078461C" w:rsidRDefault="00976B0F" w:rsidP="00976B0F">
      <w:pPr>
        <w:suppressAutoHyphens/>
        <w:spacing w:before="120" w:after="120" w:line="360" w:lineRule="auto"/>
        <w:jc w:val="both"/>
        <w:rPr>
          <w:rFonts w:ascii="Segoe UI" w:eastAsia="Calibri" w:hAnsi="Segoe UI" w:cs="Segoe UI"/>
          <w:b/>
          <w:bCs/>
          <w:color w:val="212529"/>
          <w:sz w:val="28"/>
          <w:szCs w:val="28"/>
        </w:rPr>
      </w:pPr>
      <w:r w:rsidRPr="0078461C">
        <w:rPr>
          <w:rFonts w:ascii="Segoe UI" w:eastAsia="Calibri" w:hAnsi="Segoe UI" w:cs="Segoe UI"/>
          <w:b/>
          <w:bCs/>
          <w:color w:val="212529"/>
          <w:sz w:val="28"/>
          <w:szCs w:val="28"/>
        </w:rPr>
        <w:t>Doctorate in Professional Practice</w:t>
      </w:r>
    </w:p>
    <w:tbl>
      <w:tblPr>
        <w:tblStyle w:val="TableGrid1"/>
        <w:tblpPr w:leftFromText="180" w:rightFromText="180" w:vertAnchor="text" w:horzAnchor="margin" w:tblpY="9"/>
        <w:tblW w:w="9360"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2"/>
        <w:gridCol w:w="5968"/>
      </w:tblGrid>
      <w:tr w:rsidR="00976B0F" w:rsidRPr="0078461C" w14:paraId="344B7847" w14:textId="77777777" w:rsidTr="00943101">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46E70F13" w14:textId="77777777" w:rsidR="00976B0F" w:rsidRPr="0078461C" w:rsidRDefault="00976B0F" w:rsidP="00943101">
            <w:pPr>
              <w:suppressAutoHyphens/>
              <w:spacing w:before="120" w:after="120" w:line="360" w:lineRule="auto"/>
              <w:rPr>
                <w:rFonts w:ascii="Calibri" w:eastAsia="Tahoma" w:hAnsi="Calibri" w:cs="Calibri"/>
                <w:color w:val="000000"/>
                <w:sz w:val="28"/>
                <w:szCs w:val="28"/>
                <w:lang w:val="en-US" w:eastAsia="ar-SA"/>
              </w:rPr>
            </w:pPr>
            <w:r w:rsidRPr="0078461C">
              <w:rPr>
                <w:rFonts w:ascii="Calibri" w:eastAsia="Tahoma" w:hAnsi="Calibri" w:cs="Calibri"/>
                <w:color w:val="000000"/>
                <w:sz w:val="28"/>
                <w:szCs w:val="28"/>
                <w:lang w:val="en-US" w:eastAsia="ar-SA"/>
              </w:rPr>
              <w:t>Student Name: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93A152F" w14:textId="77777777" w:rsidR="00976B0F" w:rsidRPr="0078461C" w:rsidRDefault="00976B0F" w:rsidP="00943101">
            <w:pPr>
              <w:suppressAutoHyphens/>
              <w:spacing w:before="120" w:after="120" w:line="360" w:lineRule="auto"/>
              <w:rPr>
                <w:rFonts w:ascii="Calibri" w:eastAsia="Arial" w:hAnsi="Calibri" w:cs="Calibri"/>
                <w:b/>
                <w:bCs/>
                <w:color w:val="000000"/>
                <w:sz w:val="28"/>
                <w:szCs w:val="28"/>
                <w:lang w:val="en-US" w:eastAsia="ar-SA"/>
              </w:rPr>
            </w:pPr>
            <w:r w:rsidRPr="0078461C">
              <w:rPr>
                <w:rFonts w:ascii="Calibri" w:eastAsia="Arial" w:hAnsi="Calibri" w:cs="Calibri"/>
                <w:b/>
                <w:bCs/>
                <w:color w:val="000000"/>
                <w:sz w:val="28"/>
                <w:szCs w:val="28"/>
                <w:lang w:val="en-US" w:eastAsia="ar-SA"/>
              </w:rPr>
              <w:t>Ka</w:t>
            </w:r>
            <w:r>
              <w:rPr>
                <w:rFonts w:ascii="Calibri" w:eastAsia="Arial" w:hAnsi="Calibri" w:cs="Calibri"/>
                <w:b/>
                <w:bCs/>
                <w:color w:val="000000"/>
                <w:sz w:val="28"/>
                <w:szCs w:val="28"/>
                <w:lang w:val="en-US" w:eastAsia="ar-SA"/>
              </w:rPr>
              <w:t xml:space="preserve">z </w:t>
            </w:r>
            <w:r w:rsidRPr="0078461C">
              <w:rPr>
                <w:rFonts w:ascii="Calibri" w:eastAsia="Arial" w:hAnsi="Calibri" w:cs="Calibri"/>
                <w:b/>
                <w:bCs/>
                <w:color w:val="000000"/>
                <w:sz w:val="28"/>
                <w:szCs w:val="28"/>
                <w:lang w:val="en-US" w:eastAsia="ar-SA"/>
              </w:rPr>
              <w:t>Williams</w:t>
            </w:r>
          </w:p>
        </w:tc>
      </w:tr>
      <w:tr w:rsidR="00976B0F" w:rsidRPr="0078461C" w14:paraId="5BE2A444" w14:textId="77777777" w:rsidTr="00943101">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4E520B37" w14:textId="77777777" w:rsidR="00976B0F" w:rsidRPr="0078461C" w:rsidRDefault="00976B0F" w:rsidP="00943101">
            <w:pPr>
              <w:suppressAutoHyphens/>
              <w:spacing w:before="120" w:after="120" w:line="360" w:lineRule="auto"/>
              <w:rPr>
                <w:rFonts w:ascii="Calibri" w:eastAsia="Tahoma" w:hAnsi="Calibri" w:cs="Calibri"/>
                <w:color w:val="000000"/>
                <w:sz w:val="28"/>
                <w:szCs w:val="28"/>
                <w:lang w:val="en-US" w:eastAsia="ar-SA"/>
              </w:rPr>
            </w:pPr>
            <w:r w:rsidRPr="0078461C">
              <w:rPr>
                <w:rFonts w:ascii="Calibri" w:eastAsia="Tahoma" w:hAnsi="Calibri" w:cs="Calibri"/>
                <w:color w:val="000000"/>
                <w:sz w:val="28"/>
                <w:szCs w:val="28"/>
                <w:lang w:val="en-US" w:eastAsia="ar-SA"/>
              </w:rPr>
              <w:t>Student Number:</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C852B80" w14:textId="77777777" w:rsidR="00976B0F" w:rsidRPr="0078461C" w:rsidRDefault="00976B0F" w:rsidP="00943101">
            <w:pPr>
              <w:suppressAutoHyphens/>
              <w:spacing w:before="120" w:after="120" w:line="360" w:lineRule="auto"/>
              <w:rPr>
                <w:rFonts w:ascii="Calibri" w:eastAsia="Arial" w:hAnsi="Calibri" w:cs="Calibri"/>
                <w:b/>
                <w:bCs/>
                <w:color w:val="000000"/>
                <w:sz w:val="28"/>
                <w:szCs w:val="28"/>
                <w:lang w:val="en-US" w:eastAsia="ar-SA"/>
              </w:rPr>
            </w:pPr>
            <w:r w:rsidRPr="0078461C">
              <w:rPr>
                <w:rFonts w:ascii="Calibri" w:eastAsia="Arial" w:hAnsi="Calibri" w:cs="Calibri"/>
                <w:b/>
                <w:bCs/>
                <w:color w:val="000000"/>
                <w:sz w:val="28"/>
                <w:szCs w:val="28"/>
                <w:lang w:val="en-US" w:eastAsia="ar-SA"/>
              </w:rPr>
              <w:t>2414373</w:t>
            </w:r>
          </w:p>
        </w:tc>
      </w:tr>
      <w:tr w:rsidR="00976B0F" w:rsidRPr="0078461C" w14:paraId="2DD29FFD" w14:textId="77777777" w:rsidTr="00943101">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20C4AB95" w14:textId="77777777" w:rsidR="00976B0F" w:rsidRPr="0078461C" w:rsidRDefault="00976B0F" w:rsidP="00943101">
            <w:pPr>
              <w:suppressAutoHyphens/>
              <w:spacing w:before="120" w:after="120" w:line="360" w:lineRule="auto"/>
              <w:rPr>
                <w:rFonts w:ascii="Calibri" w:eastAsia="Tahoma" w:hAnsi="Calibri" w:cs="Calibri"/>
                <w:color w:val="000000"/>
                <w:sz w:val="28"/>
                <w:szCs w:val="28"/>
                <w:lang w:val="en-US" w:eastAsia="ar-SA"/>
              </w:rPr>
            </w:pPr>
            <w:r w:rsidRPr="0078461C">
              <w:rPr>
                <w:rFonts w:ascii="Calibri" w:eastAsia="Tahoma" w:hAnsi="Calibri" w:cs="Calibri"/>
                <w:color w:val="000000"/>
                <w:sz w:val="28"/>
                <w:szCs w:val="28"/>
                <w:lang w:val="en-US" w:eastAsia="ar-SA"/>
              </w:rPr>
              <w:t>Module No:</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3F735AB" w14:textId="77777777" w:rsidR="00976B0F" w:rsidRPr="0078461C" w:rsidRDefault="00976B0F" w:rsidP="00943101">
            <w:pPr>
              <w:suppressAutoHyphens/>
              <w:spacing w:before="120" w:after="120" w:line="360" w:lineRule="auto"/>
              <w:rPr>
                <w:rFonts w:ascii="Calibri" w:eastAsia="Tahoma" w:hAnsi="Calibri" w:cs="Calibri"/>
                <w:b/>
                <w:bCs/>
                <w:color w:val="000000"/>
                <w:sz w:val="28"/>
                <w:szCs w:val="28"/>
                <w:lang w:val="en-US" w:eastAsia="ar-SA"/>
              </w:rPr>
            </w:pPr>
            <w:proofErr w:type="spellStart"/>
            <w:r w:rsidRPr="0078461C">
              <w:rPr>
                <w:rFonts w:ascii="Calibri" w:eastAsia="Tahoma" w:hAnsi="Calibri" w:cs="Calibri"/>
                <w:b/>
                <w:bCs/>
                <w:color w:val="000000"/>
                <w:sz w:val="28"/>
                <w:szCs w:val="28"/>
                <w:lang w:val="en-US" w:eastAsia="ar-SA"/>
              </w:rPr>
              <w:t>BMDP</w:t>
            </w:r>
            <w:proofErr w:type="spellEnd"/>
            <w:r w:rsidRPr="0078461C">
              <w:rPr>
                <w:rFonts w:ascii="Calibri" w:eastAsia="Tahoma" w:hAnsi="Calibri" w:cs="Calibri"/>
                <w:b/>
                <w:bCs/>
                <w:color w:val="000000"/>
                <w:sz w:val="28"/>
                <w:szCs w:val="28"/>
                <w:lang w:val="en-US" w:eastAsia="ar-SA"/>
              </w:rPr>
              <w:t xml:space="preserve"> 700</w:t>
            </w:r>
            <w:r>
              <w:rPr>
                <w:rFonts w:ascii="Calibri" w:eastAsia="Tahoma" w:hAnsi="Calibri" w:cs="Calibri"/>
                <w:b/>
                <w:bCs/>
                <w:color w:val="000000"/>
                <w:sz w:val="28"/>
                <w:szCs w:val="28"/>
                <w:lang w:val="en-US" w:eastAsia="ar-SA"/>
              </w:rPr>
              <w:t>3</w:t>
            </w:r>
          </w:p>
        </w:tc>
      </w:tr>
      <w:tr w:rsidR="00976B0F" w:rsidRPr="0078461C" w14:paraId="5ACC4968" w14:textId="77777777" w:rsidTr="00943101">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04506F9A" w14:textId="77777777" w:rsidR="00976B0F" w:rsidRPr="0078461C" w:rsidRDefault="00976B0F" w:rsidP="00943101">
            <w:pPr>
              <w:suppressAutoHyphens/>
              <w:spacing w:before="120" w:after="120" w:line="360" w:lineRule="auto"/>
              <w:rPr>
                <w:rFonts w:ascii="Calibri" w:eastAsia="Tahoma" w:hAnsi="Calibri" w:cs="Calibri"/>
                <w:color w:val="000000"/>
                <w:sz w:val="28"/>
                <w:szCs w:val="28"/>
                <w:lang w:val="en-US" w:eastAsia="ar-SA"/>
              </w:rPr>
            </w:pPr>
            <w:r w:rsidRPr="0078461C">
              <w:rPr>
                <w:rFonts w:ascii="Calibri" w:eastAsia="Tahoma" w:hAnsi="Calibri" w:cs="Calibri"/>
                <w:color w:val="000000"/>
                <w:sz w:val="28"/>
                <w:szCs w:val="28"/>
                <w:lang w:val="en-US" w:eastAsia="ar-SA"/>
              </w:rPr>
              <w:t>Module Title: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CD60D63" w14:textId="77777777" w:rsidR="00976B0F" w:rsidRPr="0078461C" w:rsidRDefault="00976B0F" w:rsidP="00943101">
            <w:pPr>
              <w:suppressAutoHyphens/>
              <w:spacing w:before="120" w:after="120" w:line="360" w:lineRule="auto"/>
              <w:rPr>
                <w:rFonts w:ascii="Calibri" w:eastAsia="Tahoma" w:hAnsi="Calibri" w:cs="Calibri"/>
                <w:b/>
                <w:bCs/>
                <w:color w:val="000000"/>
                <w:sz w:val="28"/>
                <w:szCs w:val="28"/>
                <w:lang w:val="en-US" w:eastAsia="ar-SA"/>
              </w:rPr>
            </w:pPr>
            <w:r w:rsidRPr="0078461C">
              <w:rPr>
                <w:rFonts w:ascii="Calibri" w:eastAsia="Tahoma" w:hAnsi="Calibri" w:cs="Calibri"/>
                <w:b/>
                <w:bCs/>
                <w:color w:val="000000"/>
                <w:sz w:val="28"/>
                <w:szCs w:val="28"/>
                <w:lang w:val="en-US" w:eastAsia="ar-SA"/>
              </w:rPr>
              <w:t>Practitioner Research Proposal</w:t>
            </w:r>
          </w:p>
        </w:tc>
      </w:tr>
    </w:tbl>
    <w:p w14:paraId="6A290EB1" w14:textId="77777777" w:rsidR="00976B0F" w:rsidRPr="0078461C" w:rsidRDefault="00976B0F" w:rsidP="00976B0F">
      <w:pPr>
        <w:spacing w:after="200" w:line="276" w:lineRule="auto"/>
        <w:rPr>
          <w:rFonts w:ascii="Arial" w:eastAsia="MS Mincho" w:hAnsi="Arial" w:cs="Arial"/>
          <w:b/>
          <w:bCs/>
          <w:color w:val="000000"/>
          <w:kern w:val="0"/>
          <w:sz w:val="22"/>
          <w:szCs w:val="22"/>
          <w14:ligatures w14:val="none"/>
        </w:rPr>
      </w:pPr>
    </w:p>
    <w:p w14:paraId="44259C6E" w14:textId="77777777" w:rsidR="00976B0F" w:rsidRPr="00A8288D" w:rsidRDefault="00976B0F" w:rsidP="00976B0F">
      <w:pPr>
        <w:spacing w:line="240" w:lineRule="auto"/>
        <w:rPr>
          <w:rFonts w:ascii="Arial" w:eastAsia="Tahoma" w:hAnsi="Arial" w:cs="Arial"/>
          <w:b/>
          <w:bCs/>
          <w:color w:val="000000"/>
          <w:kern w:val="0"/>
          <w:lang w:eastAsia="ar-SA"/>
          <w14:ligatures w14:val="none"/>
        </w:rPr>
      </w:pPr>
      <w:r w:rsidRPr="00A8288D">
        <w:rPr>
          <w:rFonts w:ascii="Arial" w:eastAsia="Tahoma" w:hAnsi="Arial" w:cs="Arial"/>
          <w:b/>
          <w:bCs/>
          <w:color w:val="000000"/>
          <w:kern w:val="0"/>
          <w:lang w:eastAsia="ar-SA"/>
          <w14:ligatures w14:val="none"/>
        </w:rPr>
        <w:t>Statement of Confirmation of Authenticity</w:t>
      </w:r>
    </w:p>
    <w:p w14:paraId="71EEF2A9"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6E04144"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Attention is drawn to the plagiarism and unfair practice policies of both the University and of ILM.</w:t>
      </w:r>
    </w:p>
    <w:p w14:paraId="1434C1EB"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I acknowledge the use of the following tools in completing this assessment, in line with UWTSD Policy on AI:</w:t>
      </w:r>
    </w:p>
    <w:p w14:paraId="470023B8"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Google Scholar (https://scholar.google.com/) for database searching and bibliography support throughout the preparation of this proposal.</w:t>
      </w:r>
    </w:p>
    <w:p w14:paraId="6B673164"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Consensus (https://consensus.app/) for searching and interrogating academic literature relevant to the proposal topic.</w:t>
      </w:r>
    </w:p>
    <w:p w14:paraId="70DECA94"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SciSpace (https://scispace.com/) for searching and summarising academic literature.</w:t>
      </w:r>
    </w:p>
    <w:p w14:paraId="2E0E7658"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Claude (https://claude.ai/) for proofreading and checking grammatical and syntactical errors in my own text.</w:t>
      </w:r>
    </w:p>
    <w:p w14:paraId="7BDEDB11" w14:textId="77777777" w:rsidR="00976B0F" w:rsidRPr="00A8288D" w:rsidRDefault="00976B0F" w:rsidP="00976B0F">
      <w:pPr>
        <w:spacing w:line="240" w:lineRule="auto"/>
        <w:rPr>
          <w:rFonts w:ascii="Arial" w:eastAsia="Tahoma" w:hAnsi="Arial" w:cs="Arial"/>
          <w:color w:val="000000"/>
          <w:kern w:val="0"/>
          <w:lang w:eastAsia="ar-SA"/>
          <w14:ligatures w14:val="none"/>
        </w:rPr>
      </w:pPr>
      <w:r w:rsidRPr="00A8288D">
        <w:rPr>
          <w:rFonts w:ascii="Arial" w:eastAsia="Tahoma" w:hAnsi="Arial" w:cs="Arial"/>
          <w:color w:val="000000"/>
          <w:kern w:val="0"/>
          <w:lang w:eastAsia="ar-SA"/>
          <w14:ligatures w14:val="none"/>
        </w:rPr>
        <w:t>ChatGPT (https://chatgpt.com/) was used to check syntactical errors in my own text and to support the conceptual model in Appendix A. I confirm that the conceptual model, wording, research design and submitted text are my own.</w:t>
      </w:r>
    </w:p>
    <w:p w14:paraId="2F8717DC" w14:textId="77777777" w:rsidR="00976B0F" w:rsidRPr="00A8288D" w:rsidRDefault="00976B0F" w:rsidP="00976B0F">
      <w:pPr>
        <w:spacing w:line="240" w:lineRule="auto"/>
        <w:rPr>
          <w:rFonts w:ascii="Arial" w:hAnsi="Arial" w:cs="Arial"/>
          <w:color w:val="000000" w:themeColor="text1"/>
        </w:rPr>
      </w:pPr>
      <w:r w:rsidRPr="00A8288D">
        <w:rPr>
          <w:rFonts w:ascii="Arial" w:eastAsia="Tahoma" w:hAnsi="Arial" w:cs="Arial"/>
          <w:color w:val="000000"/>
          <w:kern w:val="0"/>
          <w:lang w:eastAsia="ar-SA"/>
          <w14:ligatures w14:val="none"/>
        </w:rPr>
        <w:t>I confirm that I have not presented any AI-generated text as my own work.</w:t>
      </w:r>
    </w:p>
    <w:p w14:paraId="6CAB0FFC" w14:textId="77777777" w:rsidR="00976B0F" w:rsidRPr="00A8288D" w:rsidRDefault="00976B0F" w:rsidP="00976B0F">
      <w:pPr>
        <w:spacing w:line="360" w:lineRule="auto"/>
        <w:rPr>
          <w:rFonts w:ascii="Arial" w:hAnsi="Arial" w:cs="Arial"/>
          <w:b/>
          <w:bCs/>
          <w:color w:val="000000" w:themeColor="text1"/>
        </w:rPr>
      </w:pPr>
    </w:p>
    <w:p w14:paraId="7991382B" w14:textId="77777777" w:rsidR="00976B0F" w:rsidRPr="00A8288D" w:rsidRDefault="00976B0F" w:rsidP="00976B0F">
      <w:pPr>
        <w:spacing w:line="360" w:lineRule="auto"/>
        <w:rPr>
          <w:rFonts w:ascii="Arial" w:hAnsi="Arial" w:cs="Arial"/>
          <w:b/>
          <w:bCs/>
          <w:color w:val="000000" w:themeColor="text1"/>
        </w:rPr>
      </w:pPr>
    </w:p>
    <w:p w14:paraId="5324D31D" w14:textId="77777777" w:rsidR="00976B0F" w:rsidRPr="00A8288D" w:rsidRDefault="00976B0F" w:rsidP="00976B0F">
      <w:pPr>
        <w:spacing w:line="360" w:lineRule="auto"/>
        <w:rPr>
          <w:rFonts w:ascii="Arial" w:hAnsi="Arial" w:cs="Arial"/>
          <w:b/>
          <w:bCs/>
          <w:color w:val="000000" w:themeColor="text1"/>
        </w:rPr>
      </w:pPr>
    </w:p>
    <w:p w14:paraId="46C3E55D"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lastRenderedPageBreak/>
        <w:t>Proposed Title</w:t>
      </w:r>
    </w:p>
    <w:p w14:paraId="6442F4DA"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From Policy to Practice: Full-Time Mature Students’ Experiences of Widening Participation and Lecturers’ Understandings in One South Wales Institution</w:t>
      </w:r>
    </w:p>
    <w:p w14:paraId="77B847C0" w14:textId="77777777" w:rsidR="00976B0F" w:rsidRPr="00A8288D" w:rsidRDefault="00976B0F" w:rsidP="00976B0F">
      <w:pPr>
        <w:spacing w:line="360" w:lineRule="auto"/>
        <w:rPr>
          <w:rFonts w:ascii="Arial" w:hAnsi="Arial" w:cs="Arial"/>
          <w:b/>
          <w:bCs/>
          <w:color w:val="000000" w:themeColor="text1"/>
        </w:rPr>
      </w:pPr>
    </w:p>
    <w:p w14:paraId="73A59AEA"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Background and Context</w:t>
      </w:r>
    </w:p>
    <w:p w14:paraId="3335011D"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Widening participation in UK higher education (HE) has been a central focus for universities since the 1997 Dearing Report recommended expanding access for underrepresented groups (National Committee of Inquiry into Higher Education, 1997). Over the decades since, successive cohorts of WP mature students have entered an environment historically shaped around traditional 18–</w:t>
      </w:r>
      <w:proofErr w:type="gramStart"/>
      <w:r w:rsidRPr="00A8288D">
        <w:rPr>
          <w:rFonts w:ascii="Arial" w:hAnsi="Arial" w:cs="Arial"/>
          <w:color w:val="000000" w:themeColor="text1"/>
        </w:rPr>
        <w:t>21 year-old</w:t>
      </w:r>
      <w:proofErr w:type="gramEnd"/>
      <w:r w:rsidRPr="00A8288D">
        <w:rPr>
          <w:rFonts w:ascii="Arial" w:hAnsi="Arial" w:cs="Arial"/>
          <w:color w:val="000000" w:themeColor="text1"/>
        </w:rPr>
        <w:t xml:space="preserve"> entrants from A-levels and BTECs (Office for Students, 2021).</w:t>
      </w:r>
    </w:p>
    <w:p w14:paraId="137883FD"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Recent review work suggests that research on WP mature students has concentrated on access, outreach, and entry rather than on what happens once students arrive, leaving post-entry experience, support, and longer-term outcomes largely overlooked (Negrea &amp; Gartland, 2025; O'Toole et al., 2024; Tham et al., 2023). Research areas such as whether students feel they belong, whether they experience their presence as legitimate, to what extent they participate on equal terms, and how they experience themselves as recognised members of the academic community represent a significant gap in the existing literature. A relevant study concerned with widening participation, therefore, needs to extend beyond recruitment and ask how participation for WP mature students is lived after entry.</w:t>
      </w:r>
    </w:p>
    <w:p w14:paraId="116C3B35"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financial and reputational implications further strengthen this case. The Higher Education Statistics Agency (</w:t>
      </w:r>
      <w:proofErr w:type="spellStart"/>
      <w:r w:rsidRPr="00A8288D">
        <w:rPr>
          <w:rFonts w:ascii="Arial" w:hAnsi="Arial" w:cs="Arial"/>
          <w:color w:val="000000" w:themeColor="text1"/>
        </w:rPr>
        <w:t>HESA</w:t>
      </w:r>
      <w:proofErr w:type="spellEnd"/>
      <w:r w:rsidRPr="00A8288D">
        <w:rPr>
          <w:rFonts w:ascii="Arial" w:hAnsi="Arial" w:cs="Arial"/>
          <w:color w:val="000000" w:themeColor="text1"/>
        </w:rPr>
        <w:t>) reports UK HE enrolments at 2,863,180 in 2024/25, and although UK mature applicants aged 21 and over declined by 6.1% at the main UCAS January deadline, 57,570 still applied in 2026 (</w:t>
      </w:r>
      <w:proofErr w:type="spellStart"/>
      <w:r w:rsidRPr="00A8288D">
        <w:rPr>
          <w:rFonts w:ascii="Arial" w:hAnsi="Arial" w:cs="Arial"/>
          <w:color w:val="000000" w:themeColor="text1"/>
        </w:rPr>
        <w:t>HESA</w:t>
      </w:r>
      <w:proofErr w:type="spellEnd"/>
      <w:r w:rsidRPr="00A8288D">
        <w:rPr>
          <w:rFonts w:ascii="Arial" w:hAnsi="Arial" w:cs="Arial"/>
          <w:color w:val="000000" w:themeColor="text1"/>
        </w:rPr>
        <w:t xml:space="preserve">, 2026; UCAS, 2025, 2026). In a sector under pressure from rising costs and declining teaching income (Universities UK, 2024; Office for Students, 2024), recruitment without retention has limited value. Mature WP students' continuation, completion, attainment, and progression contribute to both institutional sustainability and standing, which is why the Office for Students now frames widening participation as a lifecycle issue rather than an </w:t>
      </w:r>
      <w:proofErr w:type="gramStart"/>
      <w:r w:rsidRPr="00A8288D">
        <w:rPr>
          <w:rFonts w:ascii="Arial" w:hAnsi="Arial" w:cs="Arial"/>
          <w:color w:val="000000" w:themeColor="text1"/>
        </w:rPr>
        <w:t>admissions</w:t>
      </w:r>
      <w:proofErr w:type="gramEnd"/>
      <w:r w:rsidRPr="00A8288D">
        <w:rPr>
          <w:rFonts w:ascii="Arial" w:hAnsi="Arial" w:cs="Arial"/>
          <w:color w:val="000000" w:themeColor="text1"/>
        </w:rPr>
        <w:t xml:space="preserve"> one (Office for Students, 2026).</w:t>
      </w:r>
    </w:p>
    <w:p w14:paraId="00281FDF"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lastRenderedPageBreak/>
        <w:t>This study focuses specifically on full-time mature students who also meet widening participation criteria. This deliberately narrows what otherwise would be a much wider study. Restricting the scope to full-time students is intentional: full-time and part-time mature students experience HE in substantively different ways, with full-time study involving greater institutional immersion, denser timetables, and more sustained contact with peers and staff (Hayman et al., 2024; Pearce, 2017). The study is further restricted to undergraduate students; postgraduate mature students typically enter through different routes and with different prior experiences, where widening participation policy applies much less directly (HEFCW, 2024).</w:t>
      </w:r>
    </w:p>
    <w:p w14:paraId="1E5B69A8"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For the purposes of this study, mature students are defined as those aged 21 or over at entry and studying full-time. Widening participation criteria refer to indicators such as socio-economic disadvantage, first-generation participation, low participation neighbourhood residence, care experience, or entry through non-traditional educational routes, in line with Welsh access and participation frameworks (Higher Education Funding Council for Wales [HEFCW], 2024; Medr, 2025).</w:t>
      </w:r>
    </w:p>
    <w:p w14:paraId="33F11BFD"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Mature students, while diverse, often arrive at HE through non-linear educational routes, prior employment histories, caring responsibilities, and more complex negotiations between study and everyday life. Research suggests that their engagement with HE is frequently negotiated rather than assumed, and that institutional belonging, support, and legitimacy can be especially significant for this group (Allen et al., 2024; Crawford &amp; McKenzie, 2023; Hayman et al., 2024; Mallman &amp; Lee, 2016).</w:t>
      </w:r>
    </w:p>
    <w:p w14:paraId="43CB857D"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This study is deliberately situated in Wales rather than across the UK more broadly. Uniquely within the UK, Welsh policy increasingly positions widening participation across the learner journey, including wellbeing, attainment, progression, and learner voice, rather than through access alone (Medr, 2025; Welsh Government, 2024). However, students do not encounter policy directly; they encounter it through teaching, support structures, institutional expectations, and everyday relationships with academic staff. This is closely connected to my professional practice, where I work with adult and non-traditional learners and see firsthand how policies, translated by institutions, shape mature students' ongoing participation after entry. The study is worth doing because it directly addresses the gap between what </w:t>
      </w:r>
      <w:r w:rsidRPr="00A8288D">
        <w:rPr>
          <w:rFonts w:ascii="Arial" w:hAnsi="Arial" w:cs="Arial"/>
          <w:color w:val="000000" w:themeColor="text1"/>
        </w:rPr>
        <w:lastRenderedPageBreak/>
        <w:t xml:space="preserve">widening participation policy says, how lecturers understand it, and how students </w:t>
      </w:r>
      <w:proofErr w:type="gramStart"/>
      <w:r w:rsidRPr="00A8288D">
        <w:rPr>
          <w:rFonts w:ascii="Arial" w:hAnsi="Arial" w:cs="Arial"/>
          <w:color w:val="000000" w:themeColor="text1"/>
        </w:rPr>
        <w:t>actually live</w:t>
      </w:r>
      <w:proofErr w:type="gramEnd"/>
      <w:r w:rsidRPr="00A8288D">
        <w:rPr>
          <w:rFonts w:ascii="Arial" w:hAnsi="Arial" w:cs="Arial"/>
          <w:color w:val="000000" w:themeColor="text1"/>
        </w:rPr>
        <w:t xml:space="preserve"> it. It may also provide insights that inform teaching, support, and institutional practice in one South Wales HE </w:t>
      </w:r>
      <w:proofErr w:type="gramStart"/>
      <w:r w:rsidRPr="00A8288D">
        <w:rPr>
          <w:rFonts w:ascii="Arial" w:hAnsi="Arial" w:cs="Arial"/>
          <w:color w:val="000000" w:themeColor="text1"/>
        </w:rPr>
        <w:t>setting</w:t>
      </w:r>
      <w:proofErr w:type="gramEnd"/>
      <w:r w:rsidRPr="00A8288D">
        <w:rPr>
          <w:rFonts w:ascii="Arial" w:hAnsi="Arial" w:cs="Arial"/>
          <w:color w:val="000000" w:themeColor="text1"/>
        </w:rPr>
        <w:t>.</w:t>
      </w:r>
    </w:p>
    <w:p w14:paraId="71CCD84F" w14:textId="77777777" w:rsidR="00976B0F" w:rsidRPr="00A8288D" w:rsidRDefault="00976B0F" w:rsidP="00976B0F">
      <w:pPr>
        <w:spacing w:line="360" w:lineRule="auto"/>
        <w:rPr>
          <w:rFonts w:ascii="Arial" w:hAnsi="Arial" w:cs="Arial"/>
          <w:b/>
          <w:bCs/>
          <w:color w:val="000000" w:themeColor="text1"/>
        </w:rPr>
      </w:pPr>
    </w:p>
    <w:p w14:paraId="5A934EFA"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Aim and Objectives</w:t>
      </w:r>
    </w:p>
    <w:p w14:paraId="6049A575"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aim of this study is to understand how full-time mature students who meet widening participation criteria experience higher education in one South Wales institution, and to consider how widening participation policy and lecturers' understandings shape the conditions of that experience.</w:t>
      </w:r>
    </w:p>
    <w:p w14:paraId="06E8324E" w14:textId="77777777" w:rsidR="002E2455" w:rsidRDefault="002E2455" w:rsidP="00976B0F">
      <w:pPr>
        <w:spacing w:line="360" w:lineRule="auto"/>
        <w:rPr>
          <w:rFonts w:ascii="Arial" w:hAnsi="Arial" w:cs="Arial"/>
          <w:color w:val="000000" w:themeColor="text1"/>
        </w:rPr>
      </w:pPr>
    </w:p>
    <w:p w14:paraId="045D7524" w14:textId="59860E8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To address this aim, the study has five objectives:</w:t>
      </w:r>
    </w:p>
    <w:p w14:paraId="10638E51" w14:textId="595C68F4" w:rsidR="00976B0F" w:rsidRPr="00701CC9" w:rsidRDefault="00701CC9" w:rsidP="002E2455">
      <w:pPr>
        <w:spacing w:line="360" w:lineRule="auto"/>
        <w:ind w:left="720"/>
        <w:rPr>
          <w:rFonts w:ascii="Arial" w:hAnsi="Arial" w:cs="Arial"/>
          <w:color w:val="000000" w:themeColor="text1"/>
        </w:rPr>
      </w:pPr>
      <w:r w:rsidRPr="00701CC9">
        <w:rPr>
          <w:rFonts w:ascii="Arial" w:hAnsi="Arial" w:cs="Arial"/>
          <w:b/>
          <w:bCs/>
          <w:color w:val="000000" w:themeColor="text1"/>
        </w:rPr>
        <w:t>1.</w:t>
      </w:r>
      <w:r>
        <w:rPr>
          <w:rFonts w:ascii="Arial" w:hAnsi="Arial" w:cs="Arial"/>
          <w:color w:val="000000" w:themeColor="text1"/>
        </w:rPr>
        <w:t xml:space="preserve"> </w:t>
      </w:r>
      <w:r w:rsidR="00976B0F" w:rsidRPr="00701CC9">
        <w:rPr>
          <w:rFonts w:ascii="Arial" w:hAnsi="Arial" w:cs="Arial"/>
          <w:color w:val="000000" w:themeColor="text1"/>
        </w:rPr>
        <w:t>To explore how full-time mature students who meet widening participation criteria make sense of their experience within one South Wales institution.</w:t>
      </w:r>
    </w:p>
    <w:p w14:paraId="565781A8" w14:textId="645ECA74" w:rsidR="00976B0F" w:rsidRPr="00701CC9" w:rsidRDefault="00701CC9" w:rsidP="002E2455">
      <w:pPr>
        <w:spacing w:line="360" w:lineRule="auto"/>
        <w:ind w:left="720"/>
        <w:rPr>
          <w:rFonts w:ascii="Arial" w:hAnsi="Arial" w:cs="Arial"/>
          <w:color w:val="000000" w:themeColor="text1"/>
        </w:rPr>
      </w:pPr>
      <w:r w:rsidRPr="00701CC9">
        <w:rPr>
          <w:rFonts w:ascii="Arial" w:hAnsi="Arial" w:cs="Arial"/>
          <w:b/>
          <w:bCs/>
          <w:color w:val="000000" w:themeColor="text1"/>
        </w:rPr>
        <w:t>2.</w:t>
      </w:r>
      <w:r>
        <w:rPr>
          <w:rFonts w:ascii="Arial" w:hAnsi="Arial" w:cs="Arial"/>
          <w:color w:val="000000" w:themeColor="text1"/>
        </w:rPr>
        <w:t xml:space="preserve"> </w:t>
      </w:r>
      <w:r w:rsidR="00976B0F" w:rsidRPr="00701CC9">
        <w:rPr>
          <w:rFonts w:ascii="Arial" w:hAnsi="Arial" w:cs="Arial"/>
          <w:color w:val="000000" w:themeColor="text1"/>
        </w:rPr>
        <w:t>To examine how lecturers understand widening participation in practice.</w:t>
      </w:r>
    </w:p>
    <w:p w14:paraId="7615E7C3" w14:textId="3CB99C92" w:rsidR="00976B0F" w:rsidRPr="00701CC9" w:rsidRDefault="00701CC9" w:rsidP="002E2455">
      <w:pPr>
        <w:spacing w:line="360" w:lineRule="auto"/>
        <w:ind w:left="720"/>
        <w:rPr>
          <w:rFonts w:ascii="Arial" w:hAnsi="Arial" w:cs="Arial"/>
          <w:color w:val="000000" w:themeColor="text1"/>
        </w:rPr>
      </w:pPr>
      <w:r w:rsidRPr="00701CC9">
        <w:rPr>
          <w:rFonts w:ascii="Arial" w:hAnsi="Arial" w:cs="Arial"/>
          <w:b/>
          <w:bCs/>
          <w:color w:val="000000" w:themeColor="text1"/>
        </w:rPr>
        <w:t>3.</w:t>
      </w:r>
      <w:r>
        <w:rPr>
          <w:rFonts w:ascii="Arial" w:hAnsi="Arial" w:cs="Arial"/>
          <w:color w:val="000000" w:themeColor="text1"/>
        </w:rPr>
        <w:t xml:space="preserve"> </w:t>
      </w:r>
      <w:r w:rsidR="00976B0F" w:rsidRPr="00701CC9">
        <w:rPr>
          <w:rFonts w:ascii="Arial" w:hAnsi="Arial" w:cs="Arial"/>
          <w:color w:val="000000" w:themeColor="text1"/>
        </w:rPr>
        <w:t>To analyse how widening participation is framed within selected Welsh policy and institutional documents.</w:t>
      </w:r>
    </w:p>
    <w:p w14:paraId="41692CF5" w14:textId="130D74EE" w:rsidR="00976B0F" w:rsidRPr="00701CC9" w:rsidRDefault="00701CC9" w:rsidP="002E2455">
      <w:pPr>
        <w:spacing w:line="360" w:lineRule="auto"/>
        <w:ind w:left="720"/>
        <w:rPr>
          <w:rFonts w:ascii="Arial" w:hAnsi="Arial" w:cs="Arial"/>
          <w:color w:val="000000" w:themeColor="text1"/>
        </w:rPr>
      </w:pPr>
      <w:r w:rsidRPr="00701CC9">
        <w:rPr>
          <w:rFonts w:ascii="Arial" w:hAnsi="Arial" w:cs="Arial"/>
          <w:b/>
          <w:bCs/>
          <w:color w:val="000000" w:themeColor="text1"/>
        </w:rPr>
        <w:t>4.</w:t>
      </w:r>
      <w:r>
        <w:rPr>
          <w:rFonts w:ascii="Arial" w:hAnsi="Arial" w:cs="Arial"/>
          <w:color w:val="000000" w:themeColor="text1"/>
        </w:rPr>
        <w:t xml:space="preserve"> </w:t>
      </w:r>
      <w:r w:rsidR="00976B0F" w:rsidRPr="00701CC9">
        <w:rPr>
          <w:rFonts w:ascii="Arial" w:hAnsi="Arial" w:cs="Arial"/>
          <w:color w:val="000000" w:themeColor="text1"/>
        </w:rPr>
        <w:t>To examine convergence, divergence, and partial alignment between policy framing, lecturer interpretations, and student experience.</w:t>
      </w:r>
    </w:p>
    <w:p w14:paraId="2EF3F13E" w14:textId="7F5EAC23" w:rsidR="00976B0F" w:rsidRPr="00A8288D" w:rsidRDefault="00701CC9" w:rsidP="002E2455">
      <w:pPr>
        <w:spacing w:line="360" w:lineRule="auto"/>
        <w:ind w:left="720"/>
        <w:rPr>
          <w:rFonts w:ascii="Arial" w:hAnsi="Arial" w:cs="Arial"/>
          <w:color w:val="000000" w:themeColor="text1"/>
        </w:rPr>
      </w:pPr>
      <w:r w:rsidRPr="00701CC9">
        <w:rPr>
          <w:rFonts w:ascii="Arial" w:hAnsi="Arial" w:cs="Arial"/>
          <w:b/>
          <w:bCs/>
          <w:color w:val="000000" w:themeColor="text1"/>
        </w:rPr>
        <w:t>5.</w:t>
      </w:r>
      <w:r>
        <w:rPr>
          <w:rFonts w:ascii="Arial" w:hAnsi="Arial" w:cs="Arial"/>
          <w:color w:val="000000" w:themeColor="text1"/>
        </w:rPr>
        <w:t xml:space="preserve"> </w:t>
      </w:r>
      <w:r w:rsidR="00976B0F" w:rsidRPr="00701CC9">
        <w:rPr>
          <w:rFonts w:ascii="Arial" w:hAnsi="Arial" w:cs="Arial"/>
          <w:color w:val="000000" w:themeColor="text1"/>
        </w:rPr>
        <w:t>To generate practice-relevant insights to inform institutional and pedagogical approaches.</w:t>
      </w:r>
    </w:p>
    <w:p w14:paraId="5D3F1E9B" w14:textId="77777777" w:rsidR="002E2455" w:rsidRDefault="002E2455" w:rsidP="00976B0F">
      <w:pPr>
        <w:spacing w:line="360" w:lineRule="auto"/>
        <w:rPr>
          <w:rFonts w:ascii="Arial" w:hAnsi="Arial" w:cs="Arial"/>
          <w:color w:val="000000" w:themeColor="text1"/>
        </w:rPr>
      </w:pPr>
    </w:p>
    <w:p w14:paraId="5F7AA3E0" w14:textId="6DFEA64F"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study will be guided by the following research questions:</w:t>
      </w:r>
    </w:p>
    <w:p w14:paraId="7EEDA5BB" w14:textId="77777777" w:rsidR="00976B0F" w:rsidRPr="00A8288D" w:rsidRDefault="00976B0F" w:rsidP="002E2455">
      <w:pPr>
        <w:spacing w:line="360" w:lineRule="auto"/>
        <w:ind w:left="720"/>
        <w:rPr>
          <w:rFonts w:ascii="Arial" w:hAnsi="Arial" w:cs="Arial"/>
          <w:color w:val="000000" w:themeColor="text1"/>
        </w:rPr>
      </w:pPr>
      <w:r w:rsidRPr="00A8288D">
        <w:rPr>
          <w:rFonts w:ascii="Arial" w:hAnsi="Arial" w:cs="Arial"/>
          <w:b/>
          <w:bCs/>
          <w:color w:val="000000" w:themeColor="text1"/>
        </w:rPr>
        <w:t>RQ1:</w:t>
      </w:r>
      <w:r w:rsidRPr="00A8288D">
        <w:rPr>
          <w:rFonts w:ascii="Arial" w:hAnsi="Arial" w:cs="Arial"/>
          <w:color w:val="000000" w:themeColor="text1"/>
        </w:rPr>
        <w:t xml:space="preserve"> How do full-time mature students who meet widening participation criteria make sense of their experience of higher education within one South Wales institution?</w:t>
      </w:r>
    </w:p>
    <w:p w14:paraId="7DFC0392" w14:textId="77777777" w:rsidR="00976B0F" w:rsidRPr="00A8288D" w:rsidRDefault="00976B0F" w:rsidP="002E2455">
      <w:pPr>
        <w:spacing w:line="360" w:lineRule="auto"/>
        <w:ind w:left="720"/>
        <w:rPr>
          <w:rFonts w:ascii="Arial" w:hAnsi="Arial" w:cs="Arial"/>
          <w:color w:val="000000" w:themeColor="text1"/>
        </w:rPr>
      </w:pPr>
      <w:r w:rsidRPr="00A8288D">
        <w:rPr>
          <w:rFonts w:ascii="Arial" w:hAnsi="Arial" w:cs="Arial"/>
          <w:b/>
          <w:bCs/>
          <w:color w:val="000000" w:themeColor="text1"/>
        </w:rPr>
        <w:t>RQ2:</w:t>
      </w:r>
      <w:r w:rsidRPr="00A8288D">
        <w:rPr>
          <w:rFonts w:ascii="Arial" w:hAnsi="Arial" w:cs="Arial"/>
          <w:color w:val="000000" w:themeColor="text1"/>
        </w:rPr>
        <w:t xml:space="preserve"> In what ways do these students experience belonging, legitimacy, support, and challenge within that institutional context?</w:t>
      </w:r>
    </w:p>
    <w:p w14:paraId="4821F5FE" w14:textId="77777777" w:rsidR="00976B0F" w:rsidRPr="00A8288D" w:rsidRDefault="00976B0F" w:rsidP="002E2455">
      <w:pPr>
        <w:spacing w:line="360" w:lineRule="auto"/>
        <w:ind w:left="720"/>
        <w:rPr>
          <w:rFonts w:ascii="Arial" w:hAnsi="Arial" w:cs="Arial"/>
          <w:color w:val="000000" w:themeColor="text1"/>
        </w:rPr>
      </w:pPr>
      <w:r w:rsidRPr="00701CC9">
        <w:rPr>
          <w:rFonts w:ascii="Arial" w:hAnsi="Arial" w:cs="Arial"/>
          <w:b/>
          <w:bCs/>
          <w:color w:val="000000" w:themeColor="text1"/>
        </w:rPr>
        <w:lastRenderedPageBreak/>
        <w:t>RQ3:</w:t>
      </w:r>
      <w:r w:rsidRPr="00A8288D">
        <w:rPr>
          <w:rFonts w:ascii="Arial" w:hAnsi="Arial" w:cs="Arial"/>
          <w:color w:val="000000" w:themeColor="text1"/>
        </w:rPr>
        <w:t xml:space="preserve"> How is widening participation framed within Welsh policy and selected institutional documents?</w:t>
      </w:r>
    </w:p>
    <w:p w14:paraId="59E6F826" w14:textId="77777777" w:rsidR="00976B0F" w:rsidRPr="00A8288D" w:rsidRDefault="00976B0F" w:rsidP="002E2455">
      <w:pPr>
        <w:spacing w:line="360" w:lineRule="auto"/>
        <w:ind w:left="720"/>
        <w:rPr>
          <w:rFonts w:ascii="Arial" w:hAnsi="Arial" w:cs="Arial"/>
          <w:color w:val="000000" w:themeColor="text1"/>
        </w:rPr>
      </w:pPr>
      <w:r w:rsidRPr="00A8288D">
        <w:rPr>
          <w:rFonts w:ascii="Arial" w:hAnsi="Arial" w:cs="Arial"/>
          <w:b/>
          <w:bCs/>
          <w:color w:val="000000" w:themeColor="text1"/>
        </w:rPr>
        <w:t>RQ4:</w:t>
      </w:r>
      <w:r w:rsidRPr="00A8288D">
        <w:rPr>
          <w:rFonts w:ascii="Arial" w:hAnsi="Arial" w:cs="Arial"/>
          <w:color w:val="000000" w:themeColor="text1"/>
        </w:rPr>
        <w:t xml:space="preserve"> How do lecturers understand widening participation in practice, including what they believe it expects of them in teaching and student support?</w:t>
      </w:r>
    </w:p>
    <w:p w14:paraId="0CCAB2B5" w14:textId="77777777" w:rsidR="00976B0F" w:rsidRPr="00A8288D" w:rsidRDefault="00976B0F" w:rsidP="002E2455">
      <w:pPr>
        <w:spacing w:line="360" w:lineRule="auto"/>
        <w:ind w:left="720"/>
        <w:rPr>
          <w:rFonts w:ascii="Arial" w:hAnsi="Arial" w:cs="Arial"/>
          <w:color w:val="000000" w:themeColor="text1"/>
        </w:rPr>
      </w:pPr>
      <w:r w:rsidRPr="00A8288D">
        <w:rPr>
          <w:rFonts w:ascii="Arial" w:hAnsi="Arial" w:cs="Arial"/>
          <w:b/>
          <w:bCs/>
          <w:color w:val="000000" w:themeColor="text1"/>
        </w:rPr>
        <w:t>RQ5:</w:t>
      </w:r>
      <w:r w:rsidRPr="00A8288D">
        <w:rPr>
          <w:rFonts w:ascii="Arial" w:hAnsi="Arial" w:cs="Arial"/>
          <w:color w:val="000000" w:themeColor="text1"/>
        </w:rPr>
        <w:t xml:space="preserve"> In what ways do lecturers' understandings and students' experiences correspond with, extend, or challenge the assumptions present in Welsh widening participation policy?</w:t>
      </w:r>
    </w:p>
    <w:p w14:paraId="5736889E" w14:textId="77777777" w:rsidR="00976B0F" w:rsidRPr="00A8288D" w:rsidRDefault="00976B0F" w:rsidP="00976B0F">
      <w:pPr>
        <w:spacing w:line="360" w:lineRule="auto"/>
        <w:rPr>
          <w:rFonts w:ascii="Arial" w:hAnsi="Arial" w:cs="Arial"/>
          <w:b/>
          <w:bCs/>
          <w:color w:val="000000" w:themeColor="text1"/>
        </w:rPr>
      </w:pPr>
    </w:p>
    <w:p w14:paraId="6223FE72"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Indicative Review of Literature</w:t>
      </w:r>
    </w:p>
    <w:p w14:paraId="19E54E95" w14:textId="2BCB76BF"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The literature on widening participation has focused considerably more on outreach, recruitment, and entry than on what happens after students arrive. Post-entry experience, support, and longer-term outcomes remain less fully researched (Negrea &amp; Gartland, 2025; O'Toole et al., 2024; Tham et al., 2023; Younger et al., 2018). Entry may widen who gets into HE, but it does not tell us whether those students can continue, succeed, feel legitimate, or genuinely belong. Treating admission as the endpoint risks missing the important questions around how mature WP students </w:t>
      </w:r>
      <w:r w:rsidR="00272FFB">
        <w:rPr>
          <w:rFonts w:ascii="Arial" w:hAnsi="Arial" w:cs="Arial"/>
          <w:color w:val="000000" w:themeColor="text1"/>
        </w:rPr>
        <w:t xml:space="preserve">subsequently </w:t>
      </w:r>
      <w:r w:rsidRPr="00A8288D">
        <w:rPr>
          <w:rFonts w:ascii="Arial" w:hAnsi="Arial" w:cs="Arial"/>
          <w:color w:val="000000" w:themeColor="text1"/>
        </w:rPr>
        <w:t xml:space="preserve">experience and respond to academic life </w:t>
      </w:r>
      <w:r w:rsidR="00272FFB">
        <w:rPr>
          <w:rFonts w:ascii="Arial" w:hAnsi="Arial" w:cs="Arial"/>
          <w:color w:val="000000" w:themeColor="text1"/>
        </w:rPr>
        <w:t>with</w:t>
      </w:r>
      <w:r w:rsidRPr="00A8288D">
        <w:rPr>
          <w:rFonts w:ascii="Arial" w:hAnsi="Arial" w:cs="Arial"/>
          <w:color w:val="000000" w:themeColor="text1"/>
        </w:rPr>
        <w:t>in HE.</w:t>
      </w:r>
    </w:p>
    <w:p w14:paraId="0D046494"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Negrea and Gartland (2025) reported that widening participation research has focused on interventions and strategies but remains much weaker on post-entry conditions, support, and outcomes. O'Toole et al. (2024), in a review of Scottish mature students, found the research area was not consistently connected across access, experience, and progression. Tham et al. (2023) reach a similar conclusion, suggesting that the literature has been fragmented by student group, intervention type, and setting rather than built around a fuller account of what participation means across the student journey. Younger et al. (2018) further demonstrated that the evidence on widening participation interventions has been uneven in quality, making it difficult to sustain confident claims about what works after entry. On balance, these studies point to the same problem: widening participation cannot be understood through access alone, and what remains least developed is how participation is experienced once students are in.</w:t>
      </w:r>
    </w:p>
    <w:p w14:paraId="7C9328F3"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lastRenderedPageBreak/>
        <w:t xml:space="preserve">When the focus turns specifically to mature students, this gap in the literature becomes particularly apparent. The non-traditional student, the group initially considered for this study, is too broad to be analytically useful. It brings together students whose educational routes, responsibilities, and experiences of HE can differ substantially, making it difficult to say anything specific about any one group within it. Mature students share enough recurring features to justify a closer focus; more likely to have entered through non-linear routes, to be studying alongside employment and caring responsibilities, and to have had prior interruptions to their education (Hayman et al., 2024; Mallman &amp; Lee, 2016; Pearce, 2017). For these students, participation in HE is often something that </w:t>
      </w:r>
      <w:proofErr w:type="gramStart"/>
      <w:r w:rsidRPr="00A8288D">
        <w:rPr>
          <w:rFonts w:ascii="Arial" w:hAnsi="Arial" w:cs="Arial"/>
          <w:color w:val="000000" w:themeColor="text1"/>
        </w:rPr>
        <w:t>has to</w:t>
      </w:r>
      <w:proofErr w:type="gramEnd"/>
      <w:r w:rsidRPr="00A8288D">
        <w:rPr>
          <w:rFonts w:ascii="Arial" w:hAnsi="Arial" w:cs="Arial"/>
          <w:color w:val="000000" w:themeColor="text1"/>
        </w:rPr>
        <w:t xml:space="preserve"> be actively negotiated against additional demands rather than simply assumed.</w:t>
      </w:r>
    </w:p>
    <w:p w14:paraId="3496F268"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Hayman et al. (2024) reported that first-year mature students could show strong academic commitment while experiencing uneven social and emotional integration. This challenges the idea that academic commitment and a sense of belonging develop together. Therefore, a student can be working hard and genuinely committed while still finding that the institution feels culturally organised around someone else. Mallman and Lee (2016) found that mature students often navigate university life as marked outsiders, working through stigma and difference as they seek recognition within academic life. Pearce (2017) added that older, mature undergraduates often bring real strengths, including resilience and perspective, while still struggling with confidence, integration, and time management. What these studies show is that students do not arrive with deficits, but that institutional norms are not neutral, and importantly for this study, that HE continues to fit more readily with some educational backgrounds than others.</w:t>
      </w:r>
    </w:p>
    <w:p w14:paraId="1DDE4AA3"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More recent work has also shown that the kinds of support and connections available to mature students may not align with what institutions typically offer. Crawford and McKenzie (2023) found that belonging among mature students in low-socio-economic-region contexts was often built through local, relational, and practically meaningful connections rather than through conventional campus life. Hope and Quinlan (2020) showed how mature working-class students drew on forms of community cultural wealth that the institution did not always recognise or value. Both studies make a similar point: participation is relational and context-bound, not simply a matter of individual attitude or motivation. Both highlight a deeper question </w:t>
      </w:r>
      <w:r w:rsidRPr="00A8288D">
        <w:rPr>
          <w:rFonts w:ascii="Arial" w:hAnsi="Arial" w:cs="Arial"/>
          <w:color w:val="000000" w:themeColor="text1"/>
        </w:rPr>
        <w:lastRenderedPageBreak/>
        <w:t>about whether institutions are prepared to recognise forms of belonging and academic identity that do not resemble the established norm.</w:t>
      </w:r>
    </w:p>
    <w:p w14:paraId="73E2144C"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This connects with transformative learning theory, which suggests that HE can shape how learners understand themselves and their place in the world (Mezirow, 1991). For mature students arriving through non-linear routes, that process may be particularly relevant to explore at a later stage of the research. However, transformative learning theory focuses on cognitive and experiential change within the individual, whereas this study is primarily concerned with the institutional and relational conditions that enable or constrain student experience. Consequently, belonging and legitimacy remain more useful organising concepts for this study.</w:t>
      </w:r>
    </w:p>
    <w:p w14:paraId="43319395"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Belonging has become one of the most widely used concepts in student experience research, yet the term is broader and more complex than it might first appear. Ahn and Davis (2020) showed that belonging operates across social, academic, spatial, and personal domains, meaning it cannot be reduced to students' social comfort alone. Allen et al. (2024), in a systematic review, confirmed that belonging is multidimensional, involving connections to peers, staff, and institution, feeling safe and included, and being valued and accepted. Consistently within research, belonging predicts engagement, persistence, and success. However, belonging alone does not fully account for what this study is trying to understand. A student can feel some connection to an institution and still experience their place within it as conditional or uncertain. Legitimacy asks a different question. It asks whether students experience themselves as rightful members of the academic community, not just as people who are present within it. Participation can be undermined not only by isolation but by doubt over entitlement, recognition, or whether their route into HE is genuinely respected by the institution.</w:t>
      </w:r>
    </w:p>
    <w:p w14:paraId="5FF78B3A" w14:textId="0DD250D2"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Krstić et al. (2021), in a review of widening participation students in UK undergraduate medical education, found recurring issues of unfamiliarity, lack of representation, identity conflict, and barriers to seeking help. Barkas et al. (2022) claimed that inclusion can remain more rhetorical than real when curricula continue to perpetuate exclusion despite formal institutional commitments. Taken together, these studies suggest that getting into HE does not mean the inequalities disappear.</w:t>
      </w:r>
    </w:p>
    <w:p w14:paraId="36A51094" w14:textId="77777777" w:rsidR="00976B0F" w:rsidRPr="00A8288D" w:rsidRDefault="00976B0F" w:rsidP="00976B0F">
      <w:pPr>
        <w:spacing w:line="360" w:lineRule="auto"/>
        <w:rPr>
          <w:rFonts w:ascii="Arial" w:hAnsi="Arial" w:cs="Arial"/>
          <w:color w:val="000000" w:themeColor="text1"/>
        </w:rPr>
      </w:pPr>
      <w:proofErr w:type="gramStart"/>
      <w:r w:rsidRPr="00A8288D">
        <w:rPr>
          <w:rFonts w:ascii="Arial" w:hAnsi="Arial" w:cs="Arial"/>
          <w:color w:val="000000" w:themeColor="text1"/>
        </w:rPr>
        <w:lastRenderedPageBreak/>
        <w:t>How</w:t>
      </w:r>
      <w:proofErr w:type="gramEnd"/>
      <w:r w:rsidRPr="00A8288D">
        <w:rPr>
          <w:rFonts w:ascii="Arial" w:hAnsi="Arial" w:cs="Arial"/>
          <w:color w:val="000000" w:themeColor="text1"/>
        </w:rPr>
        <w:t xml:space="preserve"> widening participation </w:t>
      </w:r>
      <w:proofErr w:type="gramStart"/>
      <w:r w:rsidRPr="00A8288D">
        <w:rPr>
          <w:rFonts w:ascii="Arial" w:hAnsi="Arial" w:cs="Arial"/>
          <w:color w:val="000000" w:themeColor="text1"/>
        </w:rPr>
        <w:t>actually reaches</w:t>
      </w:r>
      <w:proofErr w:type="gramEnd"/>
      <w:r w:rsidRPr="00A8288D">
        <w:rPr>
          <w:rFonts w:ascii="Arial" w:hAnsi="Arial" w:cs="Arial"/>
          <w:color w:val="000000" w:themeColor="text1"/>
        </w:rPr>
        <w:t xml:space="preserve"> students is less straightforward than policy might suggest. Students do not encounter policy directly, but through curriculum design, assessment expectations, flexibility around deadlines and attendance, support arrangements, and the ordinary academic judgements that make up everyday university life. Policy enactment research challenges the assumption that what policy says and what institutions do are the same thing. Benson-Egglenton (2022) showed that widening participation policy is shaped by uncertainty about who the target groups are, what the priorities should be, and what practical support </w:t>
      </w:r>
      <w:proofErr w:type="gramStart"/>
      <w:r w:rsidRPr="00A8288D">
        <w:rPr>
          <w:rFonts w:ascii="Arial" w:hAnsi="Arial" w:cs="Arial"/>
          <w:color w:val="000000" w:themeColor="text1"/>
        </w:rPr>
        <w:t>actually looks</w:t>
      </w:r>
      <w:proofErr w:type="gramEnd"/>
      <w:r w:rsidRPr="00A8288D">
        <w:rPr>
          <w:rFonts w:ascii="Arial" w:hAnsi="Arial" w:cs="Arial"/>
          <w:color w:val="000000" w:themeColor="text1"/>
        </w:rPr>
        <w:t xml:space="preserve"> like in practice. Rainford (2021) argued that widening participation is shaped by practitioners' own histories and experiences, which influence how they interpret and enact it. Cleland et al. (2024), looking at new UK medical schools, showed that widening participation commitments are influenced by local mission, institutional context, and workforce priorities. For all three, the conclusion is that widening participation is always interpreted, and what it means in practice depends on who is working with it and under what conditions. If widening participation is enacted through teaching, support, and academic expectations, then how lecturers understand it is not a secondary question. It is part of the practical environment through which students first encounter the question: is HE genuinely for them?</w:t>
      </w:r>
    </w:p>
    <w:p w14:paraId="7579D5CE"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The widening participation literature remains limited in its focus on post-entry student experience, with greater emphasis on access and outcomes. But it is equally limited in what it tells us about how lecturers understand widening participation in their everyday academic practice (Negrea &amp; Gartland, 2025; O'Toole et al., 2024; Tham et al., 2023). Stentiford and </w:t>
      </w:r>
      <w:proofErr w:type="spellStart"/>
      <w:r w:rsidRPr="00A8288D">
        <w:rPr>
          <w:rFonts w:ascii="Arial" w:hAnsi="Arial" w:cs="Arial"/>
          <w:color w:val="000000" w:themeColor="text1"/>
        </w:rPr>
        <w:t>Koutsouris</w:t>
      </w:r>
      <w:proofErr w:type="spellEnd"/>
      <w:r w:rsidRPr="00A8288D">
        <w:rPr>
          <w:rFonts w:ascii="Arial" w:hAnsi="Arial" w:cs="Arial"/>
          <w:color w:val="000000" w:themeColor="text1"/>
        </w:rPr>
        <w:t xml:space="preserve"> (2021), in a scoping review, found that inclusive pedagogies have been widely adopted as a response to student diversity, but the evidence remains inconsistent. Altes and Willemse (2024) showed that HE teachers often encounter uncertainty, limited confidence, and institutional constraints when trying to create inclusive learning environments. Atanasova and Papen (2025) showed that UK university teachers may be committed in principle to inclusion while still facing practical and structural difficulties in enacting it. Staff understandings, then, are varied, partial, and shaped by context.</w:t>
      </w:r>
    </w:p>
    <w:p w14:paraId="5E0C2A15"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In Wales, the policy context is particularly significant, not least because of the Senedd's commitment to widening participation in HE. The HEFCW Reaching Wider </w:t>
      </w:r>
      <w:r w:rsidRPr="00A8288D">
        <w:rPr>
          <w:rFonts w:ascii="Arial" w:hAnsi="Arial" w:cs="Arial"/>
          <w:color w:val="000000" w:themeColor="text1"/>
        </w:rPr>
        <w:lastRenderedPageBreak/>
        <w:t>programme framed widening participation as access to and through HE, linking entry to progression, retention, and success (HEFCW, 2021). Later guidance extended this by embedding widening participation across access, participation, retention, attainment, and progression outcomes (HEFCW, 2024). The Welsh Government's strategic priorities place flexibility, equitable opportunity, and success in life and work at the heart of tertiary education policy (Welsh Government, 2024). Medr's recent strategic plan for HE reinforces this by focusing on the learner experience, wellbeing, inclusion, and flexible participation (Medr, 2025).</w:t>
      </w:r>
    </w:p>
    <w:p w14:paraId="13B7575A" w14:textId="3189AED6"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Together, these documents characterise widening participation in Wales as a concern across the whole student journey, not simply an admissions issue. But a broad, well-considered policy ambition does not tell us how widening participation is </w:t>
      </w:r>
      <w:r w:rsidR="00445152" w:rsidRPr="00A8288D">
        <w:rPr>
          <w:rFonts w:ascii="Arial" w:hAnsi="Arial" w:cs="Arial"/>
          <w:color w:val="000000" w:themeColor="text1"/>
        </w:rPr>
        <w:t>understood</w:t>
      </w:r>
      <w:r w:rsidRPr="00A8288D">
        <w:rPr>
          <w:rFonts w:ascii="Arial" w:hAnsi="Arial" w:cs="Arial"/>
          <w:color w:val="000000" w:themeColor="text1"/>
        </w:rPr>
        <w:t xml:space="preserve"> in practice, and, most importantly, how it is experienced by the students it is designed to support. Policy can often promise more than institutions deliver, which is why lecturer understanding of WP in this study is important. The lecturer strand offers a way of seeing how that policy ambition is translated, narrowed, supported, or complicated in practice.</w:t>
      </w:r>
    </w:p>
    <w:p w14:paraId="7B9EC480"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The literature, therefore, supports four propositions that justify this study. First, widening participation cannot be understood solely in terms of access, as post-entry participation remains comparatively underdeveloped in the literature despite clear evidence of its importance (Negrea &amp; Gartland, 2025; O'Toole et al., 2024; Tham et al., 2023; Younger et al., 2018). Second, mature students are a coherent and important group to examine in this context, as their educational routes often make visible how participation </w:t>
      </w:r>
      <w:proofErr w:type="gramStart"/>
      <w:r w:rsidRPr="00A8288D">
        <w:rPr>
          <w:rFonts w:ascii="Arial" w:hAnsi="Arial" w:cs="Arial"/>
          <w:color w:val="000000" w:themeColor="text1"/>
        </w:rPr>
        <w:t>has to</w:t>
      </w:r>
      <w:proofErr w:type="gramEnd"/>
      <w:r w:rsidRPr="00A8288D">
        <w:rPr>
          <w:rFonts w:ascii="Arial" w:hAnsi="Arial" w:cs="Arial"/>
          <w:color w:val="000000" w:themeColor="text1"/>
        </w:rPr>
        <w:t xml:space="preserve"> be negotiated (Crawford &amp; McKenzie, 2023; Hayman et al., 2024; Mallman &amp; Lee, 2016; Pearce, 2017). Third, belonging is central but incomplete without legitimacy, recognition, and a sense of institutional fit (Ahn &amp; Davis, 2020; Allen et al., 2024; Hope &amp; Quinlan, 2020). Fourth, a widening participation policy only becomes real through enactment, which makes the lecturer's interpretation central to this study rather than peripheral (Benson-Egglenton, 2022; Cleland et al., 2024; Rainford, 2021). The gap is not that more research on widening participation is needed in general. It is that research is limited in bringing together policy framing, full-time mature student experience, belonging and legitimacy, lecturer understandings, all situated in a Welsh context within a single institutional case. A further gap is that most of the mature student literature does not distinguish </w:t>
      </w:r>
      <w:r w:rsidRPr="00A8288D">
        <w:rPr>
          <w:rFonts w:ascii="Arial" w:hAnsi="Arial" w:cs="Arial"/>
          <w:color w:val="000000" w:themeColor="text1"/>
        </w:rPr>
        <w:lastRenderedPageBreak/>
        <w:t>between full-time and part-time experience, despite the substantial differences in immersion, time, and institutional contact (Callender &amp; Thomson, 2018); much of the literature treats mature students as a single category.</w:t>
      </w:r>
    </w:p>
    <w:p w14:paraId="14E5542B" w14:textId="77777777" w:rsidR="00976B0F" w:rsidRPr="00A8288D" w:rsidRDefault="00976B0F" w:rsidP="00976B0F">
      <w:pPr>
        <w:spacing w:line="360" w:lineRule="auto"/>
        <w:rPr>
          <w:rFonts w:ascii="Arial" w:hAnsi="Arial" w:cs="Arial"/>
          <w:b/>
          <w:bCs/>
          <w:color w:val="000000" w:themeColor="text1"/>
        </w:rPr>
      </w:pPr>
    </w:p>
    <w:p w14:paraId="3CDABE3A"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Proposed Methodology</w:t>
      </w:r>
    </w:p>
    <w:p w14:paraId="2EC09149"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This study is situated within an interpretivist philosophical position, which suggests that knowledge and meaning are socially constructed and cannot be separated from the contexts and perspectives of those who experience them (Creswell &amp; </w:t>
      </w:r>
      <w:proofErr w:type="spellStart"/>
      <w:r w:rsidRPr="00A8288D">
        <w:rPr>
          <w:rFonts w:ascii="Arial" w:hAnsi="Arial" w:cs="Arial"/>
          <w:color w:val="000000" w:themeColor="text1"/>
        </w:rPr>
        <w:t>Poth</w:t>
      </w:r>
      <w:proofErr w:type="spellEnd"/>
      <w:r w:rsidRPr="00A8288D">
        <w:rPr>
          <w:rFonts w:ascii="Arial" w:hAnsi="Arial" w:cs="Arial"/>
          <w:color w:val="000000" w:themeColor="text1"/>
        </w:rPr>
        <w:t>, 2018). This position is consistent with the study's focus on how widening participation is understood and lived, rather than measured or predicted, and it supports the choice of qualitative methods throughout.</w:t>
      </w:r>
    </w:p>
    <w:p w14:paraId="2C926BAC"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research questions are about meaning, interpretation, and context; how people make sense of policy, how they experience belonging, and what legitimacy feels like in everyday institutional life. To answer those questions, a qualitative approach is required rather than one driven by measurement or statistical patterns. A case-based design fits this study well because it examines something complex within its actual setting, rather than abstract it from that context (Baxter &amp; Jack, 2008; Hyett et al., 2014).</w:t>
      </w:r>
    </w:p>
    <w:p w14:paraId="23428577" w14:textId="77777777" w:rsidR="000F400C" w:rsidRPr="000F400C" w:rsidRDefault="000F400C" w:rsidP="000F400C">
      <w:pPr>
        <w:spacing w:line="360" w:lineRule="auto"/>
        <w:rPr>
          <w:rFonts w:ascii="Arial" w:hAnsi="Arial" w:cs="Arial"/>
          <w:color w:val="000000" w:themeColor="text1"/>
        </w:rPr>
      </w:pPr>
      <w:r w:rsidRPr="000F400C">
        <w:rPr>
          <w:rFonts w:ascii="Arial" w:hAnsi="Arial" w:cs="Arial"/>
          <w:color w:val="000000" w:themeColor="text1"/>
        </w:rPr>
        <w:t>The study comprises three connected elements, all situated within a single institution: (1) semi-structured interviews with full-time mature students, (2) qualitative document analysis, and (3) semi-structured interviews with lecturers. The student interviews will be conducted first to ensure that student accounts are gathered without the researcher being influenced by policy language or lecturer perspectives.</w:t>
      </w:r>
    </w:p>
    <w:p w14:paraId="4A06F667" w14:textId="77777777" w:rsidR="000F400C" w:rsidRPr="000F400C" w:rsidRDefault="000F400C" w:rsidP="000F400C">
      <w:pPr>
        <w:spacing w:line="360" w:lineRule="auto"/>
        <w:rPr>
          <w:rFonts w:ascii="Arial" w:hAnsi="Arial" w:cs="Arial"/>
          <w:color w:val="000000" w:themeColor="text1"/>
        </w:rPr>
      </w:pPr>
      <w:r w:rsidRPr="000F400C">
        <w:rPr>
          <w:rFonts w:ascii="Arial" w:hAnsi="Arial" w:cs="Arial"/>
          <w:color w:val="000000" w:themeColor="text1"/>
        </w:rPr>
        <w:t xml:space="preserve">The student interviews, the </w:t>
      </w:r>
      <w:proofErr w:type="gramStart"/>
      <w:r w:rsidRPr="000F400C">
        <w:rPr>
          <w:rFonts w:ascii="Arial" w:hAnsi="Arial" w:cs="Arial"/>
          <w:color w:val="000000" w:themeColor="text1"/>
        </w:rPr>
        <w:t>main focus</w:t>
      </w:r>
      <w:proofErr w:type="gramEnd"/>
      <w:r w:rsidRPr="000F400C">
        <w:rPr>
          <w:rFonts w:ascii="Arial" w:hAnsi="Arial" w:cs="Arial"/>
          <w:color w:val="000000" w:themeColor="text1"/>
        </w:rPr>
        <w:t xml:space="preserve"> of the study, involve approximately six to eight full-time mature students who meet at least one widening participation criterion, designed carefully to ensure the structure supports rather than constrains how students tell their stories. Semi-structured interviewing is appropriate because it provides enough structure to keep the research questions in focus while allowing participants to discuss what matters to them in their own terms (</w:t>
      </w:r>
      <w:proofErr w:type="spellStart"/>
      <w:r w:rsidRPr="000F400C">
        <w:rPr>
          <w:rFonts w:ascii="Arial" w:hAnsi="Arial" w:cs="Arial"/>
          <w:color w:val="000000" w:themeColor="text1"/>
        </w:rPr>
        <w:t>DeJonckheere</w:t>
      </w:r>
      <w:proofErr w:type="spellEnd"/>
      <w:r w:rsidRPr="000F400C">
        <w:rPr>
          <w:rFonts w:ascii="Arial" w:hAnsi="Arial" w:cs="Arial"/>
          <w:color w:val="000000" w:themeColor="text1"/>
        </w:rPr>
        <w:t xml:space="preserve"> &amp; Vaughn, 2019). This is important because the study asks how students make sense </w:t>
      </w:r>
      <w:r w:rsidRPr="000F400C">
        <w:rPr>
          <w:rFonts w:ascii="Arial" w:hAnsi="Arial" w:cs="Arial"/>
          <w:color w:val="000000" w:themeColor="text1"/>
        </w:rPr>
        <w:lastRenderedPageBreak/>
        <w:t>of belonging, legitimacy, and support, questions that need space to be explored rather than answered yes or no. IPA is used to analyse these interviews, as it is designed for small samples and aims to understand individual experiences in depth before identifying shared patterns across cases (Pietkiewicz &amp; Smith, 2014; Smith, 2009). This suits the study well, as the questions are personal and contextual and not easily captured through surveys or standardised measures (Peat et al., 2019).</w:t>
      </w:r>
    </w:p>
    <w:p w14:paraId="7DBFE1CB" w14:textId="77777777" w:rsidR="000F400C" w:rsidRDefault="000F400C" w:rsidP="000F400C">
      <w:pPr>
        <w:spacing w:line="360" w:lineRule="auto"/>
        <w:rPr>
          <w:rFonts w:ascii="Arial" w:hAnsi="Arial" w:cs="Arial"/>
          <w:color w:val="000000" w:themeColor="text1"/>
        </w:rPr>
      </w:pPr>
      <w:r w:rsidRPr="000F400C">
        <w:rPr>
          <w:rFonts w:ascii="Arial" w:hAnsi="Arial" w:cs="Arial"/>
          <w:color w:val="000000" w:themeColor="text1"/>
        </w:rPr>
        <w:t>The document analysis is necessary because the research is concerned not only with lived experience, but also with how widening participation is formally framed within Welsh policy and selected institutional texts, the sources from which the conditions of student experience are shaped. Document analysis makes it possible to examine how widening participation is represented and prioritised in official texts, rather than just how it is experienced or enacted (Bowen, 2009). These documents are not simply descriptions of policy; they actively shape how widening participation is understood, what institutions are expected to do about it, and ultimately how students encounter it in practice. The document sample is likely to include Welsh widening participation policy and guidance documents, the institution's fee and access plan, strategic equality documentation, and learning and teaching strategy, where these directly address access, participation, retention, or student success.</w:t>
      </w:r>
    </w:p>
    <w:p w14:paraId="5D0FF977" w14:textId="0F5B256B" w:rsidR="00122874" w:rsidRDefault="00122874" w:rsidP="000F400C">
      <w:pPr>
        <w:spacing w:line="360" w:lineRule="auto"/>
        <w:rPr>
          <w:rFonts w:ascii="Arial" w:hAnsi="Arial" w:cs="Arial"/>
          <w:color w:val="000000" w:themeColor="text1"/>
        </w:rPr>
      </w:pPr>
      <w:r w:rsidRPr="00122874">
        <w:rPr>
          <w:rFonts w:ascii="Arial" w:hAnsi="Arial" w:cs="Arial"/>
          <w:color w:val="000000" w:themeColor="text1"/>
        </w:rPr>
        <w:t>The lecturer element uses semi-structured interviews with approximately four lecturers who teach or support mature students within the institution. The aim is to explore how widening participation is interpreted in practice, including what lecturers believe it expects of them in teaching and student support. These interviews will be analysed using reflexive thematic analysis, following the six phases outlined by Braun and Clarke: familiarisation with the data, generating initial codes, constructing themes, reviewing and developing themes, defining and naming themes, and producing the written analysis (Braun &amp; Clarke, 2006, 2024).</w:t>
      </w:r>
    </w:p>
    <w:p w14:paraId="0ED33FC6" w14:textId="46EF1546" w:rsidR="00976B0F" w:rsidRPr="00A8288D" w:rsidRDefault="00976B0F" w:rsidP="000F400C">
      <w:pPr>
        <w:spacing w:line="360" w:lineRule="auto"/>
        <w:rPr>
          <w:rFonts w:ascii="Arial" w:hAnsi="Arial" w:cs="Arial"/>
          <w:color w:val="000000" w:themeColor="text1"/>
        </w:rPr>
      </w:pPr>
      <w:r w:rsidRPr="00A8288D">
        <w:rPr>
          <w:rFonts w:ascii="Arial" w:hAnsi="Arial" w:cs="Arial"/>
          <w:color w:val="000000" w:themeColor="text1"/>
        </w:rPr>
        <w:t xml:space="preserve">Different analytical approaches are used for each of the three elements, driven by what each one is trying to find out. The student interviews, the central element of the research, will explore individual lived experience, whereas the lecturer element focuses on how lecturers understand and interpret widening participation in practice. Reflexive thematic analysis is more appropriate for the lecturer element because it identifies shared patterns of meaning across a group while keeping the researcher's </w:t>
      </w:r>
      <w:r w:rsidRPr="00A8288D">
        <w:rPr>
          <w:rFonts w:ascii="Arial" w:hAnsi="Arial" w:cs="Arial"/>
          <w:color w:val="000000" w:themeColor="text1"/>
        </w:rPr>
        <w:lastRenderedPageBreak/>
        <w:t>own position in view (Braun &amp; Clarke, 2006). The three elements, student, policy and lecturer, are then brought together through a final cross-strand comparison, mapping where the three sit in agreement or are in friction with one another.</w:t>
      </w:r>
    </w:p>
    <w:p w14:paraId="59425822"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Participants in both groups will be selected purposively, chosen because they are well placed to address the research questions, rather than being statistically representative (Campbell et al., 2020). For mature students, inclusion criteria are: aged 21 or over at entry; currently enrolled full-time in their first or second year of undergraduate study having completed at least one full semester; meeting at least one widening participation indicator as defined by the institution's access and participation framework; and not currently taught or assessed by the researcher (Hayman et al., 2024; Pietkiewicz &amp; Smith, 2014).</w:t>
      </w:r>
    </w:p>
    <w:p w14:paraId="613BFBF2"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For lecturers, the inclusion criteria </w:t>
      </w:r>
      <w:proofErr w:type="gramStart"/>
      <w:r w:rsidRPr="00A8288D">
        <w:rPr>
          <w:rFonts w:ascii="Arial" w:hAnsi="Arial" w:cs="Arial"/>
          <w:color w:val="000000" w:themeColor="text1"/>
        </w:rPr>
        <w:t>are:</w:t>
      </w:r>
      <w:proofErr w:type="gramEnd"/>
      <w:r w:rsidRPr="00A8288D">
        <w:rPr>
          <w:rFonts w:ascii="Arial" w:hAnsi="Arial" w:cs="Arial"/>
          <w:color w:val="000000" w:themeColor="text1"/>
        </w:rPr>
        <w:t xml:space="preserve"> currently employed at the institution; directly involved in teaching or supporting undergraduate students who meet widening participation criteria; and not in a line-management relationship with the researcher.</w:t>
      </w:r>
    </w:p>
    <w:p w14:paraId="553D6CD2"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Other designs were considered. A survey-based approach would have offered broader reach, but it would not have captured the depth needed to examine how students experience belonging, legitimacy, and support. A multi-site design was also considered but rejected because it would have reduced the contextual depth needed to examine how policy is enacted in a specific setting. Rigour will be maintained through reflexivity and transparency about the researcher's institutional position. Reflexive journalling and an audit trail will document assumptions, analytic decisions, and tensions arising from working within a familiar institution throughout the research process (Dodgson, 2019; Lewis et al., 2024; Yip, 2024). The study will also be informed by Tracy's (2010) eight criteria for qualitative quality, including sincerity, credibility, and meaningful coherence, as a framework for evaluating rigour throughout the research process.</w:t>
      </w:r>
    </w:p>
    <w:p w14:paraId="3084A26F"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color w:val="000000" w:themeColor="text1"/>
        </w:rPr>
        <w:t xml:space="preserve">It is worth acknowledging that this design may prove ambitious for a small-scale doctoral study. The lecturer element is included because students do not encounter widening participation policy directly; they encounter it through their lecturers. Without it, the study would have policy framing on one side and student experience on the other, with limited means of examining how one translates into the other. That said, if scope or time constraints require the design to be narrowed, the lecturer </w:t>
      </w:r>
      <w:r w:rsidRPr="00A8288D">
        <w:rPr>
          <w:rFonts w:ascii="Arial" w:hAnsi="Arial" w:cs="Arial"/>
          <w:color w:val="000000" w:themeColor="text1"/>
        </w:rPr>
        <w:lastRenderedPageBreak/>
        <w:t>element is best placed for reduction without undermining the study's central argument. A two-element design of document analysis and student interviews would remain coherent and researchable.</w:t>
      </w:r>
    </w:p>
    <w:p w14:paraId="6B58569C" w14:textId="77777777" w:rsidR="00976B0F" w:rsidRPr="00A8288D" w:rsidRDefault="00976B0F" w:rsidP="00976B0F">
      <w:pPr>
        <w:spacing w:line="360" w:lineRule="auto"/>
        <w:rPr>
          <w:rFonts w:ascii="Arial" w:hAnsi="Arial" w:cs="Arial"/>
          <w:b/>
          <w:bCs/>
          <w:color w:val="000000" w:themeColor="text1"/>
        </w:rPr>
      </w:pPr>
    </w:p>
    <w:p w14:paraId="36FF9A28" w14:textId="77777777" w:rsidR="00976B0F" w:rsidRPr="00A8288D" w:rsidRDefault="00976B0F" w:rsidP="00976B0F">
      <w:pPr>
        <w:spacing w:line="360" w:lineRule="auto"/>
        <w:rPr>
          <w:rFonts w:ascii="Arial" w:hAnsi="Arial" w:cs="Arial"/>
          <w:b/>
          <w:bCs/>
          <w:color w:val="000000" w:themeColor="text1"/>
        </w:rPr>
      </w:pPr>
      <w:r w:rsidRPr="00A8288D">
        <w:rPr>
          <w:rFonts w:ascii="Arial" w:hAnsi="Arial" w:cs="Arial"/>
          <w:b/>
          <w:bCs/>
          <w:color w:val="000000" w:themeColor="text1"/>
        </w:rPr>
        <w:t>Ethical Considerations</w:t>
      </w:r>
    </w:p>
    <w:p w14:paraId="06C9B133"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This study is located within a single HE institution and examines a topic closely related to institutional identity, student experience, and professional practice. The ethical issues are therefore not confined to consent and data storage. They also concern how institutional roles and relationships shape what people feel able to say, whether participants can genuinely be anonymised within a bounded setting, and how the researcher's own position influences interpretation.</w:t>
      </w:r>
    </w:p>
    <w:p w14:paraId="029F9BA4"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Ethical approval will be sought through the university’s formal procedures before data collection begins, and the study will be guided by the principle that participation must be voluntary, informed, and free from any sense of obligation or institutional pressure. Informed consent will be treated as a process rather than a single administrative event. Participants will receive an information sheet explaining the purpose of the study, what participation involves, how data will be used, and their right to withdraw without disadvantage. Consent will be obtained before interviews take place, and participants will be reminded that they may decline to answer </w:t>
      </w:r>
      <w:proofErr w:type="gramStart"/>
      <w:r w:rsidRPr="00A8288D">
        <w:rPr>
          <w:rFonts w:ascii="Arial" w:hAnsi="Arial" w:cs="Arial"/>
          <w:color w:val="000000" w:themeColor="text1"/>
        </w:rPr>
        <w:t>particular questions</w:t>
      </w:r>
      <w:proofErr w:type="gramEnd"/>
      <w:r w:rsidRPr="00A8288D">
        <w:rPr>
          <w:rFonts w:ascii="Arial" w:hAnsi="Arial" w:cs="Arial"/>
          <w:color w:val="000000" w:themeColor="text1"/>
        </w:rPr>
        <w:t xml:space="preserve">, pause the interview, or withdraw at any stage. This reflects a commitment to sensitivity, reflexivity, and integrity throughout the research rather than simple procedural compliance (Muthanna &amp; </w:t>
      </w:r>
      <w:proofErr w:type="spellStart"/>
      <w:r w:rsidRPr="00A8288D">
        <w:rPr>
          <w:rFonts w:ascii="Arial" w:hAnsi="Arial" w:cs="Arial"/>
          <w:color w:val="000000" w:themeColor="text1"/>
        </w:rPr>
        <w:t>Alduais</w:t>
      </w:r>
      <w:proofErr w:type="spellEnd"/>
      <w:r w:rsidRPr="00A8288D">
        <w:rPr>
          <w:rFonts w:ascii="Arial" w:hAnsi="Arial" w:cs="Arial"/>
          <w:color w:val="000000" w:themeColor="text1"/>
        </w:rPr>
        <w:t>, 2023).</w:t>
      </w:r>
    </w:p>
    <w:p w14:paraId="40229933"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 xml:space="preserve">Confidentiality is especially important in a single-institution study because anonymity cannot be taken for granted. Even where names are removed, individuals may still be identifiable through combinations of role, programme, age, or experience. The study will therefore use pseudonyms, remove obvious identifying details from transcripts and reporting, and take a cautious approach to contextual description. Departments, roles, and institutional units will only be described to the extent necessary for analysis. Participants will also be told clearly that every reasonable step will be taken to protect confidentiality, but that a small residual risk of internal recognition may remain. This is a more honest and defensible position than </w:t>
      </w:r>
      <w:r w:rsidRPr="00A8288D">
        <w:rPr>
          <w:rFonts w:ascii="Arial" w:hAnsi="Arial" w:cs="Arial"/>
          <w:color w:val="000000" w:themeColor="text1"/>
        </w:rPr>
        <w:lastRenderedPageBreak/>
        <w:t>suggesting that anonymity can be absolute in a bounded case study of this kind (Information Commissioner’s Office, 2025).</w:t>
      </w:r>
    </w:p>
    <w:p w14:paraId="0A5C2355"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researcher’s institutional position raises a further ethical issue. Although insider research can offer advantages, such as contextual knowledge and sensitivity to local meanings, it also carries risks, including role confusion, perceived pressure to participate, and unexamined assumptions. Recent research in HE on insider inquiry suggests that such work requires active reflexivity because the ethical tensions involved are ongoing rather than fully resolved in advance (Lewis et al., 2024). Recruitment will avoid direct approaches where possible and may involve a neutral intermediary or wider circulation route so that invitations do not carry the pressure of a personal request.</w:t>
      </w:r>
    </w:p>
    <w:p w14:paraId="0BC42A48"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Interview recordings and transcripts will be stored securely on university-approved systems, accessible only to the researcher and supervisory team. Data will be retained and disposed of in line with university policy and data protection requirements (UK Research and Innovation, 2020; UK Data Service, 2021).</w:t>
      </w:r>
    </w:p>
    <w:p w14:paraId="7F96BAAF" w14:textId="77777777" w:rsidR="00976B0F" w:rsidRPr="00A8288D" w:rsidRDefault="00976B0F" w:rsidP="00976B0F">
      <w:pPr>
        <w:spacing w:line="360" w:lineRule="auto"/>
        <w:rPr>
          <w:rFonts w:ascii="Arial" w:hAnsi="Arial" w:cs="Arial"/>
          <w:color w:val="000000" w:themeColor="text1"/>
        </w:rPr>
      </w:pPr>
      <w:r w:rsidRPr="00A8288D">
        <w:rPr>
          <w:rFonts w:ascii="Arial" w:hAnsi="Arial" w:cs="Arial"/>
          <w:color w:val="000000" w:themeColor="text1"/>
        </w:rPr>
        <w:t>The analysis may reveal differences among policy language, lecturers' understandings, and, most centrally, students' experiences, and while the study is interpretive rather than evaluative, reporting will need to be honest about what the data shows without attributing blame or making unnecessary judgements about individuals. Mature students may also reflect on experiences of exclusion, uncertainty, or feeling out of place, while lecturers may describe conflicts between professional commitments and institutional constraints. Interviews will be conducted in a way that gives participants space to pause, skip questions, or end the conversation if they wish, and signposting to relevant support will be available if needed. In a single-institution study where participants may be colleagues or former students, ethical care will go beyond formal compliance; it will influence every decision about what to ask, how to analyse, and what to report.</w:t>
      </w:r>
    </w:p>
    <w:p w14:paraId="5484C40F" w14:textId="77777777" w:rsidR="00976B0F" w:rsidRPr="00A8288D" w:rsidRDefault="00976B0F" w:rsidP="00976B0F">
      <w:pPr>
        <w:rPr>
          <w:rFonts w:ascii="Arial" w:hAnsi="Arial" w:cs="Arial"/>
          <w:color w:val="000000" w:themeColor="text1"/>
        </w:rPr>
      </w:pPr>
    </w:p>
    <w:p w14:paraId="0462504A" w14:textId="77777777" w:rsidR="00976B0F" w:rsidRPr="00A8288D" w:rsidRDefault="00976B0F" w:rsidP="00976B0F">
      <w:pPr>
        <w:rPr>
          <w:rFonts w:ascii="Arial" w:hAnsi="Arial" w:cs="Arial"/>
          <w:color w:val="000000" w:themeColor="text1"/>
        </w:rPr>
      </w:pPr>
    </w:p>
    <w:p w14:paraId="68651627" w14:textId="77777777" w:rsidR="00976B0F" w:rsidRPr="00A8288D" w:rsidRDefault="00976B0F" w:rsidP="00976B0F">
      <w:pPr>
        <w:rPr>
          <w:rFonts w:ascii="Arial" w:hAnsi="Arial" w:cs="Arial"/>
          <w:color w:val="000000" w:themeColor="text1"/>
        </w:rPr>
      </w:pPr>
    </w:p>
    <w:p w14:paraId="090FD4E0" w14:textId="77777777" w:rsidR="00976B0F" w:rsidRPr="00A8288D" w:rsidRDefault="00976B0F" w:rsidP="00976B0F">
      <w:pPr>
        <w:rPr>
          <w:rFonts w:ascii="Arial" w:hAnsi="Arial" w:cs="Arial"/>
          <w:color w:val="000000" w:themeColor="text1"/>
        </w:rPr>
      </w:pPr>
    </w:p>
    <w:p w14:paraId="3F664EC5" w14:textId="77777777" w:rsidR="00976B0F" w:rsidRPr="00A8288D" w:rsidRDefault="00976B0F" w:rsidP="00976B0F">
      <w:pPr>
        <w:ind w:hanging="709"/>
        <w:jc w:val="center"/>
        <w:rPr>
          <w:rFonts w:ascii="Arial" w:hAnsi="Arial" w:cs="Arial"/>
          <w:b/>
          <w:bCs/>
          <w:color w:val="000000" w:themeColor="text1"/>
        </w:rPr>
      </w:pPr>
      <w:r w:rsidRPr="00A8288D">
        <w:rPr>
          <w:rFonts w:ascii="Arial" w:hAnsi="Arial" w:cs="Arial"/>
          <w:b/>
          <w:bCs/>
          <w:color w:val="000000" w:themeColor="text1"/>
        </w:rPr>
        <w:lastRenderedPageBreak/>
        <w:t>References</w:t>
      </w:r>
    </w:p>
    <w:p w14:paraId="52E8BAA6" w14:textId="77777777" w:rsidR="00976B0F" w:rsidRPr="00A8288D" w:rsidRDefault="00976B0F" w:rsidP="00976B0F">
      <w:pPr>
        <w:ind w:hanging="709"/>
        <w:jc w:val="center"/>
        <w:rPr>
          <w:rFonts w:ascii="Arial" w:hAnsi="Arial" w:cs="Arial"/>
          <w:b/>
          <w:bCs/>
          <w:color w:val="000000" w:themeColor="text1"/>
        </w:rPr>
      </w:pPr>
    </w:p>
    <w:p w14:paraId="454D5F66" w14:textId="77777777" w:rsidR="00976B0F" w:rsidRPr="00A8288D" w:rsidRDefault="00976B0F" w:rsidP="00976B0F">
      <w:pPr>
        <w:ind w:hanging="720"/>
        <w:rPr>
          <w:rFonts w:ascii="Arial" w:hAnsi="Arial" w:cs="Arial"/>
        </w:rPr>
      </w:pPr>
      <w:r w:rsidRPr="00A8288D">
        <w:rPr>
          <w:rFonts w:ascii="Arial" w:hAnsi="Arial" w:cs="Arial"/>
        </w:rPr>
        <w:t xml:space="preserve">Ahn, M. Y., &amp; Davis, H. H. (2020). </w:t>
      </w:r>
      <w:r w:rsidRPr="00A8288D">
        <w:rPr>
          <w:rFonts w:ascii="Arial" w:hAnsi="Arial" w:cs="Arial"/>
          <w:i/>
          <w:iCs/>
        </w:rPr>
        <w:t>Four domains of students’ sense of belonging to university. Studies in Higher Education, 45</w:t>
      </w:r>
      <w:r w:rsidRPr="00A8288D">
        <w:rPr>
          <w:rFonts w:ascii="Arial" w:hAnsi="Arial" w:cs="Arial"/>
        </w:rPr>
        <w:t xml:space="preserve">(3), 622–634. </w:t>
      </w:r>
      <w:hyperlink r:id="rId12" w:history="1">
        <w:r w:rsidRPr="00A8288D">
          <w:rPr>
            <w:rFonts w:ascii="Arial" w:hAnsi="Arial" w:cs="Arial"/>
          </w:rPr>
          <w:t>https://doi.org/10.1080/03075079.2018.1564902</w:t>
        </w:r>
      </w:hyperlink>
    </w:p>
    <w:p w14:paraId="4451B7E0" w14:textId="77777777" w:rsidR="00976B0F" w:rsidRPr="00A8288D" w:rsidRDefault="00976B0F" w:rsidP="00976B0F">
      <w:pPr>
        <w:ind w:hanging="720"/>
        <w:rPr>
          <w:rFonts w:ascii="Arial" w:hAnsi="Arial" w:cs="Arial"/>
        </w:rPr>
      </w:pPr>
      <w:r w:rsidRPr="00A8288D">
        <w:rPr>
          <w:rFonts w:ascii="Arial" w:hAnsi="Arial" w:cs="Arial"/>
        </w:rPr>
        <w:t>Allen, K.-A., Slaten, C., Hong, S., Lan, M., Craig, H., May, F., &amp; Counted, V. (2024). Belonging in higher education: A twenty-year systematic review.</w:t>
      </w:r>
      <w:r w:rsidRPr="00A8288D">
        <w:rPr>
          <w:rFonts w:ascii="Arial" w:hAnsi="Arial" w:cs="Arial"/>
          <w:i/>
          <w:iCs/>
        </w:rPr>
        <w:t xml:space="preserve"> Journal of University Teaching and Learning Practice, 21</w:t>
      </w:r>
      <w:r w:rsidRPr="00A8288D">
        <w:rPr>
          <w:rFonts w:ascii="Arial" w:hAnsi="Arial" w:cs="Arial"/>
        </w:rPr>
        <w:t xml:space="preserve">(5), 1–55. </w:t>
      </w:r>
      <w:hyperlink r:id="rId13" w:history="1">
        <w:r w:rsidRPr="00A8288D">
          <w:rPr>
            <w:rFonts w:ascii="Arial" w:hAnsi="Arial" w:cs="Arial"/>
          </w:rPr>
          <w:t>https://doi.org/10.53761/s2he6n66</w:t>
        </w:r>
      </w:hyperlink>
    </w:p>
    <w:p w14:paraId="0E07F4D4" w14:textId="77777777" w:rsidR="00976B0F" w:rsidRPr="00A8288D" w:rsidRDefault="00976B0F" w:rsidP="00976B0F">
      <w:pPr>
        <w:ind w:hanging="720"/>
        <w:rPr>
          <w:rFonts w:ascii="Arial" w:hAnsi="Arial" w:cs="Arial"/>
        </w:rPr>
      </w:pPr>
      <w:r w:rsidRPr="00A8288D">
        <w:rPr>
          <w:rFonts w:ascii="Arial" w:hAnsi="Arial" w:cs="Arial"/>
        </w:rPr>
        <w:t xml:space="preserve">Altes, T. K., &amp; Willemse, M. (2024). Higher education teachers’ understandings of and challenges for inclusion and inclusive learning environments: A systematic literature review. </w:t>
      </w:r>
      <w:r w:rsidRPr="00A8288D">
        <w:rPr>
          <w:rFonts w:ascii="Arial" w:hAnsi="Arial" w:cs="Arial"/>
          <w:i/>
          <w:iCs/>
        </w:rPr>
        <w:t xml:space="preserve">Educational Research Review, 43, </w:t>
      </w:r>
      <w:r w:rsidRPr="00A8288D">
        <w:rPr>
          <w:rFonts w:ascii="Arial" w:hAnsi="Arial" w:cs="Arial"/>
        </w:rPr>
        <w:t xml:space="preserve">100605. </w:t>
      </w:r>
      <w:hyperlink r:id="rId14" w:history="1">
        <w:r w:rsidRPr="00A8288D">
          <w:rPr>
            <w:rFonts w:ascii="Arial" w:hAnsi="Arial" w:cs="Arial"/>
          </w:rPr>
          <w:t>https://doi.org/10.1016/j.edurev.2024.100605</w:t>
        </w:r>
      </w:hyperlink>
    </w:p>
    <w:p w14:paraId="6248246F" w14:textId="77777777" w:rsidR="00976B0F" w:rsidRPr="00A8288D" w:rsidRDefault="00976B0F" w:rsidP="00976B0F">
      <w:pPr>
        <w:ind w:hanging="720"/>
        <w:rPr>
          <w:rFonts w:ascii="Arial" w:hAnsi="Arial" w:cs="Arial"/>
        </w:rPr>
      </w:pPr>
      <w:r w:rsidRPr="00A8288D">
        <w:rPr>
          <w:rFonts w:ascii="Arial" w:hAnsi="Arial" w:cs="Arial"/>
        </w:rPr>
        <w:t xml:space="preserve">Atanasova, D., &amp; Papen, U. (2025). UK university teachers on inclusive education: Conceptualizations, practices, opportunities and challenges. </w:t>
      </w:r>
      <w:r w:rsidRPr="00A8288D">
        <w:rPr>
          <w:rFonts w:ascii="Arial" w:hAnsi="Arial" w:cs="Arial"/>
          <w:i/>
          <w:iCs/>
        </w:rPr>
        <w:t>Studies in Higher Education, 51</w:t>
      </w:r>
      <w:r w:rsidRPr="00A8288D">
        <w:rPr>
          <w:rFonts w:ascii="Arial" w:hAnsi="Arial" w:cs="Arial"/>
        </w:rPr>
        <w:t xml:space="preserve">(1), 54–65. </w:t>
      </w:r>
      <w:hyperlink r:id="rId15" w:history="1">
        <w:r w:rsidRPr="00A8288D">
          <w:rPr>
            <w:rFonts w:ascii="Arial" w:hAnsi="Arial" w:cs="Arial"/>
          </w:rPr>
          <w:t>https://doi.org/10.1080/03075079.2025.2455431</w:t>
        </w:r>
      </w:hyperlink>
    </w:p>
    <w:p w14:paraId="04AA91BE" w14:textId="77777777" w:rsidR="00976B0F" w:rsidRPr="00A8288D" w:rsidRDefault="00976B0F" w:rsidP="00976B0F">
      <w:pPr>
        <w:ind w:hanging="720"/>
        <w:rPr>
          <w:rFonts w:ascii="Arial" w:hAnsi="Arial" w:cs="Arial"/>
        </w:rPr>
      </w:pPr>
      <w:r w:rsidRPr="00A8288D">
        <w:rPr>
          <w:rFonts w:ascii="Arial" w:hAnsi="Arial" w:cs="Arial"/>
        </w:rPr>
        <w:t xml:space="preserve">Barkas, L. A., Armstrong, P.-A., &amp; Bishop, G. (2022). Is inclusion still an illusion in higher education? Exploring the curriculum through the student voice. </w:t>
      </w:r>
      <w:r w:rsidRPr="00A8288D">
        <w:rPr>
          <w:rFonts w:ascii="Arial" w:hAnsi="Arial" w:cs="Arial"/>
          <w:i/>
          <w:iCs/>
        </w:rPr>
        <w:t>International Journal of Inclusive Education, 26</w:t>
      </w:r>
      <w:r w:rsidRPr="00A8288D">
        <w:rPr>
          <w:rFonts w:ascii="Arial" w:hAnsi="Arial" w:cs="Arial"/>
        </w:rPr>
        <w:t xml:space="preserve">(11), 1125–1140. </w:t>
      </w:r>
      <w:hyperlink r:id="rId16" w:history="1">
        <w:r w:rsidRPr="00A8288D">
          <w:rPr>
            <w:rFonts w:ascii="Arial" w:hAnsi="Arial" w:cs="Arial"/>
          </w:rPr>
          <w:t>https://doi.org/10.1080/13603116.2020.1776777</w:t>
        </w:r>
      </w:hyperlink>
    </w:p>
    <w:p w14:paraId="1EA5CA37" w14:textId="77777777" w:rsidR="00976B0F" w:rsidRPr="00A8288D" w:rsidRDefault="00976B0F" w:rsidP="00976B0F">
      <w:pPr>
        <w:ind w:hanging="720"/>
        <w:rPr>
          <w:rFonts w:ascii="Arial" w:hAnsi="Arial" w:cs="Arial"/>
        </w:rPr>
      </w:pPr>
      <w:r w:rsidRPr="00A8288D">
        <w:rPr>
          <w:rFonts w:ascii="Arial" w:hAnsi="Arial" w:cs="Arial"/>
        </w:rPr>
        <w:t xml:space="preserve">Baxter, P., &amp; Jack, S. (2008). Qualitative case study methodology: Study design and implementation for novice researchers. </w:t>
      </w:r>
      <w:r w:rsidRPr="00A8288D">
        <w:rPr>
          <w:rFonts w:ascii="Arial" w:hAnsi="Arial" w:cs="Arial"/>
          <w:i/>
          <w:iCs/>
        </w:rPr>
        <w:t>The Qualitative Report, 13</w:t>
      </w:r>
      <w:r w:rsidRPr="00A8288D">
        <w:rPr>
          <w:rFonts w:ascii="Arial" w:hAnsi="Arial" w:cs="Arial"/>
        </w:rPr>
        <w:t xml:space="preserve">(4), 544–559. </w:t>
      </w:r>
      <w:hyperlink r:id="rId17" w:history="1">
        <w:r w:rsidRPr="00A8288D">
          <w:rPr>
            <w:rFonts w:ascii="Arial" w:hAnsi="Arial" w:cs="Arial"/>
          </w:rPr>
          <w:t>https://doi.org/10.46743/2160-3715/2008.1573</w:t>
        </w:r>
      </w:hyperlink>
    </w:p>
    <w:p w14:paraId="594B6F8E" w14:textId="77777777" w:rsidR="00976B0F" w:rsidRPr="00A8288D" w:rsidRDefault="00976B0F" w:rsidP="00976B0F">
      <w:pPr>
        <w:ind w:hanging="720"/>
        <w:rPr>
          <w:rFonts w:ascii="Arial" w:hAnsi="Arial" w:cs="Arial"/>
        </w:rPr>
      </w:pPr>
      <w:r w:rsidRPr="00A8288D">
        <w:rPr>
          <w:rFonts w:ascii="Arial" w:hAnsi="Arial" w:cs="Arial"/>
        </w:rPr>
        <w:t xml:space="preserve">Benson-Egglenton, J. (2022). Whose target group is it anyway? The messy business of enacting widening participation policy. </w:t>
      </w:r>
      <w:r w:rsidRPr="00A8288D">
        <w:rPr>
          <w:rFonts w:ascii="Arial" w:hAnsi="Arial" w:cs="Arial"/>
          <w:i/>
          <w:iCs/>
        </w:rPr>
        <w:t>Journal of Further and Higher Education, 46</w:t>
      </w:r>
      <w:r w:rsidRPr="00A8288D">
        <w:rPr>
          <w:rFonts w:ascii="Arial" w:hAnsi="Arial" w:cs="Arial"/>
        </w:rPr>
        <w:t xml:space="preserve">(10), 1407–1420. </w:t>
      </w:r>
      <w:hyperlink r:id="rId18" w:history="1">
        <w:r w:rsidRPr="00A8288D">
          <w:rPr>
            <w:rFonts w:ascii="Arial" w:hAnsi="Arial" w:cs="Arial"/>
          </w:rPr>
          <w:t>https://doi.org/10.1080/0309877X.2022.2082276</w:t>
        </w:r>
      </w:hyperlink>
    </w:p>
    <w:p w14:paraId="3E0370AE" w14:textId="77777777" w:rsidR="00976B0F" w:rsidRPr="00A8288D" w:rsidRDefault="00976B0F" w:rsidP="00976B0F">
      <w:pPr>
        <w:ind w:hanging="720"/>
        <w:rPr>
          <w:rFonts w:ascii="Arial" w:hAnsi="Arial" w:cs="Arial"/>
        </w:rPr>
      </w:pPr>
      <w:r w:rsidRPr="00A8288D">
        <w:rPr>
          <w:rFonts w:ascii="Arial" w:hAnsi="Arial" w:cs="Arial"/>
        </w:rPr>
        <w:t xml:space="preserve">Bowen, G. A. (2009). Document analysis as a qualitative research method. </w:t>
      </w:r>
      <w:r w:rsidRPr="00A8288D">
        <w:rPr>
          <w:rFonts w:ascii="Arial" w:hAnsi="Arial" w:cs="Arial"/>
          <w:i/>
          <w:iCs/>
        </w:rPr>
        <w:t>Qualitative Research Journal, 9</w:t>
      </w:r>
      <w:r w:rsidRPr="00A8288D">
        <w:rPr>
          <w:rFonts w:ascii="Arial" w:hAnsi="Arial" w:cs="Arial"/>
        </w:rPr>
        <w:t xml:space="preserve">(2), 27–40. </w:t>
      </w:r>
      <w:hyperlink r:id="rId19" w:history="1">
        <w:r w:rsidRPr="00A8288D">
          <w:rPr>
            <w:rFonts w:ascii="Arial" w:hAnsi="Arial" w:cs="Arial"/>
          </w:rPr>
          <w:t>https://doi.org/10.3316/QRJ0902027</w:t>
        </w:r>
      </w:hyperlink>
    </w:p>
    <w:p w14:paraId="250691BD" w14:textId="77777777" w:rsidR="00976B0F" w:rsidRPr="00A8288D" w:rsidRDefault="00976B0F" w:rsidP="00976B0F">
      <w:pPr>
        <w:ind w:hanging="720"/>
        <w:rPr>
          <w:rFonts w:ascii="Arial" w:hAnsi="Arial" w:cs="Arial"/>
        </w:rPr>
      </w:pPr>
      <w:r w:rsidRPr="00A8288D">
        <w:rPr>
          <w:rFonts w:ascii="Arial" w:hAnsi="Arial" w:cs="Arial"/>
        </w:rPr>
        <w:t xml:space="preserve">Braun, V., &amp; Clarke, V. (2006). Using thematic analysis in psychology. </w:t>
      </w:r>
      <w:r w:rsidRPr="00A8288D">
        <w:rPr>
          <w:rFonts w:ascii="Arial" w:hAnsi="Arial" w:cs="Arial"/>
          <w:i/>
          <w:iCs/>
        </w:rPr>
        <w:t>Qualitative Research in Psychology, 3</w:t>
      </w:r>
      <w:r w:rsidRPr="00A8288D">
        <w:rPr>
          <w:rFonts w:ascii="Arial" w:hAnsi="Arial" w:cs="Arial"/>
        </w:rPr>
        <w:t xml:space="preserve">(2), 77–101. </w:t>
      </w:r>
      <w:hyperlink r:id="rId20" w:history="1">
        <w:r w:rsidRPr="00A8288D">
          <w:rPr>
            <w:rFonts w:ascii="Arial" w:hAnsi="Arial" w:cs="Arial"/>
          </w:rPr>
          <w:t>https://doi.org/10.1191/1478088706qp063oa</w:t>
        </w:r>
      </w:hyperlink>
    </w:p>
    <w:p w14:paraId="0811C0ED" w14:textId="77777777" w:rsidR="00976B0F" w:rsidRPr="00A8288D" w:rsidRDefault="00976B0F" w:rsidP="00976B0F">
      <w:pPr>
        <w:ind w:hanging="720"/>
        <w:rPr>
          <w:rFonts w:ascii="Arial" w:hAnsi="Arial" w:cs="Arial"/>
        </w:rPr>
      </w:pPr>
      <w:r w:rsidRPr="00A8288D">
        <w:rPr>
          <w:rFonts w:ascii="Arial" w:hAnsi="Arial" w:cs="Arial"/>
        </w:rPr>
        <w:t>Braun, V., &amp; Clarke, V. (2024). Supporting best practice in reflexive thematic analysis reporting in Palliative Medicine: A review of published research and introduction to the Reflexive Thematic Analysis Reporting Guidelines (</w:t>
      </w:r>
      <w:proofErr w:type="spellStart"/>
      <w:r w:rsidRPr="00A8288D">
        <w:rPr>
          <w:rFonts w:ascii="Arial" w:hAnsi="Arial" w:cs="Arial"/>
        </w:rPr>
        <w:t>RTARG</w:t>
      </w:r>
      <w:proofErr w:type="spellEnd"/>
      <w:r w:rsidRPr="00A8288D">
        <w:rPr>
          <w:rFonts w:ascii="Arial" w:hAnsi="Arial" w:cs="Arial"/>
        </w:rPr>
        <w:t>).</w:t>
      </w:r>
      <w:r w:rsidRPr="00A8288D">
        <w:rPr>
          <w:rFonts w:ascii="Arial" w:hAnsi="Arial" w:cs="Arial"/>
          <w:i/>
          <w:iCs/>
        </w:rPr>
        <w:t xml:space="preserve"> Palliative Medicine, 38</w:t>
      </w:r>
      <w:r w:rsidRPr="00A8288D">
        <w:rPr>
          <w:rFonts w:ascii="Arial" w:hAnsi="Arial" w:cs="Arial"/>
        </w:rPr>
        <w:t xml:space="preserve">(6), 608–616. </w:t>
      </w:r>
      <w:hyperlink r:id="rId21" w:history="1">
        <w:r w:rsidRPr="00A8288D">
          <w:rPr>
            <w:rFonts w:ascii="Arial" w:hAnsi="Arial" w:cs="Arial"/>
          </w:rPr>
          <w:t>https://doi.org/10.1177/02692163241234800</w:t>
        </w:r>
      </w:hyperlink>
    </w:p>
    <w:p w14:paraId="2C22FF98" w14:textId="77777777" w:rsidR="00976B0F" w:rsidRPr="00A8288D" w:rsidRDefault="00976B0F" w:rsidP="00976B0F">
      <w:pPr>
        <w:ind w:hanging="720"/>
        <w:rPr>
          <w:rFonts w:ascii="Arial" w:hAnsi="Arial" w:cs="Arial"/>
        </w:rPr>
      </w:pPr>
      <w:r w:rsidRPr="00A8288D">
        <w:rPr>
          <w:rFonts w:ascii="Arial" w:hAnsi="Arial" w:cs="Arial"/>
        </w:rPr>
        <w:t>Callender, C., &amp; Thomson, J. (2018)</w:t>
      </w:r>
      <w:r w:rsidRPr="00A8288D">
        <w:rPr>
          <w:rFonts w:ascii="Arial" w:hAnsi="Arial" w:cs="Arial"/>
          <w:i/>
          <w:iCs/>
        </w:rPr>
        <w:t>. The lost part-timers: The decline of part-time undergraduate higher education in England</w:t>
      </w:r>
      <w:r w:rsidRPr="00A8288D">
        <w:rPr>
          <w:rFonts w:ascii="Arial" w:hAnsi="Arial" w:cs="Arial"/>
        </w:rPr>
        <w:t>. Sutton Trust. https://www.suttontrust.com/our-research/lost-part-timers-mature-students/</w:t>
      </w:r>
    </w:p>
    <w:p w14:paraId="55B4263C" w14:textId="77777777" w:rsidR="00976B0F" w:rsidRPr="00A8288D" w:rsidRDefault="00976B0F" w:rsidP="00976B0F">
      <w:pPr>
        <w:ind w:hanging="720"/>
        <w:rPr>
          <w:rFonts w:ascii="Arial" w:hAnsi="Arial" w:cs="Arial"/>
        </w:rPr>
      </w:pPr>
      <w:r w:rsidRPr="00A8288D">
        <w:rPr>
          <w:rFonts w:ascii="Arial" w:hAnsi="Arial" w:cs="Arial"/>
        </w:rPr>
        <w:lastRenderedPageBreak/>
        <w:t xml:space="preserve">Campbell, S., Greenwood, M., Prior, S., Shearer, T., </w:t>
      </w:r>
      <w:proofErr w:type="spellStart"/>
      <w:r w:rsidRPr="00A8288D">
        <w:rPr>
          <w:rFonts w:ascii="Arial" w:hAnsi="Arial" w:cs="Arial"/>
        </w:rPr>
        <w:t>Walkem</w:t>
      </w:r>
      <w:proofErr w:type="spellEnd"/>
      <w:r w:rsidRPr="00A8288D">
        <w:rPr>
          <w:rFonts w:ascii="Arial" w:hAnsi="Arial" w:cs="Arial"/>
        </w:rPr>
        <w:t xml:space="preserve">, K., Young, S., Bywaters, D., &amp; Walker, K. (2020). Purposive sampling: Complex or simple? Research case examples. </w:t>
      </w:r>
      <w:r w:rsidRPr="00A8288D">
        <w:rPr>
          <w:rFonts w:ascii="Arial" w:hAnsi="Arial" w:cs="Arial"/>
          <w:i/>
          <w:iCs/>
        </w:rPr>
        <w:t>Journal of Research in Nursing, 25</w:t>
      </w:r>
      <w:r w:rsidRPr="00A8288D">
        <w:rPr>
          <w:rFonts w:ascii="Arial" w:hAnsi="Arial" w:cs="Arial"/>
        </w:rPr>
        <w:t xml:space="preserve">(8), 652–661. </w:t>
      </w:r>
      <w:hyperlink r:id="rId22" w:history="1">
        <w:r w:rsidRPr="00A8288D">
          <w:rPr>
            <w:rFonts w:ascii="Arial" w:hAnsi="Arial" w:cs="Arial"/>
          </w:rPr>
          <w:t>https://doi.org/10.1177/1744987120927206</w:t>
        </w:r>
      </w:hyperlink>
    </w:p>
    <w:p w14:paraId="7B2BB897" w14:textId="77777777" w:rsidR="00976B0F" w:rsidRPr="00A8288D" w:rsidRDefault="00976B0F" w:rsidP="00976B0F">
      <w:pPr>
        <w:ind w:hanging="720"/>
        <w:rPr>
          <w:rFonts w:ascii="Arial" w:hAnsi="Arial" w:cs="Arial"/>
        </w:rPr>
      </w:pPr>
      <w:r w:rsidRPr="00A8288D">
        <w:rPr>
          <w:rFonts w:ascii="Arial" w:hAnsi="Arial" w:cs="Arial"/>
        </w:rPr>
        <w:t xml:space="preserve">Cleland, J., Buxton, J., Hughes, E., &amp; Patterson, F. (2024). Translating government policy into practice: How new UK medical schools enact widening participation. </w:t>
      </w:r>
      <w:r w:rsidRPr="00A8288D">
        <w:rPr>
          <w:rFonts w:ascii="Arial" w:hAnsi="Arial" w:cs="Arial"/>
          <w:i/>
          <w:iCs/>
        </w:rPr>
        <w:t>Medical Education, 58</w:t>
      </w:r>
      <w:r w:rsidRPr="00A8288D">
        <w:rPr>
          <w:rFonts w:ascii="Arial" w:hAnsi="Arial" w:cs="Arial"/>
        </w:rPr>
        <w:t xml:space="preserve">(10), 1247–1256. </w:t>
      </w:r>
      <w:hyperlink r:id="rId23" w:history="1">
        <w:r w:rsidRPr="00A8288D">
          <w:rPr>
            <w:rFonts w:ascii="Arial" w:hAnsi="Arial" w:cs="Arial"/>
          </w:rPr>
          <w:t>https://doi.org/10.1111/medu.15403</w:t>
        </w:r>
      </w:hyperlink>
    </w:p>
    <w:p w14:paraId="57556F2B" w14:textId="77777777" w:rsidR="00976B0F" w:rsidRPr="00A8288D" w:rsidRDefault="00976B0F" w:rsidP="00976B0F">
      <w:pPr>
        <w:ind w:hanging="720"/>
        <w:rPr>
          <w:rFonts w:ascii="Arial" w:hAnsi="Arial" w:cs="Arial"/>
        </w:rPr>
      </w:pPr>
      <w:r w:rsidRPr="00A8288D">
        <w:rPr>
          <w:rFonts w:ascii="Arial" w:hAnsi="Arial" w:cs="Arial"/>
        </w:rPr>
        <w:t xml:space="preserve">Crawford, N., &amp; McKenzie, L. (2023). Localised learning: Mobilising belonging among mature-aged students in low socio-economic status regional and remote areas. </w:t>
      </w:r>
      <w:r w:rsidRPr="00A8288D">
        <w:rPr>
          <w:rFonts w:ascii="Arial" w:hAnsi="Arial" w:cs="Arial"/>
          <w:i/>
          <w:iCs/>
        </w:rPr>
        <w:t>Higher Education, 85</w:t>
      </w:r>
      <w:r w:rsidRPr="00A8288D">
        <w:rPr>
          <w:rFonts w:ascii="Arial" w:hAnsi="Arial" w:cs="Arial"/>
        </w:rPr>
        <w:t xml:space="preserve">(5), 1021–1040. </w:t>
      </w:r>
      <w:hyperlink r:id="rId24" w:history="1">
        <w:r w:rsidRPr="00A8288D">
          <w:rPr>
            <w:rFonts w:ascii="Arial" w:hAnsi="Arial" w:cs="Arial"/>
          </w:rPr>
          <w:t>https://doi.org/10.1007/s10734-022-00877-x</w:t>
        </w:r>
      </w:hyperlink>
    </w:p>
    <w:p w14:paraId="03969745" w14:textId="77777777" w:rsidR="00976B0F" w:rsidRPr="00A8288D" w:rsidRDefault="00976B0F" w:rsidP="00976B0F">
      <w:pPr>
        <w:ind w:hanging="720"/>
        <w:rPr>
          <w:rFonts w:ascii="Arial" w:hAnsi="Arial" w:cs="Arial"/>
          <w:color w:val="000000" w:themeColor="text1"/>
        </w:rPr>
      </w:pPr>
      <w:r w:rsidRPr="00A8288D">
        <w:rPr>
          <w:rFonts w:ascii="Arial" w:hAnsi="Arial" w:cs="Arial"/>
          <w:color w:val="000000" w:themeColor="text1"/>
        </w:rPr>
        <w:t xml:space="preserve">Creswell, J. W., &amp; </w:t>
      </w:r>
      <w:proofErr w:type="spellStart"/>
      <w:r w:rsidRPr="00A8288D">
        <w:rPr>
          <w:rFonts w:ascii="Arial" w:hAnsi="Arial" w:cs="Arial"/>
          <w:color w:val="000000" w:themeColor="text1"/>
        </w:rPr>
        <w:t>Poth</w:t>
      </w:r>
      <w:proofErr w:type="spellEnd"/>
      <w:r w:rsidRPr="00A8288D">
        <w:rPr>
          <w:rFonts w:ascii="Arial" w:hAnsi="Arial" w:cs="Arial"/>
          <w:color w:val="000000" w:themeColor="text1"/>
        </w:rPr>
        <w:t xml:space="preserve">, C. N. (2018). </w:t>
      </w:r>
      <w:r w:rsidRPr="00A8288D">
        <w:rPr>
          <w:rFonts w:ascii="Arial" w:hAnsi="Arial" w:cs="Arial"/>
          <w:i/>
          <w:iCs/>
          <w:color w:val="000000" w:themeColor="text1"/>
        </w:rPr>
        <w:t>Qualitative inquiry and research design: Choosing among five approaches</w:t>
      </w:r>
      <w:r w:rsidRPr="00A8288D">
        <w:rPr>
          <w:rFonts w:ascii="Arial" w:hAnsi="Arial" w:cs="Arial"/>
          <w:color w:val="000000" w:themeColor="text1"/>
        </w:rPr>
        <w:t xml:space="preserve"> (4th ed.). SAGE.</w:t>
      </w:r>
    </w:p>
    <w:p w14:paraId="4335F2F4" w14:textId="77777777" w:rsidR="00976B0F" w:rsidRPr="00A8288D" w:rsidRDefault="00976B0F" w:rsidP="00976B0F">
      <w:pPr>
        <w:ind w:hanging="720"/>
        <w:rPr>
          <w:rFonts w:ascii="Arial" w:hAnsi="Arial" w:cs="Arial"/>
        </w:rPr>
      </w:pPr>
      <w:proofErr w:type="spellStart"/>
      <w:r w:rsidRPr="00A8288D">
        <w:rPr>
          <w:rFonts w:ascii="Arial" w:hAnsi="Arial" w:cs="Arial"/>
        </w:rPr>
        <w:t>DeJonckheere</w:t>
      </w:r>
      <w:proofErr w:type="spellEnd"/>
      <w:r w:rsidRPr="00A8288D">
        <w:rPr>
          <w:rFonts w:ascii="Arial" w:hAnsi="Arial" w:cs="Arial"/>
        </w:rPr>
        <w:t xml:space="preserve">, M., &amp; Vaughn, L. M. (2019). </w:t>
      </w:r>
      <w:proofErr w:type="spellStart"/>
      <w:r w:rsidRPr="00A8288D">
        <w:rPr>
          <w:rFonts w:ascii="Arial" w:hAnsi="Arial" w:cs="Arial"/>
        </w:rPr>
        <w:t>Semistructured</w:t>
      </w:r>
      <w:proofErr w:type="spellEnd"/>
      <w:r w:rsidRPr="00A8288D">
        <w:rPr>
          <w:rFonts w:ascii="Arial" w:hAnsi="Arial" w:cs="Arial"/>
        </w:rPr>
        <w:t xml:space="preserve"> interviewing in primary care research: A balance of relationship and rigour. </w:t>
      </w:r>
      <w:r w:rsidRPr="00A8288D">
        <w:rPr>
          <w:rFonts w:ascii="Arial" w:hAnsi="Arial" w:cs="Arial"/>
          <w:i/>
          <w:iCs/>
        </w:rPr>
        <w:t>Family Medicine and Community Health, 7</w:t>
      </w:r>
      <w:r w:rsidRPr="00A8288D">
        <w:rPr>
          <w:rFonts w:ascii="Arial" w:hAnsi="Arial" w:cs="Arial"/>
        </w:rPr>
        <w:t xml:space="preserve">(2), e000057. </w:t>
      </w:r>
      <w:hyperlink r:id="rId25" w:history="1">
        <w:r w:rsidRPr="00A8288D">
          <w:rPr>
            <w:rFonts w:ascii="Arial" w:hAnsi="Arial" w:cs="Arial"/>
          </w:rPr>
          <w:t>https://doi.org/10.1136/fmch-2018-000057</w:t>
        </w:r>
      </w:hyperlink>
    </w:p>
    <w:p w14:paraId="07B66006" w14:textId="77777777" w:rsidR="00976B0F" w:rsidRPr="00A8288D" w:rsidRDefault="00976B0F" w:rsidP="00976B0F">
      <w:pPr>
        <w:ind w:hanging="720"/>
        <w:rPr>
          <w:rFonts w:ascii="Arial" w:hAnsi="Arial" w:cs="Arial"/>
        </w:rPr>
      </w:pPr>
      <w:r w:rsidRPr="00A8288D">
        <w:rPr>
          <w:rFonts w:ascii="Arial" w:hAnsi="Arial" w:cs="Arial"/>
        </w:rPr>
        <w:t xml:space="preserve">Dodgson, J. E. (2019). Reflexivity in qualitative research. </w:t>
      </w:r>
      <w:r w:rsidRPr="00A8288D">
        <w:rPr>
          <w:rFonts w:ascii="Arial" w:hAnsi="Arial" w:cs="Arial"/>
          <w:i/>
          <w:iCs/>
        </w:rPr>
        <w:t>Journal of Human Lactation, 35</w:t>
      </w:r>
      <w:r w:rsidRPr="00A8288D">
        <w:rPr>
          <w:rFonts w:ascii="Arial" w:hAnsi="Arial" w:cs="Arial"/>
        </w:rPr>
        <w:t xml:space="preserve">(2), 220–222. </w:t>
      </w:r>
      <w:hyperlink r:id="rId26" w:history="1">
        <w:r w:rsidRPr="00A8288D">
          <w:rPr>
            <w:rFonts w:ascii="Arial" w:hAnsi="Arial" w:cs="Arial"/>
          </w:rPr>
          <w:t>https://doi.org/10.1177/0890334419830990</w:t>
        </w:r>
      </w:hyperlink>
    </w:p>
    <w:p w14:paraId="7A8E7070" w14:textId="77777777" w:rsidR="00976B0F" w:rsidRPr="00A8288D" w:rsidRDefault="00976B0F" w:rsidP="00976B0F">
      <w:pPr>
        <w:ind w:hanging="720"/>
        <w:rPr>
          <w:rFonts w:ascii="Arial" w:hAnsi="Arial" w:cs="Arial"/>
        </w:rPr>
      </w:pPr>
      <w:r w:rsidRPr="00A8288D">
        <w:rPr>
          <w:rFonts w:ascii="Arial" w:hAnsi="Arial" w:cs="Arial"/>
        </w:rPr>
        <w:t xml:space="preserve">Hayman, R., Wharton, K., Bell, L., &amp; Bird, L. (2024). Navigating the first year at an English university: Exploring the experiences of mature students through the lens of transition theory. </w:t>
      </w:r>
      <w:r w:rsidRPr="00A8288D">
        <w:rPr>
          <w:rFonts w:ascii="Arial" w:hAnsi="Arial" w:cs="Arial"/>
          <w:i/>
          <w:iCs/>
        </w:rPr>
        <w:t>International Journal of Lifelong Education, 43</w:t>
      </w:r>
      <w:r w:rsidRPr="00A8288D">
        <w:rPr>
          <w:rFonts w:ascii="Arial" w:hAnsi="Arial" w:cs="Arial"/>
        </w:rPr>
        <w:t xml:space="preserve">(1), 39–51. </w:t>
      </w:r>
      <w:hyperlink r:id="rId27" w:history="1">
        <w:r w:rsidRPr="00A8288D">
          <w:rPr>
            <w:rFonts w:ascii="Arial" w:hAnsi="Arial" w:cs="Arial"/>
          </w:rPr>
          <w:t>https://doi.org/10.1080/02601370.2023.2297671</w:t>
        </w:r>
      </w:hyperlink>
    </w:p>
    <w:p w14:paraId="457C639C" w14:textId="77777777" w:rsidR="00976B0F" w:rsidRPr="00A8288D" w:rsidRDefault="00976B0F" w:rsidP="00976B0F">
      <w:pPr>
        <w:ind w:hanging="720"/>
        <w:rPr>
          <w:rFonts w:ascii="Arial" w:hAnsi="Arial" w:cs="Arial"/>
        </w:rPr>
      </w:pPr>
      <w:r w:rsidRPr="00A8288D">
        <w:rPr>
          <w:rFonts w:ascii="Arial" w:hAnsi="Arial" w:cs="Arial"/>
        </w:rPr>
        <w:t>Higher Education Funding Council for Wales. (2021)</w:t>
      </w:r>
      <w:r w:rsidRPr="00A8288D">
        <w:rPr>
          <w:rFonts w:ascii="Arial" w:hAnsi="Arial" w:cs="Arial"/>
          <w:i/>
          <w:iCs/>
        </w:rPr>
        <w:t>. Reaching Wider programme guidance (Circular W21/38HE)</w:t>
      </w:r>
      <w:r w:rsidRPr="00A8288D">
        <w:rPr>
          <w:rFonts w:ascii="Arial" w:hAnsi="Arial" w:cs="Arial"/>
        </w:rPr>
        <w:t xml:space="preserve">. </w:t>
      </w:r>
      <w:hyperlink r:id="rId28" w:history="1">
        <w:r w:rsidRPr="00A8288D">
          <w:rPr>
            <w:rFonts w:ascii="Arial" w:hAnsi="Arial" w:cs="Arial"/>
          </w:rPr>
          <w:t>https://www.medr.cymru/wp-content/uploads/2024/07/W21-38HE-Reaching-Wider-Programme-guidance-English.pdf</w:t>
        </w:r>
      </w:hyperlink>
    </w:p>
    <w:p w14:paraId="5006394E" w14:textId="77777777" w:rsidR="00976B0F" w:rsidRPr="00A8288D" w:rsidRDefault="00976B0F" w:rsidP="00976B0F">
      <w:pPr>
        <w:ind w:hanging="720"/>
        <w:rPr>
          <w:rFonts w:ascii="Arial" w:hAnsi="Arial" w:cs="Arial"/>
        </w:rPr>
      </w:pPr>
      <w:r w:rsidRPr="00A8288D">
        <w:rPr>
          <w:rFonts w:ascii="Arial" w:hAnsi="Arial" w:cs="Arial"/>
        </w:rPr>
        <w:t xml:space="preserve">Higher Education Funding Council for Wales. (2024). </w:t>
      </w:r>
      <w:r w:rsidRPr="00A8288D">
        <w:rPr>
          <w:rFonts w:ascii="Arial" w:hAnsi="Arial" w:cs="Arial"/>
          <w:i/>
          <w:iCs/>
        </w:rPr>
        <w:t>2025/26 and 2026/27 fee and access plan application guidance (Circular W24/07HE).</w:t>
      </w:r>
      <w:r w:rsidRPr="00A8288D">
        <w:rPr>
          <w:rFonts w:ascii="Arial" w:hAnsi="Arial" w:cs="Arial"/>
        </w:rPr>
        <w:t xml:space="preserve"> </w:t>
      </w:r>
      <w:hyperlink r:id="rId29" w:history="1">
        <w:r w:rsidRPr="00A8288D">
          <w:rPr>
            <w:rFonts w:ascii="Arial" w:hAnsi="Arial" w:cs="Arial"/>
          </w:rPr>
          <w:t>https://www.medr.cymru/wp-content/uploads/2024/12/W24-07HE-2025_26-and-2026_27-Fee-and-Access-Plan-application-guidance-English.pdf</w:t>
        </w:r>
      </w:hyperlink>
    </w:p>
    <w:p w14:paraId="19D132D0" w14:textId="77777777" w:rsidR="00976B0F" w:rsidRPr="00A8288D" w:rsidRDefault="00976B0F" w:rsidP="00976B0F">
      <w:pPr>
        <w:ind w:hanging="720"/>
        <w:rPr>
          <w:rFonts w:ascii="Arial" w:hAnsi="Arial" w:cs="Arial"/>
        </w:rPr>
      </w:pPr>
      <w:r w:rsidRPr="00A8288D">
        <w:rPr>
          <w:rFonts w:ascii="Arial" w:hAnsi="Arial" w:cs="Arial"/>
        </w:rPr>
        <w:t xml:space="preserve">Higher Education Statistics Agency. (2026, January 27). </w:t>
      </w:r>
      <w:r w:rsidRPr="00A8288D">
        <w:rPr>
          <w:rFonts w:ascii="Arial" w:hAnsi="Arial" w:cs="Arial"/>
          <w:i/>
          <w:iCs/>
        </w:rPr>
        <w:t>Higher education student statistics: UK, 2024/25.</w:t>
      </w:r>
      <w:r w:rsidRPr="00A8288D">
        <w:rPr>
          <w:rFonts w:ascii="Arial" w:hAnsi="Arial" w:cs="Arial"/>
        </w:rPr>
        <w:t xml:space="preserve"> </w:t>
      </w:r>
      <w:hyperlink r:id="rId30" w:history="1">
        <w:r w:rsidRPr="00A8288D">
          <w:rPr>
            <w:rStyle w:val="Hyperlink"/>
            <w:rFonts w:ascii="Arial" w:hAnsi="Arial" w:cs="Arial"/>
          </w:rPr>
          <w:t>https://www.hesa.ac.uk/news/27-01-2026/sb273-higher-education-student-statistics</w:t>
        </w:r>
      </w:hyperlink>
    </w:p>
    <w:p w14:paraId="0997285D" w14:textId="77777777" w:rsidR="00976B0F" w:rsidRPr="00A8288D" w:rsidRDefault="00976B0F" w:rsidP="00976B0F">
      <w:pPr>
        <w:ind w:hanging="720"/>
        <w:rPr>
          <w:rFonts w:ascii="Arial" w:hAnsi="Arial" w:cs="Arial"/>
        </w:rPr>
      </w:pPr>
      <w:r w:rsidRPr="00A8288D">
        <w:rPr>
          <w:rFonts w:ascii="Arial" w:hAnsi="Arial" w:cs="Arial"/>
        </w:rPr>
        <w:t xml:space="preserve">Hope, J., &amp; Quinlan, K. M. (2020). Staying local: How mature, working-class students on a satellite campus leverage community cultural wealth. </w:t>
      </w:r>
      <w:r w:rsidRPr="00A8288D">
        <w:rPr>
          <w:rFonts w:ascii="Arial" w:hAnsi="Arial" w:cs="Arial"/>
          <w:i/>
          <w:iCs/>
        </w:rPr>
        <w:t>Studies in Higher Education, 46</w:t>
      </w:r>
      <w:r w:rsidRPr="00A8288D">
        <w:rPr>
          <w:rFonts w:ascii="Arial" w:hAnsi="Arial" w:cs="Arial"/>
        </w:rPr>
        <w:t xml:space="preserve">(12), 2542–2555. </w:t>
      </w:r>
      <w:hyperlink r:id="rId31" w:history="1">
        <w:r w:rsidRPr="00A8288D">
          <w:rPr>
            <w:rFonts w:ascii="Arial" w:hAnsi="Arial" w:cs="Arial"/>
          </w:rPr>
          <w:t>https://doi.org/10.1080/03075079.2020.1725874</w:t>
        </w:r>
      </w:hyperlink>
    </w:p>
    <w:p w14:paraId="06F42040" w14:textId="77777777" w:rsidR="00976B0F" w:rsidRPr="00A8288D" w:rsidRDefault="00976B0F" w:rsidP="00976B0F">
      <w:pPr>
        <w:ind w:hanging="720"/>
        <w:rPr>
          <w:rFonts w:ascii="Arial" w:hAnsi="Arial" w:cs="Arial"/>
        </w:rPr>
      </w:pPr>
      <w:r w:rsidRPr="00A8288D">
        <w:rPr>
          <w:rFonts w:ascii="Arial" w:hAnsi="Arial" w:cs="Arial"/>
        </w:rPr>
        <w:t xml:space="preserve">Hyett, N., Kenny, A., &amp; Dickson-Swift, V. (2014). Methodology or method? A critical review of qualitative case study reports. </w:t>
      </w:r>
      <w:r w:rsidRPr="00A8288D">
        <w:rPr>
          <w:rFonts w:ascii="Arial" w:hAnsi="Arial" w:cs="Arial"/>
          <w:i/>
          <w:iCs/>
        </w:rPr>
        <w:t>International Journal of Qualitative Studies on Health and Well-being, 9</w:t>
      </w:r>
      <w:r w:rsidRPr="00A8288D">
        <w:rPr>
          <w:rFonts w:ascii="Arial" w:hAnsi="Arial" w:cs="Arial"/>
        </w:rPr>
        <w:t xml:space="preserve">(23606). </w:t>
      </w:r>
      <w:hyperlink r:id="rId32" w:history="1">
        <w:r w:rsidRPr="00A8288D">
          <w:rPr>
            <w:rFonts w:ascii="Arial" w:hAnsi="Arial" w:cs="Arial"/>
          </w:rPr>
          <w:t>https://doi.org/10.3402/qhw.v9.23606</w:t>
        </w:r>
      </w:hyperlink>
    </w:p>
    <w:p w14:paraId="5E85EE05" w14:textId="77777777" w:rsidR="00976B0F" w:rsidRPr="00A8288D" w:rsidRDefault="00976B0F" w:rsidP="00976B0F">
      <w:pPr>
        <w:ind w:hanging="720"/>
        <w:rPr>
          <w:rFonts w:ascii="Arial" w:hAnsi="Arial" w:cs="Arial"/>
        </w:rPr>
      </w:pPr>
      <w:r w:rsidRPr="00A8288D">
        <w:rPr>
          <w:rFonts w:ascii="Arial" w:hAnsi="Arial" w:cs="Arial"/>
        </w:rPr>
        <w:lastRenderedPageBreak/>
        <w:t xml:space="preserve">Information Commissioner’s Office. (2025, March 28). </w:t>
      </w:r>
      <w:r w:rsidRPr="00A8288D">
        <w:rPr>
          <w:rFonts w:ascii="Arial" w:hAnsi="Arial" w:cs="Arial"/>
          <w:i/>
          <w:iCs/>
        </w:rPr>
        <w:t>About this guidance: Anonymisation and pseudonymisation.</w:t>
      </w:r>
      <w:r w:rsidRPr="00A8288D">
        <w:rPr>
          <w:rFonts w:ascii="Arial" w:hAnsi="Arial" w:cs="Arial"/>
        </w:rPr>
        <w:t xml:space="preserve"> </w:t>
      </w:r>
      <w:hyperlink r:id="rId33" w:history="1">
        <w:r w:rsidRPr="00A8288D">
          <w:rPr>
            <w:rFonts w:ascii="Arial" w:hAnsi="Arial" w:cs="Arial"/>
          </w:rPr>
          <w:t>https://ico.org.uk/for-organisations/uk-gdpr-guidance-and-resources/data-sharing/anonymisation/about-this-guidance/</w:t>
        </w:r>
      </w:hyperlink>
    </w:p>
    <w:p w14:paraId="53092D8D" w14:textId="77777777" w:rsidR="00976B0F" w:rsidRPr="00A8288D" w:rsidRDefault="00976B0F" w:rsidP="00976B0F">
      <w:pPr>
        <w:ind w:hanging="720"/>
        <w:rPr>
          <w:rFonts w:ascii="Arial" w:hAnsi="Arial" w:cs="Arial"/>
        </w:rPr>
      </w:pPr>
      <w:r w:rsidRPr="00A8288D">
        <w:rPr>
          <w:rFonts w:ascii="Arial" w:hAnsi="Arial" w:cs="Arial"/>
        </w:rPr>
        <w:t xml:space="preserve">Krstić, C., Krstić, L., Tulloch, A., Agius, S., Warren, A., &amp; Doody, G. (2021). The experience of widening participation students in undergraduate medical education in the UK: A qualitative systematic review. </w:t>
      </w:r>
      <w:r w:rsidRPr="00A8288D">
        <w:rPr>
          <w:rFonts w:ascii="Arial" w:hAnsi="Arial" w:cs="Arial"/>
          <w:i/>
          <w:iCs/>
        </w:rPr>
        <w:t>Medical Teacher, 43</w:t>
      </w:r>
      <w:r w:rsidRPr="00A8288D">
        <w:rPr>
          <w:rFonts w:ascii="Arial" w:hAnsi="Arial" w:cs="Arial"/>
        </w:rPr>
        <w:t xml:space="preserve">(9), 1044–1053. </w:t>
      </w:r>
      <w:hyperlink r:id="rId34" w:history="1">
        <w:r w:rsidRPr="00A8288D">
          <w:rPr>
            <w:rFonts w:ascii="Arial" w:hAnsi="Arial" w:cs="Arial"/>
          </w:rPr>
          <w:t>https://doi.org/10.1080/0142159X.2021.1908976</w:t>
        </w:r>
      </w:hyperlink>
    </w:p>
    <w:p w14:paraId="22255E1B" w14:textId="77777777" w:rsidR="00976B0F" w:rsidRPr="00A8288D" w:rsidRDefault="00976B0F" w:rsidP="00976B0F">
      <w:pPr>
        <w:ind w:hanging="720"/>
        <w:rPr>
          <w:rFonts w:ascii="Arial" w:hAnsi="Arial" w:cs="Arial"/>
        </w:rPr>
      </w:pPr>
      <w:r w:rsidRPr="00A8288D">
        <w:rPr>
          <w:rFonts w:ascii="Arial" w:hAnsi="Arial" w:cs="Arial"/>
        </w:rPr>
        <w:t xml:space="preserve">Lewis, M. J., </w:t>
      </w:r>
      <w:proofErr w:type="spellStart"/>
      <w:r w:rsidRPr="00A8288D">
        <w:rPr>
          <w:rFonts w:ascii="Arial" w:hAnsi="Arial" w:cs="Arial"/>
        </w:rPr>
        <w:t>Belluigi</w:t>
      </w:r>
      <w:proofErr w:type="spellEnd"/>
      <w:r w:rsidRPr="00A8288D">
        <w:rPr>
          <w:rFonts w:ascii="Arial" w:hAnsi="Arial" w:cs="Arial"/>
        </w:rPr>
        <w:t xml:space="preserve">, D. Z., &amp; Thacker, I. (2024). Telling tales out of school: Considerations of ‘insider’ research in higher education. </w:t>
      </w:r>
      <w:r w:rsidRPr="00A8288D">
        <w:rPr>
          <w:rFonts w:ascii="Arial" w:hAnsi="Arial" w:cs="Arial"/>
          <w:i/>
          <w:iCs/>
        </w:rPr>
        <w:t>Teaching in Higher Education, 29</w:t>
      </w:r>
      <w:r w:rsidRPr="00A8288D">
        <w:rPr>
          <w:rFonts w:ascii="Arial" w:hAnsi="Arial" w:cs="Arial"/>
        </w:rPr>
        <w:t xml:space="preserve">(7), 1832–1844. </w:t>
      </w:r>
      <w:hyperlink r:id="rId35" w:history="1">
        <w:r w:rsidRPr="00A8288D">
          <w:rPr>
            <w:rFonts w:ascii="Arial" w:hAnsi="Arial" w:cs="Arial"/>
          </w:rPr>
          <w:t>https://doi.org/10.1080/13562517.2024.2354263</w:t>
        </w:r>
      </w:hyperlink>
    </w:p>
    <w:p w14:paraId="0E97EA28" w14:textId="77777777" w:rsidR="00976B0F" w:rsidRPr="00A8288D" w:rsidRDefault="00976B0F" w:rsidP="00976B0F">
      <w:pPr>
        <w:ind w:hanging="720"/>
        <w:rPr>
          <w:rFonts w:ascii="Arial" w:hAnsi="Arial" w:cs="Arial"/>
        </w:rPr>
      </w:pPr>
      <w:r w:rsidRPr="00A8288D">
        <w:rPr>
          <w:rFonts w:ascii="Arial" w:hAnsi="Arial" w:cs="Arial"/>
        </w:rPr>
        <w:t xml:space="preserve">Mallman, M., &amp; Lee, H. (2016). Stigmatised learners: Mature-age students negotiating university culture. </w:t>
      </w:r>
      <w:r w:rsidRPr="00A8288D">
        <w:rPr>
          <w:rFonts w:ascii="Arial" w:hAnsi="Arial" w:cs="Arial"/>
          <w:i/>
          <w:iCs/>
        </w:rPr>
        <w:t>British Journal of Sociology of Education, 37</w:t>
      </w:r>
      <w:r w:rsidRPr="00A8288D">
        <w:rPr>
          <w:rFonts w:ascii="Arial" w:hAnsi="Arial" w:cs="Arial"/>
        </w:rPr>
        <w:t xml:space="preserve">(5), 684–701. </w:t>
      </w:r>
      <w:hyperlink r:id="rId36" w:history="1">
        <w:r w:rsidRPr="00A8288D">
          <w:rPr>
            <w:rFonts w:ascii="Arial" w:hAnsi="Arial" w:cs="Arial"/>
          </w:rPr>
          <w:t>https://doi.org/10.1080/01425692.2014.973017</w:t>
        </w:r>
      </w:hyperlink>
    </w:p>
    <w:p w14:paraId="74FECAC8" w14:textId="77777777" w:rsidR="00976B0F" w:rsidRPr="00A8288D" w:rsidRDefault="00976B0F" w:rsidP="00976B0F">
      <w:pPr>
        <w:ind w:hanging="720"/>
        <w:rPr>
          <w:rFonts w:ascii="Arial" w:hAnsi="Arial" w:cs="Arial"/>
        </w:rPr>
      </w:pPr>
      <w:r w:rsidRPr="00A8288D">
        <w:rPr>
          <w:rFonts w:ascii="Arial" w:hAnsi="Arial" w:cs="Arial"/>
        </w:rPr>
        <w:t xml:space="preserve">Medr. (2025). </w:t>
      </w:r>
      <w:r w:rsidRPr="00A8288D">
        <w:rPr>
          <w:rFonts w:ascii="Arial" w:hAnsi="Arial" w:cs="Arial"/>
          <w:i/>
          <w:iCs/>
        </w:rPr>
        <w:t>Strategic plan 2025–2030</w:t>
      </w:r>
      <w:r w:rsidRPr="00A8288D">
        <w:rPr>
          <w:rFonts w:ascii="Arial" w:hAnsi="Arial" w:cs="Arial"/>
        </w:rPr>
        <w:t xml:space="preserve">. </w:t>
      </w:r>
      <w:hyperlink r:id="rId37" w:history="1">
        <w:r w:rsidRPr="00A8288D">
          <w:rPr>
            <w:rFonts w:ascii="Arial" w:hAnsi="Arial" w:cs="Arial"/>
          </w:rPr>
          <w:t>https://www.medr.cymru/wp-content/uploads/2025/03/Medr-Strategic-Plan-2025-2030.pdf</w:t>
        </w:r>
      </w:hyperlink>
    </w:p>
    <w:p w14:paraId="6DB65B15" w14:textId="77777777" w:rsidR="00976B0F" w:rsidRPr="00A8288D" w:rsidRDefault="00976B0F" w:rsidP="00976B0F">
      <w:pPr>
        <w:ind w:hanging="720"/>
        <w:rPr>
          <w:rFonts w:ascii="Arial" w:hAnsi="Arial" w:cs="Arial"/>
          <w:color w:val="000000" w:themeColor="text1"/>
        </w:rPr>
      </w:pPr>
      <w:r w:rsidRPr="00A8288D">
        <w:rPr>
          <w:rFonts w:ascii="Arial" w:hAnsi="Arial" w:cs="Arial"/>
          <w:color w:val="000000" w:themeColor="text1"/>
        </w:rPr>
        <w:t xml:space="preserve">Mezirow, J. (1991). </w:t>
      </w:r>
      <w:r w:rsidRPr="00A8288D">
        <w:rPr>
          <w:rFonts w:ascii="Arial" w:hAnsi="Arial" w:cs="Arial"/>
          <w:i/>
          <w:iCs/>
          <w:color w:val="000000" w:themeColor="text1"/>
        </w:rPr>
        <w:t>Transformative dimensions of adult learning</w:t>
      </w:r>
      <w:r w:rsidRPr="00A8288D">
        <w:rPr>
          <w:rFonts w:ascii="Arial" w:hAnsi="Arial" w:cs="Arial"/>
          <w:color w:val="000000" w:themeColor="text1"/>
        </w:rPr>
        <w:t>. Jossey-Bass.</w:t>
      </w:r>
    </w:p>
    <w:p w14:paraId="07D11B5C" w14:textId="77777777" w:rsidR="00976B0F" w:rsidRPr="00A8288D" w:rsidRDefault="00976B0F" w:rsidP="00976B0F">
      <w:pPr>
        <w:ind w:hanging="720"/>
        <w:rPr>
          <w:rFonts w:ascii="Arial" w:hAnsi="Arial" w:cs="Arial"/>
        </w:rPr>
      </w:pPr>
      <w:r w:rsidRPr="00A8288D">
        <w:rPr>
          <w:rFonts w:ascii="Arial" w:hAnsi="Arial" w:cs="Arial"/>
        </w:rPr>
        <w:t xml:space="preserve">Muthanna, A., &amp; </w:t>
      </w:r>
      <w:proofErr w:type="spellStart"/>
      <w:r w:rsidRPr="00A8288D">
        <w:rPr>
          <w:rFonts w:ascii="Arial" w:hAnsi="Arial" w:cs="Arial"/>
        </w:rPr>
        <w:t>Alduais</w:t>
      </w:r>
      <w:proofErr w:type="spellEnd"/>
      <w:r w:rsidRPr="00A8288D">
        <w:rPr>
          <w:rFonts w:ascii="Arial" w:hAnsi="Arial" w:cs="Arial"/>
        </w:rPr>
        <w:t xml:space="preserve">, A. (2023). The interrelationship of reflexivity, sensitivity and integrity in conducting interviews. </w:t>
      </w:r>
      <w:proofErr w:type="spellStart"/>
      <w:r w:rsidRPr="00A8288D">
        <w:rPr>
          <w:rFonts w:ascii="Arial" w:hAnsi="Arial" w:cs="Arial"/>
          <w:i/>
          <w:iCs/>
        </w:rPr>
        <w:t>Behavioral</w:t>
      </w:r>
      <w:proofErr w:type="spellEnd"/>
      <w:r w:rsidRPr="00A8288D">
        <w:rPr>
          <w:rFonts w:ascii="Arial" w:hAnsi="Arial" w:cs="Arial"/>
          <w:i/>
          <w:iCs/>
        </w:rPr>
        <w:t xml:space="preserve"> Sciences, 13</w:t>
      </w:r>
      <w:r w:rsidRPr="00A8288D">
        <w:rPr>
          <w:rFonts w:ascii="Arial" w:hAnsi="Arial" w:cs="Arial"/>
        </w:rPr>
        <w:t xml:space="preserve">(3), Article 218. </w:t>
      </w:r>
      <w:hyperlink r:id="rId38" w:history="1">
        <w:r w:rsidRPr="00A8288D">
          <w:rPr>
            <w:rFonts w:ascii="Arial" w:hAnsi="Arial" w:cs="Arial"/>
          </w:rPr>
          <w:t>https://doi.org/10.3390/bs13030218</w:t>
        </w:r>
      </w:hyperlink>
    </w:p>
    <w:p w14:paraId="7C134D18" w14:textId="77777777" w:rsidR="00976B0F" w:rsidRPr="00A8288D" w:rsidRDefault="00976B0F" w:rsidP="00976B0F">
      <w:pPr>
        <w:ind w:hanging="720"/>
        <w:rPr>
          <w:rFonts w:ascii="Arial" w:hAnsi="Arial" w:cs="Arial"/>
        </w:rPr>
      </w:pPr>
      <w:r w:rsidRPr="00A8288D">
        <w:rPr>
          <w:rFonts w:ascii="Arial" w:hAnsi="Arial" w:cs="Arial"/>
        </w:rPr>
        <w:t xml:space="preserve">National Committee of Inquiry into Higher Education. (1997). </w:t>
      </w:r>
      <w:r w:rsidRPr="00A8288D">
        <w:rPr>
          <w:rFonts w:ascii="Arial" w:hAnsi="Arial" w:cs="Arial"/>
          <w:i/>
          <w:iCs/>
        </w:rPr>
        <w:t xml:space="preserve">Higher education in the learning society: Report of the National Committee. </w:t>
      </w:r>
      <w:r w:rsidRPr="00A8288D">
        <w:rPr>
          <w:rFonts w:ascii="Arial" w:hAnsi="Arial" w:cs="Arial"/>
        </w:rPr>
        <w:t>HMSO. https://www.educationengland.org.uk/documents/dearing1997/dearing1997.html</w:t>
      </w:r>
    </w:p>
    <w:p w14:paraId="0B818629" w14:textId="77777777" w:rsidR="00976B0F" w:rsidRPr="00A8288D" w:rsidRDefault="00976B0F" w:rsidP="00976B0F">
      <w:pPr>
        <w:ind w:hanging="720"/>
        <w:rPr>
          <w:rFonts w:ascii="Arial" w:hAnsi="Arial" w:cs="Arial"/>
        </w:rPr>
      </w:pPr>
      <w:r w:rsidRPr="00A8288D">
        <w:rPr>
          <w:rFonts w:ascii="Arial" w:hAnsi="Arial" w:cs="Arial"/>
        </w:rPr>
        <w:t xml:space="preserve">Negrea, V., &amp; Gartland, C. (2025). An umbrella review of widening participation in higher education: </w:t>
      </w:r>
      <w:r w:rsidRPr="00A8288D">
        <w:rPr>
          <w:rFonts w:ascii="Arial" w:hAnsi="Arial" w:cs="Arial"/>
          <w:i/>
          <w:iCs/>
        </w:rPr>
        <w:t>Strategies, challenges, and research gaps. Review of Education, 13</w:t>
      </w:r>
      <w:r w:rsidRPr="00A8288D">
        <w:rPr>
          <w:rFonts w:ascii="Arial" w:hAnsi="Arial" w:cs="Arial"/>
        </w:rPr>
        <w:t xml:space="preserve">(3), e70120. </w:t>
      </w:r>
      <w:hyperlink r:id="rId39" w:history="1">
        <w:r w:rsidRPr="00A8288D">
          <w:rPr>
            <w:rFonts w:ascii="Arial" w:hAnsi="Arial" w:cs="Arial"/>
          </w:rPr>
          <w:t>https://doi.org/10.1002/rev3.70120</w:t>
        </w:r>
      </w:hyperlink>
    </w:p>
    <w:p w14:paraId="030490DD" w14:textId="77777777" w:rsidR="00976B0F" w:rsidRPr="00A8288D" w:rsidRDefault="00976B0F" w:rsidP="00976B0F">
      <w:pPr>
        <w:ind w:hanging="720"/>
        <w:rPr>
          <w:rFonts w:ascii="Arial" w:hAnsi="Arial" w:cs="Arial"/>
        </w:rPr>
      </w:pPr>
      <w:r w:rsidRPr="00A8288D">
        <w:rPr>
          <w:rFonts w:ascii="Arial" w:hAnsi="Arial" w:cs="Arial"/>
        </w:rPr>
        <w:t xml:space="preserve">Office for Students. (2021). </w:t>
      </w:r>
      <w:r w:rsidRPr="00A8288D">
        <w:rPr>
          <w:rFonts w:ascii="Arial" w:hAnsi="Arial" w:cs="Arial"/>
          <w:i/>
          <w:iCs/>
        </w:rPr>
        <w:t xml:space="preserve">Improving opportunity and choice for mature students. </w:t>
      </w:r>
      <w:hyperlink r:id="rId40" w:history="1">
        <w:r w:rsidRPr="00A8288D">
          <w:rPr>
            <w:rFonts w:ascii="Arial" w:hAnsi="Arial" w:cs="Arial"/>
          </w:rPr>
          <w:t>https://www.officeforstudents.org.uk/publications/improving-opportunity-and-choice-for-mature-students/</w:t>
        </w:r>
      </w:hyperlink>
    </w:p>
    <w:p w14:paraId="61362A14" w14:textId="77777777" w:rsidR="00976B0F" w:rsidRPr="00A8288D" w:rsidRDefault="00976B0F" w:rsidP="00976B0F">
      <w:pPr>
        <w:ind w:hanging="720"/>
        <w:rPr>
          <w:rFonts w:ascii="Arial" w:hAnsi="Arial" w:cs="Arial"/>
        </w:rPr>
      </w:pPr>
      <w:r w:rsidRPr="00A8288D">
        <w:rPr>
          <w:rFonts w:ascii="Arial" w:hAnsi="Arial" w:cs="Arial"/>
        </w:rPr>
        <w:t xml:space="preserve">Office for Students. (2024). </w:t>
      </w:r>
      <w:r w:rsidRPr="00A8288D">
        <w:rPr>
          <w:rFonts w:ascii="Arial" w:hAnsi="Arial" w:cs="Arial"/>
          <w:i/>
          <w:iCs/>
        </w:rPr>
        <w:t>Financial sustainability of higher education providers in England 2024</w:t>
      </w:r>
      <w:r w:rsidRPr="00A8288D">
        <w:rPr>
          <w:rFonts w:ascii="Arial" w:hAnsi="Arial" w:cs="Arial"/>
        </w:rPr>
        <w:t xml:space="preserve">. </w:t>
      </w:r>
      <w:hyperlink r:id="rId41" w:history="1">
        <w:r w:rsidRPr="00A8288D">
          <w:rPr>
            <w:rFonts w:ascii="Arial" w:hAnsi="Arial" w:cs="Arial"/>
          </w:rPr>
          <w:t>https://www.officeforstudents.org.uk/media/ly1buqlj/financial-sustainability-report2024.pdf</w:t>
        </w:r>
      </w:hyperlink>
    </w:p>
    <w:p w14:paraId="75F91928" w14:textId="77777777" w:rsidR="00976B0F" w:rsidRPr="00A8288D" w:rsidRDefault="00976B0F" w:rsidP="00976B0F">
      <w:pPr>
        <w:ind w:hanging="720"/>
        <w:rPr>
          <w:rFonts w:ascii="Arial" w:hAnsi="Arial" w:cs="Arial"/>
        </w:rPr>
      </w:pPr>
      <w:r w:rsidRPr="00A8288D">
        <w:rPr>
          <w:rFonts w:ascii="Arial" w:hAnsi="Arial" w:cs="Arial"/>
        </w:rPr>
        <w:t xml:space="preserve">Office for Students. (2026). </w:t>
      </w:r>
      <w:r w:rsidRPr="00A8288D">
        <w:rPr>
          <w:rFonts w:ascii="Arial" w:hAnsi="Arial" w:cs="Arial"/>
          <w:i/>
          <w:iCs/>
        </w:rPr>
        <w:t>Access and participation data dashboard.</w:t>
      </w:r>
      <w:r w:rsidRPr="00A8288D">
        <w:rPr>
          <w:rFonts w:ascii="Arial" w:hAnsi="Arial" w:cs="Arial"/>
        </w:rPr>
        <w:t xml:space="preserve"> </w:t>
      </w:r>
      <w:hyperlink r:id="rId42" w:history="1">
        <w:r w:rsidRPr="00A8288D">
          <w:rPr>
            <w:rFonts w:ascii="Arial" w:hAnsi="Arial" w:cs="Arial"/>
          </w:rPr>
          <w:t>https://www.officeforstudents.org.uk/data-and-analysis/access-and-participation-data-dashboard/</w:t>
        </w:r>
      </w:hyperlink>
    </w:p>
    <w:p w14:paraId="704706D8" w14:textId="77777777" w:rsidR="00976B0F" w:rsidRPr="00A8288D" w:rsidRDefault="00976B0F" w:rsidP="00976B0F">
      <w:pPr>
        <w:ind w:hanging="720"/>
        <w:rPr>
          <w:rFonts w:ascii="Arial" w:hAnsi="Arial" w:cs="Arial"/>
        </w:rPr>
      </w:pPr>
      <w:r w:rsidRPr="00A8288D">
        <w:rPr>
          <w:rFonts w:ascii="Arial" w:hAnsi="Arial" w:cs="Arial"/>
        </w:rPr>
        <w:t xml:space="preserve">O’Toole, M., Dunnett, S., Brennan, M., Calvard, T., &amp; </w:t>
      </w:r>
      <w:proofErr w:type="spellStart"/>
      <w:r w:rsidRPr="00A8288D">
        <w:rPr>
          <w:rFonts w:ascii="Arial" w:hAnsi="Arial" w:cs="Arial"/>
        </w:rPr>
        <w:t>Fakeyeva</w:t>
      </w:r>
      <w:proofErr w:type="spellEnd"/>
      <w:r w:rsidRPr="00A8288D">
        <w:rPr>
          <w:rFonts w:ascii="Arial" w:hAnsi="Arial" w:cs="Arial"/>
        </w:rPr>
        <w:t xml:space="preserve">, L. (2024). Widening participation in Scotland 1997–2021: A semi-systematic literature review and </w:t>
      </w:r>
      <w:r w:rsidRPr="00A8288D">
        <w:rPr>
          <w:rFonts w:ascii="Arial" w:hAnsi="Arial" w:cs="Arial"/>
        </w:rPr>
        <w:lastRenderedPageBreak/>
        <w:t xml:space="preserve">avenues for further research. </w:t>
      </w:r>
      <w:r w:rsidRPr="00A8288D">
        <w:rPr>
          <w:rFonts w:ascii="Arial" w:hAnsi="Arial" w:cs="Arial"/>
          <w:i/>
          <w:iCs/>
        </w:rPr>
        <w:t>British Educational Research Journal, 50(</w:t>
      </w:r>
      <w:r w:rsidRPr="00A8288D">
        <w:rPr>
          <w:rFonts w:ascii="Arial" w:hAnsi="Arial" w:cs="Arial"/>
        </w:rPr>
        <w:t xml:space="preserve">4), 1655–1675. </w:t>
      </w:r>
      <w:hyperlink r:id="rId43" w:history="1">
        <w:r w:rsidRPr="00A8288D">
          <w:rPr>
            <w:rFonts w:ascii="Arial" w:hAnsi="Arial" w:cs="Arial"/>
          </w:rPr>
          <w:t>https://doi.org/10.1002/berj.3991</w:t>
        </w:r>
      </w:hyperlink>
    </w:p>
    <w:p w14:paraId="6FDE7B49" w14:textId="77777777" w:rsidR="00976B0F" w:rsidRPr="00A8288D" w:rsidRDefault="00976B0F" w:rsidP="00976B0F">
      <w:pPr>
        <w:ind w:hanging="720"/>
        <w:rPr>
          <w:rFonts w:ascii="Arial" w:hAnsi="Arial" w:cs="Arial"/>
        </w:rPr>
      </w:pPr>
      <w:r w:rsidRPr="00A8288D">
        <w:rPr>
          <w:rFonts w:ascii="Arial" w:hAnsi="Arial" w:cs="Arial"/>
        </w:rPr>
        <w:t xml:space="preserve">Peat, G., Rodriguez, A., &amp; Smith, J. (2019). Interpretative phenomenological analysis applied to healthcare research. </w:t>
      </w:r>
      <w:r w:rsidRPr="00A8288D">
        <w:rPr>
          <w:rFonts w:ascii="Arial" w:hAnsi="Arial" w:cs="Arial"/>
          <w:i/>
          <w:iCs/>
        </w:rPr>
        <w:t>Evidence-Based Nursing, 22</w:t>
      </w:r>
      <w:r w:rsidRPr="00A8288D">
        <w:rPr>
          <w:rFonts w:ascii="Arial" w:hAnsi="Arial" w:cs="Arial"/>
        </w:rPr>
        <w:t xml:space="preserve">(1), 7–9. </w:t>
      </w:r>
      <w:hyperlink r:id="rId44" w:history="1">
        <w:r w:rsidRPr="00A8288D">
          <w:rPr>
            <w:rFonts w:ascii="Arial" w:hAnsi="Arial" w:cs="Arial"/>
          </w:rPr>
          <w:t>https://doi.org/10.1136/ebnurs-2018-103017</w:t>
        </w:r>
      </w:hyperlink>
    </w:p>
    <w:p w14:paraId="452C923C" w14:textId="77777777" w:rsidR="00976B0F" w:rsidRPr="00A8288D" w:rsidRDefault="00976B0F" w:rsidP="00976B0F">
      <w:pPr>
        <w:ind w:hanging="720"/>
        <w:rPr>
          <w:rFonts w:ascii="Arial" w:hAnsi="Arial" w:cs="Arial"/>
        </w:rPr>
      </w:pPr>
      <w:r w:rsidRPr="00A8288D">
        <w:rPr>
          <w:rFonts w:ascii="Arial" w:hAnsi="Arial" w:cs="Arial"/>
        </w:rPr>
        <w:t xml:space="preserve">Pearce, N. (2017). Older mature undergraduate students: Challenges, assets and transitions. </w:t>
      </w:r>
      <w:r w:rsidRPr="00A8288D">
        <w:rPr>
          <w:rFonts w:ascii="Arial" w:hAnsi="Arial" w:cs="Arial"/>
          <w:i/>
          <w:iCs/>
        </w:rPr>
        <w:t>Widening Participation and Lifelong Learning, 19</w:t>
      </w:r>
      <w:r w:rsidRPr="00A8288D">
        <w:rPr>
          <w:rFonts w:ascii="Arial" w:hAnsi="Arial" w:cs="Arial"/>
        </w:rPr>
        <w:t xml:space="preserve">(1), 59–76. </w:t>
      </w:r>
      <w:hyperlink r:id="rId45" w:history="1">
        <w:r w:rsidRPr="00A8288D">
          <w:rPr>
            <w:rFonts w:ascii="Arial" w:hAnsi="Arial" w:cs="Arial"/>
          </w:rPr>
          <w:t>https://doi.org/10.5456/WPLL.19.1.59</w:t>
        </w:r>
      </w:hyperlink>
    </w:p>
    <w:p w14:paraId="59F2E53B" w14:textId="77777777" w:rsidR="00976B0F" w:rsidRPr="00A8288D" w:rsidRDefault="00976B0F" w:rsidP="00976B0F">
      <w:pPr>
        <w:ind w:hanging="720"/>
        <w:rPr>
          <w:rFonts w:ascii="Arial" w:hAnsi="Arial" w:cs="Arial"/>
        </w:rPr>
      </w:pPr>
      <w:r w:rsidRPr="00A8288D">
        <w:rPr>
          <w:rFonts w:ascii="Arial" w:hAnsi="Arial" w:cs="Arial"/>
        </w:rPr>
        <w:t xml:space="preserve">Pietkiewicz, I., &amp; Smith, J. A. (2014). A practical guide to using interpretative phenomenological analysis in qualitative research psychology. </w:t>
      </w:r>
      <w:r w:rsidRPr="00A8288D">
        <w:rPr>
          <w:rFonts w:ascii="Arial" w:hAnsi="Arial" w:cs="Arial"/>
          <w:i/>
          <w:iCs/>
        </w:rPr>
        <w:t>Psychological Journal, 20</w:t>
      </w:r>
      <w:r w:rsidRPr="00A8288D">
        <w:rPr>
          <w:rFonts w:ascii="Arial" w:hAnsi="Arial" w:cs="Arial"/>
        </w:rPr>
        <w:t xml:space="preserve">(1), 7–14. </w:t>
      </w:r>
      <w:hyperlink r:id="rId46" w:history="1">
        <w:r w:rsidRPr="00A8288D">
          <w:rPr>
            <w:rFonts w:ascii="Arial" w:hAnsi="Arial" w:cs="Arial"/>
          </w:rPr>
          <w:t>https://doi.org/10.14691/CPPJ.20.1.7</w:t>
        </w:r>
      </w:hyperlink>
    </w:p>
    <w:p w14:paraId="5650F5AE" w14:textId="77777777" w:rsidR="00976B0F" w:rsidRPr="00A8288D" w:rsidRDefault="00976B0F" w:rsidP="00976B0F">
      <w:pPr>
        <w:ind w:hanging="720"/>
        <w:rPr>
          <w:rFonts w:ascii="Arial" w:hAnsi="Arial" w:cs="Arial"/>
        </w:rPr>
      </w:pPr>
      <w:r w:rsidRPr="00A8288D">
        <w:rPr>
          <w:rFonts w:ascii="Arial" w:hAnsi="Arial" w:cs="Arial"/>
        </w:rPr>
        <w:t xml:space="preserve">Rainford, J. (2021). Working with/in institutions: How policy enactment in widening participation is shaped through practitioners’ experience. </w:t>
      </w:r>
      <w:r w:rsidRPr="00A8288D">
        <w:rPr>
          <w:rFonts w:ascii="Arial" w:hAnsi="Arial" w:cs="Arial"/>
          <w:i/>
          <w:iCs/>
        </w:rPr>
        <w:t>British Journal of Sociology of Education, 42(</w:t>
      </w:r>
      <w:r w:rsidRPr="00A8288D">
        <w:rPr>
          <w:rFonts w:ascii="Arial" w:hAnsi="Arial" w:cs="Arial"/>
        </w:rPr>
        <w:t xml:space="preserve">2), 287–303. </w:t>
      </w:r>
      <w:hyperlink r:id="rId47" w:history="1">
        <w:r w:rsidRPr="00A8288D">
          <w:rPr>
            <w:rFonts w:ascii="Arial" w:hAnsi="Arial" w:cs="Arial"/>
          </w:rPr>
          <w:t>https://doi.org/10.1080/01425692.2020.1865130</w:t>
        </w:r>
      </w:hyperlink>
    </w:p>
    <w:p w14:paraId="7AEDE79A" w14:textId="77777777" w:rsidR="00976B0F" w:rsidRPr="00A8288D" w:rsidRDefault="00976B0F" w:rsidP="00976B0F">
      <w:pPr>
        <w:ind w:hanging="720"/>
        <w:rPr>
          <w:rFonts w:ascii="Arial" w:hAnsi="Arial" w:cs="Arial"/>
        </w:rPr>
      </w:pPr>
      <w:r w:rsidRPr="00A8288D">
        <w:rPr>
          <w:rFonts w:ascii="Arial" w:hAnsi="Arial" w:cs="Arial"/>
        </w:rPr>
        <w:t xml:space="preserve">Smith, J. A. (2009). An introduction to interpretative phenomenological analysis. </w:t>
      </w:r>
      <w:r w:rsidRPr="00A8288D">
        <w:rPr>
          <w:rFonts w:ascii="Arial" w:hAnsi="Arial" w:cs="Arial"/>
          <w:i/>
          <w:iCs/>
        </w:rPr>
        <w:t>Occupational Therapy in Mental Health, 25</w:t>
      </w:r>
      <w:r w:rsidRPr="00A8288D">
        <w:rPr>
          <w:rFonts w:ascii="Arial" w:hAnsi="Arial" w:cs="Arial"/>
        </w:rPr>
        <w:t xml:space="preserve">(1), 3–7. </w:t>
      </w:r>
      <w:hyperlink r:id="rId48" w:history="1">
        <w:r w:rsidRPr="00A8288D">
          <w:rPr>
            <w:rFonts w:ascii="Arial" w:hAnsi="Arial" w:cs="Arial"/>
          </w:rPr>
          <w:t>https://doi.org/10.1080/01642120802530056</w:t>
        </w:r>
      </w:hyperlink>
    </w:p>
    <w:p w14:paraId="13DB0585" w14:textId="77777777" w:rsidR="00976B0F" w:rsidRPr="00A8288D" w:rsidRDefault="00976B0F" w:rsidP="00976B0F">
      <w:pPr>
        <w:ind w:hanging="720"/>
        <w:rPr>
          <w:rFonts w:ascii="Arial" w:hAnsi="Arial" w:cs="Arial"/>
        </w:rPr>
      </w:pPr>
      <w:r w:rsidRPr="00A8288D">
        <w:rPr>
          <w:rFonts w:ascii="Arial" w:hAnsi="Arial" w:cs="Arial"/>
        </w:rPr>
        <w:t xml:space="preserve">Stentiford, L., &amp; </w:t>
      </w:r>
      <w:proofErr w:type="spellStart"/>
      <w:r w:rsidRPr="00A8288D">
        <w:rPr>
          <w:rFonts w:ascii="Arial" w:hAnsi="Arial" w:cs="Arial"/>
        </w:rPr>
        <w:t>Koutsouris</w:t>
      </w:r>
      <w:proofErr w:type="spellEnd"/>
      <w:r w:rsidRPr="00A8288D">
        <w:rPr>
          <w:rFonts w:ascii="Arial" w:hAnsi="Arial" w:cs="Arial"/>
        </w:rPr>
        <w:t xml:space="preserve">, G. (2021). What are inclusive pedagogies in higher education? A systematic scoping review. </w:t>
      </w:r>
      <w:r w:rsidRPr="00A8288D">
        <w:rPr>
          <w:rFonts w:ascii="Arial" w:hAnsi="Arial" w:cs="Arial"/>
          <w:i/>
          <w:iCs/>
        </w:rPr>
        <w:t>Studies in Higher Education, 46</w:t>
      </w:r>
      <w:r w:rsidRPr="00A8288D">
        <w:rPr>
          <w:rFonts w:ascii="Arial" w:hAnsi="Arial" w:cs="Arial"/>
        </w:rPr>
        <w:t xml:space="preserve">(11), 2245–2261. </w:t>
      </w:r>
      <w:hyperlink r:id="rId49" w:history="1">
        <w:r w:rsidRPr="00A8288D">
          <w:rPr>
            <w:rFonts w:ascii="Arial" w:hAnsi="Arial" w:cs="Arial"/>
          </w:rPr>
          <w:t>https://doi.org/10.1080/03075079.2020.1716322</w:t>
        </w:r>
      </w:hyperlink>
    </w:p>
    <w:p w14:paraId="546F7B7C" w14:textId="77777777" w:rsidR="00976B0F" w:rsidRPr="00A8288D" w:rsidRDefault="00976B0F" w:rsidP="00976B0F">
      <w:pPr>
        <w:ind w:hanging="720"/>
        <w:rPr>
          <w:rFonts w:ascii="Arial" w:hAnsi="Arial" w:cs="Arial"/>
        </w:rPr>
      </w:pPr>
      <w:r w:rsidRPr="00A8288D">
        <w:rPr>
          <w:rFonts w:ascii="Arial" w:hAnsi="Arial" w:cs="Arial"/>
          <w:lang w:val="pl-PL"/>
        </w:rPr>
        <w:t xml:space="preserve">Tham, A., Raciti, M., &amp; Dale, J. (2023). </w:t>
      </w:r>
      <w:r w:rsidRPr="00A8288D">
        <w:rPr>
          <w:rFonts w:ascii="Arial" w:hAnsi="Arial" w:cs="Arial"/>
        </w:rPr>
        <w:t xml:space="preserve">Widening participation between 2001 and 2021: A systematic literature review and research agenda. </w:t>
      </w:r>
      <w:r w:rsidRPr="00A8288D">
        <w:rPr>
          <w:rFonts w:ascii="Arial" w:hAnsi="Arial" w:cs="Arial"/>
          <w:i/>
          <w:iCs/>
        </w:rPr>
        <w:t>Journal of University Teaching and Learning Practice, 20</w:t>
      </w:r>
      <w:r w:rsidRPr="00A8288D">
        <w:rPr>
          <w:rFonts w:ascii="Arial" w:hAnsi="Arial" w:cs="Arial"/>
        </w:rPr>
        <w:t xml:space="preserve">(6), Article 16. </w:t>
      </w:r>
      <w:hyperlink r:id="rId50" w:history="1">
        <w:r w:rsidRPr="00A8288D">
          <w:rPr>
            <w:rFonts w:ascii="Arial" w:hAnsi="Arial" w:cs="Arial"/>
          </w:rPr>
          <w:t>https://doi.org/10.53761/1.20.6.16</w:t>
        </w:r>
      </w:hyperlink>
    </w:p>
    <w:p w14:paraId="53E1186A" w14:textId="77777777" w:rsidR="00976B0F" w:rsidRPr="00A8288D" w:rsidRDefault="00976B0F" w:rsidP="00976B0F">
      <w:pPr>
        <w:ind w:hanging="720"/>
        <w:rPr>
          <w:rFonts w:ascii="Arial" w:hAnsi="Arial" w:cs="Arial"/>
        </w:rPr>
      </w:pPr>
      <w:r w:rsidRPr="00A8288D">
        <w:rPr>
          <w:rFonts w:ascii="Arial" w:hAnsi="Arial" w:cs="Arial"/>
        </w:rPr>
        <w:t xml:space="preserve">Tracy, S. J. (2010). Qualitative quality: Eight "big-tent" criteria for excellent qualitative research. </w:t>
      </w:r>
      <w:r w:rsidRPr="00A8288D">
        <w:rPr>
          <w:rFonts w:ascii="Arial" w:hAnsi="Arial" w:cs="Arial"/>
          <w:i/>
          <w:iCs/>
        </w:rPr>
        <w:t>Qualitative Inquiry, 16</w:t>
      </w:r>
      <w:r w:rsidRPr="00A8288D">
        <w:rPr>
          <w:rFonts w:ascii="Arial" w:hAnsi="Arial" w:cs="Arial"/>
        </w:rPr>
        <w:t xml:space="preserve">(10), 837–851. </w:t>
      </w:r>
      <w:hyperlink r:id="rId51" w:history="1">
        <w:r w:rsidRPr="00A8288D">
          <w:rPr>
            <w:rFonts w:ascii="Arial" w:hAnsi="Arial" w:cs="Arial"/>
          </w:rPr>
          <w:t>https://doi.org/10.1177/1077800410383121</w:t>
        </w:r>
      </w:hyperlink>
    </w:p>
    <w:p w14:paraId="7D728893" w14:textId="77777777" w:rsidR="00976B0F" w:rsidRPr="00A8288D" w:rsidRDefault="00976B0F" w:rsidP="00976B0F">
      <w:pPr>
        <w:ind w:hanging="720"/>
        <w:rPr>
          <w:rFonts w:ascii="Arial" w:hAnsi="Arial" w:cs="Arial"/>
        </w:rPr>
      </w:pPr>
      <w:r w:rsidRPr="00A8288D">
        <w:rPr>
          <w:rFonts w:ascii="Arial" w:hAnsi="Arial" w:cs="Arial"/>
        </w:rPr>
        <w:t xml:space="preserve">UCAS. (2025, February 13). </w:t>
      </w:r>
      <w:r w:rsidRPr="00A8288D">
        <w:rPr>
          <w:rFonts w:ascii="Arial" w:hAnsi="Arial" w:cs="Arial"/>
          <w:i/>
          <w:iCs/>
        </w:rPr>
        <w:t>UCAS releases undergraduate January equal consideration applicant data for 2025.</w:t>
      </w:r>
      <w:r w:rsidRPr="00A8288D">
        <w:rPr>
          <w:rFonts w:ascii="Arial" w:hAnsi="Arial" w:cs="Arial"/>
        </w:rPr>
        <w:t xml:space="preserve"> </w:t>
      </w:r>
      <w:hyperlink r:id="rId52" w:history="1">
        <w:r w:rsidRPr="00A8288D">
          <w:rPr>
            <w:rFonts w:ascii="Arial" w:hAnsi="Arial" w:cs="Arial"/>
          </w:rPr>
          <w:t>https://www.ucas.com/corporate/news-and-key-documents/news/ucas-releases-undergraduate-january-equal-consideration-applicant-data-2025</w:t>
        </w:r>
      </w:hyperlink>
    </w:p>
    <w:p w14:paraId="2DEE6916" w14:textId="77777777" w:rsidR="00976B0F" w:rsidRPr="00A8288D" w:rsidRDefault="00976B0F" w:rsidP="00976B0F">
      <w:pPr>
        <w:ind w:hanging="720"/>
        <w:rPr>
          <w:rFonts w:ascii="Arial" w:hAnsi="Arial" w:cs="Arial"/>
        </w:rPr>
      </w:pPr>
      <w:r w:rsidRPr="00A8288D">
        <w:rPr>
          <w:rFonts w:ascii="Arial" w:hAnsi="Arial" w:cs="Arial"/>
        </w:rPr>
        <w:t>UCAS. (2026, January 28)</w:t>
      </w:r>
      <w:r w:rsidRPr="00A8288D">
        <w:rPr>
          <w:rFonts w:ascii="Arial" w:hAnsi="Arial" w:cs="Arial"/>
          <w:i/>
          <w:iCs/>
        </w:rPr>
        <w:t>. Growing 18-year-old population pushes UK university applicant numbers higher.</w:t>
      </w:r>
      <w:r w:rsidRPr="00A8288D">
        <w:rPr>
          <w:rFonts w:ascii="Arial" w:hAnsi="Arial" w:cs="Arial"/>
        </w:rPr>
        <w:t xml:space="preserve"> </w:t>
      </w:r>
      <w:hyperlink r:id="rId53" w:history="1">
        <w:r w:rsidRPr="00A8288D">
          <w:rPr>
            <w:rFonts w:ascii="Arial" w:hAnsi="Arial" w:cs="Arial"/>
          </w:rPr>
          <w:t>https://www.ucas.com/corporate/news-and-key-documents/news/growing-18-year-old-population-pushes-uk-university-applicant-numbers-higher</w:t>
        </w:r>
      </w:hyperlink>
    </w:p>
    <w:p w14:paraId="2E424A3C" w14:textId="77777777" w:rsidR="00976B0F" w:rsidRPr="00A8288D" w:rsidRDefault="00976B0F" w:rsidP="00976B0F">
      <w:pPr>
        <w:ind w:hanging="720"/>
        <w:rPr>
          <w:rFonts w:ascii="Arial" w:hAnsi="Arial" w:cs="Arial"/>
        </w:rPr>
      </w:pPr>
      <w:r w:rsidRPr="00A8288D">
        <w:rPr>
          <w:rFonts w:ascii="Arial" w:hAnsi="Arial" w:cs="Arial"/>
        </w:rPr>
        <w:t xml:space="preserve">UK Data Service. (2021, May 25). </w:t>
      </w:r>
      <w:r w:rsidRPr="00A8288D">
        <w:rPr>
          <w:rFonts w:ascii="Arial" w:hAnsi="Arial" w:cs="Arial"/>
          <w:i/>
          <w:iCs/>
        </w:rPr>
        <w:t xml:space="preserve">The Data Protection Act and GDPR. </w:t>
      </w:r>
      <w:hyperlink r:id="rId54" w:history="1">
        <w:r w:rsidRPr="00A8288D">
          <w:rPr>
            <w:rFonts w:ascii="Arial" w:hAnsi="Arial" w:cs="Arial"/>
          </w:rPr>
          <w:t>https://ukdataservice.ac.uk/learning-hub/research-data-management/data-protection/data-protection-legislation/data-protection-act-and-gdpr/</w:t>
        </w:r>
      </w:hyperlink>
    </w:p>
    <w:p w14:paraId="4026A016" w14:textId="77777777" w:rsidR="00976B0F" w:rsidRPr="00A8288D" w:rsidRDefault="00976B0F" w:rsidP="00976B0F">
      <w:pPr>
        <w:ind w:hanging="720"/>
        <w:rPr>
          <w:rFonts w:ascii="Arial" w:hAnsi="Arial" w:cs="Arial"/>
        </w:rPr>
      </w:pPr>
      <w:r w:rsidRPr="00A8288D">
        <w:rPr>
          <w:rFonts w:ascii="Arial" w:hAnsi="Arial" w:cs="Arial"/>
        </w:rPr>
        <w:lastRenderedPageBreak/>
        <w:t xml:space="preserve">UK Research and Innovation. (2020). GDPR: </w:t>
      </w:r>
      <w:r w:rsidRPr="00A8288D">
        <w:rPr>
          <w:rFonts w:ascii="Arial" w:hAnsi="Arial" w:cs="Arial"/>
          <w:i/>
          <w:iCs/>
        </w:rPr>
        <w:t>Lawful basis, research consent and confidentiality</w:t>
      </w:r>
      <w:r w:rsidRPr="00A8288D">
        <w:rPr>
          <w:rFonts w:ascii="Arial" w:hAnsi="Arial" w:cs="Arial"/>
        </w:rPr>
        <w:t xml:space="preserve">. </w:t>
      </w:r>
      <w:hyperlink r:id="rId55" w:history="1">
        <w:r w:rsidRPr="00A8288D">
          <w:rPr>
            <w:rFonts w:ascii="Arial" w:hAnsi="Arial" w:cs="Arial"/>
          </w:rPr>
          <w:t>https://www.ukri.org/wp-content/uploads/2021/08/MRC-0208212-GDPR-lawful-basis-research-consent-and-confidentiality.pdf</w:t>
        </w:r>
      </w:hyperlink>
    </w:p>
    <w:p w14:paraId="24D83FFD" w14:textId="77777777" w:rsidR="00976B0F" w:rsidRPr="00A8288D" w:rsidRDefault="00976B0F" w:rsidP="00976B0F">
      <w:pPr>
        <w:ind w:hanging="720"/>
        <w:rPr>
          <w:rFonts w:ascii="Arial" w:hAnsi="Arial" w:cs="Arial"/>
        </w:rPr>
      </w:pPr>
      <w:r w:rsidRPr="00A8288D">
        <w:rPr>
          <w:rFonts w:ascii="Arial" w:hAnsi="Arial" w:cs="Arial"/>
        </w:rPr>
        <w:t xml:space="preserve">Universities UK. (2024). </w:t>
      </w:r>
      <w:r w:rsidRPr="00A8288D">
        <w:rPr>
          <w:rFonts w:ascii="Arial" w:hAnsi="Arial" w:cs="Arial"/>
          <w:i/>
          <w:iCs/>
        </w:rPr>
        <w:t xml:space="preserve">UK higher education financial sustainability report. </w:t>
      </w:r>
      <w:hyperlink r:id="rId56" w:history="1">
        <w:r w:rsidRPr="00A8288D">
          <w:rPr>
            <w:rFonts w:ascii="Arial" w:hAnsi="Arial" w:cs="Arial"/>
          </w:rPr>
          <w:t>https://www.universitiesuk.ac.uk/sites/default/files/field/downloads/2024-01/pwc-uk-higher-education-financial-sustainability-report-january-2024.pdf</w:t>
        </w:r>
      </w:hyperlink>
    </w:p>
    <w:p w14:paraId="171B9824" w14:textId="77777777" w:rsidR="00976B0F" w:rsidRPr="00A8288D" w:rsidRDefault="00976B0F" w:rsidP="00976B0F">
      <w:pPr>
        <w:ind w:hanging="720"/>
        <w:rPr>
          <w:rFonts w:ascii="Arial" w:hAnsi="Arial" w:cs="Arial"/>
        </w:rPr>
      </w:pPr>
      <w:r w:rsidRPr="00A8288D">
        <w:rPr>
          <w:rFonts w:ascii="Arial" w:hAnsi="Arial" w:cs="Arial"/>
        </w:rPr>
        <w:t xml:space="preserve">Welsh Government. (2024). </w:t>
      </w:r>
      <w:r w:rsidRPr="00A8288D">
        <w:rPr>
          <w:rFonts w:ascii="Arial" w:hAnsi="Arial" w:cs="Arial"/>
          <w:i/>
          <w:iCs/>
        </w:rPr>
        <w:t>Statement of strategic priorities for tertiary education and research and innovation.</w:t>
      </w:r>
      <w:r w:rsidRPr="00A8288D">
        <w:rPr>
          <w:rFonts w:ascii="Arial" w:hAnsi="Arial" w:cs="Arial"/>
        </w:rPr>
        <w:t xml:space="preserve"> </w:t>
      </w:r>
      <w:hyperlink r:id="rId57" w:history="1">
        <w:r w:rsidRPr="00A8288D">
          <w:rPr>
            <w:rFonts w:ascii="Arial" w:hAnsi="Arial" w:cs="Arial"/>
          </w:rPr>
          <w:t>https://www.gov.wales/statement-strategic-priorities-tertiary-education-and-research-and-innovation-html</w:t>
        </w:r>
      </w:hyperlink>
    </w:p>
    <w:p w14:paraId="18A85EA5" w14:textId="77777777" w:rsidR="00976B0F" w:rsidRPr="00A8288D" w:rsidRDefault="00976B0F" w:rsidP="00976B0F">
      <w:pPr>
        <w:ind w:hanging="720"/>
        <w:rPr>
          <w:rFonts w:ascii="Arial" w:hAnsi="Arial" w:cs="Arial"/>
        </w:rPr>
      </w:pPr>
      <w:r w:rsidRPr="00A8288D">
        <w:rPr>
          <w:rFonts w:ascii="Arial" w:hAnsi="Arial" w:cs="Arial"/>
        </w:rPr>
        <w:t xml:space="preserve">Yip, S. Y. (2024). Positionality and reflexivity: Negotiating insider-outsider positions within and across cultures. </w:t>
      </w:r>
      <w:r w:rsidRPr="00A8288D">
        <w:rPr>
          <w:rFonts w:ascii="Arial" w:hAnsi="Arial" w:cs="Arial"/>
          <w:i/>
          <w:iCs/>
        </w:rPr>
        <w:t>International Journal of Research &amp; Method in Education, 47</w:t>
      </w:r>
      <w:r w:rsidRPr="00A8288D">
        <w:rPr>
          <w:rFonts w:ascii="Arial" w:hAnsi="Arial" w:cs="Arial"/>
        </w:rPr>
        <w:t xml:space="preserve">(3), 222–232. </w:t>
      </w:r>
      <w:hyperlink r:id="rId58" w:history="1">
        <w:r w:rsidRPr="00A8288D">
          <w:rPr>
            <w:rFonts w:ascii="Arial" w:hAnsi="Arial" w:cs="Arial"/>
          </w:rPr>
          <w:t>https://doi.org/10.1080/1743727X.2023.2266375</w:t>
        </w:r>
      </w:hyperlink>
    </w:p>
    <w:p w14:paraId="0E4390F3" w14:textId="77777777" w:rsidR="00976B0F" w:rsidRPr="00A8288D" w:rsidRDefault="00976B0F" w:rsidP="00976B0F">
      <w:pPr>
        <w:ind w:hanging="720"/>
        <w:rPr>
          <w:rFonts w:ascii="Arial" w:hAnsi="Arial" w:cs="Arial"/>
        </w:rPr>
      </w:pPr>
      <w:r w:rsidRPr="00A8288D">
        <w:rPr>
          <w:rFonts w:ascii="Arial" w:hAnsi="Arial" w:cs="Arial"/>
        </w:rPr>
        <w:t xml:space="preserve">Younger, K., Gascoine, L., Menzies, V., &amp; Torgerson, C. (2018). A systematic review of evidence on the effectiveness of interventions and strategies for widening participation in higher education. </w:t>
      </w:r>
      <w:r w:rsidRPr="00A8288D">
        <w:rPr>
          <w:rFonts w:ascii="Arial" w:hAnsi="Arial" w:cs="Arial"/>
          <w:i/>
          <w:iCs/>
        </w:rPr>
        <w:t>Journal of Further and Higher Education, 43</w:t>
      </w:r>
      <w:r w:rsidRPr="00A8288D">
        <w:rPr>
          <w:rFonts w:ascii="Arial" w:hAnsi="Arial" w:cs="Arial"/>
        </w:rPr>
        <w:t xml:space="preserve">(6), 742–773. </w:t>
      </w:r>
      <w:hyperlink r:id="rId59" w:history="1">
        <w:r w:rsidRPr="00A8288D">
          <w:rPr>
            <w:rFonts w:ascii="Arial" w:hAnsi="Arial" w:cs="Arial"/>
          </w:rPr>
          <w:t>https://doi.org/10.1080/0309877X.2017.1404558</w:t>
        </w:r>
      </w:hyperlink>
    </w:p>
    <w:p w14:paraId="511C65CF" w14:textId="77777777" w:rsidR="00976B0F" w:rsidRDefault="00976B0F" w:rsidP="00976B0F">
      <w:pPr>
        <w:rPr>
          <w:b/>
          <w:bCs/>
          <w:color w:val="7030A0"/>
        </w:rPr>
      </w:pPr>
    </w:p>
    <w:p w14:paraId="497AA47E" w14:textId="77777777" w:rsidR="00976B0F" w:rsidRDefault="00976B0F" w:rsidP="00976B0F">
      <w:pPr>
        <w:rPr>
          <w:b/>
          <w:bCs/>
          <w:color w:val="7030A0"/>
        </w:rPr>
      </w:pPr>
    </w:p>
    <w:p w14:paraId="01055E01" w14:textId="77777777" w:rsidR="00976B0F" w:rsidRDefault="00976B0F" w:rsidP="00976B0F">
      <w:pPr>
        <w:rPr>
          <w:b/>
          <w:bCs/>
          <w:color w:val="7030A0"/>
        </w:rPr>
      </w:pPr>
    </w:p>
    <w:p w14:paraId="45F3F2E0" w14:textId="77777777" w:rsidR="00976B0F" w:rsidRDefault="00976B0F" w:rsidP="00976B0F">
      <w:pPr>
        <w:rPr>
          <w:b/>
          <w:bCs/>
          <w:color w:val="7030A0"/>
        </w:rPr>
      </w:pPr>
    </w:p>
    <w:p w14:paraId="3AB96327" w14:textId="77777777" w:rsidR="00976B0F" w:rsidRDefault="00976B0F" w:rsidP="00976B0F">
      <w:pPr>
        <w:rPr>
          <w:b/>
          <w:bCs/>
          <w:color w:val="7030A0"/>
        </w:rPr>
      </w:pPr>
    </w:p>
    <w:p w14:paraId="751DA40F" w14:textId="77777777" w:rsidR="00976B0F" w:rsidRDefault="00976B0F" w:rsidP="00976B0F">
      <w:pPr>
        <w:rPr>
          <w:b/>
          <w:bCs/>
          <w:color w:val="7030A0"/>
        </w:rPr>
      </w:pPr>
    </w:p>
    <w:p w14:paraId="0D2BCBF0" w14:textId="77777777" w:rsidR="00976B0F" w:rsidRDefault="00976B0F" w:rsidP="00976B0F">
      <w:pPr>
        <w:rPr>
          <w:b/>
          <w:bCs/>
          <w:color w:val="7030A0"/>
        </w:rPr>
      </w:pPr>
    </w:p>
    <w:p w14:paraId="643B6CA9" w14:textId="77777777" w:rsidR="00976B0F" w:rsidRDefault="00976B0F" w:rsidP="00976B0F">
      <w:pPr>
        <w:rPr>
          <w:b/>
          <w:bCs/>
          <w:color w:val="7030A0"/>
        </w:rPr>
      </w:pPr>
    </w:p>
    <w:p w14:paraId="56C46B41" w14:textId="77777777" w:rsidR="00976B0F" w:rsidRDefault="00976B0F" w:rsidP="00976B0F">
      <w:pPr>
        <w:rPr>
          <w:b/>
          <w:bCs/>
          <w:color w:val="7030A0"/>
        </w:rPr>
      </w:pPr>
    </w:p>
    <w:p w14:paraId="485390FA" w14:textId="77777777" w:rsidR="00976B0F" w:rsidRDefault="00976B0F" w:rsidP="00976B0F">
      <w:pPr>
        <w:rPr>
          <w:b/>
          <w:bCs/>
          <w:color w:val="7030A0"/>
        </w:rPr>
      </w:pPr>
    </w:p>
    <w:p w14:paraId="51BF99A6" w14:textId="77777777" w:rsidR="00407541" w:rsidRDefault="00407541" w:rsidP="00976B0F">
      <w:pPr>
        <w:rPr>
          <w:b/>
          <w:bCs/>
          <w:color w:val="7030A0"/>
        </w:rPr>
      </w:pPr>
    </w:p>
    <w:p w14:paraId="5CD26416" w14:textId="77777777" w:rsidR="00407541" w:rsidRDefault="00407541" w:rsidP="00976B0F">
      <w:pPr>
        <w:rPr>
          <w:b/>
          <w:bCs/>
          <w:color w:val="7030A0"/>
        </w:rPr>
      </w:pPr>
    </w:p>
    <w:p w14:paraId="2689D22F" w14:textId="77777777" w:rsidR="00407541" w:rsidRDefault="00407541" w:rsidP="00976B0F">
      <w:pPr>
        <w:rPr>
          <w:b/>
          <w:bCs/>
          <w:color w:val="7030A0"/>
        </w:rPr>
      </w:pPr>
    </w:p>
    <w:p w14:paraId="48EDA408" w14:textId="77777777" w:rsidR="00976B0F" w:rsidRDefault="00976B0F" w:rsidP="00976B0F">
      <w:pPr>
        <w:rPr>
          <w:b/>
          <w:bCs/>
          <w:color w:val="7030A0"/>
        </w:rPr>
      </w:pPr>
    </w:p>
    <w:p w14:paraId="5FBA9F3F" w14:textId="77777777" w:rsidR="00976B0F" w:rsidRDefault="00976B0F" w:rsidP="00976B0F">
      <w:pPr>
        <w:rPr>
          <w:b/>
          <w:bCs/>
          <w:color w:val="7030A0"/>
        </w:rPr>
      </w:pPr>
    </w:p>
    <w:p w14:paraId="157C13A6" w14:textId="77777777" w:rsidR="00976B0F" w:rsidRPr="00C219D8" w:rsidRDefault="00976B0F" w:rsidP="00976B0F">
      <w:pPr>
        <w:ind w:left="-1134"/>
        <w:rPr>
          <w:rFonts w:ascii="Arial" w:hAnsi="Arial" w:cs="Arial"/>
          <w:b/>
          <w:bCs/>
          <w:color w:val="000000" w:themeColor="text1"/>
        </w:rPr>
      </w:pPr>
      <w:r w:rsidRPr="00C219D8">
        <w:rPr>
          <w:rFonts w:ascii="Arial" w:hAnsi="Arial" w:cs="Arial"/>
          <w:b/>
          <w:bCs/>
          <w:color w:val="000000" w:themeColor="text1"/>
        </w:rPr>
        <w:lastRenderedPageBreak/>
        <w:t>Appendix A</w:t>
      </w:r>
      <w:r w:rsidRPr="00C219D8">
        <w:rPr>
          <w:rFonts w:ascii="Arial" w:hAnsi="Arial" w:cs="Arial"/>
          <w:b/>
          <w:bCs/>
          <w:color w:val="000000" w:themeColor="text1"/>
        </w:rPr>
        <w:br/>
        <w:t>Conceptual Design of the Proposed Study</w:t>
      </w:r>
    </w:p>
    <w:p w14:paraId="540A8006" w14:textId="77777777" w:rsidR="00976B0F" w:rsidRDefault="00976B0F" w:rsidP="00976B0F">
      <w:pPr>
        <w:ind w:left="-1134"/>
        <w:rPr>
          <w:rFonts w:ascii="Arial" w:hAnsi="Arial" w:cs="Arial"/>
          <w:i/>
          <w:iCs/>
          <w:color w:val="000000" w:themeColor="text1"/>
          <w:sz w:val="20"/>
          <w:szCs w:val="20"/>
        </w:rPr>
      </w:pPr>
      <w:r w:rsidRPr="00C219D8">
        <w:rPr>
          <w:rFonts w:ascii="Arial" w:hAnsi="Arial" w:cs="Arial"/>
          <w:b/>
          <w:bCs/>
          <w:color w:val="000000" w:themeColor="text1"/>
          <w:sz w:val="20"/>
          <w:szCs w:val="20"/>
        </w:rPr>
        <w:t>Figure A1</w:t>
      </w:r>
      <w:r w:rsidRPr="00C219D8">
        <w:rPr>
          <w:rFonts w:ascii="Arial" w:hAnsi="Arial" w:cs="Arial"/>
          <w:color w:val="000000" w:themeColor="text1"/>
          <w:sz w:val="20"/>
          <w:szCs w:val="20"/>
        </w:rPr>
        <w:br/>
      </w:r>
      <w:r w:rsidRPr="00C219D8">
        <w:rPr>
          <w:rFonts w:ascii="Arial" w:hAnsi="Arial" w:cs="Arial"/>
          <w:i/>
          <w:iCs/>
          <w:color w:val="000000" w:themeColor="text1"/>
          <w:sz w:val="20"/>
          <w:szCs w:val="20"/>
        </w:rPr>
        <w:t>From Policy to Practice: Mature Students’ Experiences of Widening Participation and Lecturers’ Understandings in One South Wales Institution</w:t>
      </w:r>
    </w:p>
    <w:p w14:paraId="31DE5347" w14:textId="77777777" w:rsidR="00976B0F" w:rsidRDefault="00976B0F" w:rsidP="00976B0F">
      <w:pPr>
        <w:ind w:left="-1134"/>
        <w:rPr>
          <w:rFonts w:ascii="Arial" w:hAnsi="Arial" w:cs="Arial"/>
          <w:noProof/>
          <w:color w:val="000000" w:themeColor="text1"/>
          <w:sz w:val="20"/>
          <w:szCs w:val="20"/>
        </w:rPr>
      </w:pPr>
      <w:r>
        <w:rPr>
          <w:rFonts w:ascii="Arial" w:hAnsi="Arial" w:cs="Arial"/>
          <w:noProof/>
          <w:color w:val="000000" w:themeColor="text1"/>
          <w:sz w:val="20"/>
          <w:szCs w:val="20"/>
        </w:rPr>
        <w:drawing>
          <wp:anchor distT="0" distB="0" distL="114300" distR="114300" simplePos="0" relativeHeight="251660288" behindDoc="0" locked="0" layoutInCell="1" allowOverlap="1" wp14:anchorId="4518B439" wp14:editId="5FC6BD61">
            <wp:simplePos x="0" y="0"/>
            <wp:positionH relativeFrom="margin">
              <wp:align>center</wp:align>
            </wp:positionH>
            <wp:positionV relativeFrom="paragraph">
              <wp:posOffset>286385</wp:posOffset>
            </wp:positionV>
            <wp:extent cx="7279640" cy="6286500"/>
            <wp:effectExtent l="0" t="0" r="0" b="0"/>
            <wp:wrapTopAndBottom/>
            <wp:docPr id="14149940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0">
                      <a:extLst>
                        <a:ext uri="{28A0092B-C50C-407E-A947-70E740481C1C}">
                          <a14:useLocalDpi xmlns:a14="http://schemas.microsoft.com/office/drawing/2010/main" val="0"/>
                        </a:ext>
                      </a:extLst>
                    </a:blip>
                    <a:srcRect r="6322" b="4480"/>
                    <a:stretch>
                      <a:fillRect/>
                    </a:stretch>
                  </pic:blipFill>
                  <pic:spPr bwMode="auto">
                    <a:xfrm>
                      <a:off x="0" y="0"/>
                      <a:ext cx="7279640" cy="6286500"/>
                    </a:xfrm>
                    <a:prstGeom prst="rect">
                      <a:avLst/>
                    </a:prstGeom>
                    <a:noFill/>
                    <a:ln>
                      <a:noFill/>
                    </a:ln>
                    <a:extLst>
                      <a:ext uri="{53640926-AAD7-44D8-BBD7-CCE9431645EC}">
                        <a14:shadowObscured xmlns:a14="http://schemas.microsoft.com/office/drawing/2010/main"/>
                      </a:ext>
                    </a:extLst>
                  </pic:spPr>
                </pic:pic>
              </a:graphicData>
            </a:graphic>
          </wp:anchor>
        </w:drawing>
      </w:r>
    </w:p>
    <w:p w14:paraId="392D9041" w14:textId="77777777" w:rsidR="00976B0F" w:rsidRPr="00035166" w:rsidRDefault="00976B0F" w:rsidP="00976B0F">
      <w:pPr>
        <w:rPr>
          <w:rFonts w:ascii="Arial" w:hAnsi="Arial" w:cs="Arial"/>
          <w:color w:val="000000" w:themeColor="text1"/>
          <w:sz w:val="20"/>
          <w:szCs w:val="20"/>
        </w:rPr>
      </w:pPr>
    </w:p>
    <w:p w14:paraId="2403CFB4" w14:textId="77777777" w:rsidR="00976B0F" w:rsidRDefault="00976B0F" w:rsidP="00976B0F">
      <w:pPr>
        <w:ind w:hanging="1134"/>
        <w:rPr>
          <w:b/>
          <w:bCs/>
          <w:color w:val="000000" w:themeColor="text1"/>
          <w:sz w:val="16"/>
          <w:szCs w:val="16"/>
        </w:rPr>
      </w:pPr>
    </w:p>
    <w:p w14:paraId="4143E7CF" w14:textId="77777777" w:rsidR="00976B0F" w:rsidRDefault="00976B0F" w:rsidP="00976B0F">
      <w:pPr>
        <w:rPr>
          <w:b/>
          <w:bCs/>
          <w:color w:val="000000" w:themeColor="text1"/>
          <w:sz w:val="16"/>
          <w:szCs w:val="16"/>
        </w:rPr>
      </w:pPr>
    </w:p>
    <w:p w14:paraId="6520CB9C" w14:textId="77777777" w:rsidR="00976B0F" w:rsidRDefault="00976B0F" w:rsidP="00976B0F">
      <w:pPr>
        <w:rPr>
          <w:b/>
          <w:bCs/>
          <w:color w:val="000000" w:themeColor="text1"/>
          <w:sz w:val="16"/>
          <w:szCs w:val="16"/>
        </w:rPr>
      </w:pPr>
    </w:p>
    <w:p w14:paraId="104EB490" w14:textId="77777777" w:rsidR="00407541" w:rsidRDefault="00407541" w:rsidP="00976B0F">
      <w:pPr>
        <w:ind w:left="-1134"/>
        <w:rPr>
          <w:b/>
          <w:bCs/>
          <w:color w:val="000000" w:themeColor="text1"/>
          <w:sz w:val="16"/>
          <w:szCs w:val="16"/>
        </w:rPr>
      </w:pPr>
    </w:p>
    <w:p w14:paraId="5E48B52B" w14:textId="10510C3A" w:rsidR="00976B0F" w:rsidRDefault="00976B0F" w:rsidP="00976B0F">
      <w:pPr>
        <w:ind w:left="-1134"/>
        <w:rPr>
          <w:b/>
          <w:bCs/>
          <w:color w:val="000000" w:themeColor="text1"/>
        </w:rPr>
      </w:pPr>
      <w:r w:rsidRPr="00C219D8">
        <w:rPr>
          <w:b/>
          <w:bCs/>
          <w:color w:val="000000" w:themeColor="text1"/>
        </w:rPr>
        <w:lastRenderedPageBreak/>
        <w:t>Appendix</w:t>
      </w:r>
      <w:r>
        <w:rPr>
          <w:b/>
          <w:bCs/>
          <w:color w:val="000000" w:themeColor="text1"/>
        </w:rPr>
        <w:t xml:space="preserve"> B</w:t>
      </w:r>
      <w:r>
        <w:rPr>
          <w:b/>
          <w:bCs/>
          <w:color w:val="000000" w:themeColor="text1"/>
        </w:rPr>
        <w:br/>
        <w:t>Proposal Presentation</w:t>
      </w:r>
    </w:p>
    <w:p w14:paraId="265B105C" w14:textId="77777777" w:rsidR="00976B0F" w:rsidRDefault="00976B0F" w:rsidP="00976B0F">
      <w:pPr>
        <w:ind w:left="-1134"/>
        <w:rPr>
          <w:b/>
          <w:bCs/>
          <w:color w:val="000000" w:themeColor="text1"/>
        </w:rPr>
      </w:pPr>
    </w:p>
    <w:p w14:paraId="0E8F55D1" w14:textId="77777777" w:rsidR="00976B0F" w:rsidRPr="00B66F44" w:rsidRDefault="00976B0F" w:rsidP="00976B0F">
      <w:pPr>
        <w:ind w:left="-1134"/>
        <w:rPr>
          <w:b/>
          <w:bCs/>
          <w:i/>
          <w:iCs/>
          <w:color w:val="000000" w:themeColor="text1"/>
        </w:rPr>
      </w:pPr>
      <w:r w:rsidRPr="00B66F44">
        <w:rPr>
          <w:b/>
          <w:bCs/>
          <w:i/>
          <w:iCs/>
          <w:color w:val="000000" w:themeColor="text1"/>
        </w:rPr>
        <w:t>Uploaded to Turnitin via Moodle</w:t>
      </w:r>
    </w:p>
    <w:p w14:paraId="61614212" w14:textId="77777777" w:rsidR="00C219D8" w:rsidRDefault="00C219D8" w:rsidP="002D0A6A">
      <w:pPr>
        <w:ind w:hanging="1134"/>
        <w:rPr>
          <w:b/>
          <w:bCs/>
          <w:color w:val="000000" w:themeColor="text1"/>
          <w:sz w:val="16"/>
          <w:szCs w:val="16"/>
        </w:rPr>
      </w:pPr>
    </w:p>
    <w:p w14:paraId="442F1467" w14:textId="77777777" w:rsidR="00C219D8" w:rsidRDefault="00C219D8" w:rsidP="002D0A6A">
      <w:pPr>
        <w:ind w:hanging="1134"/>
        <w:rPr>
          <w:b/>
          <w:bCs/>
          <w:color w:val="000000" w:themeColor="text1"/>
          <w:sz w:val="16"/>
          <w:szCs w:val="16"/>
        </w:rPr>
      </w:pPr>
    </w:p>
    <w:p w14:paraId="0CCBA2CD" w14:textId="77777777" w:rsidR="00B66F44" w:rsidRPr="00C219D8" w:rsidRDefault="00B66F44" w:rsidP="00DD5A78">
      <w:pPr>
        <w:rPr>
          <w:b/>
          <w:bCs/>
          <w:color w:val="000000" w:themeColor="text1"/>
        </w:rPr>
      </w:pPr>
    </w:p>
    <w:sectPr w:rsidR="00B66F44" w:rsidRPr="00C219D8">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9E89C" w14:textId="77777777" w:rsidR="00475AFD" w:rsidRDefault="00475AFD" w:rsidP="00E43C8A">
      <w:pPr>
        <w:spacing w:after="0" w:line="240" w:lineRule="auto"/>
      </w:pPr>
      <w:r>
        <w:separator/>
      </w:r>
    </w:p>
  </w:endnote>
  <w:endnote w:type="continuationSeparator" w:id="0">
    <w:p w14:paraId="267A5C74" w14:textId="77777777" w:rsidR="00475AFD" w:rsidRDefault="00475AFD" w:rsidP="00E43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D9FD9693-D3C1-4102-8A6A-B7D633DA8D6A}"/>
    <w:embedBold r:id="rId2" w:fontKey="{34570B18-40CF-4A69-9D99-07096788B9B4}"/>
    <w:embedItalic r:id="rId3" w:fontKey="{BE89CFBC-4F9D-48CF-99E2-EFF15C8272D7}"/>
    <w:embedBoldItalic r:id="rId4" w:fontKey="{4E7CF8D2-F4C1-4F24-82AC-9819E2E1F6FC}"/>
  </w:font>
  <w:font w:name="Aptos Display">
    <w:charset w:val="00"/>
    <w:family w:val="swiss"/>
    <w:pitch w:val="variable"/>
    <w:sig w:usb0="20000287" w:usb1="00000003" w:usb2="00000000" w:usb3="00000000" w:csb0="0000019F" w:csb1="00000000"/>
    <w:embedRegular r:id="rId5" w:fontKey="{D73B5D21-BE70-441B-AB3C-922EEFE46807}"/>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6" w:fontKey="{B3CAA0EE-EF55-4AC1-89A6-5F9E6E798C1C}"/>
  </w:font>
  <w:font w:name="Calibri">
    <w:panose1 w:val="020F0502020204030204"/>
    <w:charset w:val="00"/>
    <w:family w:val="swiss"/>
    <w:pitch w:val="variable"/>
    <w:sig w:usb0="E4002EFF" w:usb1="C000247B" w:usb2="00000009" w:usb3="00000000" w:csb0="000001FF" w:csb1="00000000"/>
    <w:embedRegular r:id="rId7" w:fontKey="{96425020-CAD4-429F-8F28-2F5ADDAB77FB}"/>
    <w:embedBold r:id="rId8" w:fontKey="{BA12756A-1590-4F45-993D-B1151A05F3F7}"/>
  </w:font>
  <w:font w:name="Tahoma">
    <w:panose1 w:val="020B0604030504040204"/>
    <w:charset w:val="00"/>
    <w:family w:val="swiss"/>
    <w:pitch w:val="variable"/>
    <w:sig w:usb0="E1002EFF" w:usb1="C000605B" w:usb2="00000029" w:usb3="00000000" w:csb0="000101FF" w:csb1="00000000"/>
    <w:embedRegular r:id="rId9" w:fontKey="{BED892FB-0FF5-4459-902D-3ADC841CC95C}"/>
    <w:embedBold r:id="rId10" w:fontKey="{D52A977A-2053-48DF-9B0E-65CFDA858B4C}"/>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88451"/>
      <w:docPartObj>
        <w:docPartGallery w:val="Page Numbers (Bottom of Page)"/>
        <w:docPartUnique/>
      </w:docPartObj>
    </w:sdtPr>
    <w:sdtEndPr>
      <w:rPr>
        <w:noProof/>
      </w:rPr>
    </w:sdtEndPr>
    <w:sdtContent>
      <w:p w14:paraId="07B7620E" w14:textId="30AC6CB6" w:rsidR="000771EE" w:rsidRDefault="000771EE">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0771EE">
          <w:rPr>
            <w:noProof/>
            <w:sz w:val="12"/>
            <w:szCs w:val="12"/>
          </w:rPr>
          <w:t>KW/7003</w:t>
        </w:r>
      </w:p>
    </w:sdtContent>
  </w:sdt>
  <w:p w14:paraId="63B90C75" w14:textId="77777777" w:rsidR="00E43C8A" w:rsidRDefault="00E4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B5585" w14:textId="77777777" w:rsidR="00475AFD" w:rsidRDefault="00475AFD" w:rsidP="00E43C8A">
      <w:pPr>
        <w:spacing w:after="0" w:line="240" w:lineRule="auto"/>
      </w:pPr>
      <w:r>
        <w:separator/>
      </w:r>
    </w:p>
  </w:footnote>
  <w:footnote w:type="continuationSeparator" w:id="0">
    <w:p w14:paraId="07629B08" w14:textId="77777777" w:rsidR="00475AFD" w:rsidRDefault="00475AFD" w:rsidP="00E43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15824"/>
    <w:multiLevelType w:val="multilevel"/>
    <w:tmpl w:val="2CE6F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213E4D"/>
    <w:multiLevelType w:val="multilevel"/>
    <w:tmpl w:val="9BE63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5230AA"/>
    <w:multiLevelType w:val="hybridMultilevel"/>
    <w:tmpl w:val="41804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B22752"/>
    <w:multiLevelType w:val="hybridMultilevel"/>
    <w:tmpl w:val="0F2E9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5029661">
    <w:abstractNumId w:val="1"/>
  </w:num>
  <w:num w:numId="2" w16cid:durableId="1776513280">
    <w:abstractNumId w:val="0"/>
  </w:num>
  <w:num w:numId="3" w16cid:durableId="1492141690">
    <w:abstractNumId w:val="3"/>
  </w:num>
  <w:num w:numId="4" w16cid:durableId="1195196330">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F0F"/>
    <w:rsid w:val="00001847"/>
    <w:rsid w:val="00001AF4"/>
    <w:rsid w:val="00010D5B"/>
    <w:rsid w:val="00022331"/>
    <w:rsid w:val="00025068"/>
    <w:rsid w:val="000268BB"/>
    <w:rsid w:val="00035166"/>
    <w:rsid w:val="00036DD0"/>
    <w:rsid w:val="000771EE"/>
    <w:rsid w:val="00083626"/>
    <w:rsid w:val="00087847"/>
    <w:rsid w:val="00091EDC"/>
    <w:rsid w:val="000A2572"/>
    <w:rsid w:val="000A40A5"/>
    <w:rsid w:val="000C6B94"/>
    <w:rsid w:val="000E2B19"/>
    <w:rsid w:val="000F0F2D"/>
    <w:rsid w:val="000F400C"/>
    <w:rsid w:val="00110BC9"/>
    <w:rsid w:val="001129C0"/>
    <w:rsid w:val="0012249E"/>
    <w:rsid w:val="00122874"/>
    <w:rsid w:val="001234B5"/>
    <w:rsid w:val="00130539"/>
    <w:rsid w:val="001357EF"/>
    <w:rsid w:val="00166C27"/>
    <w:rsid w:val="0018216B"/>
    <w:rsid w:val="001A203E"/>
    <w:rsid w:val="001A50AC"/>
    <w:rsid w:val="001B4E60"/>
    <w:rsid w:val="001B655E"/>
    <w:rsid w:val="001C51F6"/>
    <w:rsid w:val="001D156D"/>
    <w:rsid w:val="001D660E"/>
    <w:rsid w:val="001E6A3E"/>
    <w:rsid w:val="001E70B0"/>
    <w:rsid w:val="001F098F"/>
    <w:rsid w:val="001F56E5"/>
    <w:rsid w:val="00215DB3"/>
    <w:rsid w:val="0021680A"/>
    <w:rsid w:val="00232F0F"/>
    <w:rsid w:val="0024176C"/>
    <w:rsid w:val="00272A50"/>
    <w:rsid w:val="00272FFB"/>
    <w:rsid w:val="00274BC7"/>
    <w:rsid w:val="00294BB5"/>
    <w:rsid w:val="00295A83"/>
    <w:rsid w:val="002A26E4"/>
    <w:rsid w:val="002B0150"/>
    <w:rsid w:val="002B2C87"/>
    <w:rsid w:val="002B4A35"/>
    <w:rsid w:val="002B4BFA"/>
    <w:rsid w:val="002C3EF2"/>
    <w:rsid w:val="002D0A6A"/>
    <w:rsid w:val="002D3949"/>
    <w:rsid w:val="002E2455"/>
    <w:rsid w:val="00303499"/>
    <w:rsid w:val="00310D0E"/>
    <w:rsid w:val="0033078C"/>
    <w:rsid w:val="003442F3"/>
    <w:rsid w:val="00346CD0"/>
    <w:rsid w:val="00353F63"/>
    <w:rsid w:val="00355563"/>
    <w:rsid w:val="003805AC"/>
    <w:rsid w:val="003820FA"/>
    <w:rsid w:val="0039469D"/>
    <w:rsid w:val="003B0990"/>
    <w:rsid w:val="003B7B31"/>
    <w:rsid w:val="003C184A"/>
    <w:rsid w:val="003D6B3C"/>
    <w:rsid w:val="003E734B"/>
    <w:rsid w:val="003F2C1B"/>
    <w:rsid w:val="00401F5A"/>
    <w:rsid w:val="00407541"/>
    <w:rsid w:val="00445152"/>
    <w:rsid w:val="0044530C"/>
    <w:rsid w:val="0044613C"/>
    <w:rsid w:val="0046789F"/>
    <w:rsid w:val="00473327"/>
    <w:rsid w:val="00475AFD"/>
    <w:rsid w:val="004D76EC"/>
    <w:rsid w:val="00504274"/>
    <w:rsid w:val="005141CF"/>
    <w:rsid w:val="00520C2F"/>
    <w:rsid w:val="005360E8"/>
    <w:rsid w:val="0054290F"/>
    <w:rsid w:val="00572EAF"/>
    <w:rsid w:val="005C1C8F"/>
    <w:rsid w:val="005D262E"/>
    <w:rsid w:val="005E669A"/>
    <w:rsid w:val="005E7CA8"/>
    <w:rsid w:val="005F419C"/>
    <w:rsid w:val="00612F10"/>
    <w:rsid w:val="00623747"/>
    <w:rsid w:val="00623C13"/>
    <w:rsid w:val="00662F5D"/>
    <w:rsid w:val="006642F8"/>
    <w:rsid w:val="00691564"/>
    <w:rsid w:val="00694937"/>
    <w:rsid w:val="006A75E7"/>
    <w:rsid w:val="006C37F6"/>
    <w:rsid w:val="006D7865"/>
    <w:rsid w:val="006F6B9D"/>
    <w:rsid w:val="00700041"/>
    <w:rsid w:val="00701CC9"/>
    <w:rsid w:val="00714849"/>
    <w:rsid w:val="0072177C"/>
    <w:rsid w:val="00730296"/>
    <w:rsid w:val="00736484"/>
    <w:rsid w:val="00746253"/>
    <w:rsid w:val="00747DBB"/>
    <w:rsid w:val="007557BF"/>
    <w:rsid w:val="0078461C"/>
    <w:rsid w:val="007854BA"/>
    <w:rsid w:val="007871C3"/>
    <w:rsid w:val="007D10A0"/>
    <w:rsid w:val="007E6822"/>
    <w:rsid w:val="0080679F"/>
    <w:rsid w:val="008142FA"/>
    <w:rsid w:val="00822227"/>
    <w:rsid w:val="0083397B"/>
    <w:rsid w:val="008540B1"/>
    <w:rsid w:val="00875950"/>
    <w:rsid w:val="008A2EC5"/>
    <w:rsid w:val="008B5CD4"/>
    <w:rsid w:val="008C0DA1"/>
    <w:rsid w:val="008C29A8"/>
    <w:rsid w:val="008D57C8"/>
    <w:rsid w:val="00906D83"/>
    <w:rsid w:val="009114C1"/>
    <w:rsid w:val="009128A3"/>
    <w:rsid w:val="00914FD7"/>
    <w:rsid w:val="00925BB4"/>
    <w:rsid w:val="00933C34"/>
    <w:rsid w:val="009478E9"/>
    <w:rsid w:val="00954A60"/>
    <w:rsid w:val="00970677"/>
    <w:rsid w:val="00976B0F"/>
    <w:rsid w:val="00994196"/>
    <w:rsid w:val="009A3BB8"/>
    <w:rsid w:val="009A67CD"/>
    <w:rsid w:val="009B0E41"/>
    <w:rsid w:val="009C3748"/>
    <w:rsid w:val="009D4619"/>
    <w:rsid w:val="009D79A7"/>
    <w:rsid w:val="009E38EB"/>
    <w:rsid w:val="009F660D"/>
    <w:rsid w:val="00A33096"/>
    <w:rsid w:val="00A34767"/>
    <w:rsid w:val="00A52214"/>
    <w:rsid w:val="00A70DB9"/>
    <w:rsid w:val="00A73BF2"/>
    <w:rsid w:val="00A8288D"/>
    <w:rsid w:val="00A913A9"/>
    <w:rsid w:val="00AB0659"/>
    <w:rsid w:val="00AD0972"/>
    <w:rsid w:val="00AD4D71"/>
    <w:rsid w:val="00AD6D97"/>
    <w:rsid w:val="00B14284"/>
    <w:rsid w:val="00B33054"/>
    <w:rsid w:val="00B43A1B"/>
    <w:rsid w:val="00B56EC3"/>
    <w:rsid w:val="00B6458C"/>
    <w:rsid w:val="00B66F44"/>
    <w:rsid w:val="00B719B6"/>
    <w:rsid w:val="00B775C0"/>
    <w:rsid w:val="00B9152E"/>
    <w:rsid w:val="00B92714"/>
    <w:rsid w:val="00BD32B5"/>
    <w:rsid w:val="00BE0D1B"/>
    <w:rsid w:val="00BE5C60"/>
    <w:rsid w:val="00C02411"/>
    <w:rsid w:val="00C07556"/>
    <w:rsid w:val="00C210AB"/>
    <w:rsid w:val="00C219D8"/>
    <w:rsid w:val="00C36522"/>
    <w:rsid w:val="00C40C91"/>
    <w:rsid w:val="00C4259E"/>
    <w:rsid w:val="00C97071"/>
    <w:rsid w:val="00D141DD"/>
    <w:rsid w:val="00D304A0"/>
    <w:rsid w:val="00D6249B"/>
    <w:rsid w:val="00D65DC6"/>
    <w:rsid w:val="00D9049F"/>
    <w:rsid w:val="00DA2315"/>
    <w:rsid w:val="00DB4630"/>
    <w:rsid w:val="00DD0CEA"/>
    <w:rsid w:val="00DD5A78"/>
    <w:rsid w:val="00DE073A"/>
    <w:rsid w:val="00DE0932"/>
    <w:rsid w:val="00E149F5"/>
    <w:rsid w:val="00E16D15"/>
    <w:rsid w:val="00E40B83"/>
    <w:rsid w:val="00E43C8A"/>
    <w:rsid w:val="00E47B6D"/>
    <w:rsid w:val="00E6406B"/>
    <w:rsid w:val="00E6514A"/>
    <w:rsid w:val="00E67497"/>
    <w:rsid w:val="00E72EC9"/>
    <w:rsid w:val="00EC019E"/>
    <w:rsid w:val="00EC6C8A"/>
    <w:rsid w:val="00ED044E"/>
    <w:rsid w:val="00ED46E5"/>
    <w:rsid w:val="00ED72A0"/>
    <w:rsid w:val="00F14784"/>
    <w:rsid w:val="00F31DBE"/>
    <w:rsid w:val="00F55907"/>
    <w:rsid w:val="00F91676"/>
    <w:rsid w:val="00FB5FDF"/>
    <w:rsid w:val="00FB6282"/>
    <w:rsid w:val="00FC628A"/>
    <w:rsid w:val="00FE5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DC74"/>
  <w15:chartTrackingRefBased/>
  <w15:docId w15:val="{95EB0F87-8D2A-4B03-8D0E-7A08CC873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B0F"/>
  </w:style>
  <w:style w:type="paragraph" w:styleId="Heading1">
    <w:name w:val="heading 1"/>
    <w:basedOn w:val="Normal"/>
    <w:next w:val="Normal"/>
    <w:link w:val="Heading1Char"/>
    <w:uiPriority w:val="9"/>
    <w:qFormat/>
    <w:rsid w:val="00232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F0F"/>
    <w:rPr>
      <w:rFonts w:eastAsiaTheme="majorEastAsia" w:cstheme="majorBidi"/>
      <w:color w:val="272727" w:themeColor="text1" w:themeTint="D8"/>
    </w:rPr>
  </w:style>
  <w:style w:type="paragraph" w:styleId="Title">
    <w:name w:val="Title"/>
    <w:basedOn w:val="Normal"/>
    <w:next w:val="Normal"/>
    <w:link w:val="TitleChar"/>
    <w:uiPriority w:val="10"/>
    <w:qFormat/>
    <w:rsid w:val="00232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F0F"/>
    <w:pPr>
      <w:spacing w:before="160"/>
      <w:jc w:val="center"/>
    </w:pPr>
    <w:rPr>
      <w:i/>
      <w:iCs/>
      <w:color w:val="404040" w:themeColor="text1" w:themeTint="BF"/>
    </w:rPr>
  </w:style>
  <w:style w:type="character" w:customStyle="1" w:styleId="QuoteChar">
    <w:name w:val="Quote Char"/>
    <w:basedOn w:val="DefaultParagraphFont"/>
    <w:link w:val="Quote"/>
    <w:uiPriority w:val="29"/>
    <w:rsid w:val="00232F0F"/>
    <w:rPr>
      <w:i/>
      <w:iCs/>
      <w:color w:val="404040" w:themeColor="text1" w:themeTint="BF"/>
    </w:rPr>
  </w:style>
  <w:style w:type="paragraph" w:styleId="ListParagraph">
    <w:name w:val="List Paragraph"/>
    <w:basedOn w:val="Normal"/>
    <w:uiPriority w:val="34"/>
    <w:qFormat/>
    <w:rsid w:val="00232F0F"/>
    <w:pPr>
      <w:ind w:left="720"/>
      <w:contextualSpacing/>
    </w:pPr>
  </w:style>
  <w:style w:type="character" w:styleId="IntenseEmphasis">
    <w:name w:val="Intense Emphasis"/>
    <w:basedOn w:val="DefaultParagraphFont"/>
    <w:uiPriority w:val="21"/>
    <w:qFormat/>
    <w:rsid w:val="00232F0F"/>
    <w:rPr>
      <w:i/>
      <w:iCs/>
      <w:color w:val="0F4761" w:themeColor="accent1" w:themeShade="BF"/>
    </w:rPr>
  </w:style>
  <w:style w:type="paragraph" w:styleId="IntenseQuote">
    <w:name w:val="Intense Quote"/>
    <w:basedOn w:val="Normal"/>
    <w:next w:val="Normal"/>
    <w:link w:val="IntenseQuoteChar"/>
    <w:uiPriority w:val="30"/>
    <w:qFormat/>
    <w:rsid w:val="00232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F0F"/>
    <w:rPr>
      <w:i/>
      <w:iCs/>
      <w:color w:val="0F4761" w:themeColor="accent1" w:themeShade="BF"/>
    </w:rPr>
  </w:style>
  <w:style w:type="character" w:styleId="IntenseReference">
    <w:name w:val="Intense Reference"/>
    <w:basedOn w:val="DefaultParagraphFont"/>
    <w:uiPriority w:val="32"/>
    <w:qFormat/>
    <w:rsid w:val="00232F0F"/>
    <w:rPr>
      <w:b/>
      <w:bCs/>
      <w:smallCaps/>
      <w:color w:val="0F4761" w:themeColor="accent1" w:themeShade="BF"/>
      <w:spacing w:val="5"/>
    </w:rPr>
  </w:style>
  <w:style w:type="character" w:styleId="Hyperlink">
    <w:name w:val="Hyperlink"/>
    <w:basedOn w:val="DefaultParagraphFont"/>
    <w:uiPriority w:val="99"/>
    <w:unhideWhenUsed/>
    <w:rsid w:val="000A40A5"/>
    <w:rPr>
      <w:color w:val="467886" w:themeColor="hyperlink"/>
      <w:u w:val="single"/>
    </w:rPr>
  </w:style>
  <w:style w:type="character" w:styleId="UnresolvedMention">
    <w:name w:val="Unresolved Mention"/>
    <w:basedOn w:val="DefaultParagraphFont"/>
    <w:uiPriority w:val="99"/>
    <w:semiHidden/>
    <w:unhideWhenUsed/>
    <w:rsid w:val="000A40A5"/>
    <w:rPr>
      <w:color w:val="605E5C"/>
      <w:shd w:val="clear" w:color="auto" w:fill="E1DFDD"/>
    </w:rPr>
  </w:style>
  <w:style w:type="paragraph" w:styleId="Header">
    <w:name w:val="header"/>
    <w:basedOn w:val="Normal"/>
    <w:link w:val="HeaderChar"/>
    <w:uiPriority w:val="99"/>
    <w:unhideWhenUsed/>
    <w:rsid w:val="00E4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C8A"/>
  </w:style>
  <w:style w:type="paragraph" w:styleId="Footer">
    <w:name w:val="footer"/>
    <w:basedOn w:val="Normal"/>
    <w:link w:val="FooterChar"/>
    <w:uiPriority w:val="99"/>
    <w:unhideWhenUsed/>
    <w:rsid w:val="00E4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C8A"/>
  </w:style>
  <w:style w:type="character" w:styleId="FollowedHyperlink">
    <w:name w:val="FollowedHyperlink"/>
    <w:basedOn w:val="DefaultParagraphFont"/>
    <w:uiPriority w:val="99"/>
    <w:semiHidden/>
    <w:unhideWhenUsed/>
    <w:rsid w:val="00215DB3"/>
    <w:rPr>
      <w:color w:val="96607D" w:themeColor="followedHyperlink"/>
      <w:u w:val="single"/>
    </w:rPr>
  </w:style>
  <w:style w:type="table" w:styleId="TableGrid">
    <w:name w:val="Table Grid"/>
    <w:basedOn w:val="TableNormal"/>
    <w:uiPriority w:val="39"/>
    <w:rsid w:val="00912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72E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2EC9"/>
    <w:rPr>
      <w:sz w:val="20"/>
      <w:szCs w:val="20"/>
    </w:rPr>
  </w:style>
  <w:style w:type="character" w:styleId="FootnoteReference">
    <w:name w:val="footnote reference"/>
    <w:basedOn w:val="DefaultParagraphFont"/>
    <w:uiPriority w:val="99"/>
    <w:semiHidden/>
    <w:unhideWhenUsed/>
    <w:rsid w:val="00E72EC9"/>
    <w:rPr>
      <w:vertAlign w:val="superscript"/>
    </w:rPr>
  </w:style>
  <w:style w:type="table" w:customStyle="1" w:styleId="TableGrid1">
    <w:name w:val="Table Grid1"/>
    <w:basedOn w:val="TableNormal"/>
    <w:next w:val="TableGrid"/>
    <w:uiPriority w:val="39"/>
    <w:rsid w:val="0078461C"/>
    <w:pPr>
      <w:spacing w:after="0" w:line="240" w:lineRule="auto"/>
    </w:pPr>
    <w:rPr>
      <w:rFonts w:ascii="Times New Roman" w:eastAsia="Times New Roman" w:hAnsi="Times New Roman" w:cs="Times New Roman"/>
      <w:kern w:val="0"/>
      <w:sz w:val="20"/>
      <w:szCs w:val="2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3761/s2he6n66" TargetMode="External"/><Relationship Id="rId18" Type="http://schemas.openxmlformats.org/officeDocument/2006/relationships/hyperlink" Target="https://doi.org/10.1080/0309877X.2022.2082276" TargetMode="External"/><Relationship Id="rId26" Type="http://schemas.openxmlformats.org/officeDocument/2006/relationships/hyperlink" Target="https://doi.org/10.1177/0890334419830990" TargetMode="External"/><Relationship Id="rId39" Type="http://schemas.openxmlformats.org/officeDocument/2006/relationships/hyperlink" Target="https://doi.org/10.1002/rev3.70120" TargetMode="External"/><Relationship Id="rId21" Type="http://schemas.openxmlformats.org/officeDocument/2006/relationships/hyperlink" Target="https://doi.org/10.1177/02692163241234800" TargetMode="External"/><Relationship Id="rId34" Type="http://schemas.openxmlformats.org/officeDocument/2006/relationships/hyperlink" Target="https://doi.org/10.1080/0142159X.2021.1908976" TargetMode="External"/><Relationship Id="rId42" Type="http://schemas.openxmlformats.org/officeDocument/2006/relationships/hyperlink" Target="https://www.officeforstudents.org.uk/data-and-analysis/access-and-participation-data-dashboard/" TargetMode="External"/><Relationship Id="rId47" Type="http://schemas.openxmlformats.org/officeDocument/2006/relationships/hyperlink" Target="https://doi.org/10.1080/01425692.2020.1865130" TargetMode="External"/><Relationship Id="rId50" Type="http://schemas.openxmlformats.org/officeDocument/2006/relationships/hyperlink" Target="https://doi.org/10.53761/1.20.6.16" TargetMode="External"/><Relationship Id="rId55" Type="http://schemas.openxmlformats.org/officeDocument/2006/relationships/hyperlink" Target="https://www.ukri.org/wp-content/uploads/2021/08/MRC-0208212-GDPR-lawful-basis-research-consent-and-confidentiality.pdf"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13603116.2020.1776777" TargetMode="External"/><Relationship Id="rId29" Type="http://schemas.openxmlformats.org/officeDocument/2006/relationships/hyperlink" Target="https://www.medr.cymru/wp-content/uploads/2024/12/W24-07HE-2025_26-and-2026_27-Fee-and-Access-Plan-application-guidance-English.pdf" TargetMode="External"/><Relationship Id="rId11" Type="http://schemas.openxmlformats.org/officeDocument/2006/relationships/image" Target="media/image1.png"/><Relationship Id="rId24" Type="http://schemas.openxmlformats.org/officeDocument/2006/relationships/hyperlink" Target="https://doi.org/10.1007/s10734-022-00877-x" TargetMode="External"/><Relationship Id="rId32" Type="http://schemas.openxmlformats.org/officeDocument/2006/relationships/hyperlink" Target="https://doi.org/10.3402/qhw.v9.23606" TargetMode="External"/><Relationship Id="rId37" Type="http://schemas.openxmlformats.org/officeDocument/2006/relationships/hyperlink" Target="https://www.medr.cymru/wp-content/uploads/2025/03/Medr-Strategic-Plan-2025-2030.pdf" TargetMode="External"/><Relationship Id="rId40" Type="http://schemas.openxmlformats.org/officeDocument/2006/relationships/hyperlink" Target="https://www.officeforstudents.org.uk/publications/improving-opportunity-and-choice-for-mature-students/" TargetMode="External"/><Relationship Id="rId45" Type="http://schemas.openxmlformats.org/officeDocument/2006/relationships/hyperlink" Target="https://doi.org/10.5456/WPLL.19.1.59" TargetMode="External"/><Relationship Id="rId53" Type="http://schemas.openxmlformats.org/officeDocument/2006/relationships/hyperlink" Target="https://www.ucas.com/corporate/news-and-key-documents/news/growing-18-year-old-population-pushes-uk-university-applicant-numbers-higher" TargetMode="External"/><Relationship Id="rId58" Type="http://schemas.openxmlformats.org/officeDocument/2006/relationships/hyperlink" Target="https://doi.org/10.1080/1743727X.2023.2266375" TargetMode="Externa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doi.org/10.3316/QRJ0902027" TargetMode="External"/><Relationship Id="rId14" Type="http://schemas.openxmlformats.org/officeDocument/2006/relationships/hyperlink" Target="https://doi.org/10.1016/j.edurev.2024.100605" TargetMode="External"/><Relationship Id="rId22" Type="http://schemas.openxmlformats.org/officeDocument/2006/relationships/hyperlink" Target="https://doi.org/10.1177/1744987120927206" TargetMode="External"/><Relationship Id="rId27" Type="http://schemas.openxmlformats.org/officeDocument/2006/relationships/hyperlink" Target="https://doi.org/10.1080/02601370.2023.2297671" TargetMode="External"/><Relationship Id="rId30" Type="http://schemas.openxmlformats.org/officeDocument/2006/relationships/hyperlink" Target="https://www.hesa.ac.uk/news/27-01-2026/sb273-higher-education-student-statistics" TargetMode="External"/><Relationship Id="rId35" Type="http://schemas.openxmlformats.org/officeDocument/2006/relationships/hyperlink" Target="https://doi.org/10.1080/13562517.2024.2354263" TargetMode="External"/><Relationship Id="rId43" Type="http://schemas.openxmlformats.org/officeDocument/2006/relationships/hyperlink" Target="https://doi.org/10.1002/berj.3991" TargetMode="External"/><Relationship Id="rId48" Type="http://schemas.openxmlformats.org/officeDocument/2006/relationships/hyperlink" Target="https://doi.org/10.1080/01642120802530056" TargetMode="External"/><Relationship Id="rId56" Type="http://schemas.openxmlformats.org/officeDocument/2006/relationships/hyperlink" Target="https://www.universitiesuk.ac.uk/sites/default/files/field/downloads/2024-01/pwc-uk-higher-education-financial-sustainability-report-january-2024.pdf" TargetMode="External"/><Relationship Id="rId8" Type="http://schemas.openxmlformats.org/officeDocument/2006/relationships/webSettings" Target="webSettings.xml"/><Relationship Id="rId51" Type="http://schemas.openxmlformats.org/officeDocument/2006/relationships/hyperlink" Target="https://doi.org/10.1177/1077800410383121" TargetMode="External"/><Relationship Id="rId3" Type="http://schemas.openxmlformats.org/officeDocument/2006/relationships/customXml" Target="../customXml/item3.xml"/><Relationship Id="rId12" Type="http://schemas.openxmlformats.org/officeDocument/2006/relationships/hyperlink" Target="https://doi.org/10.1080/03075079.2018.1564902" TargetMode="External"/><Relationship Id="rId17" Type="http://schemas.openxmlformats.org/officeDocument/2006/relationships/hyperlink" Target="https://doi.org/10.46743/2160-3715/2008.1573" TargetMode="External"/><Relationship Id="rId25" Type="http://schemas.openxmlformats.org/officeDocument/2006/relationships/hyperlink" Target="https://doi.org/10.1136/fmch-2018-000057" TargetMode="External"/><Relationship Id="rId33" Type="http://schemas.openxmlformats.org/officeDocument/2006/relationships/hyperlink" Target="https://ico.org.uk/for-organisations/uk-gdpr-guidance-and-resources/data-sharing/anonymisation/about-this-guidance/" TargetMode="External"/><Relationship Id="rId38" Type="http://schemas.openxmlformats.org/officeDocument/2006/relationships/hyperlink" Target="https://doi.org/10.3390/bs13030218" TargetMode="External"/><Relationship Id="rId46" Type="http://schemas.openxmlformats.org/officeDocument/2006/relationships/hyperlink" Target="https://doi.org/10.14691/CPPJ.20.1.7" TargetMode="External"/><Relationship Id="rId59" Type="http://schemas.openxmlformats.org/officeDocument/2006/relationships/hyperlink" Target="https://doi.org/10.1080/0309877X.2017.1404558" TargetMode="External"/><Relationship Id="rId20" Type="http://schemas.openxmlformats.org/officeDocument/2006/relationships/hyperlink" Target="https://doi.org/10.1191/1478088706qp063oa" TargetMode="External"/><Relationship Id="rId41" Type="http://schemas.openxmlformats.org/officeDocument/2006/relationships/hyperlink" Target="https://www.officeforstudents.org.uk/media/ly1buqlj/financial-sustainability-report2024.pdf" TargetMode="External"/><Relationship Id="rId54" Type="http://schemas.openxmlformats.org/officeDocument/2006/relationships/hyperlink" Target="https://ukdataservice.ac.uk/learning-hub/research-data-management/data-protection/data-protection-legislation/data-protection-act-and-gdpr/"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0/03075079.2025.2455431" TargetMode="External"/><Relationship Id="rId23" Type="http://schemas.openxmlformats.org/officeDocument/2006/relationships/hyperlink" Target="https://doi.org/10.1111/medu.15403" TargetMode="External"/><Relationship Id="rId28" Type="http://schemas.openxmlformats.org/officeDocument/2006/relationships/hyperlink" Target="https://www.medr.cymru/wp-content/uploads/2024/07/W21-38HE-Reaching-Wider-Programme-guidance-English.pdf" TargetMode="External"/><Relationship Id="rId36" Type="http://schemas.openxmlformats.org/officeDocument/2006/relationships/hyperlink" Target="https://doi.org/10.1080/01425692.2014.973017" TargetMode="External"/><Relationship Id="rId49" Type="http://schemas.openxmlformats.org/officeDocument/2006/relationships/hyperlink" Target="https://doi.org/10.1080/03075079.2020.1716322" TargetMode="External"/><Relationship Id="rId57" Type="http://schemas.openxmlformats.org/officeDocument/2006/relationships/hyperlink" Target="https://www.gov.wales/statement-strategic-priorities-tertiary-education-and-research-and-innovation-html" TargetMode="External"/><Relationship Id="rId10" Type="http://schemas.openxmlformats.org/officeDocument/2006/relationships/endnotes" Target="endnotes.xml"/><Relationship Id="rId31" Type="http://schemas.openxmlformats.org/officeDocument/2006/relationships/hyperlink" Target="https://doi.org/10.1080/03075079.2020.1725874" TargetMode="External"/><Relationship Id="rId44" Type="http://schemas.openxmlformats.org/officeDocument/2006/relationships/hyperlink" Target="https://doi.org/10.1136/ebnurs-2018-103017" TargetMode="External"/><Relationship Id="rId52" Type="http://schemas.openxmlformats.org/officeDocument/2006/relationships/hyperlink" Target="https://www.ucas.com/corporate/news-and-key-documents/news/ucas-releases-undergraduate-january-equal-consideration-applicant-data-2025" TargetMode="External"/><Relationship Id="rId6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7" ma:contentTypeDescription="Create a new document." ma:contentTypeScope="" ma:versionID="cd0ac59e25356f30c62f16dfdb9c8566">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75649234e1674732e458ac9d33bafd9"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0D5FD5-B464-497D-BEDA-4BD5E01420B6}">
  <ds:schemaRefs>
    <ds:schemaRef ds:uri="http://schemas.openxmlformats.org/officeDocument/2006/bibliography"/>
  </ds:schemaRefs>
</ds:datastoreItem>
</file>

<file path=customXml/itemProps2.xml><?xml version="1.0" encoding="utf-8"?>
<ds:datastoreItem xmlns:ds="http://schemas.openxmlformats.org/officeDocument/2006/customXml" ds:itemID="{2A0F2E6B-BFF1-4B2D-A1F2-13C564E31B1B}">
  <ds:schemaRefs>
    <ds:schemaRef ds:uri="http://schemas.microsoft.com/sharepoint/v3/contenttype/forms"/>
  </ds:schemaRefs>
</ds:datastoreItem>
</file>

<file path=customXml/itemProps3.xml><?xml version="1.0" encoding="utf-8"?>
<ds:datastoreItem xmlns:ds="http://schemas.openxmlformats.org/officeDocument/2006/customXml" ds:itemID="{9F8533C4-BC66-4BBD-9653-91504D9D18EF}">
  <ds:schemaRefs>
    <ds:schemaRef ds:uri="http://schemas.microsoft.com/office/2006/metadata/properties"/>
    <ds:schemaRef ds:uri="http://schemas.microsoft.com/office/infopath/2007/PartnerControls"/>
    <ds:schemaRef ds:uri="fb8d8ad0-312e-46a2-9327-b65a0e9852ce"/>
  </ds:schemaRefs>
</ds:datastoreItem>
</file>

<file path=customXml/itemProps4.xml><?xml version="1.0" encoding="utf-8"?>
<ds:datastoreItem xmlns:ds="http://schemas.openxmlformats.org/officeDocument/2006/customXml" ds:itemID="{3EBC6F38-4DB2-4348-8B74-7DB2ABDD0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5427</TotalTime>
  <Pages>21</Pages>
  <Words>7094</Words>
  <Characters>40439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117</cp:revision>
  <cp:lastPrinted>2026-05-18T18:01:00Z</cp:lastPrinted>
  <dcterms:created xsi:type="dcterms:W3CDTF">2026-04-13T16:06:00Z</dcterms:created>
  <dcterms:modified xsi:type="dcterms:W3CDTF">2026-05-18T19:00:00Z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y fmtid="{D5CDD505-2E9C-101B-9397-08002B2CF9AE}" pid="3" name="GrammarlyDocumentId">
    <vt:lpwstr>d73b3bcc-9994-430a-8649-bebca51086c7</vt:lpwstr>
  </property>
</Properties>
</file>