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360CBD" w14:textId="77777777" w:rsidR="00D97C04" w:rsidRPr="00D26538" w:rsidRDefault="00D97C04" w:rsidP="00D97C04">
      <w:pPr>
        <w:pStyle w:val="Header"/>
        <w:tabs>
          <w:tab w:val="left" w:pos="720"/>
        </w:tabs>
        <w:jc w:val="right"/>
        <w:rPr>
          <w:b/>
          <w:sz w:val="28"/>
          <w:szCs w:val="28"/>
        </w:rPr>
      </w:pPr>
      <w:r w:rsidRPr="00D26538">
        <w:rPr>
          <w:noProof/>
        </w:rPr>
        <w:drawing>
          <wp:anchor distT="0" distB="0" distL="114300" distR="114300" simplePos="0" relativeHeight="251659264" behindDoc="0" locked="0" layoutInCell="1" allowOverlap="1" wp14:anchorId="59AD2D3C" wp14:editId="63AD37E7">
            <wp:simplePos x="0" y="0"/>
            <wp:positionH relativeFrom="column">
              <wp:posOffset>-228600</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00D26538">
        <w:tab/>
      </w:r>
    </w:p>
    <w:p w14:paraId="55937E02" w14:textId="77777777" w:rsidR="00D97C04" w:rsidRPr="00D26538" w:rsidRDefault="00D97C04" w:rsidP="00D97C04">
      <w:pPr>
        <w:spacing w:after="120"/>
      </w:pPr>
    </w:p>
    <w:p w14:paraId="1655FA48" w14:textId="77777777" w:rsidR="00D97C04" w:rsidRPr="00D26538" w:rsidRDefault="00D97C04" w:rsidP="00D97C04">
      <w:pPr>
        <w:spacing w:after="240"/>
        <w:rPr>
          <w:b/>
          <w:bCs/>
          <w:sz w:val="36"/>
          <w:szCs w:val="36"/>
        </w:rPr>
      </w:pPr>
    </w:p>
    <w:p w14:paraId="7B6F50AD" w14:textId="77777777" w:rsidR="00D97C04" w:rsidRPr="00D26538" w:rsidRDefault="00D97C04" w:rsidP="00D97C04">
      <w:pPr>
        <w:spacing w:after="240"/>
        <w:rPr>
          <w:b/>
          <w:bCs/>
          <w:sz w:val="36"/>
          <w:szCs w:val="36"/>
        </w:rPr>
      </w:pPr>
    </w:p>
    <w:p w14:paraId="787709B6" w14:textId="77777777" w:rsidR="00D97C04" w:rsidRPr="00D26538" w:rsidRDefault="00D97C04" w:rsidP="00D97C04">
      <w:pPr>
        <w:spacing w:after="240"/>
        <w:rPr>
          <w:b/>
          <w:bCs/>
          <w:sz w:val="36"/>
          <w:szCs w:val="36"/>
        </w:rPr>
      </w:pPr>
    </w:p>
    <w:p w14:paraId="09BC778B" w14:textId="77777777" w:rsidR="00D97C04" w:rsidRPr="00D26538" w:rsidRDefault="00D97C04" w:rsidP="00D97C04">
      <w:pPr>
        <w:spacing w:after="240"/>
        <w:rPr>
          <w:b/>
          <w:bCs/>
          <w:sz w:val="36"/>
          <w:szCs w:val="36"/>
        </w:rPr>
      </w:pPr>
    </w:p>
    <w:p w14:paraId="1E42BCAE" w14:textId="77777777" w:rsidR="00D97C04" w:rsidRDefault="00D97C04" w:rsidP="00D97C04">
      <w:pPr>
        <w:spacing w:after="120"/>
        <w:jc w:val="center"/>
      </w:pPr>
      <w:r>
        <w:rPr>
          <w:b/>
          <w:bCs/>
          <w:sz w:val="30"/>
          <w:szCs w:val="30"/>
        </w:rPr>
        <w:t xml:space="preserve">Information Security Governance and Compliance Strategy for </w:t>
      </w:r>
      <w:proofErr w:type="spellStart"/>
      <w:r>
        <w:rPr>
          <w:b/>
          <w:bCs/>
          <w:sz w:val="30"/>
          <w:szCs w:val="30"/>
        </w:rPr>
        <w:t>AeroLink</w:t>
      </w:r>
      <w:proofErr w:type="spellEnd"/>
      <w:r>
        <w:rPr>
          <w:b/>
          <w:bCs/>
          <w:sz w:val="30"/>
          <w:szCs w:val="30"/>
        </w:rPr>
        <w:t xml:space="preserve"> Logistics: A Framework-Based Approach</w:t>
      </w:r>
    </w:p>
    <w:p w14:paraId="014D26FF" w14:textId="77777777" w:rsidR="00D97C04" w:rsidRPr="00D26538" w:rsidRDefault="00D97C04" w:rsidP="00D97C04">
      <w:pPr>
        <w:spacing w:after="160"/>
        <w:rPr>
          <w:i/>
          <w:iCs/>
        </w:rPr>
      </w:pPr>
    </w:p>
    <w:p w14:paraId="07DDB891" w14:textId="77777777" w:rsidR="00D97C04" w:rsidRPr="00D26538" w:rsidRDefault="00D97C04" w:rsidP="00D97C04">
      <w:pPr>
        <w:spacing w:after="160"/>
        <w:rPr>
          <w:i/>
          <w:iCs/>
        </w:rPr>
      </w:pPr>
    </w:p>
    <w:p w14:paraId="5FFE416E" w14:textId="77777777" w:rsidR="00D97C04" w:rsidRPr="00D26538" w:rsidRDefault="00D97C04" w:rsidP="00D97C04">
      <w:pPr>
        <w:spacing w:after="160"/>
        <w:rPr>
          <w:i/>
          <w:iCs/>
        </w:rPr>
      </w:pPr>
    </w:p>
    <w:p w14:paraId="38210B7D" w14:textId="77777777" w:rsidR="00D97C04" w:rsidRPr="00D26538" w:rsidRDefault="00D97C04" w:rsidP="00D97C04">
      <w:pPr>
        <w:spacing w:after="160"/>
        <w:rPr>
          <w:i/>
          <w:iCs/>
        </w:rPr>
      </w:pPr>
    </w:p>
    <w:p w14:paraId="66C29991" w14:textId="77777777" w:rsidR="00D97C04" w:rsidRPr="00D26538" w:rsidRDefault="00D97C04" w:rsidP="00D97C04">
      <w:pPr>
        <w:spacing w:after="160"/>
        <w:rPr>
          <w:i/>
          <w:iCs/>
        </w:rPr>
      </w:pPr>
    </w:p>
    <w:p w14:paraId="528A43BD" w14:textId="77777777" w:rsidR="00D97C04" w:rsidRPr="00D26538" w:rsidRDefault="00D97C04" w:rsidP="00D97C04">
      <w:pPr>
        <w:spacing w:after="160"/>
        <w:rPr>
          <w:i/>
          <w:iCs/>
        </w:rPr>
      </w:pPr>
    </w:p>
    <w:p w14:paraId="1D55915D" w14:textId="77777777" w:rsidR="00D97C04" w:rsidRPr="00D26538" w:rsidRDefault="00D97C04" w:rsidP="00D97C04">
      <w:pPr>
        <w:spacing w:after="160"/>
        <w:rPr>
          <w:i/>
          <w:iCs/>
        </w:rPr>
      </w:pPr>
    </w:p>
    <w:p w14:paraId="76B65F3E" w14:textId="77777777" w:rsidR="00D97C04" w:rsidRPr="00D26538" w:rsidRDefault="00D97C04" w:rsidP="00D97C04">
      <w:pPr>
        <w:spacing w:after="160"/>
        <w:rPr>
          <w:i/>
          <w:iCs/>
        </w:rPr>
      </w:pPr>
    </w:p>
    <w:p w14:paraId="4D70D225" w14:textId="77777777" w:rsidR="00D97C04" w:rsidRPr="00D26538" w:rsidRDefault="00D97C04" w:rsidP="00D97C04">
      <w:pPr>
        <w:spacing w:after="160"/>
        <w:rPr>
          <w:i/>
          <w:iCs/>
        </w:rPr>
      </w:pPr>
    </w:p>
    <w:p w14:paraId="7C3AC2C2" w14:textId="77777777" w:rsidR="00D97C04" w:rsidRPr="00D26538" w:rsidRDefault="00D97C04" w:rsidP="00D97C04">
      <w:pPr>
        <w:spacing w:after="160"/>
      </w:pPr>
    </w:p>
    <w:p w14:paraId="754E8D33" w14:textId="77777777" w:rsidR="00D97C04" w:rsidRPr="00D26538" w:rsidRDefault="00D97C04" w:rsidP="00D97C04">
      <w:pPr>
        <w:spacing w:after="160"/>
      </w:pPr>
    </w:p>
    <w:p w14:paraId="618BE020" w14:textId="77777777" w:rsidR="00D97C04" w:rsidRPr="00D26538" w:rsidRDefault="00D97C04" w:rsidP="00D97C04">
      <w:pPr>
        <w:spacing w:after="160"/>
      </w:pPr>
    </w:p>
    <w:p w14:paraId="4E221C8B" w14:textId="77777777" w:rsidR="00D97C04" w:rsidRPr="00D26538" w:rsidRDefault="00D97C04" w:rsidP="00D97C04">
      <w:pPr>
        <w:spacing w:after="160"/>
        <w:ind w:left="1440" w:firstLine="720"/>
        <w:rPr>
          <w:b/>
        </w:rPr>
      </w:pPr>
      <w:r w:rsidRPr="00D26538">
        <w:rPr>
          <w:b/>
        </w:rPr>
        <w:t xml:space="preserve">Student name          </w:t>
      </w:r>
      <w:proofErr w:type="gramStart"/>
      <w:r w:rsidRPr="00D26538">
        <w:rPr>
          <w:b/>
        </w:rPr>
        <w:t xml:space="preserve">  :</w:t>
      </w:r>
      <w:proofErr w:type="gramEnd"/>
      <w:r w:rsidRPr="00D26538">
        <w:rPr>
          <w:b/>
        </w:rPr>
        <w:t xml:space="preserve"> Vamsi Bejjam</w:t>
      </w:r>
    </w:p>
    <w:p w14:paraId="0DADD013" w14:textId="77777777" w:rsidR="00D97C04" w:rsidRPr="00D26538" w:rsidRDefault="00D97C04" w:rsidP="00D97C04">
      <w:pPr>
        <w:spacing w:before="120" w:after="120"/>
        <w:ind w:left="1440" w:firstLine="720"/>
        <w:rPr>
          <w:b/>
        </w:rPr>
      </w:pPr>
      <w:r w:rsidRPr="00D26538">
        <w:rPr>
          <w:b/>
        </w:rPr>
        <w:t xml:space="preserve">Student ID number </w:t>
      </w:r>
      <w:proofErr w:type="gramStart"/>
      <w:r w:rsidRPr="00D26538">
        <w:rPr>
          <w:b/>
        </w:rPr>
        <w:t xml:space="preserve">  :</w:t>
      </w:r>
      <w:proofErr w:type="gramEnd"/>
      <w:r w:rsidRPr="00D26538">
        <w:rPr>
          <w:b/>
        </w:rPr>
        <w:t xml:space="preserve">  2527053</w:t>
      </w:r>
    </w:p>
    <w:p w14:paraId="601418A1" w14:textId="77777777" w:rsidR="00D97C04" w:rsidRPr="00D26538" w:rsidRDefault="00D97C04" w:rsidP="00D97C04">
      <w:pPr>
        <w:spacing w:before="120" w:after="120"/>
        <w:ind w:left="2160"/>
        <w:rPr>
          <w:b/>
        </w:rPr>
      </w:pPr>
      <w:r w:rsidRPr="00D26538">
        <w:rPr>
          <w:b/>
        </w:rPr>
        <w:t xml:space="preserve">Programme             </w:t>
      </w:r>
      <w:proofErr w:type="gramStart"/>
      <w:r w:rsidRPr="00D26538">
        <w:rPr>
          <w:b/>
        </w:rPr>
        <w:t xml:space="preserve">  :</w:t>
      </w:r>
      <w:proofErr w:type="gramEnd"/>
      <w:r w:rsidRPr="00D26538">
        <w:rPr>
          <w:b/>
        </w:rPr>
        <w:t xml:space="preserve">  </w:t>
      </w:r>
      <w:r w:rsidRPr="00D26538">
        <w:rPr>
          <w:b/>
          <w:bCs/>
          <w:color w:val="000000" w:themeColor="text1"/>
        </w:rPr>
        <w:t>MSc Data and Artificial Intelligence</w:t>
      </w:r>
    </w:p>
    <w:p w14:paraId="7E01CD5F" w14:textId="77777777" w:rsidR="00D97C04" w:rsidRPr="00D26538" w:rsidRDefault="00D97C04" w:rsidP="00D97C04">
      <w:pPr>
        <w:spacing w:before="120" w:after="120"/>
        <w:ind w:left="1440" w:firstLine="720"/>
        <w:rPr>
          <w:b/>
        </w:rPr>
      </w:pPr>
      <w:r w:rsidRPr="00D26538">
        <w:rPr>
          <w:b/>
        </w:rPr>
        <w:t xml:space="preserve">Module                    </w:t>
      </w:r>
      <w:proofErr w:type="gramStart"/>
      <w:r w:rsidRPr="00D26538">
        <w:rPr>
          <w:b/>
        </w:rPr>
        <w:t xml:space="preserve">  :</w:t>
      </w:r>
      <w:proofErr w:type="gramEnd"/>
      <w:r w:rsidRPr="00D26538">
        <w:rPr>
          <w:b/>
        </w:rPr>
        <w:t xml:space="preserve">  </w:t>
      </w:r>
      <w:r w:rsidR="001474F9">
        <w:rPr>
          <w:b/>
        </w:rPr>
        <w:t>Data Security and Governance</w:t>
      </w:r>
    </w:p>
    <w:p w14:paraId="2630C381" w14:textId="77777777" w:rsidR="00D97C04" w:rsidRPr="00D26538" w:rsidRDefault="00D97C04" w:rsidP="00D97C04">
      <w:pPr>
        <w:pStyle w:val="TableParagraph"/>
        <w:spacing w:before="122" w:after="120"/>
        <w:ind w:left="1549" w:firstLine="611"/>
        <w:rPr>
          <w:rFonts w:ascii="Times New Roman" w:hAnsi="Times New Roman" w:cs="Times New Roman"/>
        </w:rPr>
      </w:pPr>
      <w:r w:rsidRPr="00D26538">
        <w:rPr>
          <w:rFonts w:ascii="Times New Roman" w:hAnsi="Times New Roman" w:cs="Times New Roman"/>
          <w:b/>
        </w:rPr>
        <w:t xml:space="preserve">Lecturer                  </w:t>
      </w:r>
      <w:proofErr w:type="gramStart"/>
      <w:r w:rsidRPr="00D26538">
        <w:rPr>
          <w:rFonts w:ascii="Times New Roman" w:hAnsi="Times New Roman" w:cs="Times New Roman"/>
          <w:b/>
        </w:rPr>
        <w:t xml:space="preserve">  :</w:t>
      </w:r>
      <w:proofErr w:type="gramEnd"/>
      <w:r w:rsidRPr="00D26538">
        <w:rPr>
          <w:rFonts w:ascii="Times New Roman" w:hAnsi="Times New Roman" w:cs="Times New Roman"/>
          <w:b/>
        </w:rPr>
        <w:t xml:space="preserve"> </w:t>
      </w:r>
      <w:r w:rsidRPr="00D26538">
        <w:rPr>
          <w:rFonts w:ascii="Times New Roman" w:eastAsia="Arial" w:hAnsi="Times New Roman" w:cs="Times New Roman"/>
          <w:b/>
          <w:bCs/>
          <w:color w:val="000000" w:themeColor="text1"/>
          <w:lang w:val="en-US"/>
        </w:rPr>
        <w:t xml:space="preserve"> </w:t>
      </w:r>
      <w:proofErr w:type="spellStart"/>
      <w:r w:rsidR="001474F9">
        <w:rPr>
          <w:rFonts w:ascii="Times New Roman" w:hAnsi="Times New Roman" w:cs="Times New Roman"/>
          <w:b/>
        </w:rPr>
        <w:t>Dr.</w:t>
      </w:r>
      <w:proofErr w:type="spellEnd"/>
      <w:r w:rsidR="001474F9">
        <w:rPr>
          <w:rFonts w:ascii="Times New Roman" w:hAnsi="Times New Roman" w:cs="Times New Roman"/>
          <w:b/>
        </w:rPr>
        <w:t xml:space="preserve"> </w:t>
      </w:r>
      <w:proofErr w:type="spellStart"/>
      <w:r w:rsidR="001474F9">
        <w:rPr>
          <w:rFonts w:ascii="Times New Roman" w:hAnsi="Times New Roman" w:cs="Times New Roman"/>
          <w:b/>
        </w:rPr>
        <w:t>Vijeyananthan</w:t>
      </w:r>
      <w:proofErr w:type="spellEnd"/>
      <w:r w:rsidR="001474F9">
        <w:rPr>
          <w:rFonts w:ascii="Times New Roman" w:hAnsi="Times New Roman" w:cs="Times New Roman"/>
          <w:b/>
        </w:rPr>
        <w:t xml:space="preserve"> </w:t>
      </w:r>
      <w:proofErr w:type="spellStart"/>
      <w:r w:rsidR="001474F9">
        <w:rPr>
          <w:rFonts w:ascii="Times New Roman" w:hAnsi="Times New Roman" w:cs="Times New Roman"/>
          <w:b/>
        </w:rPr>
        <w:t>Thayananthan</w:t>
      </w:r>
      <w:proofErr w:type="spellEnd"/>
      <w:r w:rsidR="001474F9">
        <w:rPr>
          <w:rFonts w:ascii="Times New Roman" w:hAnsi="Times New Roman" w:cs="Times New Roman"/>
          <w:b/>
        </w:rPr>
        <w:t xml:space="preserve"> and Compliance</w:t>
      </w:r>
    </w:p>
    <w:p w14:paraId="37C8E76F" w14:textId="77777777" w:rsidR="00D97C04" w:rsidRPr="00D26538" w:rsidRDefault="00D97C04" w:rsidP="00D97C04">
      <w:pPr>
        <w:spacing w:after="80"/>
      </w:pPr>
    </w:p>
    <w:p w14:paraId="31635050" w14:textId="77777777" w:rsidR="00D97C04" w:rsidRPr="00D26538" w:rsidRDefault="00D97C04" w:rsidP="00D97C04">
      <w:pPr>
        <w:spacing w:after="80"/>
      </w:pPr>
    </w:p>
    <w:p w14:paraId="4A0CCF60" w14:textId="77777777" w:rsidR="00D97C04" w:rsidRPr="00D26538" w:rsidRDefault="00D97C04" w:rsidP="00D97C04">
      <w:pPr>
        <w:spacing w:after="80"/>
      </w:pPr>
    </w:p>
    <w:p w14:paraId="687C6632" w14:textId="77777777" w:rsidR="00D97C04" w:rsidRPr="00D26538" w:rsidRDefault="00D97C04" w:rsidP="00D97C04">
      <w:pPr>
        <w:spacing w:after="80"/>
      </w:pPr>
    </w:p>
    <w:p w14:paraId="07698195" w14:textId="77777777" w:rsidR="00D97C04" w:rsidRPr="00D26538" w:rsidRDefault="00D97C04" w:rsidP="00D97C04">
      <w:pPr>
        <w:spacing w:after="80"/>
      </w:pPr>
    </w:p>
    <w:p w14:paraId="759CD671" w14:textId="77777777" w:rsidR="00D97C04" w:rsidRDefault="00D97C04" w:rsidP="00D97C04">
      <w:pPr>
        <w:spacing w:after="80"/>
      </w:pPr>
    </w:p>
    <w:p w14:paraId="1CDB986D" w14:textId="77777777" w:rsidR="00D97C04" w:rsidRDefault="00D97C04" w:rsidP="00D97C04">
      <w:pPr>
        <w:spacing w:after="80"/>
      </w:pPr>
    </w:p>
    <w:sdt>
      <w:sdtPr>
        <w:rPr>
          <w:rFonts w:ascii="Times New Roman" w:eastAsia="Times New Roman" w:hAnsi="Times New Roman" w:cs="Times New Roman"/>
          <w:color w:val="auto"/>
          <w:sz w:val="20"/>
          <w:szCs w:val="20"/>
          <w:lang w:val="en-IN" w:eastAsia="en-IN"/>
        </w:rPr>
        <w:id w:val="-1438134531"/>
        <w:docPartObj>
          <w:docPartGallery w:val="Table of Contents"/>
          <w:docPartUnique/>
        </w:docPartObj>
      </w:sdtPr>
      <w:sdtEndPr>
        <w:rPr>
          <w:b/>
          <w:bCs/>
          <w:noProof/>
        </w:rPr>
      </w:sdtEndPr>
      <w:sdtContent>
        <w:p w14:paraId="2F734C50" w14:textId="77777777" w:rsidR="00D97C04" w:rsidRDefault="00D97C04">
          <w:pPr>
            <w:pStyle w:val="TOCHeading"/>
          </w:pPr>
          <w:r>
            <w:t>Table of Contents</w:t>
          </w:r>
        </w:p>
        <w:p w14:paraId="7543742C" w14:textId="77777777" w:rsidR="00D97C04" w:rsidRDefault="00D97C04">
          <w:pPr>
            <w:pStyle w:val="TOC1"/>
            <w:tabs>
              <w:tab w:val="right" w:leader="dot" w:pos="9350"/>
            </w:tabs>
            <w:rPr>
              <w:noProof/>
            </w:rPr>
          </w:pPr>
          <w:r>
            <w:fldChar w:fldCharType="begin"/>
          </w:r>
          <w:r>
            <w:instrText xml:space="preserve"> TOC \o "1-3" \h \z \u </w:instrText>
          </w:r>
          <w:r>
            <w:fldChar w:fldCharType="separate"/>
          </w:r>
          <w:hyperlink w:anchor="_Toc236257158" w:history="1">
            <w:r w:rsidRPr="009B7D31">
              <w:rPr>
                <w:rStyle w:val="Hyperlink"/>
                <w:noProof/>
              </w:rPr>
              <w:t>Abstract</w:t>
            </w:r>
            <w:r>
              <w:rPr>
                <w:noProof/>
                <w:webHidden/>
              </w:rPr>
              <w:tab/>
            </w:r>
            <w:r>
              <w:rPr>
                <w:noProof/>
                <w:webHidden/>
              </w:rPr>
              <w:fldChar w:fldCharType="begin"/>
            </w:r>
            <w:r>
              <w:rPr>
                <w:noProof/>
                <w:webHidden/>
              </w:rPr>
              <w:instrText xml:space="preserve"> PAGEREF _Toc236257158 \h </w:instrText>
            </w:r>
            <w:r>
              <w:rPr>
                <w:noProof/>
                <w:webHidden/>
              </w:rPr>
            </w:r>
            <w:r>
              <w:rPr>
                <w:noProof/>
                <w:webHidden/>
              </w:rPr>
              <w:fldChar w:fldCharType="separate"/>
            </w:r>
            <w:r>
              <w:rPr>
                <w:noProof/>
                <w:webHidden/>
              </w:rPr>
              <w:t>2</w:t>
            </w:r>
            <w:r>
              <w:rPr>
                <w:noProof/>
                <w:webHidden/>
              </w:rPr>
              <w:fldChar w:fldCharType="end"/>
            </w:r>
          </w:hyperlink>
        </w:p>
        <w:p w14:paraId="37CCB764" w14:textId="77777777" w:rsidR="00D97C04" w:rsidRDefault="00000000">
          <w:pPr>
            <w:pStyle w:val="TOC1"/>
            <w:tabs>
              <w:tab w:val="right" w:leader="dot" w:pos="9350"/>
            </w:tabs>
            <w:rPr>
              <w:noProof/>
            </w:rPr>
          </w:pPr>
          <w:hyperlink w:anchor="_Toc236257159" w:history="1">
            <w:r w:rsidR="00D97C04" w:rsidRPr="009B7D31">
              <w:rPr>
                <w:rStyle w:val="Hyperlink"/>
                <w:noProof/>
              </w:rPr>
              <w:t>1. Introduction</w:t>
            </w:r>
            <w:r w:rsidR="00D97C04">
              <w:rPr>
                <w:noProof/>
                <w:webHidden/>
              </w:rPr>
              <w:tab/>
            </w:r>
            <w:r w:rsidR="00D97C04">
              <w:rPr>
                <w:noProof/>
                <w:webHidden/>
              </w:rPr>
              <w:fldChar w:fldCharType="begin"/>
            </w:r>
            <w:r w:rsidR="00D97C04">
              <w:rPr>
                <w:noProof/>
                <w:webHidden/>
              </w:rPr>
              <w:instrText xml:space="preserve"> PAGEREF _Toc236257159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43A45776" w14:textId="77777777" w:rsidR="00D97C04" w:rsidRDefault="00000000">
          <w:pPr>
            <w:pStyle w:val="TOC1"/>
            <w:tabs>
              <w:tab w:val="right" w:leader="dot" w:pos="9350"/>
            </w:tabs>
            <w:rPr>
              <w:noProof/>
            </w:rPr>
          </w:pPr>
          <w:hyperlink w:anchor="_Toc236257160" w:history="1">
            <w:r w:rsidR="00D97C04" w:rsidRPr="009B7D31">
              <w:rPr>
                <w:rStyle w:val="Hyperlink"/>
                <w:noProof/>
              </w:rPr>
              <w:t>2. Review of Security and Governance Frameworks</w:t>
            </w:r>
            <w:r w:rsidR="00D97C04">
              <w:rPr>
                <w:noProof/>
                <w:webHidden/>
              </w:rPr>
              <w:tab/>
            </w:r>
            <w:r w:rsidR="00D97C04">
              <w:rPr>
                <w:noProof/>
                <w:webHidden/>
              </w:rPr>
              <w:fldChar w:fldCharType="begin"/>
            </w:r>
            <w:r w:rsidR="00D97C04">
              <w:rPr>
                <w:noProof/>
                <w:webHidden/>
              </w:rPr>
              <w:instrText xml:space="preserve"> PAGEREF _Toc236257160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12BC256F" w14:textId="77777777" w:rsidR="00D97C04" w:rsidRDefault="00000000">
          <w:pPr>
            <w:pStyle w:val="TOC2"/>
            <w:tabs>
              <w:tab w:val="right" w:leader="dot" w:pos="9350"/>
            </w:tabs>
            <w:rPr>
              <w:noProof/>
            </w:rPr>
          </w:pPr>
          <w:hyperlink w:anchor="_Toc236257161" w:history="1">
            <w:r w:rsidR="00D97C04" w:rsidRPr="009B7D31">
              <w:rPr>
                <w:rStyle w:val="Hyperlink"/>
                <w:noProof/>
              </w:rPr>
              <w:t>2.1 NIST Cybersecurity Framework (CSF) 2.0</w:t>
            </w:r>
            <w:r w:rsidR="00D97C04">
              <w:rPr>
                <w:noProof/>
                <w:webHidden/>
              </w:rPr>
              <w:tab/>
            </w:r>
            <w:r w:rsidR="00D97C04">
              <w:rPr>
                <w:noProof/>
                <w:webHidden/>
              </w:rPr>
              <w:fldChar w:fldCharType="begin"/>
            </w:r>
            <w:r w:rsidR="00D97C04">
              <w:rPr>
                <w:noProof/>
                <w:webHidden/>
              </w:rPr>
              <w:instrText xml:space="preserve"> PAGEREF _Toc236257161 \h </w:instrText>
            </w:r>
            <w:r w:rsidR="00D97C04">
              <w:rPr>
                <w:noProof/>
                <w:webHidden/>
              </w:rPr>
            </w:r>
            <w:r w:rsidR="00D97C04">
              <w:rPr>
                <w:noProof/>
                <w:webHidden/>
              </w:rPr>
              <w:fldChar w:fldCharType="separate"/>
            </w:r>
            <w:r w:rsidR="00D97C04">
              <w:rPr>
                <w:noProof/>
                <w:webHidden/>
              </w:rPr>
              <w:t>3</w:t>
            </w:r>
            <w:r w:rsidR="00D97C04">
              <w:rPr>
                <w:noProof/>
                <w:webHidden/>
              </w:rPr>
              <w:fldChar w:fldCharType="end"/>
            </w:r>
          </w:hyperlink>
        </w:p>
        <w:p w14:paraId="56F4C573" w14:textId="77777777" w:rsidR="00D97C04" w:rsidRDefault="00000000">
          <w:pPr>
            <w:pStyle w:val="TOC2"/>
            <w:tabs>
              <w:tab w:val="right" w:leader="dot" w:pos="9350"/>
            </w:tabs>
            <w:rPr>
              <w:noProof/>
            </w:rPr>
          </w:pPr>
          <w:hyperlink w:anchor="_Toc236257162" w:history="1">
            <w:r w:rsidR="00D97C04" w:rsidRPr="009B7D31">
              <w:rPr>
                <w:rStyle w:val="Hyperlink"/>
                <w:noProof/>
              </w:rPr>
              <w:t>2.2COBIT 2019</w:t>
            </w:r>
            <w:r w:rsidR="00D97C04">
              <w:rPr>
                <w:noProof/>
                <w:webHidden/>
              </w:rPr>
              <w:tab/>
            </w:r>
            <w:r w:rsidR="00D97C04">
              <w:rPr>
                <w:noProof/>
                <w:webHidden/>
              </w:rPr>
              <w:fldChar w:fldCharType="begin"/>
            </w:r>
            <w:r w:rsidR="00D97C04">
              <w:rPr>
                <w:noProof/>
                <w:webHidden/>
              </w:rPr>
              <w:instrText xml:space="preserve"> PAGEREF _Toc236257162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0747BA7A" w14:textId="77777777" w:rsidR="00D97C04" w:rsidRDefault="00000000">
          <w:pPr>
            <w:pStyle w:val="TOC2"/>
            <w:tabs>
              <w:tab w:val="right" w:leader="dot" w:pos="9350"/>
            </w:tabs>
            <w:rPr>
              <w:noProof/>
            </w:rPr>
          </w:pPr>
          <w:hyperlink w:anchor="_Toc236257163" w:history="1">
            <w:r w:rsidR="00D97C04" w:rsidRPr="009B7D31">
              <w:rPr>
                <w:rStyle w:val="Hyperlink"/>
                <w:noProof/>
              </w:rPr>
              <w:t>2.3 ISO/IEC 27000 Series</w:t>
            </w:r>
            <w:r w:rsidR="00D97C04">
              <w:rPr>
                <w:noProof/>
                <w:webHidden/>
              </w:rPr>
              <w:tab/>
            </w:r>
            <w:r w:rsidR="00D97C04">
              <w:rPr>
                <w:noProof/>
                <w:webHidden/>
              </w:rPr>
              <w:fldChar w:fldCharType="begin"/>
            </w:r>
            <w:r w:rsidR="00D97C04">
              <w:rPr>
                <w:noProof/>
                <w:webHidden/>
              </w:rPr>
              <w:instrText xml:space="preserve"> PAGEREF _Toc236257163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65C98ACC" w14:textId="77777777" w:rsidR="00D97C04" w:rsidRDefault="00000000">
          <w:pPr>
            <w:pStyle w:val="TOC2"/>
            <w:tabs>
              <w:tab w:val="right" w:leader="dot" w:pos="9350"/>
            </w:tabs>
            <w:rPr>
              <w:noProof/>
            </w:rPr>
          </w:pPr>
          <w:hyperlink w:anchor="_Toc236257164" w:history="1">
            <w:r w:rsidR="00D97C04" w:rsidRPr="009B7D31">
              <w:rPr>
                <w:rStyle w:val="Hyperlink"/>
                <w:noProof/>
              </w:rPr>
              <w:t>2.4 IT Infrastructure Library (ITIL)</w:t>
            </w:r>
            <w:r w:rsidR="00D97C04">
              <w:rPr>
                <w:noProof/>
                <w:webHidden/>
              </w:rPr>
              <w:tab/>
            </w:r>
            <w:r w:rsidR="00D97C04">
              <w:rPr>
                <w:noProof/>
                <w:webHidden/>
              </w:rPr>
              <w:fldChar w:fldCharType="begin"/>
            </w:r>
            <w:r w:rsidR="00D97C04">
              <w:rPr>
                <w:noProof/>
                <w:webHidden/>
              </w:rPr>
              <w:instrText xml:space="preserve"> PAGEREF _Toc236257164 \h </w:instrText>
            </w:r>
            <w:r w:rsidR="00D97C04">
              <w:rPr>
                <w:noProof/>
                <w:webHidden/>
              </w:rPr>
            </w:r>
            <w:r w:rsidR="00D97C04">
              <w:rPr>
                <w:noProof/>
                <w:webHidden/>
              </w:rPr>
              <w:fldChar w:fldCharType="separate"/>
            </w:r>
            <w:r w:rsidR="00D97C04">
              <w:rPr>
                <w:noProof/>
                <w:webHidden/>
              </w:rPr>
              <w:t>4</w:t>
            </w:r>
            <w:r w:rsidR="00D97C04">
              <w:rPr>
                <w:noProof/>
                <w:webHidden/>
              </w:rPr>
              <w:fldChar w:fldCharType="end"/>
            </w:r>
          </w:hyperlink>
        </w:p>
        <w:p w14:paraId="7FDEA1F3" w14:textId="77777777" w:rsidR="00D97C04" w:rsidRDefault="00000000">
          <w:pPr>
            <w:pStyle w:val="TOC1"/>
            <w:tabs>
              <w:tab w:val="right" w:leader="dot" w:pos="9350"/>
            </w:tabs>
            <w:rPr>
              <w:noProof/>
            </w:rPr>
          </w:pPr>
          <w:hyperlink w:anchor="_Toc236257165" w:history="1">
            <w:r w:rsidR="00D97C04" w:rsidRPr="009B7D31">
              <w:rPr>
                <w:rStyle w:val="Hyperlink"/>
                <w:noProof/>
              </w:rPr>
              <w:t>3.Proposed Governance, Risk, and Compliance Design for AeroLink Logistics</w:t>
            </w:r>
            <w:r w:rsidR="00D97C04">
              <w:rPr>
                <w:noProof/>
                <w:webHidden/>
              </w:rPr>
              <w:tab/>
            </w:r>
            <w:r w:rsidR="00D97C04">
              <w:rPr>
                <w:noProof/>
                <w:webHidden/>
              </w:rPr>
              <w:fldChar w:fldCharType="begin"/>
            </w:r>
            <w:r w:rsidR="00D97C04">
              <w:rPr>
                <w:noProof/>
                <w:webHidden/>
              </w:rPr>
              <w:instrText xml:space="preserve"> PAGEREF _Toc236257165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1AF7F26C" w14:textId="77777777" w:rsidR="00D97C04" w:rsidRDefault="00000000">
          <w:pPr>
            <w:pStyle w:val="TOC2"/>
            <w:tabs>
              <w:tab w:val="right" w:leader="dot" w:pos="9350"/>
            </w:tabs>
            <w:rPr>
              <w:noProof/>
            </w:rPr>
          </w:pPr>
          <w:hyperlink w:anchor="_Toc236257166" w:history="1">
            <w:r w:rsidR="00D97C04" w:rsidRPr="009B7D31">
              <w:rPr>
                <w:rStyle w:val="Hyperlink"/>
                <w:noProof/>
              </w:rPr>
              <w:t>3.1 Governance and Strategic Planning for Security</w:t>
            </w:r>
            <w:r w:rsidR="00D97C04">
              <w:rPr>
                <w:noProof/>
                <w:webHidden/>
              </w:rPr>
              <w:tab/>
            </w:r>
            <w:r w:rsidR="00D97C04">
              <w:rPr>
                <w:noProof/>
                <w:webHidden/>
              </w:rPr>
              <w:fldChar w:fldCharType="begin"/>
            </w:r>
            <w:r w:rsidR="00D97C04">
              <w:rPr>
                <w:noProof/>
                <w:webHidden/>
              </w:rPr>
              <w:instrText xml:space="preserve"> PAGEREF _Toc236257166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351BD88D" w14:textId="77777777" w:rsidR="00D97C04" w:rsidRDefault="00000000">
          <w:pPr>
            <w:pStyle w:val="TOC2"/>
            <w:tabs>
              <w:tab w:val="right" w:leader="dot" w:pos="9350"/>
            </w:tabs>
            <w:rPr>
              <w:noProof/>
            </w:rPr>
          </w:pPr>
          <w:hyperlink w:anchor="_Toc236257167" w:history="1">
            <w:r w:rsidR="00D97C04" w:rsidRPr="009B7D31">
              <w:rPr>
                <w:rStyle w:val="Hyperlink"/>
                <w:noProof/>
              </w:rPr>
              <w:t>3.2Compliance: Laws, Ethics, and Standards</w:t>
            </w:r>
            <w:r w:rsidR="00D97C04">
              <w:rPr>
                <w:noProof/>
                <w:webHidden/>
              </w:rPr>
              <w:tab/>
            </w:r>
            <w:r w:rsidR="00D97C04">
              <w:rPr>
                <w:noProof/>
                <w:webHidden/>
              </w:rPr>
              <w:fldChar w:fldCharType="begin"/>
            </w:r>
            <w:r w:rsidR="00D97C04">
              <w:rPr>
                <w:noProof/>
                <w:webHidden/>
              </w:rPr>
              <w:instrText xml:space="preserve"> PAGEREF _Toc236257167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084F5F5C" w14:textId="77777777" w:rsidR="00D97C04" w:rsidRDefault="00000000">
          <w:pPr>
            <w:pStyle w:val="TOC2"/>
            <w:tabs>
              <w:tab w:val="right" w:leader="dot" w:pos="9350"/>
            </w:tabs>
            <w:rPr>
              <w:noProof/>
            </w:rPr>
          </w:pPr>
          <w:hyperlink w:anchor="_Toc236257168" w:history="1">
            <w:r w:rsidR="00D97C04" w:rsidRPr="009B7D31">
              <w:rPr>
                <w:rStyle w:val="Hyperlink"/>
                <w:noProof/>
              </w:rPr>
              <w:t>3.3 Security Policies and Procedures</w:t>
            </w:r>
            <w:r w:rsidR="00D97C04">
              <w:rPr>
                <w:noProof/>
                <w:webHidden/>
              </w:rPr>
              <w:tab/>
            </w:r>
            <w:r w:rsidR="00D97C04">
              <w:rPr>
                <w:noProof/>
                <w:webHidden/>
              </w:rPr>
              <w:fldChar w:fldCharType="begin"/>
            </w:r>
            <w:r w:rsidR="00D97C04">
              <w:rPr>
                <w:noProof/>
                <w:webHidden/>
              </w:rPr>
              <w:instrText xml:space="preserve"> PAGEREF _Toc236257168 \h </w:instrText>
            </w:r>
            <w:r w:rsidR="00D97C04">
              <w:rPr>
                <w:noProof/>
                <w:webHidden/>
              </w:rPr>
            </w:r>
            <w:r w:rsidR="00D97C04">
              <w:rPr>
                <w:noProof/>
                <w:webHidden/>
              </w:rPr>
              <w:fldChar w:fldCharType="separate"/>
            </w:r>
            <w:r w:rsidR="00D97C04">
              <w:rPr>
                <w:noProof/>
                <w:webHidden/>
              </w:rPr>
              <w:t>5</w:t>
            </w:r>
            <w:r w:rsidR="00D97C04">
              <w:rPr>
                <w:noProof/>
                <w:webHidden/>
              </w:rPr>
              <w:fldChar w:fldCharType="end"/>
            </w:r>
          </w:hyperlink>
        </w:p>
        <w:p w14:paraId="680A007F" w14:textId="77777777" w:rsidR="00D97C04" w:rsidRDefault="00000000">
          <w:pPr>
            <w:pStyle w:val="TOC2"/>
            <w:tabs>
              <w:tab w:val="right" w:leader="dot" w:pos="9350"/>
            </w:tabs>
            <w:rPr>
              <w:noProof/>
            </w:rPr>
          </w:pPr>
          <w:hyperlink w:anchor="_Toc236257169" w:history="1">
            <w:r w:rsidR="00D97C04" w:rsidRPr="009B7D31">
              <w:rPr>
                <w:rStyle w:val="Hyperlink"/>
                <w:noProof/>
              </w:rPr>
              <w:t>3.4 Risk Management and Assessment</w:t>
            </w:r>
            <w:r w:rsidR="00D97C04">
              <w:rPr>
                <w:noProof/>
                <w:webHidden/>
              </w:rPr>
              <w:tab/>
            </w:r>
            <w:r w:rsidR="00D97C04">
              <w:rPr>
                <w:noProof/>
                <w:webHidden/>
              </w:rPr>
              <w:fldChar w:fldCharType="begin"/>
            </w:r>
            <w:r w:rsidR="00D97C04">
              <w:rPr>
                <w:noProof/>
                <w:webHidden/>
              </w:rPr>
              <w:instrText xml:space="preserve"> PAGEREF _Toc236257169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62C1EB31" w14:textId="77777777" w:rsidR="00D97C04" w:rsidRDefault="00000000">
          <w:pPr>
            <w:pStyle w:val="TOC2"/>
            <w:tabs>
              <w:tab w:val="right" w:leader="dot" w:pos="9350"/>
            </w:tabs>
            <w:rPr>
              <w:noProof/>
            </w:rPr>
          </w:pPr>
          <w:hyperlink w:anchor="_Toc236257170" w:history="1">
            <w:r w:rsidR="00D97C04" w:rsidRPr="009B7D31">
              <w:rPr>
                <w:rStyle w:val="Hyperlink"/>
                <w:noProof/>
              </w:rPr>
              <w:t>3.5 Security Management Models and Practices — Zero Trust for Remote and IoT Access</w:t>
            </w:r>
            <w:r w:rsidR="00D97C04">
              <w:rPr>
                <w:noProof/>
                <w:webHidden/>
              </w:rPr>
              <w:tab/>
            </w:r>
            <w:r w:rsidR="00D97C04">
              <w:rPr>
                <w:noProof/>
                <w:webHidden/>
              </w:rPr>
              <w:fldChar w:fldCharType="begin"/>
            </w:r>
            <w:r w:rsidR="00D97C04">
              <w:rPr>
                <w:noProof/>
                <w:webHidden/>
              </w:rPr>
              <w:instrText xml:space="preserve"> PAGEREF _Toc236257170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44689596" w14:textId="77777777" w:rsidR="00D97C04" w:rsidRDefault="00000000">
          <w:pPr>
            <w:pStyle w:val="TOC2"/>
            <w:tabs>
              <w:tab w:val="right" w:leader="dot" w:pos="9350"/>
            </w:tabs>
            <w:rPr>
              <w:noProof/>
            </w:rPr>
          </w:pPr>
          <w:hyperlink w:anchor="_Toc236257171" w:history="1">
            <w:r w:rsidR="00D97C04" w:rsidRPr="009B7D31">
              <w:rPr>
                <w:rStyle w:val="Hyperlink"/>
                <w:noProof/>
              </w:rPr>
              <w:t>3.6 Contingency and Business Continuity Planning</w:t>
            </w:r>
            <w:r w:rsidR="00D97C04">
              <w:rPr>
                <w:noProof/>
                <w:webHidden/>
              </w:rPr>
              <w:tab/>
            </w:r>
            <w:r w:rsidR="00D97C04">
              <w:rPr>
                <w:noProof/>
                <w:webHidden/>
              </w:rPr>
              <w:fldChar w:fldCharType="begin"/>
            </w:r>
            <w:r w:rsidR="00D97C04">
              <w:rPr>
                <w:noProof/>
                <w:webHidden/>
              </w:rPr>
              <w:instrText xml:space="preserve"> PAGEREF _Toc236257171 \h </w:instrText>
            </w:r>
            <w:r w:rsidR="00D97C04">
              <w:rPr>
                <w:noProof/>
                <w:webHidden/>
              </w:rPr>
            </w:r>
            <w:r w:rsidR="00D97C04">
              <w:rPr>
                <w:noProof/>
                <w:webHidden/>
              </w:rPr>
              <w:fldChar w:fldCharType="separate"/>
            </w:r>
            <w:r w:rsidR="00D97C04">
              <w:rPr>
                <w:noProof/>
                <w:webHidden/>
              </w:rPr>
              <w:t>6</w:t>
            </w:r>
            <w:r w:rsidR="00D97C04">
              <w:rPr>
                <w:noProof/>
                <w:webHidden/>
              </w:rPr>
              <w:fldChar w:fldCharType="end"/>
            </w:r>
          </w:hyperlink>
        </w:p>
        <w:p w14:paraId="7B3F6CB6" w14:textId="77777777" w:rsidR="00D97C04" w:rsidRDefault="00000000">
          <w:pPr>
            <w:pStyle w:val="TOC2"/>
            <w:tabs>
              <w:tab w:val="right" w:leader="dot" w:pos="9350"/>
            </w:tabs>
            <w:rPr>
              <w:noProof/>
            </w:rPr>
          </w:pPr>
          <w:hyperlink w:anchor="_Toc236257172" w:history="1">
            <w:r w:rsidR="00D97C04" w:rsidRPr="009B7D31">
              <w:rPr>
                <w:rStyle w:val="Hyperlink"/>
                <w:noProof/>
              </w:rPr>
              <w:t>3.7 Protection Mechanisms and Access Controls</w:t>
            </w:r>
            <w:r w:rsidR="00D97C04">
              <w:rPr>
                <w:noProof/>
                <w:webHidden/>
              </w:rPr>
              <w:tab/>
            </w:r>
            <w:r w:rsidR="00D97C04">
              <w:rPr>
                <w:noProof/>
                <w:webHidden/>
              </w:rPr>
              <w:fldChar w:fldCharType="begin"/>
            </w:r>
            <w:r w:rsidR="00D97C04">
              <w:rPr>
                <w:noProof/>
                <w:webHidden/>
              </w:rPr>
              <w:instrText xml:space="preserve"> PAGEREF _Toc236257172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4B3A7E6C" w14:textId="77777777" w:rsidR="00D97C04" w:rsidRDefault="00000000">
          <w:pPr>
            <w:pStyle w:val="TOC2"/>
            <w:tabs>
              <w:tab w:val="right" w:leader="dot" w:pos="9350"/>
            </w:tabs>
            <w:rPr>
              <w:noProof/>
            </w:rPr>
          </w:pPr>
          <w:hyperlink w:anchor="_Toc236257173" w:history="1">
            <w:r w:rsidR="00D97C04" w:rsidRPr="009B7D31">
              <w:rPr>
                <w:rStyle w:val="Hyperlink"/>
                <w:noProof/>
              </w:rPr>
              <w:t>3.8 Vendor and Service Level Agreement (SLA) Management</w:t>
            </w:r>
            <w:r w:rsidR="00D97C04">
              <w:rPr>
                <w:noProof/>
                <w:webHidden/>
              </w:rPr>
              <w:tab/>
            </w:r>
            <w:r w:rsidR="00D97C04">
              <w:rPr>
                <w:noProof/>
                <w:webHidden/>
              </w:rPr>
              <w:fldChar w:fldCharType="begin"/>
            </w:r>
            <w:r w:rsidR="00D97C04">
              <w:rPr>
                <w:noProof/>
                <w:webHidden/>
              </w:rPr>
              <w:instrText xml:space="preserve"> PAGEREF _Toc236257173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1E10DC43" w14:textId="77777777" w:rsidR="00D97C04" w:rsidRDefault="00000000">
          <w:pPr>
            <w:pStyle w:val="TOC1"/>
            <w:tabs>
              <w:tab w:val="right" w:leader="dot" w:pos="9350"/>
            </w:tabs>
            <w:rPr>
              <w:noProof/>
            </w:rPr>
          </w:pPr>
          <w:hyperlink w:anchor="_Toc236257174" w:history="1">
            <w:r w:rsidR="00D97C04" w:rsidRPr="009B7D31">
              <w:rPr>
                <w:rStyle w:val="Hyperlink"/>
                <w:noProof/>
              </w:rPr>
              <w:t>4. WHY CONTINUOUS REGULATORY AND STANDARDS CURRENCY IS GOOD PRACTICE</w:t>
            </w:r>
            <w:r w:rsidR="00D97C04">
              <w:rPr>
                <w:noProof/>
                <w:webHidden/>
              </w:rPr>
              <w:tab/>
            </w:r>
            <w:r w:rsidR="00D97C04">
              <w:rPr>
                <w:noProof/>
                <w:webHidden/>
              </w:rPr>
              <w:fldChar w:fldCharType="begin"/>
            </w:r>
            <w:r w:rsidR="00D97C04">
              <w:rPr>
                <w:noProof/>
                <w:webHidden/>
              </w:rPr>
              <w:instrText xml:space="preserve"> PAGEREF _Toc236257174 \h </w:instrText>
            </w:r>
            <w:r w:rsidR="00D97C04">
              <w:rPr>
                <w:noProof/>
                <w:webHidden/>
              </w:rPr>
            </w:r>
            <w:r w:rsidR="00D97C04">
              <w:rPr>
                <w:noProof/>
                <w:webHidden/>
              </w:rPr>
              <w:fldChar w:fldCharType="separate"/>
            </w:r>
            <w:r w:rsidR="00D97C04">
              <w:rPr>
                <w:noProof/>
                <w:webHidden/>
              </w:rPr>
              <w:t>7</w:t>
            </w:r>
            <w:r w:rsidR="00D97C04">
              <w:rPr>
                <w:noProof/>
                <w:webHidden/>
              </w:rPr>
              <w:fldChar w:fldCharType="end"/>
            </w:r>
          </w:hyperlink>
        </w:p>
        <w:p w14:paraId="07DEC6D1" w14:textId="77777777" w:rsidR="00D97C04" w:rsidRDefault="00000000">
          <w:pPr>
            <w:pStyle w:val="TOC1"/>
            <w:tabs>
              <w:tab w:val="right" w:leader="dot" w:pos="9350"/>
            </w:tabs>
            <w:rPr>
              <w:noProof/>
            </w:rPr>
          </w:pPr>
          <w:hyperlink w:anchor="_Toc236257175" w:history="1">
            <w:r w:rsidR="00D97C04" w:rsidRPr="009B7D31">
              <w:rPr>
                <w:rStyle w:val="Hyperlink"/>
                <w:noProof/>
              </w:rPr>
              <w:t>5. ASSUMPTIONS</w:t>
            </w:r>
            <w:r w:rsidR="00D97C04">
              <w:rPr>
                <w:noProof/>
                <w:webHidden/>
              </w:rPr>
              <w:tab/>
            </w:r>
            <w:r w:rsidR="00D97C04">
              <w:rPr>
                <w:noProof/>
                <w:webHidden/>
              </w:rPr>
              <w:fldChar w:fldCharType="begin"/>
            </w:r>
            <w:r w:rsidR="00D97C04">
              <w:rPr>
                <w:noProof/>
                <w:webHidden/>
              </w:rPr>
              <w:instrText xml:space="preserve"> PAGEREF _Toc236257175 \h </w:instrText>
            </w:r>
            <w:r w:rsidR="00D97C04">
              <w:rPr>
                <w:noProof/>
                <w:webHidden/>
              </w:rPr>
            </w:r>
            <w:r w:rsidR="00D97C04">
              <w:rPr>
                <w:noProof/>
                <w:webHidden/>
              </w:rPr>
              <w:fldChar w:fldCharType="separate"/>
            </w:r>
            <w:r w:rsidR="00D97C04">
              <w:rPr>
                <w:noProof/>
                <w:webHidden/>
              </w:rPr>
              <w:t>8</w:t>
            </w:r>
            <w:r w:rsidR="00D97C04">
              <w:rPr>
                <w:noProof/>
                <w:webHidden/>
              </w:rPr>
              <w:fldChar w:fldCharType="end"/>
            </w:r>
          </w:hyperlink>
        </w:p>
        <w:p w14:paraId="087DF68D" w14:textId="77777777" w:rsidR="00D97C04" w:rsidRDefault="00000000">
          <w:pPr>
            <w:pStyle w:val="TOC1"/>
            <w:tabs>
              <w:tab w:val="right" w:leader="dot" w:pos="9350"/>
            </w:tabs>
            <w:rPr>
              <w:noProof/>
            </w:rPr>
          </w:pPr>
          <w:hyperlink w:anchor="_Toc236257176" w:history="1">
            <w:r w:rsidR="00D97C04" w:rsidRPr="009B7D31">
              <w:rPr>
                <w:rStyle w:val="Hyperlink"/>
                <w:noProof/>
              </w:rPr>
              <w:t>6. CONCLUSION</w:t>
            </w:r>
            <w:r w:rsidR="00D97C04">
              <w:rPr>
                <w:noProof/>
                <w:webHidden/>
              </w:rPr>
              <w:tab/>
            </w:r>
            <w:r w:rsidR="00D97C04">
              <w:rPr>
                <w:noProof/>
                <w:webHidden/>
              </w:rPr>
              <w:fldChar w:fldCharType="begin"/>
            </w:r>
            <w:r w:rsidR="00D97C04">
              <w:rPr>
                <w:noProof/>
                <w:webHidden/>
              </w:rPr>
              <w:instrText xml:space="preserve"> PAGEREF _Toc236257176 \h </w:instrText>
            </w:r>
            <w:r w:rsidR="00D97C04">
              <w:rPr>
                <w:noProof/>
                <w:webHidden/>
              </w:rPr>
            </w:r>
            <w:r w:rsidR="00D97C04">
              <w:rPr>
                <w:noProof/>
                <w:webHidden/>
              </w:rPr>
              <w:fldChar w:fldCharType="separate"/>
            </w:r>
            <w:r w:rsidR="00D97C04">
              <w:rPr>
                <w:noProof/>
                <w:webHidden/>
              </w:rPr>
              <w:t>9</w:t>
            </w:r>
            <w:r w:rsidR="00D97C04">
              <w:rPr>
                <w:noProof/>
                <w:webHidden/>
              </w:rPr>
              <w:fldChar w:fldCharType="end"/>
            </w:r>
          </w:hyperlink>
        </w:p>
        <w:p w14:paraId="636842A8" w14:textId="77777777" w:rsidR="00D97C04" w:rsidRDefault="00000000">
          <w:pPr>
            <w:pStyle w:val="TOC1"/>
            <w:tabs>
              <w:tab w:val="right" w:leader="dot" w:pos="9350"/>
            </w:tabs>
            <w:rPr>
              <w:noProof/>
            </w:rPr>
          </w:pPr>
          <w:hyperlink w:anchor="_Toc236257177" w:history="1">
            <w:r w:rsidR="00D97C04" w:rsidRPr="009B7D31">
              <w:rPr>
                <w:rStyle w:val="Hyperlink"/>
                <w:noProof/>
              </w:rPr>
              <w:t>References</w:t>
            </w:r>
            <w:r w:rsidR="00D97C04">
              <w:rPr>
                <w:noProof/>
                <w:webHidden/>
              </w:rPr>
              <w:tab/>
            </w:r>
            <w:r w:rsidR="00D97C04">
              <w:rPr>
                <w:noProof/>
                <w:webHidden/>
              </w:rPr>
              <w:fldChar w:fldCharType="begin"/>
            </w:r>
            <w:r w:rsidR="00D97C04">
              <w:rPr>
                <w:noProof/>
                <w:webHidden/>
              </w:rPr>
              <w:instrText xml:space="preserve"> PAGEREF _Toc236257177 \h </w:instrText>
            </w:r>
            <w:r w:rsidR="00D97C04">
              <w:rPr>
                <w:noProof/>
                <w:webHidden/>
              </w:rPr>
            </w:r>
            <w:r w:rsidR="00D97C04">
              <w:rPr>
                <w:noProof/>
                <w:webHidden/>
              </w:rPr>
              <w:fldChar w:fldCharType="separate"/>
            </w:r>
            <w:r w:rsidR="00D97C04">
              <w:rPr>
                <w:noProof/>
                <w:webHidden/>
              </w:rPr>
              <w:t>10</w:t>
            </w:r>
            <w:r w:rsidR="00D97C04">
              <w:rPr>
                <w:noProof/>
                <w:webHidden/>
              </w:rPr>
              <w:fldChar w:fldCharType="end"/>
            </w:r>
          </w:hyperlink>
        </w:p>
        <w:p w14:paraId="31D21327" w14:textId="77777777" w:rsidR="00D97C04" w:rsidRDefault="00D97C04">
          <w:r>
            <w:rPr>
              <w:b/>
              <w:bCs/>
              <w:noProof/>
            </w:rPr>
            <w:fldChar w:fldCharType="end"/>
          </w:r>
        </w:p>
      </w:sdtContent>
    </w:sdt>
    <w:p w14:paraId="63359D20" w14:textId="77777777" w:rsidR="00D97C04" w:rsidRDefault="00D97C04" w:rsidP="00D97C04">
      <w:pPr>
        <w:spacing w:after="80"/>
      </w:pPr>
    </w:p>
    <w:p w14:paraId="1AD9CC4A" w14:textId="77777777" w:rsidR="00D97C04" w:rsidRDefault="00D97C04" w:rsidP="00D97C04">
      <w:pPr>
        <w:spacing w:after="80"/>
      </w:pPr>
    </w:p>
    <w:p w14:paraId="307EE96F" w14:textId="77777777" w:rsidR="00D97C04" w:rsidRDefault="00D97C04" w:rsidP="00D97C04">
      <w:pPr>
        <w:spacing w:after="80"/>
      </w:pPr>
    </w:p>
    <w:p w14:paraId="0FCE03CB" w14:textId="77777777" w:rsidR="00D97C04" w:rsidRDefault="00D97C04" w:rsidP="00D97C04">
      <w:pPr>
        <w:spacing w:after="80"/>
      </w:pPr>
    </w:p>
    <w:p w14:paraId="6D744C9F" w14:textId="77777777" w:rsidR="00D97C04" w:rsidRDefault="00D97C04" w:rsidP="00D97C04">
      <w:pPr>
        <w:spacing w:after="80"/>
      </w:pPr>
    </w:p>
    <w:p w14:paraId="21AC73B6" w14:textId="77777777" w:rsidR="00D97C04" w:rsidRDefault="00D97C04" w:rsidP="00D97C04">
      <w:pPr>
        <w:spacing w:after="80"/>
      </w:pPr>
    </w:p>
    <w:p w14:paraId="6FDFE202" w14:textId="77777777" w:rsidR="00D97C04" w:rsidRDefault="00D97C04" w:rsidP="00D97C04">
      <w:pPr>
        <w:spacing w:after="80"/>
      </w:pPr>
    </w:p>
    <w:p w14:paraId="7AEE5F35" w14:textId="77777777" w:rsidR="00D97C04" w:rsidRDefault="00D97C04" w:rsidP="00D97C04">
      <w:pPr>
        <w:spacing w:after="80"/>
      </w:pPr>
    </w:p>
    <w:p w14:paraId="25C77775" w14:textId="77777777" w:rsidR="00D97C04" w:rsidRDefault="00D97C04" w:rsidP="00D97C04">
      <w:pPr>
        <w:spacing w:after="80"/>
      </w:pPr>
    </w:p>
    <w:p w14:paraId="703E7913" w14:textId="77777777" w:rsidR="00D97C04" w:rsidRDefault="00D97C04" w:rsidP="00D97C04">
      <w:pPr>
        <w:spacing w:after="80"/>
      </w:pPr>
    </w:p>
    <w:p w14:paraId="27B7C93C" w14:textId="77777777" w:rsidR="00D97C04" w:rsidRDefault="00D97C04" w:rsidP="00D97C04">
      <w:pPr>
        <w:spacing w:after="80"/>
      </w:pPr>
    </w:p>
    <w:p w14:paraId="50AFDC09" w14:textId="77777777" w:rsidR="00D97C04" w:rsidRDefault="00D97C04" w:rsidP="00D97C04">
      <w:pPr>
        <w:spacing w:after="80"/>
      </w:pPr>
    </w:p>
    <w:p w14:paraId="05992BED" w14:textId="77777777" w:rsidR="00D97C04" w:rsidRDefault="00D97C04" w:rsidP="00D97C04">
      <w:pPr>
        <w:spacing w:after="80"/>
      </w:pPr>
    </w:p>
    <w:p w14:paraId="6036D0BA" w14:textId="77777777" w:rsidR="00D97C04" w:rsidRDefault="00D97C04" w:rsidP="00D97C04">
      <w:pPr>
        <w:spacing w:after="80"/>
      </w:pPr>
    </w:p>
    <w:p w14:paraId="31F2612A" w14:textId="77777777" w:rsidR="00D97C04" w:rsidRDefault="00D97C04" w:rsidP="00D97C04">
      <w:pPr>
        <w:spacing w:after="80"/>
      </w:pPr>
    </w:p>
    <w:p w14:paraId="3A8649D2" w14:textId="77777777" w:rsidR="00D97C04" w:rsidRDefault="00D97C04" w:rsidP="00D97C04">
      <w:pPr>
        <w:spacing w:after="80"/>
      </w:pPr>
    </w:p>
    <w:p w14:paraId="4CCAD4A8" w14:textId="77777777" w:rsidR="00D97C04" w:rsidRPr="00D26538" w:rsidRDefault="00D97C04" w:rsidP="00D97C04">
      <w:pPr>
        <w:spacing w:after="80"/>
      </w:pPr>
    </w:p>
    <w:p w14:paraId="1C4D02EE" w14:textId="77777777" w:rsidR="00464636" w:rsidRDefault="00000000">
      <w:pPr>
        <w:pStyle w:val="Heading1"/>
        <w:spacing w:before="320" w:after="160"/>
      </w:pPr>
      <w:bookmarkStart w:id="0" w:name="_Toc236257158"/>
      <w:r>
        <w:lastRenderedPageBreak/>
        <w:t>Abstract</w:t>
      </w:r>
      <w:bookmarkEnd w:id="0"/>
    </w:p>
    <w:p w14:paraId="51762C64" w14:textId="77777777" w:rsidR="009B38CC" w:rsidRPr="009B38CC" w:rsidRDefault="009B38CC" w:rsidP="009B38CC">
      <w:pPr>
        <w:rPr>
          <w:sz w:val="24"/>
          <w:szCs w:val="24"/>
        </w:rPr>
      </w:pPr>
      <w:r w:rsidRPr="009B38CC">
        <w:rPr>
          <w:sz w:val="24"/>
          <w:szCs w:val="24"/>
        </w:rPr>
        <w:t xml:space="preserve">The multinational logistics company </w:t>
      </w:r>
      <w:proofErr w:type="spellStart"/>
      <w:r w:rsidRPr="009B38CC">
        <w:rPr>
          <w:sz w:val="24"/>
          <w:szCs w:val="24"/>
        </w:rPr>
        <w:t>AeroLink</w:t>
      </w:r>
      <w:proofErr w:type="spellEnd"/>
      <w:r w:rsidRPr="009B38CC">
        <w:rPr>
          <w:sz w:val="24"/>
          <w:szCs w:val="24"/>
        </w:rPr>
        <w:t xml:space="preserve"> Logistics (ALL) has experienced numerous breaches of client shipment data and personally identifiable information (PII) due to its reliance on cloud infrastructure, Internet of Things (IoT) tracking sensors, artificial intelligence (AI) analytics, heavy outsourcing, and an immature governance structure. In order to create a custom governance, risk, and compliance (GRC) design for ALL, this paper examines four widely used security and governance frameworks: the NIST Cybersecurity Framework (CSF) 2.0, COBIT 2019, the ISO/IEC 27000 series, and the IT Infrastructure Library (ITIL).</w:t>
      </w:r>
      <w:r w:rsidRPr="009B38CC">
        <w:t xml:space="preserve"> </w:t>
      </w:r>
      <w:r w:rsidRPr="009B38CC">
        <w:rPr>
          <w:sz w:val="24"/>
          <w:szCs w:val="24"/>
        </w:rPr>
        <w:t>A three-line-of-</w:t>
      </w:r>
      <w:proofErr w:type="spellStart"/>
      <w:r w:rsidRPr="009B38CC">
        <w:rPr>
          <w:sz w:val="24"/>
          <w:szCs w:val="24"/>
        </w:rPr>
        <w:t>defense</w:t>
      </w:r>
      <w:proofErr w:type="spellEnd"/>
      <w:r w:rsidRPr="009B38CC">
        <w:rPr>
          <w:sz w:val="24"/>
          <w:szCs w:val="24"/>
        </w:rPr>
        <w:t xml:space="preserve"> governance structure, a risk-based compliance program in line with ISO/IEC 27001:2022 and the General Data Protection Regulation (GDPR), a zero-trust access control model appropriate for unmanaged remote-access devices, a vendor and service level agreement (SLA) accountability model for the 88% outsourced estate, and a business continuity and incident response capability are all integrated into the proposed design. In light of new technologies, changing dangers, and demands for worldwide compliance, the paper's conclusion critically examines the benefits of ongoing regulatory and standards currency and outlines the underlying presumptions.</w:t>
      </w:r>
    </w:p>
    <w:p w14:paraId="3D91E08E" w14:textId="77777777" w:rsidR="009B30D8" w:rsidRDefault="009B30D8" w:rsidP="009B38CC">
      <w:pPr>
        <w:rPr>
          <w:sz w:val="24"/>
          <w:szCs w:val="24"/>
        </w:rPr>
      </w:pPr>
      <w:r w:rsidRPr="009B30D8">
        <w:rPr>
          <w:b/>
          <w:bCs/>
          <w:sz w:val="24"/>
          <w:szCs w:val="24"/>
        </w:rPr>
        <w:t xml:space="preserve">Keywords— </w:t>
      </w:r>
      <w:r w:rsidRPr="009B30D8">
        <w:rPr>
          <w:sz w:val="24"/>
          <w:szCs w:val="24"/>
        </w:rPr>
        <w:t>Cybersecurity governance, NIST CSF 2.0, COBIT 2019, ISO/IEC 27001, GDPR, third-party risk, zero trust, business continuity, supply chain security.</w:t>
      </w:r>
    </w:p>
    <w:p w14:paraId="20607477" w14:textId="77777777" w:rsidR="00D97C04" w:rsidRDefault="00D97C04" w:rsidP="009B30D8">
      <w:pPr>
        <w:spacing w:after="240"/>
        <w:jc w:val="both"/>
        <w:rPr>
          <w:sz w:val="24"/>
          <w:szCs w:val="24"/>
        </w:rPr>
      </w:pPr>
    </w:p>
    <w:p w14:paraId="2F60BAA5" w14:textId="77777777" w:rsidR="00D97C04" w:rsidRDefault="00D97C04" w:rsidP="009B30D8">
      <w:pPr>
        <w:spacing w:after="240"/>
        <w:jc w:val="both"/>
        <w:rPr>
          <w:sz w:val="24"/>
          <w:szCs w:val="24"/>
        </w:rPr>
      </w:pPr>
    </w:p>
    <w:p w14:paraId="2CE5155F" w14:textId="77777777" w:rsidR="00D97C04" w:rsidRDefault="00D97C04" w:rsidP="009B30D8">
      <w:pPr>
        <w:spacing w:after="240"/>
        <w:jc w:val="both"/>
        <w:rPr>
          <w:sz w:val="24"/>
          <w:szCs w:val="24"/>
        </w:rPr>
      </w:pPr>
    </w:p>
    <w:p w14:paraId="6B71B7A6" w14:textId="77777777" w:rsidR="00D97C04" w:rsidRDefault="00D97C04" w:rsidP="009B30D8">
      <w:pPr>
        <w:spacing w:after="240"/>
        <w:jc w:val="both"/>
        <w:rPr>
          <w:sz w:val="24"/>
          <w:szCs w:val="24"/>
        </w:rPr>
      </w:pPr>
    </w:p>
    <w:p w14:paraId="049F48DB" w14:textId="77777777" w:rsidR="00D97C04" w:rsidRDefault="00D97C04" w:rsidP="009B30D8">
      <w:pPr>
        <w:spacing w:after="240"/>
        <w:jc w:val="both"/>
        <w:rPr>
          <w:sz w:val="24"/>
          <w:szCs w:val="24"/>
        </w:rPr>
      </w:pPr>
    </w:p>
    <w:p w14:paraId="6DBA9C3F" w14:textId="77777777" w:rsidR="00D97C04" w:rsidRDefault="00D97C04" w:rsidP="009B30D8">
      <w:pPr>
        <w:spacing w:after="240"/>
        <w:jc w:val="both"/>
        <w:rPr>
          <w:sz w:val="24"/>
          <w:szCs w:val="24"/>
        </w:rPr>
      </w:pPr>
    </w:p>
    <w:p w14:paraId="2B0920E9" w14:textId="77777777" w:rsidR="00D97C04" w:rsidRDefault="00D97C04" w:rsidP="009B30D8">
      <w:pPr>
        <w:spacing w:after="240"/>
        <w:jc w:val="both"/>
        <w:rPr>
          <w:sz w:val="24"/>
          <w:szCs w:val="24"/>
        </w:rPr>
      </w:pPr>
    </w:p>
    <w:p w14:paraId="18406696" w14:textId="77777777" w:rsidR="00D97C04" w:rsidRDefault="00D97C04" w:rsidP="009B30D8">
      <w:pPr>
        <w:spacing w:after="240"/>
        <w:jc w:val="both"/>
        <w:rPr>
          <w:sz w:val="24"/>
          <w:szCs w:val="24"/>
        </w:rPr>
      </w:pPr>
    </w:p>
    <w:p w14:paraId="79AC3718" w14:textId="77777777" w:rsidR="00D97C04" w:rsidRDefault="00D97C04" w:rsidP="009B30D8">
      <w:pPr>
        <w:spacing w:after="240"/>
        <w:jc w:val="both"/>
        <w:rPr>
          <w:sz w:val="24"/>
          <w:szCs w:val="24"/>
        </w:rPr>
      </w:pPr>
    </w:p>
    <w:p w14:paraId="5ECA932C" w14:textId="77777777" w:rsidR="00D97C04" w:rsidRDefault="00D97C04" w:rsidP="009B30D8">
      <w:pPr>
        <w:spacing w:after="240"/>
        <w:jc w:val="both"/>
        <w:rPr>
          <w:sz w:val="24"/>
          <w:szCs w:val="24"/>
        </w:rPr>
      </w:pPr>
    </w:p>
    <w:p w14:paraId="1C7CD7C7" w14:textId="77777777" w:rsidR="00D97C04" w:rsidRDefault="00D97C04" w:rsidP="009B30D8">
      <w:pPr>
        <w:spacing w:after="240"/>
        <w:jc w:val="both"/>
        <w:rPr>
          <w:sz w:val="24"/>
          <w:szCs w:val="24"/>
        </w:rPr>
      </w:pPr>
    </w:p>
    <w:p w14:paraId="7C6EAA22" w14:textId="77777777" w:rsidR="00FB019E" w:rsidRDefault="00FB019E" w:rsidP="009B30D8">
      <w:pPr>
        <w:spacing w:after="240"/>
        <w:jc w:val="both"/>
        <w:rPr>
          <w:sz w:val="24"/>
          <w:szCs w:val="24"/>
        </w:rPr>
      </w:pPr>
    </w:p>
    <w:p w14:paraId="3C81C713" w14:textId="77777777" w:rsidR="00D97C04" w:rsidRDefault="00D97C04" w:rsidP="009B30D8">
      <w:pPr>
        <w:spacing w:after="240"/>
        <w:jc w:val="both"/>
        <w:rPr>
          <w:sz w:val="24"/>
          <w:szCs w:val="24"/>
        </w:rPr>
      </w:pPr>
    </w:p>
    <w:p w14:paraId="59BEECF5" w14:textId="77777777" w:rsidR="00D97C04" w:rsidRDefault="00D97C04" w:rsidP="009B30D8">
      <w:pPr>
        <w:spacing w:after="240"/>
        <w:jc w:val="both"/>
        <w:rPr>
          <w:sz w:val="24"/>
          <w:szCs w:val="24"/>
        </w:rPr>
      </w:pPr>
    </w:p>
    <w:p w14:paraId="0C9550AB" w14:textId="77777777" w:rsidR="00D97C04" w:rsidRPr="009B30D8" w:rsidRDefault="00D97C04" w:rsidP="009B30D8">
      <w:pPr>
        <w:spacing w:after="240"/>
        <w:jc w:val="both"/>
        <w:rPr>
          <w:sz w:val="24"/>
          <w:szCs w:val="24"/>
        </w:rPr>
      </w:pPr>
    </w:p>
    <w:p w14:paraId="5744658B" w14:textId="77777777" w:rsidR="00464636" w:rsidRDefault="00000000">
      <w:pPr>
        <w:pStyle w:val="Heading1"/>
        <w:spacing w:before="320" w:after="160"/>
      </w:pPr>
      <w:bookmarkStart w:id="1" w:name="_Toc236257159"/>
      <w:r>
        <w:lastRenderedPageBreak/>
        <w:t>1. Introduction</w:t>
      </w:r>
      <w:bookmarkEnd w:id="1"/>
    </w:p>
    <w:p w14:paraId="75F872E3" w14:textId="77777777" w:rsidR="009B30D8" w:rsidRPr="009B30D8" w:rsidRDefault="009B30D8" w:rsidP="009B30D8">
      <w:pPr>
        <w:spacing w:after="120"/>
        <w:ind w:firstLine="288"/>
        <w:jc w:val="both"/>
        <w:rPr>
          <w:sz w:val="24"/>
          <w:szCs w:val="24"/>
        </w:rPr>
      </w:pPr>
      <w:r w:rsidRPr="009B30D8">
        <w:rPr>
          <w:sz w:val="24"/>
          <w:szCs w:val="24"/>
        </w:rPr>
        <w:t xml:space="preserve">Digital transformation has expanded the attack surface of logistics organisations far beyond the traditional data centre perimeter. </w:t>
      </w:r>
      <w:proofErr w:type="spellStart"/>
      <w:r w:rsidRPr="009B30D8">
        <w:rPr>
          <w:sz w:val="24"/>
          <w:szCs w:val="24"/>
        </w:rPr>
        <w:t>AeroLink</w:t>
      </w:r>
      <w:proofErr w:type="spellEnd"/>
      <w:r w:rsidRPr="009B30D8">
        <w:rPr>
          <w:sz w:val="24"/>
          <w:szCs w:val="24"/>
        </w:rPr>
        <w:t xml:space="preserve"> Logistics (ALL) illustrates this shift: real-time shipment tracking depends on Internet of Things (IoT) sensors distributed across a global fleet, optimisation decisions are increasingly delegated to artificial intelligence (AI) analytics engines, and approximately 88% of the underlying infrastructure is delivered by third-party Infrastructure-as-a-Service (IaaS) and Software-as-a-Service (SaaS) vendors [1]. At the same time, ALL has extended remote access to employees, suppliers, and logistics partners using unmanaged devices spanning multiple time zones. This combination of outsourcing, device heterogeneity, and geographic dispersion is precisely the environment that recent revisions of the major security frameworks were written to address [2], [3].</w:t>
      </w:r>
    </w:p>
    <w:p w14:paraId="575C7629" w14:textId="77777777" w:rsidR="009B30D8" w:rsidRPr="009B30D8" w:rsidRDefault="009B30D8" w:rsidP="009B30D8">
      <w:pPr>
        <w:spacing w:after="120"/>
        <w:ind w:firstLine="288"/>
        <w:jc w:val="both"/>
        <w:rPr>
          <w:sz w:val="24"/>
          <w:szCs w:val="24"/>
        </w:rPr>
      </w:pPr>
      <w:r w:rsidRPr="009B30D8">
        <w:rPr>
          <w:sz w:val="24"/>
          <w:szCs w:val="24"/>
        </w:rPr>
        <w:t>ALL has already experienced repeated breaches involving unauthorised access to client shipment data and customer PII, yet it has no unified security framework, no centralised risk management process, and no formal compliance audit programme against standards such as the General Data Protection Regulation (GDPR) or ISO/IEC 27001. Responsibility for information security is not clearly assigned to any function, and departments do not coordinate on security decisions. This paper addresses that gap in two stages. Section II reviews established security and governance frameworks — NIST CSF 2.0, COBIT 2019, ISO/IEC 27000, and ITIL — with reference to recent literature. Section III applies the insights from that review to design a governance, risk, and compliance (GRC) programme tailored to ALL's outsourced, IoT-enabled, multi-jurisdictional operating model. Section IV critically discusses why continuous currency with regulations and standards is good practice given emerging technology and evolving threats, and Section V states the assumptions made throughout the analysis.</w:t>
      </w:r>
    </w:p>
    <w:p w14:paraId="112DDAF0" w14:textId="77777777" w:rsidR="009B30D8" w:rsidRDefault="009B30D8">
      <w:pPr>
        <w:pStyle w:val="Heading1"/>
        <w:spacing w:before="320" w:after="160"/>
      </w:pPr>
    </w:p>
    <w:p w14:paraId="2734ED13" w14:textId="77777777" w:rsidR="009B30D8" w:rsidRDefault="00000000" w:rsidP="009B30D8">
      <w:pPr>
        <w:pStyle w:val="Heading1"/>
      </w:pPr>
      <w:bookmarkStart w:id="2" w:name="_Toc236257160"/>
      <w:r>
        <w:t>2.</w:t>
      </w:r>
      <w:r w:rsidR="009B30D8">
        <w:t xml:space="preserve"> Review of Security and Governance Frameworks</w:t>
      </w:r>
      <w:bookmarkEnd w:id="2"/>
    </w:p>
    <w:p w14:paraId="3477BB1C" w14:textId="77777777" w:rsidR="009B30D8" w:rsidRPr="00DC2A36" w:rsidRDefault="009B30D8" w:rsidP="009B30D8">
      <w:pPr>
        <w:spacing w:after="120"/>
        <w:ind w:firstLine="288"/>
        <w:jc w:val="both"/>
        <w:rPr>
          <w:sz w:val="24"/>
          <w:szCs w:val="24"/>
        </w:rPr>
      </w:pPr>
      <w:r w:rsidRPr="00DC2A36">
        <w:rPr>
          <w:sz w:val="24"/>
          <w:szCs w:val="24"/>
        </w:rPr>
        <w:t>A single framework rarely covers governance, risk, technical control, and service management with equal depth; consequently, mature organisations typically combine two or more frameworks rather than adopting one in isolation [4], [5]. This section summarises the four frameworks most relevant to ALL's scenario.</w:t>
      </w:r>
    </w:p>
    <w:p w14:paraId="7051E667" w14:textId="77777777" w:rsidR="009B30D8" w:rsidRDefault="009B30D8" w:rsidP="009B30D8">
      <w:pPr>
        <w:pStyle w:val="Heading2"/>
      </w:pPr>
      <w:bookmarkStart w:id="3" w:name="_Toc236257161"/>
      <w:r>
        <w:t>2.1 NIST Cybersecurity Framework (CSF) 2.0</w:t>
      </w:r>
      <w:bookmarkEnd w:id="3"/>
    </w:p>
    <w:p w14:paraId="1100F754" w14:textId="77777777" w:rsidR="000F7829" w:rsidRPr="000F7829" w:rsidRDefault="000F7829" w:rsidP="000F7829">
      <w:pPr>
        <w:rPr>
          <w:sz w:val="24"/>
          <w:szCs w:val="24"/>
        </w:rPr>
      </w:pPr>
      <w:r w:rsidRPr="000F7829">
        <w:rPr>
          <w:sz w:val="24"/>
          <w:szCs w:val="24"/>
        </w:rPr>
        <w:t>In order to assist critical-infrastructure organizations in managing cybersecurity risk, the National Institute of Standards and Technology (NIST) first published the CSF in 2014. The framework's scope was expanded to include organizations of any size or industry with the release of version 2.0 in February 2024 [2]. The addition of a sixth function, GOVERN (GV), which sits next to the present Identify, Protect, Detect, Respond, and Recover functions and is meant to be used concurrently with them rather than as a preceding phase, is the biggest structural change [3]. Cybersecurity Supply Chain Risk Management (C-SCRM) is explicitly incorporated as the GV.SC category by GOVERN, which also establishes cybersecurity risk management strategy, responsibilities, policy, and monitoring.</w:t>
      </w:r>
      <w:r w:rsidRPr="000F7829">
        <w:t xml:space="preserve"> </w:t>
      </w:r>
      <w:r w:rsidRPr="000F7829">
        <w:rPr>
          <w:sz w:val="24"/>
          <w:szCs w:val="24"/>
        </w:rPr>
        <w:t xml:space="preserve">Organizations should develop a C-SCRM strategy and policy, identify and rank technology suppliers according to criticality, incorporate cybersecurity requirements into contracts, and involve suppliers in incident preparation, response, and recovery exercises, according to NIST's companion Quick-Start Guide for C-SCRM [1]. The GV is a </w:t>
      </w:r>
      <w:r w:rsidRPr="000F7829">
        <w:rPr>
          <w:sz w:val="24"/>
          <w:szCs w:val="24"/>
        </w:rPr>
        <w:lastRenderedPageBreak/>
        <w:t xml:space="preserve">result of ALL sourcing most of its infrastructure from outside </w:t>
      </w:r>
      <w:proofErr w:type="spellStart"/>
      <w:r w:rsidRPr="000F7829">
        <w:rPr>
          <w:sz w:val="24"/>
          <w:szCs w:val="24"/>
        </w:rPr>
        <w:t>sources.The</w:t>
      </w:r>
      <w:proofErr w:type="spellEnd"/>
      <w:r w:rsidRPr="000F7829">
        <w:rPr>
          <w:sz w:val="24"/>
          <w:szCs w:val="24"/>
        </w:rPr>
        <w:t xml:space="preserve"> SC category serves as a structural anchor for the vendor accountability design in Section 3 and is directly relevant.</w:t>
      </w:r>
    </w:p>
    <w:p w14:paraId="6D1D195F" w14:textId="77777777" w:rsidR="00AB3E75" w:rsidRDefault="00000000">
      <w:pPr>
        <w:jc w:val="center"/>
      </w:pPr>
      <w:r>
        <w:rPr>
          <w:noProof/>
        </w:rPr>
        <w:drawing>
          <wp:inline distT="0" distB="0" distL="0" distR="0" wp14:anchorId="07468259" wp14:editId="37033340">
            <wp:extent cx="3931920" cy="3931920"/>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nist_csf.png"/>
                    <pic:cNvPicPr/>
                  </pic:nvPicPr>
                  <pic:blipFill>
                    <a:blip r:embed="rId10"/>
                    <a:stretch>
                      <a:fillRect/>
                    </a:stretch>
                  </pic:blipFill>
                  <pic:spPr>
                    <a:xfrm>
                      <a:off x="0" y="0"/>
                      <a:ext cx="3931920" cy="3931920"/>
                    </a:xfrm>
                    <a:prstGeom prst="rect">
                      <a:avLst/>
                    </a:prstGeom>
                  </pic:spPr>
                </pic:pic>
              </a:graphicData>
            </a:graphic>
          </wp:inline>
        </w:drawing>
      </w:r>
    </w:p>
    <w:p w14:paraId="106332C6" w14:textId="77777777" w:rsidR="00AB3E75" w:rsidRDefault="00000000">
      <w:pPr>
        <w:jc w:val="center"/>
      </w:pPr>
      <w:r>
        <w:rPr>
          <w:i/>
          <w:color w:val="404040"/>
          <w:sz w:val="19"/>
        </w:rPr>
        <w:t>Fig. 1. NIST Cybersecurity Framework (CSF) 2.0 – six core functions, with GOVERN operating concurrently across the others.</w:t>
      </w:r>
    </w:p>
    <w:p w14:paraId="489F80B7" w14:textId="77777777" w:rsidR="000F7829" w:rsidRPr="000F7829" w:rsidRDefault="000F7829" w:rsidP="000F7829">
      <w:pPr>
        <w:rPr>
          <w:sz w:val="24"/>
          <w:szCs w:val="24"/>
        </w:rPr>
      </w:pPr>
    </w:p>
    <w:p w14:paraId="2A19BB75" w14:textId="77777777" w:rsidR="009B30D8" w:rsidRDefault="009B30D8" w:rsidP="009B30D8">
      <w:pPr>
        <w:pStyle w:val="Heading2"/>
      </w:pPr>
      <w:bookmarkStart w:id="4" w:name="_Toc236257162"/>
      <w:r>
        <w:t>2.2COBIT 2019</w:t>
      </w:r>
      <w:bookmarkEnd w:id="4"/>
    </w:p>
    <w:p w14:paraId="38393C37" w14:textId="77777777" w:rsidR="009B30D8" w:rsidRPr="00DC2A36" w:rsidRDefault="009B30D8" w:rsidP="009B30D8">
      <w:pPr>
        <w:spacing w:after="120"/>
        <w:ind w:firstLine="288"/>
        <w:jc w:val="both"/>
        <w:rPr>
          <w:sz w:val="24"/>
          <w:szCs w:val="24"/>
        </w:rPr>
      </w:pPr>
      <w:r w:rsidRPr="00DC2A36">
        <w:rPr>
          <w:sz w:val="24"/>
          <w:szCs w:val="24"/>
        </w:rPr>
        <w:t>COBIT 2019, maintained by ISACA, is a governance-of-enterprise-IT framework built around forty governance and management objectives grouped into five domains, and it explicitly separates governance (the board/executive function of evaluating, directing, and monitoring) from management (the day-to-day planning, building, running, and monitoring of IT) [6]. A systematic literature review of COBIT 2019 implementations across education, banking, pharmaceutical, and logistics organisations found that the framework consistently improved alignment between IT and business strategy, strengthened risk management, and improved resource optimisation, but that implementation challenges included the framework's complexity, limited organisational resources, and unfamiliarity with COBIT terminology among staff [7]. COBIT 2019 also introduces design factors that let an organisation tailor the framework to its own risk profile, threat landscape, and compliance requirements rather than applying a generic control set [8]. This design-factor approach is well suited to ALL, whose governance structure must be built largely from scratch and whose risk profile (heavy outsourcing, cross-border data flows, IoT devices) differs materially from a typical single-site enterprise.</w:t>
      </w:r>
    </w:p>
    <w:p w14:paraId="06C7D31D" w14:textId="77777777" w:rsidR="00AB3E75" w:rsidRDefault="00000000">
      <w:pPr>
        <w:jc w:val="center"/>
      </w:pPr>
      <w:r>
        <w:rPr>
          <w:noProof/>
        </w:rPr>
        <w:lastRenderedPageBreak/>
        <w:drawing>
          <wp:inline distT="0" distB="0" distL="0" distR="0" wp14:anchorId="10D1EA75" wp14:editId="601C3390">
            <wp:extent cx="4754880" cy="2852928"/>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cobit.png"/>
                    <pic:cNvPicPr/>
                  </pic:nvPicPr>
                  <pic:blipFill>
                    <a:blip r:embed="rId11"/>
                    <a:stretch>
                      <a:fillRect/>
                    </a:stretch>
                  </pic:blipFill>
                  <pic:spPr>
                    <a:xfrm>
                      <a:off x="0" y="0"/>
                      <a:ext cx="4754880" cy="2852928"/>
                    </a:xfrm>
                    <a:prstGeom prst="rect">
                      <a:avLst/>
                    </a:prstGeom>
                  </pic:spPr>
                </pic:pic>
              </a:graphicData>
            </a:graphic>
          </wp:inline>
        </w:drawing>
      </w:r>
    </w:p>
    <w:p w14:paraId="3AFABDCD" w14:textId="77777777" w:rsidR="00AB3E75" w:rsidRDefault="00000000">
      <w:pPr>
        <w:jc w:val="center"/>
      </w:pPr>
      <w:r>
        <w:rPr>
          <w:i/>
          <w:color w:val="404040"/>
          <w:sz w:val="19"/>
        </w:rPr>
        <w:t>Fig. 2. COBIT 2019 governance/management separation underpinning the 40 objectives and design-factor approach.</w:t>
      </w:r>
    </w:p>
    <w:p w14:paraId="40503924" w14:textId="77777777" w:rsidR="009B30D8" w:rsidRDefault="009B30D8" w:rsidP="009B30D8">
      <w:pPr>
        <w:pStyle w:val="Heading2"/>
      </w:pPr>
      <w:bookmarkStart w:id="5" w:name="_Toc236257163"/>
      <w:r>
        <w:t>2.3 ISO/IEC 27000 Series</w:t>
      </w:r>
      <w:bookmarkEnd w:id="5"/>
    </w:p>
    <w:p w14:paraId="60ACE17C" w14:textId="77777777" w:rsidR="009B30D8" w:rsidRPr="00DC2A36" w:rsidRDefault="009B30D8" w:rsidP="009B30D8">
      <w:pPr>
        <w:spacing w:after="120"/>
        <w:ind w:firstLine="288"/>
        <w:jc w:val="both"/>
        <w:rPr>
          <w:sz w:val="24"/>
          <w:szCs w:val="24"/>
        </w:rPr>
      </w:pPr>
      <w:r w:rsidRPr="00DC2A36">
        <w:rPr>
          <w:sz w:val="24"/>
          <w:szCs w:val="24"/>
        </w:rPr>
        <w:t>ISO/IEC 27001 is the international standard against which an Information Security Management System (ISMS) can be certified, while ISO/IEC 27002 provides the accompanying catalogue of controls. The 2022 revision of both standards reorganised the previous fourteen control domains into four themes — organisational, people, technological, and physical — and consolidated 114 controls into 93, adding eleven new controls covering areas such as threat intelligence, cloud security, and data masking that reflect the modern threat landscape more closely than the 2013 edition [9], [10]. Organisations must complete a Statement of Applicability (</w:t>
      </w:r>
      <w:proofErr w:type="spellStart"/>
      <w:r w:rsidRPr="00DC2A36">
        <w:rPr>
          <w:sz w:val="24"/>
          <w:szCs w:val="24"/>
        </w:rPr>
        <w:t>SoA</w:t>
      </w:r>
      <w:proofErr w:type="spellEnd"/>
      <w:r w:rsidRPr="00DC2A36">
        <w:rPr>
          <w:sz w:val="24"/>
          <w:szCs w:val="24"/>
        </w:rPr>
        <w:t>) documenting which of the 93 controls are implemented and the justification for excluding any that are not [11]. Because ISO/IEC 27001:2022 is a certifiable, auditable standard, it provides the concrete control catalogue that operationalises the governance intent set out by COBIT 2019 and the GOVERN function of NIST CSF 2.0; the three frameworks are therefore complementary rather than competing.</w:t>
      </w:r>
    </w:p>
    <w:p w14:paraId="63532FDB" w14:textId="77777777" w:rsidR="00AB3E75" w:rsidRDefault="00000000">
      <w:pPr>
        <w:jc w:val="center"/>
      </w:pPr>
      <w:r>
        <w:rPr>
          <w:noProof/>
        </w:rPr>
        <w:lastRenderedPageBreak/>
        <w:drawing>
          <wp:inline distT="0" distB="0" distL="0" distR="0" wp14:anchorId="34F309D5" wp14:editId="6ACD0725">
            <wp:extent cx="4754880" cy="3056709"/>
            <wp:effectExtent l="0" t="0" r="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so27001.png"/>
                    <pic:cNvPicPr/>
                  </pic:nvPicPr>
                  <pic:blipFill>
                    <a:blip r:embed="rId12"/>
                    <a:stretch>
                      <a:fillRect/>
                    </a:stretch>
                  </pic:blipFill>
                  <pic:spPr>
                    <a:xfrm>
                      <a:off x="0" y="0"/>
                      <a:ext cx="4754880" cy="3056709"/>
                    </a:xfrm>
                    <a:prstGeom prst="rect">
                      <a:avLst/>
                    </a:prstGeom>
                  </pic:spPr>
                </pic:pic>
              </a:graphicData>
            </a:graphic>
          </wp:inline>
        </w:drawing>
      </w:r>
    </w:p>
    <w:p w14:paraId="095FCE49" w14:textId="77777777" w:rsidR="00AB3E75" w:rsidRDefault="00000000">
      <w:pPr>
        <w:jc w:val="center"/>
      </w:pPr>
      <w:r>
        <w:rPr>
          <w:i/>
          <w:color w:val="404040"/>
          <w:sz w:val="19"/>
        </w:rPr>
        <w:t>Fig. 3. Distribution of the 93 ISO/IEC 27001:2022 Annex A controls across the four control themes.</w:t>
      </w:r>
    </w:p>
    <w:p w14:paraId="3B79854F" w14:textId="77777777" w:rsidR="009B30D8" w:rsidRDefault="009B30D8" w:rsidP="009B30D8">
      <w:pPr>
        <w:pStyle w:val="Heading2"/>
      </w:pPr>
      <w:bookmarkStart w:id="6" w:name="_Toc236257164"/>
      <w:r>
        <w:t>2.4 IT Infrastructure Library (ITIL)</w:t>
      </w:r>
      <w:bookmarkEnd w:id="6"/>
    </w:p>
    <w:p w14:paraId="3FFC09C8" w14:textId="77777777" w:rsidR="009B30D8" w:rsidRPr="00DC2A36" w:rsidRDefault="009B30D8" w:rsidP="009B30D8">
      <w:pPr>
        <w:spacing w:after="120"/>
        <w:ind w:firstLine="288"/>
        <w:jc w:val="both"/>
        <w:rPr>
          <w:sz w:val="24"/>
          <w:szCs w:val="24"/>
        </w:rPr>
      </w:pPr>
      <w:r w:rsidRPr="00DC2A36">
        <w:rPr>
          <w:sz w:val="24"/>
          <w:szCs w:val="24"/>
        </w:rPr>
        <w:t>ITIL is a service-management framework rather than a security framework in the strict sense, but its practices for incident management, problem management, change enablement, and supplier management are directly relevant to an organisation whose infrastructure is 88% outsourced. ITIL's supplier management practice provides a structured approach to managing multiple external providers against agreed service levels, which maps naturally onto the vendor and SLA governance gap identified in the ALL scenario. Used alongside NIST CSF 2.0, COBIT 2019, and ISO/IEC 27001, ITIL supplies the operational service-desk and change-control mechanisms through which security incidents identified by the technical frameworks are actually logged, escalated, and resolved.</w:t>
      </w:r>
    </w:p>
    <w:p w14:paraId="43100E94" w14:textId="77777777" w:rsidR="009B30D8" w:rsidRDefault="009B30D8" w:rsidP="009B30D8">
      <w:pPr>
        <w:spacing w:after="120"/>
        <w:ind w:firstLine="288"/>
        <w:jc w:val="both"/>
        <w:rPr>
          <w:sz w:val="24"/>
          <w:szCs w:val="24"/>
        </w:rPr>
      </w:pPr>
      <w:r w:rsidRPr="00DC2A36">
        <w:rPr>
          <w:sz w:val="24"/>
          <w:szCs w:val="24"/>
        </w:rPr>
        <w:t>Table I summarises the primary contribution each framework makes to ALL's design, avoiding duplication of effort across governance, risk, control, and service-management layers.</w:t>
      </w:r>
    </w:p>
    <w:p w14:paraId="5A0C2432" w14:textId="77777777" w:rsidR="00AD29E1" w:rsidRDefault="00AD29E1" w:rsidP="009B30D8">
      <w:pPr>
        <w:spacing w:after="120"/>
        <w:ind w:firstLine="288"/>
        <w:jc w:val="both"/>
        <w:rPr>
          <w:sz w:val="24"/>
          <w:szCs w:val="24"/>
        </w:rPr>
      </w:pPr>
    </w:p>
    <w:p w14:paraId="1ED5899A" w14:textId="77777777" w:rsidR="00AD29E1" w:rsidRPr="00DC2A36" w:rsidRDefault="00AD29E1" w:rsidP="009B30D8">
      <w:pPr>
        <w:spacing w:after="120"/>
        <w:ind w:firstLine="288"/>
        <w:jc w:val="both"/>
        <w:rPr>
          <w:sz w:val="24"/>
          <w:szCs w:val="24"/>
        </w:rPr>
      </w:pPr>
    </w:p>
    <w:p w14:paraId="010CA0F5" w14:textId="77777777" w:rsidR="009B30D8" w:rsidRDefault="009B30D8" w:rsidP="009B30D8">
      <w:pPr>
        <w:spacing w:before="160" w:after="80"/>
        <w:jc w:val="center"/>
      </w:pPr>
      <w:r>
        <w:rPr>
          <w:b/>
          <w:bCs/>
          <w:sz w:val="16"/>
          <w:szCs w:val="16"/>
        </w:rPr>
        <w:t>TABLE I. COMPLEMENTARY ROLE OF EACH FRAMEWORK IN THE PROPOSED DESIGN</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3116"/>
        <w:gridCol w:w="3117"/>
        <w:gridCol w:w="3117"/>
      </w:tblGrid>
      <w:tr w:rsidR="009B30D8" w14:paraId="0570B631" w14:textId="77777777" w:rsidTr="009B30D8">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5C877978" w14:textId="77777777" w:rsidR="009B30D8" w:rsidRDefault="009B30D8">
            <w:r>
              <w:rPr>
                <w:b/>
                <w:bCs/>
                <w:sz w:val="17"/>
                <w:szCs w:val="17"/>
              </w:rPr>
              <w:t>Framework</w:t>
            </w:r>
          </w:p>
        </w:tc>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544BDFB6" w14:textId="77777777" w:rsidR="009B30D8" w:rsidRDefault="009B30D8">
            <w:r>
              <w:rPr>
                <w:b/>
                <w:bCs/>
                <w:sz w:val="17"/>
                <w:szCs w:val="17"/>
              </w:rPr>
              <w:t>Primary Layer</w:t>
            </w:r>
          </w:p>
        </w:tc>
        <w:tc>
          <w:tcPr>
            <w:tcW w:w="1650" w:type="pct"/>
            <w:tcBorders>
              <w:top w:val="single" w:sz="4" w:space="0" w:color="auto"/>
              <w:left w:val="single" w:sz="4" w:space="0" w:color="auto"/>
              <w:bottom w:val="single" w:sz="4" w:space="0" w:color="auto"/>
              <w:right w:val="single" w:sz="4" w:space="0" w:color="auto"/>
            </w:tcBorders>
            <w:shd w:val="clear" w:color="auto" w:fill="D9D9D9"/>
            <w:hideMark/>
          </w:tcPr>
          <w:p w14:paraId="7DD23CBA" w14:textId="77777777" w:rsidR="009B30D8" w:rsidRDefault="009B30D8">
            <w:r>
              <w:rPr>
                <w:b/>
                <w:bCs/>
                <w:sz w:val="17"/>
                <w:szCs w:val="17"/>
              </w:rPr>
              <w:t>Contribution to ALL</w:t>
            </w:r>
          </w:p>
        </w:tc>
      </w:tr>
      <w:tr w:rsidR="009B30D8" w14:paraId="721AC60A"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500A2AC6" w14:textId="77777777" w:rsidR="009B30D8" w:rsidRDefault="009B30D8">
            <w:r>
              <w:rPr>
                <w:sz w:val="17"/>
                <w:szCs w:val="17"/>
              </w:rPr>
              <w:t>NIST CSF 2.0</w:t>
            </w:r>
          </w:p>
        </w:tc>
        <w:tc>
          <w:tcPr>
            <w:tcW w:w="1650" w:type="pct"/>
            <w:tcBorders>
              <w:top w:val="single" w:sz="4" w:space="0" w:color="auto"/>
              <w:left w:val="single" w:sz="4" w:space="0" w:color="auto"/>
              <w:bottom w:val="single" w:sz="4" w:space="0" w:color="auto"/>
              <w:right w:val="single" w:sz="4" w:space="0" w:color="auto"/>
            </w:tcBorders>
            <w:hideMark/>
          </w:tcPr>
          <w:p w14:paraId="3117D7E1" w14:textId="77777777" w:rsidR="009B30D8" w:rsidRDefault="009B30D8">
            <w:r>
              <w:rPr>
                <w:sz w:val="17"/>
                <w:szCs w:val="17"/>
              </w:rPr>
              <w:t>Strategic / Govern</w:t>
            </w:r>
          </w:p>
        </w:tc>
        <w:tc>
          <w:tcPr>
            <w:tcW w:w="1650" w:type="pct"/>
            <w:tcBorders>
              <w:top w:val="single" w:sz="4" w:space="0" w:color="auto"/>
              <w:left w:val="single" w:sz="4" w:space="0" w:color="auto"/>
              <w:bottom w:val="single" w:sz="4" w:space="0" w:color="auto"/>
              <w:right w:val="single" w:sz="4" w:space="0" w:color="auto"/>
            </w:tcBorders>
            <w:hideMark/>
          </w:tcPr>
          <w:p w14:paraId="7AC1A66E" w14:textId="77777777" w:rsidR="009B30D8" w:rsidRDefault="009B30D8">
            <w:r>
              <w:rPr>
                <w:sz w:val="17"/>
                <w:szCs w:val="17"/>
              </w:rPr>
              <w:t>Six-function risk language; GV.SC supply-chain governance</w:t>
            </w:r>
          </w:p>
        </w:tc>
      </w:tr>
      <w:tr w:rsidR="009B30D8" w14:paraId="5B826595"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082C660C" w14:textId="77777777" w:rsidR="009B30D8" w:rsidRDefault="009B30D8">
            <w:r>
              <w:rPr>
                <w:sz w:val="17"/>
                <w:szCs w:val="17"/>
              </w:rPr>
              <w:t>COBIT 2019</w:t>
            </w:r>
          </w:p>
        </w:tc>
        <w:tc>
          <w:tcPr>
            <w:tcW w:w="1650" w:type="pct"/>
            <w:tcBorders>
              <w:top w:val="single" w:sz="4" w:space="0" w:color="auto"/>
              <w:left w:val="single" w:sz="4" w:space="0" w:color="auto"/>
              <w:bottom w:val="single" w:sz="4" w:space="0" w:color="auto"/>
              <w:right w:val="single" w:sz="4" w:space="0" w:color="auto"/>
            </w:tcBorders>
            <w:hideMark/>
          </w:tcPr>
          <w:p w14:paraId="2A5389F1" w14:textId="77777777" w:rsidR="009B30D8" w:rsidRDefault="009B30D8">
            <w:r>
              <w:rPr>
                <w:sz w:val="17"/>
                <w:szCs w:val="17"/>
              </w:rPr>
              <w:t>Governance vs. Management</w:t>
            </w:r>
          </w:p>
        </w:tc>
        <w:tc>
          <w:tcPr>
            <w:tcW w:w="1650" w:type="pct"/>
            <w:tcBorders>
              <w:top w:val="single" w:sz="4" w:space="0" w:color="auto"/>
              <w:left w:val="single" w:sz="4" w:space="0" w:color="auto"/>
              <w:bottom w:val="single" w:sz="4" w:space="0" w:color="auto"/>
              <w:right w:val="single" w:sz="4" w:space="0" w:color="auto"/>
            </w:tcBorders>
            <w:hideMark/>
          </w:tcPr>
          <w:p w14:paraId="61DFA323" w14:textId="77777777" w:rsidR="009B30D8" w:rsidRDefault="009B30D8">
            <w:r>
              <w:rPr>
                <w:sz w:val="17"/>
                <w:szCs w:val="17"/>
              </w:rPr>
              <w:t>Design factors; 40 governance/management objectives; board oversight</w:t>
            </w:r>
          </w:p>
        </w:tc>
      </w:tr>
      <w:tr w:rsidR="009B30D8" w14:paraId="6930BA1C"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347FE63D" w14:textId="77777777" w:rsidR="009B30D8" w:rsidRDefault="009B30D8">
            <w:r>
              <w:rPr>
                <w:sz w:val="17"/>
                <w:szCs w:val="17"/>
              </w:rPr>
              <w:t>ISO/IEC 27001:2022</w:t>
            </w:r>
          </w:p>
        </w:tc>
        <w:tc>
          <w:tcPr>
            <w:tcW w:w="1650" w:type="pct"/>
            <w:tcBorders>
              <w:top w:val="single" w:sz="4" w:space="0" w:color="auto"/>
              <w:left w:val="single" w:sz="4" w:space="0" w:color="auto"/>
              <w:bottom w:val="single" w:sz="4" w:space="0" w:color="auto"/>
              <w:right w:val="single" w:sz="4" w:space="0" w:color="auto"/>
            </w:tcBorders>
            <w:hideMark/>
          </w:tcPr>
          <w:p w14:paraId="29B07539" w14:textId="77777777" w:rsidR="009B30D8" w:rsidRDefault="009B30D8">
            <w:r>
              <w:rPr>
                <w:sz w:val="17"/>
                <w:szCs w:val="17"/>
              </w:rPr>
              <w:t>Control / Certification</w:t>
            </w:r>
          </w:p>
        </w:tc>
        <w:tc>
          <w:tcPr>
            <w:tcW w:w="1650" w:type="pct"/>
            <w:tcBorders>
              <w:top w:val="single" w:sz="4" w:space="0" w:color="auto"/>
              <w:left w:val="single" w:sz="4" w:space="0" w:color="auto"/>
              <w:bottom w:val="single" w:sz="4" w:space="0" w:color="auto"/>
              <w:right w:val="single" w:sz="4" w:space="0" w:color="auto"/>
            </w:tcBorders>
            <w:hideMark/>
          </w:tcPr>
          <w:p w14:paraId="718DD4FC" w14:textId="77777777" w:rsidR="009B30D8" w:rsidRDefault="009B30D8">
            <w:r>
              <w:rPr>
                <w:sz w:val="17"/>
                <w:szCs w:val="17"/>
              </w:rPr>
              <w:t>93 auditable Annex A controls; Statement of Applicability</w:t>
            </w:r>
          </w:p>
        </w:tc>
      </w:tr>
      <w:tr w:rsidR="009B30D8" w14:paraId="4678D57E" w14:textId="77777777" w:rsidTr="009B30D8">
        <w:tc>
          <w:tcPr>
            <w:tcW w:w="1650" w:type="pct"/>
            <w:tcBorders>
              <w:top w:val="single" w:sz="4" w:space="0" w:color="auto"/>
              <w:left w:val="single" w:sz="4" w:space="0" w:color="auto"/>
              <w:bottom w:val="single" w:sz="4" w:space="0" w:color="auto"/>
              <w:right w:val="single" w:sz="4" w:space="0" w:color="auto"/>
            </w:tcBorders>
            <w:hideMark/>
          </w:tcPr>
          <w:p w14:paraId="0D60BA0A" w14:textId="77777777" w:rsidR="009B30D8" w:rsidRDefault="009B30D8">
            <w:r>
              <w:rPr>
                <w:sz w:val="17"/>
                <w:szCs w:val="17"/>
              </w:rPr>
              <w:t>ITIL</w:t>
            </w:r>
          </w:p>
        </w:tc>
        <w:tc>
          <w:tcPr>
            <w:tcW w:w="1650" w:type="pct"/>
            <w:tcBorders>
              <w:top w:val="single" w:sz="4" w:space="0" w:color="auto"/>
              <w:left w:val="single" w:sz="4" w:space="0" w:color="auto"/>
              <w:bottom w:val="single" w:sz="4" w:space="0" w:color="auto"/>
              <w:right w:val="single" w:sz="4" w:space="0" w:color="auto"/>
            </w:tcBorders>
            <w:hideMark/>
          </w:tcPr>
          <w:p w14:paraId="52CDBA65" w14:textId="77777777" w:rsidR="009B30D8" w:rsidRDefault="009B30D8">
            <w:r>
              <w:rPr>
                <w:sz w:val="17"/>
                <w:szCs w:val="17"/>
              </w:rPr>
              <w:t>Operational / Service</w:t>
            </w:r>
          </w:p>
        </w:tc>
        <w:tc>
          <w:tcPr>
            <w:tcW w:w="1650" w:type="pct"/>
            <w:tcBorders>
              <w:top w:val="single" w:sz="4" w:space="0" w:color="auto"/>
              <w:left w:val="single" w:sz="4" w:space="0" w:color="auto"/>
              <w:bottom w:val="single" w:sz="4" w:space="0" w:color="auto"/>
              <w:right w:val="single" w:sz="4" w:space="0" w:color="auto"/>
            </w:tcBorders>
            <w:hideMark/>
          </w:tcPr>
          <w:p w14:paraId="39748757" w14:textId="77777777" w:rsidR="009B30D8" w:rsidRDefault="009B30D8">
            <w:r>
              <w:rPr>
                <w:sz w:val="17"/>
                <w:szCs w:val="17"/>
              </w:rPr>
              <w:t>Incident, change, and supplier-management practices</w:t>
            </w:r>
          </w:p>
        </w:tc>
      </w:tr>
    </w:tbl>
    <w:p w14:paraId="24A32827" w14:textId="77777777" w:rsidR="00464636" w:rsidRDefault="00464636">
      <w:pPr>
        <w:spacing w:after="160" w:line="276" w:lineRule="auto"/>
        <w:jc w:val="both"/>
      </w:pPr>
    </w:p>
    <w:p w14:paraId="224830CB" w14:textId="77777777" w:rsidR="00464636" w:rsidRDefault="00000000" w:rsidP="009B30D8">
      <w:pPr>
        <w:pStyle w:val="Heading1"/>
      </w:pPr>
      <w:bookmarkStart w:id="7" w:name="_Toc236257165"/>
      <w:r>
        <w:t>3.</w:t>
      </w:r>
      <w:r w:rsidR="009B30D8">
        <w:t xml:space="preserve">Proposed Governance, Risk, and Compliance Design for </w:t>
      </w:r>
      <w:proofErr w:type="spellStart"/>
      <w:r w:rsidR="009B30D8">
        <w:t>AeroLink</w:t>
      </w:r>
      <w:proofErr w:type="spellEnd"/>
      <w:r w:rsidR="009B30D8">
        <w:t xml:space="preserve"> Logistics</w:t>
      </w:r>
      <w:bookmarkEnd w:id="7"/>
    </w:p>
    <w:p w14:paraId="4684A04E" w14:textId="77777777" w:rsidR="009B30D8" w:rsidRPr="00DC2A36" w:rsidRDefault="009B30D8" w:rsidP="009B30D8">
      <w:pPr>
        <w:spacing w:after="120"/>
        <w:ind w:firstLine="288"/>
        <w:jc w:val="both"/>
        <w:rPr>
          <w:sz w:val="24"/>
          <w:szCs w:val="24"/>
        </w:rPr>
      </w:pPr>
      <w:r w:rsidRPr="00DC2A36">
        <w:rPr>
          <w:sz w:val="24"/>
          <w:szCs w:val="24"/>
        </w:rPr>
        <w:lastRenderedPageBreak/>
        <w:t>Building on the review in Section II, this section proposes a bespoke GRC design for ALL, organised around the eight areas specified in the assignment brief.</w:t>
      </w:r>
    </w:p>
    <w:p w14:paraId="6906B1E4" w14:textId="77777777" w:rsidR="009B30D8" w:rsidRDefault="009B30D8" w:rsidP="009B30D8">
      <w:pPr>
        <w:pStyle w:val="Heading2"/>
      </w:pPr>
      <w:bookmarkStart w:id="8" w:name="_Toc236257166"/>
      <w:r>
        <w:t>3.1 Governance and Strategic Planning for Security</w:t>
      </w:r>
      <w:bookmarkEnd w:id="8"/>
    </w:p>
    <w:p w14:paraId="40E364B3" w14:textId="77777777" w:rsidR="009B30D8" w:rsidRPr="00DC2A36" w:rsidRDefault="009B30D8" w:rsidP="009B30D8">
      <w:pPr>
        <w:spacing w:after="120"/>
        <w:ind w:firstLine="288"/>
        <w:jc w:val="both"/>
        <w:rPr>
          <w:sz w:val="24"/>
          <w:szCs w:val="24"/>
        </w:rPr>
      </w:pPr>
      <w:r w:rsidRPr="00DC2A36">
        <w:rPr>
          <w:sz w:val="24"/>
          <w:szCs w:val="24"/>
        </w:rPr>
        <w:t>ALL currently has no single point of accountability for information security. The proposed design establishes a three-line-of-defence governance model. The first line comprises operational and IT teams who own day-to-day controls; the second line is a newly created Information Security and Governance function led by a Chief Information Security Officer (CISO) reporting to the Chief Executive Officer, responsible for policy, risk aggregation, and compliance monitoring; the third line is an internal audit function reporting to a board-level Risk and Audit Committee, which provides independent assurance. This mirrors the GOVERN function's emphasis on incorporating cybersecurity into enterprise risk management and communicating risk to executives [3], and it operationalises COBIT 2019's governance/management separation by keeping board oversight distinct from day-to-day security management [6]. A cross-departmental Security Steering Committee, including representatives from IT, legal, procurement, and operations, meets monthly to close the coordination gap explicitly noted in the case scenario.</w:t>
      </w:r>
    </w:p>
    <w:p w14:paraId="6E9AFDF1" w14:textId="77777777" w:rsidR="00AB3E75" w:rsidRDefault="00000000">
      <w:pPr>
        <w:jc w:val="center"/>
      </w:pPr>
      <w:r>
        <w:rPr>
          <w:noProof/>
        </w:rPr>
        <w:drawing>
          <wp:inline distT="0" distB="0" distL="0" distR="0" wp14:anchorId="5697FD51" wp14:editId="1FDDF567">
            <wp:extent cx="4572000" cy="3175000"/>
            <wp:effectExtent l="0" t="0" r="0"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hree_lines.png"/>
                    <pic:cNvPicPr/>
                  </pic:nvPicPr>
                  <pic:blipFill>
                    <a:blip r:embed="rId13"/>
                    <a:stretch>
                      <a:fillRect/>
                    </a:stretch>
                  </pic:blipFill>
                  <pic:spPr>
                    <a:xfrm>
                      <a:off x="0" y="0"/>
                      <a:ext cx="4572000" cy="3175000"/>
                    </a:xfrm>
                    <a:prstGeom prst="rect">
                      <a:avLst/>
                    </a:prstGeom>
                  </pic:spPr>
                </pic:pic>
              </a:graphicData>
            </a:graphic>
          </wp:inline>
        </w:drawing>
      </w:r>
    </w:p>
    <w:p w14:paraId="4B0CFB5D" w14:textId="77777777" w:rsidR="00AB3E75" w:rsidRDefault="00000000">
      <w:pPr>
        <w:jc w:val="center"/>
      </w:pPr>
      <w:r>
        <w:rPr>
          <w:i/>
          <w:color w:val="404040"/>
          <w:sz w:val="19"/>
        </w:rPr>
        <w:t>Fig. 4. Proposed three-line-of-defence governance model for AeroLink Logistics.</w:t>
      </w:r>
    </w:p>
    <w:p w14:paraId="4C13FF84" w14:textId="77777777" w:rsidR="009B30D8" w:rsidRDefault="009B30D8" w:rsidP="009B30D8">
      <w:pPr>
        <w:pStyle w:val="Heading2"/>
      </w:pPr>
      <w:bookmarkStart w:id="9" w:name="_Toc236257167"/>
      <w:r>
        <w:t>3.2Compliance: Laws, Ethics, and Standards</w:t>
      </w:r>
      <w:bookmarkEnd w:id="9"/>
    </w:p>
    <w:p w14:paraId="363E57E6" w14:textId="77777777" w:rsidR="009B30D8" w:rsidRPr="00DC2A36" w:rsidRDefault="009B30D8" w:rsidP="009B30D8">
      <w:pPr>
        <w:spacing w:after="120"/>
        <w:ind w:firstLine="288"/>
        <w:jc w:val="both"/>
        <w:rPr>
          <w:sz w:val="24"/>
          <w:szCs w:val="24"/>
        </w:rPr>
      </w:pPr>
      <w:r w:rsidRPr="00DC2A36">
        <w:rPr>
          <w:sz w:val="24"/>
          <w:szCs w:val="24"/>
        </w:rPr>
        <w:t>A Compliance Register is proposed, mapping every applicable obligation — GDPR for any personal data relating to European Union clients or shipments, equivalent data-protection laws in other jurisdictions where ALL operates, and ISO/IEC 27001:2022 as the target certification — to specific ALL business processes and systems. Given that ALL's breaches have already involved client shipment data and customer PII, priority is given to GDPR Articles concerning lawful processing, data minimisation, and processor accountability; under Article 28, ALL remains accountable for how its IaaS/SaaS vendors process personal data even though the processing itself is outsourced, so vendor contracts must include data-processing addenda and the right to audit [12]</w:t>
      </w:r>
      <w:proofErr w:type="gramStart"/>
      <w:r w:rsidRPr="00DC2A36">
        <w:rPr>
          <w:sz w:val="24"/>
          <w:szCs w:val="24"/>
        </w:rPr>
        <w:t>–[</w:t>
      </w:r>
      <w:proofErr w:type="gramEnd"/>
      <w:r w:rsidRPr="00DC2A36">
        <w:rPr>
          <w:sz w:val="24"/>
          <w:szCs w:val="24"/>
        </w:rPr>
        <w:t>14]. A rolling programme of Data Protection Impact Assessments (DPIAs) is introduced for any new IoT data stream or AI analytics use case before it goes live, consistent with a risk-based, privacy-by-design approach to compliance [13].</w:t>
      </w:r>
    </w:p>
    <w:p w14:paraId="10BEF071" w14:textId="77777777" w:rsidR="009B30D8" w:rsidRDefault="009B30D8" w:rsidP="009B30D8">
      <w:pPr>
        <w:pStyle w:val="Heading2"/>
      </w:pPr>
      <w:bookmarkStart w:id="10" w:name="_Toc236257168"/>
      <w:r>
        <w:lastRenderedPageBreak/>
        <w:t>3.3 Security Policies and Procedures</w:t>
      </w:r>
      <w:bookmarkEnd w:id="10"/>
    </w:p>
    <w:p w14:paraId="081AE962" w14:textId="77777777" w:rsidR="009B30D8" w:rsidRPr="00DC2A36" w:rsidRDefault="009B30D8" w:rsidP="009B30D8">
      <w:pPr>
        <w:spacing w:after="120"/>
        <w:ind w:firstLine="288"/>
        <w:jc w:val="both"/>
        <w:rPr>
          <w:sz w:val="24"/>
          <w:szCs w:val="24"/>
        </w:rPr>
      </w:pPr>
      <w:r w:rsidRPr="00DC2A36">
        <w:rPr>
          <w:sz w:val="24"/>
          <w:szCs w:val="24"/>
        </w:rPr>
        <w:t>A layered policy set is proposed: a board-approved Information Security Policy stating intent and risk appetite; a set of topic-specific policies (access control, acceptable use, cryptography, IoT device management, remote working, incident response, and third-party security) mapped directly to ISO/IEC 27001:2022 Annex A control themes; and operational procedures and work instructions maintained by the second line. Each policy is version-controlled, reviewed at least annually, and owned by a named role rather than a department, closing the accountability gap identified in the case scenario.</w:t>
      </w:r>
    </w:p>
    <w:p w14:paraId="0B780F46" w14:textId="77777777" w:rsidR="009B30D8" w:rsidRDefault="009B30D8" w:rsidP="009B30D8">
      <w:pPr>
        <w:pStyle w:val="Heading2"/>
      </w:pPr>
      <w:bookmarkStart w:id="11" w:name="_Toc236257169"/>
      <w:r>
        <w:t>3.4 Risk Management and Assessment</w:t>
      </w:r>
      <w:bookmarkEnd w:id="11"/>
    </w:p>
    <w:p w14:paraId="17EEAC86" w14:textId="77777777" w:rsidR="009B30D8" w:rsidRPr="00DC2A36" w:rsidRDefault="009B30D8" w:rsidP="009B30D8">
      <w:pPr>
        <w:spacing w:after="120"/>
        <w:ind w:firstLine="288"/>
        <w:jc w:val="both"/>
        <w:rPr>
          <w:sz w:val="24"/>
          <w:szCs w:val="24"/>
        </w:rPr>
      </w:pPr>
      <w:r w:rsidRPr="00DC2A36">
        <w:rPr>
          <w:sz w:val="24"/>
          <w:szCs w:val="24"/>
        </w:rPr>
        <w:t>ALL is recommended to adopt a single enterprise risk register using the NIST CSF 2.0 IDENTIFY function to catalogue assets (cloud workloads, IoT sensors, AI models, vendor connections) and the GOVERN function's risk-management category to set risk appetite and tolerance thresholds agreed by the Risk and Audit Committee [2], [3]. Each risk is scored for likelihood and impact, treated (mitigated, transferred, avoided, or accepted) with a named owner, and reviewed quarterly. Given the outsourcing profile, supplier-specific risk scoring is mandatory for any vendor handling PII or shipment-critical systems, consistent with third-party risk management guidance that treats vendor risk as an extension of the organisation's own risk surface rather than a separate exercise [14], [15].</w:t>
      </w:r>
    </w:p>
    <w:p w14:paraId="3A5D5E15" w14:textId="77777777" w:rsidR="009B30D8" w:rsidRDefault="009B30D8" w:rsidP="009B30D8">
      <w:pPr>
        <w:pStyle w:val="Heading2"/>
      </w:pPr>
      <w:bookmarkStart w:id="12" w:name="_Toc236257170"/>
      <w:r>
        <w:t>3.</w:t>
      </w:r>
      <w:r w:rsidR="00DC2A36">
        <w:t xml:space="preserve">5 </w:t>
      </w:r>
      <w:r>
        <w:t>Security Management Models and Practices — Zero Trust for Remote and IoT Access</w:t>
      </w:r>
      <w:bookmarkEnd w:id="12"/>
    </w:p>
    <w:p w14:paraId="2AEF1775" w14:textId="77777777" w:rsidR="009B30D8" w:rsidRPr="00DC2A36" w:rsidRDefault="009B30D8" w:rsidP="009B30D8">
      <w:pPr>
        <w:spacing w:after="120"/>
        <w:ind w:firstLine="288"/>
        <w:jc w:val="both"/>
        <w:rPr>
          <w:sz w:val="24"/>
          <w:szCs w:val="24"/>
        </w:rPr>
      </w:pPr>
      <w:r w:rsidRPr="00DC2A36">
        <w:rPr>
          <w:sz w:val="24"/>
          <w:szCs w:val="24"/>
        </w:rPr>
        <w:t>Because ALL's remote workforce and partners connect from unmanaged devices across multiple time zones, a perimeter-based security model is unsuitable. A zero-trust architecture (ZTA), built on the principle of "never trust, always verify" regardless of network location [16], is proposed for all remote application access and for the management plane of IoT sensor fleets. Practically, this means every access request is authenticated and authorised per session using multi-factor authentication and device-posture checks, network segments are defined by policy rather than physical topology, and access is scoped to the minimum resource required (least privilege). Recent research demonstrates zero-trust designs specifically for industrial IoT remote access, where a resource is granted access via layered controls rather than a single perimeter trust decision [17], and blockchain-enabled zero-trust models have been proposed for supply-chain and vendor-facing systems to provide tamper-resistant audit trails of access decisions [18]. A phased rollout — beginning with remote administrative access, then extending to partner-facing applications, and finally to IoT device management — is recommended given ALL's current governance immaturity, since zero-trust adoption studies identify unclear success criteria and legacy-system interoperability as the most common implementation barriers [19].</w:t>
      </w:r>
    </w:p>
    <w:p w14:paraId="3163B673" w14:textId="77777777" w:rsidR="00AB3E75" w:rsidRDefault="00000000">
      <w:pPr>
        <w:jc w:val="center"/>
      </w:pPr>
      <w:r>
        <w:rPr>
          <w:noProof/>
        </w:rPr>
        <w:lastRenderedPageBreak/>
        <w:drawing>
          <wp:inline distT="0" distB="0" distL="0" distR="0" wp14:anchorId="211C3641" wp14:editId="525A1A2D">
            <wp:extent cx="5120640" cy="327721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zero_trust.png"/>
                    <pic:cNvPicPr/>
                  </pic:nvPicPr>
                  <pic:blipFill>
                    <a:blip r:embed="rId14"/>
                    <a:stretch>
                      <a:fillRect/>
                    </a:stretch>
                  </pic:blipFill>
                  <pic:spPr>
                    <a:xfrm>
                      <a:off x="0" y="0"/>
                      <a:ext cx="5120640" cy="3277210"/>
                    </a:xfrm>
                    <a:prstGeom prst="rect">
                      <a:avLst/>
                    </a:prstGeom>
                  </pic:spPr>
                </pic:pic>
              </a:graphicData>
            </a:graphic>
          </wp:inline>
        </w:drawing>
      </w:r>
    </w:p>
    <w:p w14:paraId="595B368A" w14:textId="77777777" w:rsidR="00AB3E75" w:rsidRDefault="00000000">
      <w:pPr>
        <w:jc w:val="center"/>
      </w:pPr>
      <w:r>
        <w:rPr>
          <w:i/>
          <w:color w:val="404040"/>
          <w:sz w:val="19"/>
        </w:rPr>
        <w:t>Fig. 5. Zero-trust access model applied to remote users, partners, and IoT device management.</w:t>
      </w:r>
    </w:p>
    <w:p w14:paraId="1B482107" w14:textId="77777777" w:rsidR="009B30D8" w:rsidRDefault="00DC2A36" w:rsidP="00DC2A36">
      <w:pPr>
        <w:pStyle w:val="Heading2"/>
      </w:pPr>
      <w:bookmarkStart w:id="13" w:name="_Toc236257171"/>
      <w:r>
        <w:t>3.6</w:t>
      </w:r>
      <w:r w:rsidR="009B30D8">
        <w:t xml:space="preserve"> Contingency and Business Continuity Planning</w:t>
      </w:r>
      <w:bookmarkEnd w:id="13"/>
    </w:p>
    <w:p w14:paraId="3927DBAA" w14:textId="77777777" w:rsidR="009B30D8" w:rsidRPr="00DC2A36" w:rsidRDefault="009B30D8" w:rsidP="009B30D8">
      <w:pPr>
        <w:spacing w:after="120"/>
        <w:ind w:firstLine="288"/>
        <w:jc w:val="both"/>
        <w:rPr>
          <w:sz w:val="24"/>
          <w:szCs w:val="24"/>
        </w:rPr>
      </w:pPr>
      <w:r w:rsidRPr="00DC2A36">
        <w:rPr>
          <w:sz w:val="24"/>
          <w:szCs w:val="24"/>
        </w:rPr>
        <w:t>Given that ALL provides real-time tracking and distribution services, an outage has direct operational and contractual consequences for clients. A Business Continuity and Disaster Recovery (BC/DR) plan is proposed covering: a Business Impact Analysis (BIA) to identify Recovery Time and Recovery Point Objectives for tracking, warehousing, and distribution systems; documented failover arrangements with each critical IaaS/SaaS vendor, including confirmation of the vendor's own BC/DR capability as part of onboarding due diligence; and a tested incident-response plan aligned to the NIST CSF 2.0 RESPOND and RECOVER functions, with third-party vendors included in tabletop exercises as recommended in NIST's supply-chain guidance [1]. Annual testing and post-incident review are mandated, with findings fed back into the risk register.</w:t>
      </w:r>
    </w:p>
    <w:p w14:paraId="4922E598" w14:textId="77777777" w:rsidR="009B30D8" w:rsidRDefault="00DC2A36" w:rsidP="00DC2A36">
      <w:pPr>
        <w:pStyle w:val="Heading2"/>
      </w:pPr>
      <w:bookmarkStart w:id="14" w:name="_Toc236257172"/>
      <w:r>
        <w:t xml:space="preserve">3.7 </w:t>
      </w:r>
      <w:r w:rsidR="009B30D8">
        <w:t>Protection Mechanisms and Access Controls</w:t>
      </w:r>
      <w:bookmarkEnd w:id="14"/>
    </w:p>
    <w:p w14:paraId="5ACED414" w14:textId="77777777" w:rsidR="009B30D8" w:rsidRDefault="009B30D8" w:rsidP="009B30D8">
      <w:pPr>
        <w:spacing w:after="120"/>
        <w:ind w:firstLine="288"/>
        <w:jc w:val="both"/>
      </w:pPr>
      <w:r w:rsidRPr="00DC2A36">
        <w:rPr>
          <w:sz w:val="24"/>
          <w:szCs w:val="24"/>
        </w:rPr>
        <w:t>Technical controls are mapped to ISO/IEC 27001:2022 Annex A themes: organisational controls (access control policy, asset inventory including IoT devices), people controls (security awareness training for staff and partners, given the breadth of remote users), technological controls (encryption of shipment and PII data at rest and in transit, endpoint detection on any managed device, network segmentation between IoT sensor networks and corporate systems, and centralised logging feeding a Security Information and Event Management capability), and physical controls (for any ALL-owned warehousing or data-handling sites) [10], [11]. Role-based access control, combined with the zero-trust session-level checks described in Section III-E, addresses the unauthorised-access pattern behind ALL's prior breaches</w:t>
      </w:r>
      <w:r>
        <w:rPr>
          <w:sz w:val="19"/>
          <w:szCs w:val="19"/>
        </w:rPr>
        <w:t>.</w:t>
      </w:r>
    </w:p>
    <w:p w14:paraId="4BAAF7A1" w14:textId="77777777" w:rsidR="009B30D8" w:rsidRDefault="00DC2A36" w:rsidP="00DC2A36">
      <w:pPr>
        <w:pStyle w:val="Heading2"/>
      </w:pPr>
      <w:bookmarkStart w:id="15" w:name="_Toc236257173"/>
      <w:r>
        <w:t xml:space="preserve">3.8 </w:t>
      </w:r>
      <w:r w:rsidR="009B30D8">
        <w:t>Vendor and Service Level Agreement (SLA) Management</w:t>
      </w:r>
      <w:bookmarkEnd w:id="15"/>
    </w:p>
    <w:p w14:paraId="78EAB8B2" w14:textId="77777777" w:rsidR="009B30D8" w:rsidRPr="00DC2A36" w:rsidRDefault="009B30D8" w:rsidP="009B30D8">
      <w:pPr>
        <w:spacing w:after="120"/>
        <w:ind w:firstLine="288"/>
        <w:jc w:val="both"/>
        <w:rPr>
          <w:sz w:val="24"/>
          <w:szCs w:val="24"/>
        </w:rPr>
      </w:pPr>
      <w:r w:rsidRPr="00DC2A36">
        <w:rPr>
          <w:sz w:val="24"/>
          <w:szCs w:val="24"/>
        </w:rPr>
        <w:t xml:space="preserve">With 88% of infrastructure outsourced, vendor governance is arguably ALL's single highest-leverage control area. The design introduces a Vendor Risk Tiering model (critical, high, medium, low) based on the sensitivity of data processed and the operational dependency on the service, consistent with NIST CSF 2.0's GV.SC guidance to identify suppliers and determine their </w:t>
      </w:r>
      <w:r w:rsidRPr="00DC2A36">
        <w:rPr>
          <w:sz w:val="24"/>
          <w:szCs w:val="24"/>
        </w:rPr>
        <w:lastRenderedPageBreak/>
        <w:t>criticality [1]. Each critical or high-tier vendor contract must include: a security schedule referencing ISO/IEC 27001 or an equivalent certification as a minimum bar, a GDPR-compliant data-processing addendum, defined SLA metrics for availability, incident-notification timeliness, and patching cadence, the right to audit or receive independent assurance reports, and an exit clause covering secure data return or deletion. ITIL's supplier-management practice is used operationally to track SLA performance and to route vendor-related incidents through the same incident-management process as internally-owned systems, ensuring third parties are not a governance blind spot [1], [14].</w:t>
      </w:r>
    </w:p>
    <w:p w14:paraId="5FBC835E" w14:textId="77777777" w:rsidR="00AB3E75" w:rsidRDefault="00000000">
      <w:pPr>
        <w:jc w:val="center"/>
      </w:pPr>
      <w:r>
        <w:rPr>
          <w:noProof/>
        </w:rPr>
        <w:drawing>
          <wp:inline distT="0" distB="0" distL="0" distR="0" wp14:anchorId="65AB23E3" wp14:editId="718C98BF">
            <wp:extent cx="3657600" cy="2813538"/>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vendor_tiering.png"/>
                    <pic:cNvPicPr/>
                  </pic:nvPicPr>
                  <pic:blipFill>
                    <a:blip r:embed="rId15"/>
                    <a:stretch>
                      <a:fillRect/>
                    </a:stretch>
                  </pic:blipFill>
                  <pic:spPr>
                    <a:xfrm>
                      <a:off x="0" y="0"/>
                      <a:ext cx="3657600" cy="2813538"/>
                    </a:xfrm>
                    <a:prstGeom prst="rect">
                      <a:avLst/>
                    </a:prstGeom>
                  </pic:spPr>
                </pic:pic>
              </a:graphicData>
            </a:graphic>
          </wp:inline>
        </w:drawing>
      </w:r>
    </w:p>
    <w:p w14:paraId="5E088CFB" w14:textId="77777777" w:rsidR="00AB3E75" w:rsidRDefault="00000000">
      <w:pPr>
        <w:jc w:val="center"/>
      </w:pPr>
      <w:r>
        <w:rPr>
          <w:i/>
          <w:color w:val="404040"/>
          <w:sz w:val="19"/>
        </w:rPr>
        <w:t>Fig. 6. Vendor Risk Tiering model applied to ALL's 88% outsourced infrastructure estate.</w:t>
      </w:r>
    </w:p>
    <w:p w14:paraId="09155F3D" w14:textId="77777777" w:rsidR="009B30D8" w:rsidRDefault="009B30D8" w:rsidP="009B30D8">
      <w:pPr>
        <w:pStyle w:val="Heading1"/>
      </w:pPr>
    </w:p>
    <w:p w14:paraId="13F369C6" w14:textId="77777777" w:rsidR="00464636" w:rsidRDefault="00000000" w:rsidP="00D97C04">
      <w:pPr>
        <w:pStyle w:val="Heading1"/>
      </w:pPr>
      <w:bookmarkStart w:id="16" w:name="_Toc236257174"/>
      <w:r>
        <w:t xml:space="preserve">4. </w:t>
      </w:r>
      <w:r w:rsidR="009B30D8">
        <w:t>WHY CONTINUOUS REGULATORY AND STANDARDS CURRENCY IS GOOD PRACTICE</w:t>
      </w:r>
      <w:bookmarkEnd w:id="16"/>
    </w:p>
    <w:p w14:paraId="7C2D96C2" w14:textId="77777777" w:rsidR="009B30D8" w:rsidRPr="00DC2A36" w:rsidRDefault="009B30D8">
      <w:pPr>
        <w:spacing w:after="120"/>
        <w:ind w:firstLine="288"/>
        <w:jc w:val="both"/>
        <w:rPr>
          <w:sz w:val="24"/>
          <w:szCs w:val="24"/>
        </w:rPr>
      </w:pPr>
      <w:r w:rsidRPr="00DC2A36">
        <w:rPr>
          <w:sz w:val="24"/>
          <w:szCs w:val="24"/>
        </w:rPr>
        <w:t>The frameworks reviewed in Section II are not static artefacts; each has been substantively revised within the last five years, and each revision responds to a specific shift in technology or threat. NIST CSF 2.0 added the GOVERN function and formalised supply-chain risk management in direct response to the growth of third-party dependencies and high-profile supply-chain compromises [2], [3]. ISO/IEC 27001:2022 restructured its control catalogue and added controls for cloud services, threat intelligence, and data masking because the 2013 control set no longer reflected common technology deployment patterns [9]</w:t>
      </w:r>
      <w:proofErr w:type="gramStart"/>
      <w:r w:rsidRPr="00DC2A36">
        <w:rPr>
          <w:sz w:val="24"/>
          <w:szCs w:val="24"/>
        </w:rPr>
        <w:t>–[</w:t>
      </w:r>
      <w:proofErr w:type="gramEnd"/>
      <w:r w:rsidRPr="00DC2A36">
        <w:rPr>
          <w:sz w:val="24"/>
          <w:szCs w:val="24"/>
        </w:rPr>
        <w:t>11]. COBIT 2019 replaced COBIT 5's more rigid structure with configurable design factors so that governance could be tailored to an organisation's specific risk profile rather than forcing every organisation through an identical control set [6], [8]. Zero-trust architecture itself has moved from a niche concept to a mainstream recommendation largely because IoT, cloud, and remote work have eroded the network perimeter that earlier security models assumed [16], [19].</w:t>
      </w:r>
    </w:p>
    <w:p w14:paraId="7BFD9BC4" w14:textId="77777777" w:rsidR="009B30D8" w:rsidRPr="00DC2A36" w:rsidRDefault="009B30D8">
      <w:pPr>
        <w:spacing w:after="120"/>
        <w:ind w:firstLine="288"/>
        <w:jc w:val="both"/>
        <w:rPr>
          <w:sz w:val="24"/>
          <w:szCs w:val="24"/>
        </w:rPr>
      </w:pPr>
      <w:r w:rsidRPr="00DC2A36">
        <w:rPr>
          <w:sz w:val="24"/>
          <w:szCs w:val="24"/>
        </w:rPr>
        <w:t xml:space="preserve">For an organisation such as ALL, three arguments support treating continuous currency with these frameworks and with underlying regulation as good practice rather than an optional overhead. First, emerging technologies change where risk actually sits. AI-driven analytics and IoT sensor fleets introduce data flows, third-party model dependencies, and device-management challenges that did not exist when earlier framework versions were written; a control set frozen at </w:t>
      </w:r>
      <w:r w:rsidRPr="00DC2A36">
        <w:rPr>
          <w:sz w:val="24"/>
          <w:szCs w:val="24"/>
        </w:rPr>
        <w:lastRenderedPageBreak/>
        <w:t>an earlier revision will simply not cover these assets, leaving them outside the ISMS scope entirely. Second, threat actors adapt faster than static controls. Supply-chain attacks, credential-based intrusions against remote access, and attacks against unmanaged devices are now leading breach vectors, which is precisely why NIST CSF 2.0 elevated supply-chain risk to a governance-level concern and why zero-trust models have gained traction as a replacement for perimeter defence [2], [16], [19]. An organisation that does not track these shifts will continue investing in controls calibrated to a threat model that attackers have already moved past. Third, compliance obligations are themselves dynamic and increasingly extraterritorial: GDPR enforcement continues to evolve through regulatory guidance and case law, data-protection authorities have issued substantial fines against organisations for third-party processing failures, and equivalent regimes have proliferated globally, meaning a compliance programme designed once and left unreviewed will drift out of alignment with actual legal obligations across the jurisdictions in which a multinational such as ALL operates [12]–[15]. Taken together, these three pressures mean that the annual policy review, quarterly risk-register review, and structured framework mapping proposed in Section III are not bureaucratic formalities but the mechanism by which ALL's security posture keeps pace with a genuinely moving target. A GRC programme that is designed once against a single point-in-time framework version will, by construction, decay in effectiveness even if no internal control is ever weakened, simply because the external environment it was built to address keeps changing.</w:t>
      </w:r>
    </w:p>
    <w:p w14:paraId="4B4DA1D1" w14:textId="77777777" w:rsidR="00464636" w:rsidRDefault="00000000" w:rsidP="009B30D8">
      <w:pPr>
        <w:pStyle w:val="Heading1"/>
        <w:spacing w:before="320" w:after="160"/>
      </w:pPr>
      <w:bookmarkStart w:id="17" w:name="_Toc236257175"/>
      <w:r w:rsidRPr="009B30D8">
        <w:t xml:space="preserve">5. </w:t>
      </w:r>
      <w:r w:rsidR="009B30D8" w:rsidRPr="009B30D8">
        <w:t>ASSUMPTIONS</w:t>
      </w:r>
      <w:bookmarkEnd w:id="17"/>
    </w:p>
    <w:p w14:paraId="7C45B340" w14:textId="77777777" w:rsidR="009B30D8" w:rsidRPr="00DC2A36" w:rsidRDefault="009B30D8" w:rsidP="009B30D8">
      <w:pPr>
        <w:spacing w:after="120"/>
        <w:ind w:firstLine="288"/>
        <w:jc w:val="both"/>
        <w:rPr>
          <w:sz w:val="24"/>
          <w:szCs w:val="24"/>
        </w:rPr>
      </w:pPr>
      <w:r w:rsidRPr="00DC2A36">
        <w:rPr>
          <w:sz w:val="24"/>
          <w:szCs w:val="24"/>
        </w:rPr>
        <w:t>Several assumptions were necessary to scope this design, given that the case scenario does not specify certain organisational details:</w:t>
      </w:r>
    </w:p>
    <w:p w14:paraId="18FAA6C6" w14:textId="77777777" w:rsidR="009B30D8" w:rsidRPr="00DC2A36" w:rsidRDefault="009B30D8" w:rsidP="009B30D8">
      <w:pPr>
        <w:spacing w:after="100"/>
        <w:jc w:val="both"/>
        <w:rPr>
          <w:sz w:val="24"/>
          <w:szCs w:val="24"/>
        </w:rPr>
      </w:pPr>
      <w:r w:rsidRPr="00DC2A36">
        <w:rPr>
          <w:sz w:val="24"/>
          <w:szCs w:val="24"/>
        </w:rPr>
        <w:t>1) ALL is assumed to be a large multinational enterprise (consistent with "multinational supply chain and logistics company") with sufficient revenue to fund a dedicated CISO function, external ISO/IEC 27001 certification audits, and a formal risk and audit committee; a smaller organisation would require a scaled-down version of this design.</w:t>
      </w:r>
    </w:p>
    <w:p w14:paraId="62DCAB9B" w14:textId="77777777" w:rsidR="009B30D8" w:rsidRPr="00DC2A36" w:rsidRDefault="009B30D8" w:rsidP="009B30D8">
      <w:pPr>
        <w:spacing w:after="100"/>
        <w:jc w:val="both"/>
        <w:rPr>
          <w:sz w:val="24"/>
          <w:szCs w:val="24"/>
        </w:rPr>
      </w:pPr>
      <w:r w:rsidRPr="00DC2A36">
        <w:rPr>
          <w:sz w:val="24"/>
          <w:szCs w:val="24"/>
        </w:rPr>
        <w:t>2) ALL is assumed to process personal data of European Union residents (clients, shipment recipients, or staff) such that GDPR applies directly; where this is not the case, an equivalent regional data-protection regime is assumed to apply with materially similar obligations.</w:t>
      </w:r>
    </w:p>
    <w:p w14:paraId="46B0438F" w14:textId="77777777" w:rsidR="009B30D8" w:rsidRPr="00DC2A36" w:rsidRDefault="009B30D8" w:rsidP="009B30D8">
      <w:pPr>
        <w:spacing w:after="100"/>
        <w:jc w:val="both"/>
        <w:rPr>
          <w:sz w:val="24"/>
          <w:szCs w:val="24"/>
        </w:rPr>
      </w:pPr>
      <w:r w:rsidRPr="00DC2A36">
        <w:rPr>
          <w:sz w:val="24"/>
          <w:szCs w:val="24"/>
        </w:rPr>
        <w:t>3) ALL's outsourced infrastructure is assumed to be provided by identifiable, contractable vendors capable of supporting security schedules and audit rights; the design does not address scenarios involving informal or unmanaged shadow-IT services.</w:t>
      </w:r>
    </w:p>
    <w:p w14:paraId="731C8E27" w14:textId="77777777" w:rsidR="009B30D8" w:rsidRPr="00DC2A36" w:rsidRDefault="009B30D8" w:rsidP="009B30D8">
      <w:pPr>
        <w:spacing w:after="100"/>
        <w:jc w:val="both"/>
        <w:rPr>
          <w:sz w:val="24"/>
          <w:szCs w:val="24"/>
        </w:rPr>
      </w:pPr>
      <w:r w:rsidRPr="00DC2A36">
        <w:rPr>
          <w:sz w:val="24"/>
          <w:szCs w:val="24"/>
        </w:rPr>
        <w:t>4) The organisation's security maturity is assumed to be low-to-immature, as stated in the scenario (no unified framework, no centralised risk process, no formal audits), which is why a phased, governance-first design is proposed rather than an immediate full technical rollout.</w:t>
      </w:r>
    </w:p>
    <w:p w14:paraId="298659C4" w14:textId="77777777" w:rsidR="009B30D8" w:rsidRPr="00DC2A36" w:rsidRDefault="009B30D8" w:rsidP="009B30D8">
      <w:pPr>
        <w:spacing w:after="100"/>
        <w:jc w:val="both"/>
        <w:rPr>
          <w:sz w:val="24"/>
          <w:szCs w:val="24"/>
        </w:rPr>
      </w:pPr>
      <w:r w:rsidRPr="00DC2A36">
        <w:rPr>
          <w:sz w:val="24"/>
          <w:szCs w:val="24"/>
        </w:rPr>
        <w:t>5) Existing IoT sensors and AI analytics platforms are assumed to be capable of supporting standard authentication and logging mechanisms; legacy devices lacking this capability are assumed to require compensating network-level controls rather than being replaced outright in the short term.</w:t>
      </w:r>
    </w:p>
    <w:p w14:paraId="222E87C0" w14:textId="77777777" w:rsidR="009B30D8" w:rsidRPr="00DC2A36" w:rsidRDefault="009B30D8" w:rsidP="009B30D8">
      <w:pPr>
        <w:spacing w:after="100"/>
        <w:jc w:val="both"/>
        <w:rPr>
          <w:sz w:val="24"/>
          <w:szCs w:val="24"/>
        </w:rPr>
      </w:pPr>
      <w:r w:rsidRPr="00DC2A36">
        <w:rPr>
          <w:sz w:val="24"/>
          <w:szCs w:val="24"/>
        </w:rPr>
        <w:t xml:space="preserve">6) Budget and timeline constraints are assumed to permit a phased, multi-year implementation rather than a single simultaneous rollout of all controls described in Section </w:t>
      </w:r>
      <w:r w:rsidR="00D97C04">
        <w:rPr>
          <w:sz w:val="24"/>
          <w:szCs w:val="24"/>
        </w:rPr>
        <w:t>3</w:t>
      </w:r>
      <w:r w:rsidRPr="00DC2A36">
        <w:rPr>
          <w:sz w:val="24"/>
          <w:szCs w:val="24"/>
        </w:rPr>
        <w:t>.</w:t>
      </w:r>
    </w:p>
    <w:p w14:paraId="6E1A9887" w14:textId="77777777" w:rsidR="009B30D8" w:rsidRDefault="00DC2A36" w:rsidP="009B30D8">
      <w:pPr>
        <w:pStyle w:val="Heading1"/>
      </w:pPr>
      <w:bookmarkStart w:id="18" w:name="_Toc236257176"/>
      <w:r>
        <w:t>6</w:t>
      </w:r>
      <w:r w:rsidR="009B30D8">
        <w:t>. CONCLUSION</w:t>
      </w:r>
      <w:bookmarkEnd w:id="18"/>
    </w:p>
    <w:p w14:paraId="0D5A73B3" w14:textId="77777777" w:rsidR="00464636" w:rsidRPr="00D97C04" w:rsidRDefault="009B30D8" w:rsidP="00D97C04">
      <w:pPr>
        <w:spacing w:after="120"/>
        <w:ind w:firstLine="288"/>
        <w:jc w:val="both"/>
        <w:rPr>
          <w:sz w:val="24"/>
          <w:szCs w:val="24"/>
        </w:rPr>
      </w:pPr>
      <w:r w:rsidRPr="00DC2A36">
        <w:rPr>
          <w:sz w:val="24"/>
          <w:szCs w:val="24"/>
        </w:rPr>
        <w:lastRenderedPageBreak/>
        <w:t xml:space="preserve">This paper reviewed NIST CSF 2.0, COBIT 2019, ISO/IEC 27001:2022, and ITIL, and used their complementary strengths to design a governance, risk, and compliance programme for </w:t>
      </w:r>
      <w:proofErr w:type="spellStart"/>
      <w:r w:rsidRPr="00DC2A36">
        <w:rPr>
          <w:sz w:val="24"/>
          <w:szCs w:val="24"/>
        </w:rPr>
        <w:t>AeroLink</w:t>
      </w:r>
      <w:proofErr w:type="spellEnd"/>
      <w:r w:rsidRPr="00DC2A36">
        <w:rPr>
          <w:sz w:val="24"/>
          <w:szCs w:val="24"/>
        </w:rPr>
        <w:t xml:space="preserve"> Logistics that addresses its outsourced infrastructure, IoT-enabled operations, and unmanaged remote-access environment. The proposed three-line-of-defence governance model, GDPR- and ISO/IEC 27001-aligned compliance programme, zero-trust access model, vendor-tiering and SLA framework, and business continuity capability together respond directly to the breach patterns and coordination gaps described in the case scenario. The critical discussion in Section IV argues that continuous currency with these frameworks and with underlying regulation is not optional good practice but a structural requirement, since the technologies, threats, and legal obligations each framework was built to address continue to change independently of any single organisation's internal control maturity.</w:t>
      </w:r>
      <w:r>
        <w:br w:type="page"/>
      </w:r>
    </w:p>
    <w:p w14:paraId="621548DB" w14:textId="77777777" w:rsidR="00AB3E75" w:rsidRDefault="00000000">
      <w:pPr>
        <w:jc w:val="center"/>
      </w:pPr>
      <w:r>
        <w:rPr>
          <w:noProof/>
        </w:rPr>
        <w:lastRenderedPageBreak/>
        <w:drawing>
          <wp:inline distT="0" distB="0" distL="0" distR="0" wp14:anchorId="39CCDD0F" wp14:editId="102D712B">
            <wp:extent cx="4570095" cy="2538942"/>
            <wp:effectExtent l="0" t="0" r="1905"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timeline_gantt_6m.png"/>
                    <pic:cNvPicPr/>
                  </pic:nvPicPr>
                  <pic:blipFill>
                    <a:blip r:embed="rId16"/>
                    <a:stretch>
                      <a:fillRect/>
                    </a:stretch>
                  </pic:blipFill>
                  <pic:spPr>
                    <a:xfrm>
                      <a:off x="0" y="0"/>
                      <a:ext cx="4572099" cy="2540055"/>
                    </a:xfrm>
                    <a:prstGeom prst="rect">
                      <a:avLst/>
                    </a:prstGeom>
                  </pic:spPr>
                </pic:pic>
              </a:graphicData>
            </a:graphic>
          </wp:inline>
        </w:drawing>
      </w:r>
    </w:p>
    <w:p w14:paraId="6598E78D" w14:textId="77777777" w:rsidR="00AB3E75" w:rsidRDefault="00000000">
      <w:pPr>
        <w:jc w:val="center"/>
      </w:pPr>
      <w:r>
        <w:rPr>
          <w:i/>
          <w:color w:val="404040"/>
          <w:sz w:val="19"/>
        </w:rPr>
        <w:t>Fig. 7. 6-month phased implementation Gantt chart for the proposed GRC design.</w:t>
      </w:r>
    </w:p>
    <w:p w14:paraId="35F7FEF0" w14:textId="77777777" w:rsidR="00464636" w:rsidRDefault="00000000">
      <w:pPr>
        <w:pStyle w:val="Heading1"/>
        <w:spacing w:before="320" w:after="160"/>
      </w:pPr>
      <w:bookmarkStart w:id="19" w:name="_Toc236257177"/>
      <w:r>
        <w:t>References</w:t>
      </w:r>
      <w:bookmarkEnd w:id="19"/>
    </w:p>
    <w:p w14:paraId="05FC1A8D" w14:textId="77777777" w:rsidR="009B30D8" w:rsidRDefault="009B30D8" w:rsidP="009B30D8">
      <w:pPr>
        <w:spacing w:after="80"/>
        <w:ind w:left="360" w:hanging="360"/>
      </w:pPr>
      <w:r>
        <w:rPr>
          <w:sz w:val="17"/>
          <w:szCs w:val="17"/>
        </w:rPr>
        <w:t>[1] J. M. Boyens, R. McWhite, L. Calloway, N. Bartol, and K. Scarfone, "NIST Cybersecurity Framework 2.0: Quick-Start Guide for Cybersecurity Supply Chain Risk Management (C-SCRM)," NIST Special Publication 1305, National Institute of Standards and Technology, Gaithersburg, MD, USA, Feb. 2024.</w:t>
      </w:r>
    </w:p>
    <w:p w14:paraId="33935323" w14:textId="77777777" w:rsidR="009B30D8" w:rsidRDefault="009B30D8" w:rsidP="009B30D8">
      <w:pPr>
        <w:spacing w:after="80"/>
        <w:ind w:left="360" w:hanging="360"/>
      </w:pPr>
      <w:r>
        <w:rPr>
          <w:sz w:val="17"/>
          <w:szCs w:val="17"/>
        </w:rPr>
        <w:t>[2] National Institute of Standards and Technology, "The NIST Cybersecurity Framework (CSF) 2.0," NIST, Gaithersburg, MD, USA, Feb. 2024.</w:t>
      </w:r>
    </w:p>
    <w:p w14:paraId="35E93D3B" w14:textId="77777777" w:rsidR="009B30D8" w:rsidRDefault="009B30D8" w:rsidP="009B30D8">
      <w:pPr>
        <w:spacing w:after="80"/>
        <w:ind w:left="360" w:hanging="360"/>
      </w:pPr>
      <w:r>
        <w:rPr>
          <w:sz w:val="17"/>
          <w:szCs w:val="17"/>
        </w:rPr>
        <w:t>[3] Cyber Risk &amp; Resilience (CRF), "Understanding the 2024 Updates to the NIST Cybersecurity Framework," CRF, 2024.</w:t>
      </w:r>
    </w:p>
    <w:p w14:paraId="4FDEE044" w14:textId="77777777" w:rsidR="009B30D8" w:rsidRDefault="009B30D8" w:rsidP="009B30D8">
      <w:pPr>
        <w:spacing w:after="80"/>
        <w:ind w:left="360" w:hanging="360"/>
      </w:pPr>
      <w:r>
        <w:rPr>
          <w:sz w:val="17"/>
          <w:szCs w:val="17"/>
        </w:rPr>
        <w:t>[4] H. Raval and S. Joshi, "COBIT 2019 Framework in IT Governance: A Systematic Literature Review," in Proc. 2020 Int. Conf. Smart Syst. Invent. Technol. (ICSSIT), 2020, pp. 1603–1608.</w:t>
      </w:r>
    </w:p>
    <w:p w14:paraId="344E76C2" w14:textId="77777777" w:rsidR="009B30D8" w:rsidRDefault="009B30D8" w:rsidP="009B30D8">
      <w:pPr>
        <w:spacing w:after="80"/>
        <w:ind w:left="360" w:hanging="360"/>
      </w:pPr>
      <w:r>
        <w:rPr>
          <w:sz w:val="17"/>
          <w:szCs w:val="17"/>
        </w:rPr>
        <w:t xml:space="preserve">[5] A. R. </w:t>
      </w:r>
      <w:proofErr w:type="spellStart"/>
      <w:r>
        <w:rPr>
          <w:sz w:val="17"/>
          <w:szCs w:val="17"/>
        </w:rPr>
        <w:t>Sengik</w:t>
      </w:r>
      <w:proofErr w:type="spellEnd"/>
      <w:r>
        <w:rPr>
          <w:sz w:val="17"/>
          <w:szCs w:val="17"/>
        </w:rPr>
        <w:t xml:space="preserve"> et al., "Using design science research to propose an IT governance model for higher education institutions," Educ. Inf. Technol., vol. 27, no. 8, pp. 11285–11305, 2022.</w:t>
      </w:r>
    </w:p>
    <w:p w14:paraId="412EB317" w14:textId="77777777" w:rsidR="009B30D8" w:rsidRDefault="009B30D8" w:rsidP="009B30D8">
      <w:pPr>
        <w:spacing w:after="80"/>
        <w:ind w:left="360" w:hanging="360"/>
      </w:pPr>
      <w:r>
        <w:rPr>
          <w:sz w:val="17"/>
          <w:szCs w:val="17"/>
        </w:rPr>
        <w:t>[6] ISACA, COBIT 2019 Framework: Governance and Management Objectives, ISACA, Schaumburg, IL, USA, 2019 (as applied in industry studies 2021–2023).</w:t>
      </w:r>
    </w:p>
    <w:p w14:paraId="37993F31" w14:textId="77777777" w:rsidR="009B30D8" w:rsidRDefault="009B30D8" w:rsidP="009B30D8">
      <w:pPr>
        <w:spacing w:after="80"/>
        <w:ind w:left="360" w:hanging="360"/>
      </w:pPr>
      <w:r>
        <w:rPr>
          <w:sz w:val="17"/>
          <w:szCs w:val="17"/>
        </w:rPr>
        <w:t xml:space="preserve">[7] R. Wibowo et al., "COBIT 2019 Framework in IT Governance: A Systematic Literature Review of Implementation Challenges and Benefits Across Various Industry Sectors," J. Renewable Energy, </w:t>
      </w:r>
      <w:proofErr w:type="spellStart"/>
      <w:r>
        <w:rPr>
          <w:sz w:val="17"/>
          <w:szCs w:val="17"/>
        </w:rPr>
        <w:t>Electr</w:t>
      </w:r>
      <w:proofErr w:type="spellEnd"/>
      <w:r>
        <w:rPr>
          <w:sz w:val="17"/>
          <w:szCs w:val="17"/>
        </w:rPr>
        <w:t xml:space="preserve">., </w:t>
      </w:r>
      <w:proofErr w:type="spellStart"/>
      <w:r>
        <w:rPr>
          <w:sz w:val="17"/>
          <w:szCs w:val="17"/>
        </w:rPr>
        <w:t>Comput</w:t>
      </w:r>
      <w:proofErr w:type="spellEnd"/>
      <w:r>
        <w:rPr>
          <w:sz w:val="17"/>
          <w:szCs w:val="17"/>
        </w:rPr>
        <w:t>. Eng., 2025.</w:t>
      </w:r>
    </w:p>
    <w:p w14:paraId="0D19F95F" w14:textId="77777777" w:rsidR="009B30D8" w:rsidRDefault="009B30D8" w:rsidP="009B30D8">
      <w:pPr>
        <w:spacing w:after="80"/>
        <w:ind w:left="360" w:hanging="360"/>
      </w:pPr>
      <w:r>
        <w:rPr>
          <w:sz w:val="17"/>
          <w:szCs w:val="17"/>
        </w:rPr>
        <w:t xml:space="preserve">[8] A. Gerl, M. von der Heyde, R. </w:t>
      </w:r>
      <w:proofErr w:type="spellStart"/>
      <w:r>
        <w:rPr>
          <w:sz w:val="17"/>
          <w:szCs w:val="17"/>
        </w:rPr>
        <w:t>Groß</w:t>
      </w:r>
      <w:proofErr w:type="spellEnd"/>
      <w:r>
        <w:rPr>
          <w:sz w:val="17"/>
          <w:szCs w:val="17"/>
        </w:rPr>
        <w:t xml:space="preserve">, R. Seck, and L. </w:t>
      </w:r>
      <w:proofErr w:type="spellStart"/>
      <w:r>
        <w:rPr>
          <w:sz w:val="17"/>
          <w:szCs w:val="17"/>
        </w:rPr>
        <w:t>Watkowski</w:t>
      </w:r>
      <w:proofErr w:type="spellEnd"/>
      <w:r>
        <w:rPr>
          <w:sz w:val="17"/>
          <w:szCs w:val="17"/>
        </w:rPr>
        <w:t>, "Applying COBIT 2019 to IT Governance in Higher Education," in INFORMATIK 2021, 2021, pp. 517–530.</w:t>
      </w:r>
    </w:p>
    <w:p w14:paraId="38805853" w14:textId="77777777" w:rsidR="009B30D8" w:rsidRDefault="009B30D8" w:rsidP="009B30D8">
      <w:pPr>
        <w:spacing w:after="80"/>
        <w:ind w:left="360" w:hanging="360"/>
      </w:pPr>
      <w:r>
        <w:rPr>
          <w:sz w:val="17"/>
          <w:szCs w:val="17"/>
        </w:rPr>
        <w:t>[9] ISO/IEC, "ISO/IEC 27001:2022 — Information Security, Cybersecurity and Privacy Protection — Information Security Management Systems — Requirements," International Organization for Standardization, Geneva, Switzerland, Oct. 2022.</w:t>
      </w:r>
    </w:p>
    <w:p w14:paraId="2EC94570" w14:textId="77777777" w:rsidR="009B30D8" w:rsidRDefault="009B30D8" w:rsidP="009B30D8">
      <w:pPr>
        <w:spacing w:after="80"/>
        <w:ind w:left="360" w:hanging="360"/>
      </w:pPr>
      <w:r>
        <w:rPr>
          <w:sz w:val="17"/>
          <w:szCs w:val="17"/>
        </w:rPr>
        <w:t>[10] ISO/IEC, "ISO/IEC 27002:2022 — Information Security Controls," International Organization for Standardization, Geneva, Switzerland, Mar. 2022.</w:t>
      </w:r>
    </w:p>
    <w:p w14:paraId="7A79B8FE" w14:textId="77777777" w:rsidR="009B30D8" w:rsidRDefault="009B30D8" w:rsidP="009B30D8">
      <w:pPr>
        <w:spacing w:after="80"/>
        <w:ind w:left="360" w:hanging="360"/>
      </w:pPr>
      <w:r>
        <w:rPr>
          <w:sz w:val="17"/>
          <w:szCs w:val="17"/>
        </w:rPr>
        <w:t>[11] Protiviti, "ISO 27001:2022 — Key Changes and Approaches to Transition," Protiviti Inc., 2023.</w:t>
      </w:r>
    </w:p>
    <w:p w14:paraId="2ABAEA47" w14:textId="77777777" w:rsidR="009B30D8" w:rsidRDefault="009B30D8" w:rsidP="009B30D8">
      <w:pPr>
        <w:spacing w:after="80"/>
        <w:ind w:left="360" w:hanging="360"/>
      </w:pPr>
      <w:r>
        <w:rPr>
          <w:sz w:val="17"/>
          <w:szCs w:val="17"/>
        </w:rPr>
        <w:t>[12] European Union, "General Data Protection Regulation (GDPR), Regulation (EU) 2016/679," 2016 (Article 28 obligations as applied in 2021–2022 enforcement guidance).</w:t>
      </w:r>
    </w:p>
    <w:p w14:paraId="5FBA5EF6" w14:textId="77777777" w:rsidR="009B30D8" w:rsidRDefault="009B30D8" w:rsidP="009B30D8">
      <w:pPr>
        <w:spacing w:after="80"/>
        <w:ind w:left="360" w:hanging="360"/>
      </w:pPr>
      <w:r>
        <w:rPr>
          <w:sz w:val="17"/>
          <w:szCs w:val="17"/>
        </w:rPr>
        <w:t xml:space="preserve">[13] </w:t>
      </w:r>
      <w:proofErr w:type="spellStart"/>
      <w:r>
        <w:rPr>
          <w:sz w:val="17"/>
          <w:szCs w:val="17"/>
        </w:rPr>
        <w:t>Ponemon</w:t>
      </w:r>
      <w:proofErr w:type="spellEnd"/>
      <w:r>
        <w:rPr>
          <w:sz w:val="17"/>
          <w:szCs w:val="17"/>
        </w:rPr>
        <w:t xml:space="preserve"> Institute, "Data Risk in the Third-Party Ecosystem: Annual Study," </w:t>
      </w:r>
      <w:proofErr w:type="spellStart"/>
      <w:r>
        <w:rPr>
          <w:sz w:val="17"/>
          <w:szCs w:val="17"/>
        </w:rPr>
        <w:t>Ponemon</w:t>
      </w:r>
      <w:proofErr w:type="spellEnd"/>
      <w:r>
        <w:rPr>
          <w:sz w:val="17"/>
          <w:szCs w:val="17"/>
        </w:rPr>
        <w:t xml:space="preserve"> Institute, Traverse City, MI, USA, 2021.</w:t>
      </w:r>
    </w:p>
    <w:p w14:paraId="0BD9F3EA" w14:textId="77777777" w:rsidR="009B30D8" w:rsidRDefault="009B30D8" w:rsidP="009B30D8">
      <w:pPr>
        <w:spacing w:after="80"/>
        <w:ind w:left="360" w:hanging="360"/>
      </w:pPr>
      <w:r>
        <w:rPr>
          <w:sz w:val="17"/>
          <w:szCs w:val="17"/>
        </w:rPr>
        <w:t>[14] PwC, "Third-Party Risk Management: Addressing Challenges in the Extended Enterprise," PricewaterhouseCoopers, 2022.</w:t>
      </w:r>
    </w:p>
    <w:p w14:paraId="436F04BD" w14:textId="77777777" w:rsidR="009B30D8" w:rsidRDefault="009B30D8" w:rsidP="009B30D8">
      <w:pPr>
        <w:spacing w:after="80"/>
        <w:ind w:left="360" w:hanging="360"/>
      </w:pPr>
      <w:r>
        <w:rPr>
          <w:sz w:val="17"/>
          <w:szCs w:val="17"/>
        </w:rPr>
        <w:t>[15] Shared Assessments Program, "Third Party Risk Management Framework," Santa Fe, NM, USA, 2022.</w:t>
      </w:r>
    </w:p>
    <w:p w14:paraId="1515B15C" w14:textId="77777777" w:rsidR="009B30D8" w:rsidRDefault="009B30D8" w:rsidP="009B30D8">
      <w:pPr>
        <w:spacing w:after="80"/>
        <w:ind w:left="360" w:hanging="360"/>
      </w:pPr>
      <w:r>
        <w:rPr>
          <w:sz w:val="17"/>
          <w:szCs w:val="17"/>
        </w:rPr>
        <w:t xml:space="preserve">[16] W. Yeoh, M. Liu, M. Shore, and F. Jiang, "Zero trust cybersecurity: Critical success factors and a maturity assessment framework," </w:t>
      </w:r>
      <w:proofErr w:type="spellStart"/>
      <w:r>
        <w:rPr>
          <w:sz w:val="17"/>
          <w:szCs w:val="17"/>
        </w:rPr>
        <w:t>Comput</w:t>
      </w:r>
      <w:proofErr w:type="spellEnd"/>
      <w:r>
        <w:rPr>
          <w:sz w:val="17"/>
          <w:szCs w:val="17"/>
        </w:rPr>
        <w:t xml:space="preserve">. </w:t>
      </w:r>
      <w:proofErr w:type="spellStart"/>
      <w:r>
        <w:rPr>
          <w:sz w:val="17"/>
          <w:szCs w:val="17"/>
        </w:rPr>
        <w:t>Secur</w:t>
      </w:r>
      <w:proofErr w:type="spellEnd"/>
      <w:r>
        <w:rPr>
          <w:sz w:val="17"/>
          <w:szCs w:val="17"/>
        </w:rPr>
        <w:t>., vol. 133, 2023, Art. no. 103412.</w:t>
      </w:r>
    </w:p>
    <w:p w14:paraId="7C41E312" w14:textId="77777777" w:rsidR="009B30D8" w:rsidRDefault="009B30D8" w:rsidP="009B30D8">
      <w:pPr>
        <w:spacing w:after="80"/>
        <w:ind w:left="360" w:hanging="360"/>
      </w:pPr>
      <w:r>
        <w:rPr>
          <w:sz w:val="17"/>
          <w:szCs w:val="17"/>
        </w:rPr>
        <w:t xml:space="preserve">[17] L. Federici, F. </w:t>
      </w:r>
      <w:proofErr w:type="spellStart"/>
      <w:r>
        <w:rPr>
          <w:sz w:val="17"/>
          <w:szCs w:val="17"/>
        </w:rPr>
        <w:t>Martintoni</w:t>
      </w:r>
      <w:proofErr w:type="spellEnd"/>
      <w:r>
        <w:rPr>
          <w:sz w:val="17"/>
          <w:szCs w:val="17"/>
        </w:rPr>
        <w:t>, and V. Senni, "A Zero-Trust Architecture for Remote Access in Industrial IoT Infrastructures," Electronics, vol. 12, no. 3, p. 566, 2023.</w:t>
      </w:r>
    </w:p>
    <w:p w14:paraId="06B122C7" w14:textId="77777777" w:rsidR="009B30D8" w:rsidRDefault="009B30D8" w:rsidP="009B30D8">
      <w:pPr>
        <w:spacing w:after="80"/>
        <w:ind w:left="360" w:hanging="360"/>
      </w:pPr>
      <w:r>
        <w:rPr>
          <w:sz w:val="17"/>
          <w:szCs w:val="17"/>
        </w:rPr>
        <w:t>[18] A. Kulkarni, N. A. Hazari, and M. Y. Niamat, "A zero trust-based framework employing blockchain technology and ring oscillator physical unclonable functions for security of field programmable gate array supply chain," IEEE Access, vol. 12, pp. 89322–89338, 2024.</w:t>
      </w:r>
    </w:p>
    <w:p w14:paraId="548FDBDF" w14:textId="77777777" w:rsidR="009B30D8" w:rsidRDefault="009B30D8" w:rsidP="009B30D8">
      <w:pPr>
        <w:spacing w:after="80"/>
        <w:ind w:left="360" w:hanging="360"/>
      </w:pPr>
      <w:r>
        <w:rPr>
          <w:sz w:val="17"/>
          <w:szCs w:val="17"/>
        </w:rPr>
        <w:lastRenderedPageBreak/>
        <w:t xml:space="preserve">[19] Y. He, D. Huang, L. Chen, Y. Ni, and X. Ma, "A survey on zero trust architecture: Challenges and future trends," Wireless </w:t>
      </w:r>
      <w:proofErr w:type="spellStart"/>
      <w:r>
        <w:rPr>
          <w:sz w:val="17"/>
          <w:szCs w:val="17"/>
        </w:rPr>
        <w:t>Commun</w:t>
      </w:r>
      <w:proofErr w:type="spellEnd"/>
      <w:r>
        <w:rPr>
          <w:sz w:val="17"/>
          <w:szCs w:val="17"/>
        </w:rPr>
        <w:t xml:space="preserve">. Mobile </w:t>
      </w:r>
      <w:proofErr w:type="spellStart"/>
      <w:r>
        <w:rPr>
          <w:sz w:val="17"/>
          <w:szCs w:val="17"/>
        </w:rPr>
        <w:t>Comput</w:t>
      </w:r>
      <w:proofErr w:type="spellEnd"/>
      <w:r>
        <w:rPr>
          <w:sz w:val="17"/>
          <w:szCs w:val="17"/>
        </w:rPr>
        <w:t>., vol. 2022, Art. no. 6476274, 2022.</w:t>
      </w:r>
    </w:p>
    <w:p w14:paraId="2DF2E0F7" w14:textId="77777777" w:rsidR="00464636" w:rsidRDefault="00464636" w:rsidP="009B30D8">
      <w:pPr>
        <w:spacing w:after="140"/>
        <w:ind w:left="360" w:hanging="360"/>
      </w:pPr>
    </w:p>
    <w:sectPr w:rsidR="00464636">
      <w:footerReference w:type="default" r:id="rId17"/>
      <w:pgSz w:w="12240" w:h="15840"/>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E5EA28" w14:textId="77777777" w:rsidR="00FA34CC" w:rsidRDefault="00FA34CC" w:rsidP="00D97C04">
      <w:r>
        <w:separator/>
      </w:r>
    </w:p>
  </w:endnote>
  <w:endnote w:type="continuationSeparator" w:id="0">
    <w:p w14:paraId="738C0630" w14:textId="77777777" w:rsidR="00FA34CC" w:rsidRDefault="00FA34CC" w:rsidP="00D97C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67648992"/>
      <w:docPartObj>
        <w:docPartGallery w:val="Page Numbers (Bottom of Page)"/>
        <w:docPartUnique/>
      </w:docPartObj>
    </w:sdtPr>
    <w:sdtEndPr>
      <w:rPr>
        <w:noProof/>
      </w:rPr>
    </w:sdtEndPr>
    <w:sdtContent>
      <w:p w14:paraId="3C7ADDA3" w14:textId="77777777" w:rsidR="00D97C04" w:rsidRDefault="00D97C04">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09590BA" w14:textId="77777777" w:rsidR="00D97C04" w:rsidRDefault="00D97C0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9F17E69" w14:textId="77777777" w:rsidR="00FA34CC" w:rsidRDefault="00FA34CC" w:rsidP="00D97C04">
      <w:r>
        <w:separator/>
      </w:r>
    </w:p>
  </w:footnote>
  <w:footnote w:type="continuationSeparator" w:id="0">
    <w:p w14:paraId="7DB93FB0" w14:textId="77777777" w:rsidR="00FA34CC" w:rsidRDefault="00FA34CC" w:rsidP="00D97C0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FB32C1E"/>
    <w:multiLevelType w:val="hybridMultilevel"/>
    <w:tmpl w:val="4E02F7B0"/>
    <w:lvl w:ilvl="0" w:tplc="A546F408">
      <w:start w:val="1"/>
      <w:numFmt w:val="bullet"/>
      <w:lvlText w:val="●"/>
      <w:lvlJc w:val="left"/>
      <w:pPr>
        <w:ind w:left="720" w:hanging="360"/>
      </w:pPr>
    </w:lvl>
    <w:lvl w:ilvl="1" w:tplc="94AC26D2">
      <w:start w:val="1"/>
      <w:numFmt w:val="bullet"/>
      <w:lvlText w:val="○"/>
      <w:lvlJc w:val="left"/>
      <w:pPr>
        <w:ind w:left="1440" w:hanging="360"/>
      </w:pPr>
    </w:lvl>
    <w:lvl w:ilvl="2" w:tplc="A50A0C48">
      <w:start w:val="1"/>
      <w:numFmt w:val="bullet"/>
      <w:lvlText w:val="■"/>
      <w:lvlJc w:val="left"/>
      <w:pPr>
        <w:ind w:left="2160" w:hanging="360"/>
      </w:pPr>
    </w:lvl>
    <w:lvl w:ilvl="3" w:tplc="8A461604">
      <w:start w:val="1"/>
      <w:numFmt w:val="bullet"/>
      <w:lvlText w:val="●"/>
      <w:lvlJc w:val="left"/>
      <w:pPr>
        <w:ind w:left="2880" w:hanging="360"/>
      </w:pPr>
    </w:lvl>
    <w:lvl w:ilvl="4" w:tplc="EE245F00">
      <w:start w:val="1"/>
      <w:numFmt w:val="bullet"/>
      <w:lvlText w:val="○"/>
      <w:lvlJc w:val="left"/>
      <w:pPr>
        <w:ind w:left="3600" w:hanging="360"/>
      </w:pPr>
    </w:lvl>
    <w:lvl w:ilvl="5" w:tplc="FB20B618">
      <w:start w:val="1"/>
      <w:numFmt w:val="bullet"/>
      <w:lvlText w:val="■"/>
      <w:lvlJc w:val="left"/>
      <w:pPr>
        <w:ind w:left="4320" w:hanging="360"/>
      </w:pPr>
    </w:lvl>
    <w:lvl w:ilvl="6" w:tplc="37B6B76E">
      <w:start w:val="1"/>
      <w:numFmt w:val="bullet"/>
      <w:lvlText w:val="●"/>
      <w:lvlJc w:val="left"/>
      <w:pPr>
        <w:ind w:left="5040" w:hanging="360"/>
      </w:pPr>
    </w:lvl>
    <w:lvl w:ilvl="7" w:tplc="8F0C21D0">
      <w:start w:val="1"/>
      <w:numFmt w:val="bullet"/>
      <w:lvlText w:val="●"/>
      <w:lvlJc w:val="left"/>
      <w:pPr>
        <w:ind w:left="5760" w:hanging="360"/>
      </w:pPr>
    </w:lvl>
    <w:lvl w:ilvl="8" w:tplc="7FCAFFB2">
      <w:start w:val="1"/>
      <w:numFmt w:val="bullet"/>
      <w:lvlText w:val="●"/>
      <w:lvlJc w:val="left"/>
      <w:pPr>
        <w:ind w:left="6480" w:hanging="360"/>
      </w:pPr>
    </w:lvl>
  </w:abstractNum>
  <w:num w:numId="1" w16cid:durableId="1135949215">
    <w:abstractNumId w:val="0"/>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64636"/>
    <w:rsid w:val="000F7829"/>
    <w:rsid w:val="001474F9"/>
    <w:rsid w:val="00464636"/>
    <w:rsid w:val="00572B47"/>
    <w:rsid w:val="006850F4"/>
    <w:rsid w:val="009B30D8"/>
    <w:rsid w:val="009B38CC"/>
    <w:rsid w:val="00AB3E75"/>
    <w:rsid w:val="00AD29E1"/>
    <w:rsid w:val="00AD773C"/>
    <w:rsid w:val="00D97C04"/>
    <w:rsid w:val="00DC2A36"/>
    <w:rsid w:val="00FA34CC"/>
    <w:rsid w:val="00FB019E"/>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C1E73"/>
  <w15:docId w15:val="{1C7AC824-0914-46AD-9EA2-1085CC6FBDE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IN" w:eastAsia="en-I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style>
  <w:style w:type="character" w:customStyle="1" w:styleId="EndnoteTextChar">
    <w:name w:val="Endnote Text Char"/>
    <w:link w:val="EndnoteText"/>
    <w:uiPriority w:val="99"/>
    <w:semiHidden/>
    <w:unhideWhenUsed/>
    <w:rPr>
      <w:sz w:val="20"/>
      <w:szCs w:val="20"/>
    </w:rPr>
  </w:style>
  <w:style w:type="paragraph" w:styleId="Header">
    <w:name w:val="header"/>
    <w:basedOn w:val="Normal"/>
    <w:link w:val="HeaderChar"/>
    <w:unhideWhenUsed/>
    <w:rsid w:val="00D97C04"/>
    <w:pPr>
      <w:tabs>
        <w:tab w:val="center" w:pos="4513"/>
        <w:tab w:val="right" w:pos="9026"/>
      </w:tabs>
    </w:pPr>
    <w:rPr>
      <w:sz w:val="24"/>
      <w:szCs w:val="24"/>
    </w:rPr>
  </w:style>
  <w:style w:type="character" w:customStyle="1" w:styleId="HeaderChar">
    <w:name w:val="Header Char"/>
    <w:basedOn w:val="DefaultParagraphFont"/>
    <w:link w:val="Header"/>
    <w:rsid w:val="00D97C04"/>
    <w:rPr>
      <w:sz w:val="24"/>
      <w:szCs w:val="24"/>
    </w:rPr>
  </w:style>
  <w:style w:type="paragraph" w:customStyle="1" w:styleId="TableParagraph">
    <w:name w:val="Table Paragraph"/>
    <w:basedOn w:val="Normal"/>
    <w:uiPriority w:val="1"/>
    <w:qFormat/>
    <w:rsid w:val="00D97C04"/>
    <w:pPr>
      <w:ind w:left="109"/>
    </w:pPr>
    <w:rPr>
      <w:rFonts w:asciiTheme="minorHAnsi" w:eastAsiaTheme="minorEastAsia" w:hAnsiTheme="minorHAnsi" w:cstheme="minorBidi"/>
      <w:sz w:val="22"/>
      <w:szCs w:val="22"/>
      <w:lang w:val="en-GB" w:eastAsia="en-GB"/>
    </w:rPr>
  </w:style>
  <w:style w:type="paragraph" w:styleId="TOCHeading">
    <w:name w:val="TOC Heading"/>
    <w:basedOn w:val="Heading1"/>
    <w:next w:val="Normal"/>
    <w:uiPriority w:val="39"/>
    <w:unhideWhenUsed/>
    <w:qFormat/>
    <w:rsid w:val="00D97C04"/>
    <w:pPr>
      <w:keepNext/>
      <w:keepLines/>
      <w:spacing w:before="240" w:line="259" w:lineRule="auto"/>
      <w:outlineLvl w:val="9"/>
    </w:pPr>
    <w:rPr>
      <w:rFonts w:asciiTheme="majorHAnsi" w:eastAsiaTheme="majorEastAsia" w:hAnsiTheme="majorHAnsi" w:cstheme="majorBidi"/>
      <w:color w:val="2F5496" w:themeColor="accent1" w:themeShade="BF"/>
      <w:lang w:val="en-US" w:eastAsia="en-US"/>
    </w:rPr>
  </w:style>
  <w:style w:type="paragraph" w:styleId="TOC1">
    <w:name w:val="toc 1"/>
    <w:basedOn w:val="Normal"/>
    <w:next w:val="Normal"/>
    <w:autoRedefine/>
    <w:uiPriority w:val="39"/>
    <w:unhideWhenUsed/>
    <w:rsid w:val="00D97C04"/>
    <w:pPr>
      <w:spacing w:after="100"/>
    </w:pPr>
  </w:style>
  <w:style w:type="paragraph" w:styleId="TOC2">
    <w:name w:val="toc 2"/>
    <w:basedOn w:val="Normal"/>
    <w:next w:val="Normal"/>
    <w:autoRedefine/>
    <w:uiPriority w:val="39"/>
    <w:unhideWhenUsed/>
    <w:rsid w:val="00D97C04"/>
    <w:pPr>
      <w:spacing w:after="100"/>
      <w:ind w:left="200"/>
    </w:pPr>
  </w:style>
  <w:style w:type="paragraph" w:styleId="Footer">
    <w:name w:val="footer"/>
    <w:basedOn w:val="Normal"/>
    <w:link w:val="FooterChar"/>
    <w:uiPriority w:val="99"/>
    <w:unhideWhenUsed/>
    <w:rsid w:val="00D97C04"/>
    <w:pPr>
      <w:tabs>
        <w:tab w:val="center" w:pos="4513"/>
        <w:tab w:val="right" w:pos="9026"/>
      </w:tabs>
    </w:pPr>
  </w:style>
  <w:style w:type="character" w:customStyle="1" w:styleId="FooterChar">
    <w:name w:val="Footer Char"/>
    <w:basedOn w:val="DefaultParagraphFont"/>
    <w:link w:val="Footer"/>
    <w:uiPriority w:val="99"/>
    <w:rsid w:val="00D97C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07884">
      <w:bodyDiv w:val="1"/>
      <w:marLeft w:val="0"/>
      <w:marRight w:val="0"/>
      <w:marTop w:val="0"/>
      <w:marBottom w:val="0"/>
      <w:divBdr>
        <w:top w:val="none" w:sz="0" w:space="0" w:color="auto"/>
        <w:left w:val="none" w:sz="0" w:space="0" w:color="auto"/>
        <w:bottom w:val="none" w:sz="0" w:space="0" w:color="auto"/>
        <w:right w:val="none" w:sz="0" w:space="0" w:color="auto"/>
      </w:divBdr>
    </w:div>
    <w:div w:id="43794006">
      <w:bodyDiv w:val="1"/>
      <w:marLeft w:val="0"/>
      <w:marRight w:val="0"/>
      <w:marTop w:val="0"/>
      <w:marBottom w:val="0"/>
      <w:divBdr>
        <w:top w:val="none" w:sz="0" w:space="0" w:color="auto"/>
        <w:left w:val="none" w:sz="0" w:space="0" w:color="auto"/>
        <w:bottom w:val="none" w:sz="0" w:space="0" w:color="auto"/>
        <w:right w:val="none" w:sz="0" w:space="0" w:color="auto"/>
      </w:divBdr>
    </w:div>
    <w:div w:id="58134440">
      <w:bodyDiv w:val="1"/>
      <w:marLeft w:val="0"/>
      <w:marRight w:val="0"/>
      <w:marTop w:val="0"/>
      <w:marBottom w:val="0"/>
      <w:divBdr>
        <w:top w:val="none" w:sz="0" w:space="0" w:color="auto"/>
        <w:left w:val="none" w:sz="0" w:space="0" w:color="auto"/>
        <w:bottom w:val="none" w:sz="0" w:space="0" w:color="auto"/>
        <w:right w:val="none" w:sz="0" w:space="0" w:color="auto"/>
      </w:divBdr>
    </w:div>
    <w:div w:id="223417154">
      <w:bodyDiv w:val="1"/>
      <w:marLeft w:val="0"/>
      <w:marRight w:val="0"/>
      <w:marTop w:val="0"/>
      <w:marBottom w:val="0"/>
      <w:divBdr>
        <w:top w:val="none" w:sz="0" w:space="0" w:color="auto"/>
        <w:left w:val="none" w:sz="0" w:space="0" w:color="auto"/>
        <w:bottom w:val="none" w:sz="0" w:space="0" w:color="auto"/>
        <w:right w:val="none" w:sz="0" w:space="0" w:color="auto"/>
      </w:divBdr>
    </w:div>
    <w:div w:id="296961117">
      <w:bodyDiv w:val="1"/>
      <w:marLeft w:val="0"/>
      <w:marRight w:val="0"/>
      <w:marTop w:val="0"/>
      <w:marBottom w:val="0"/>
      <w:divBdr>
        <w:top w:val="none" w:sz="0" w:space="0" w:color="auto"/>
        <w:left w:val="none" w:sz="0" w:space="0" w:color="auto"/>
        <w:bottom w:val="none" w:sz="0" w:space="0" w:color="auto"/>
        <w:right w:val="none" w:sz="0" w:space="0" w:color="auto"/>
      </w:divBdr>
    </w:div>
    <w:div w:id="675112967">
      <w:bodyDiv w:val="1"/>
      <w:marLeft w:val="0"/>
      <w:marRight w:val="0"/>
      <w:marTop w:val="0"/>
      <w:marBottom w:val="0"/>
      <w:divBdr>
        <w:top w:val="none" w:sz="0" w:space="0" w:color="auto"/>
        <w:left w:val="none" w:sz="0" w:space="0" w:color="auto"/>
        <w:bottom w:val="none" w:sz="0" w:space="0" w:color="auto"/>
        <w:right w:val="none" w:sz="0" w:space="0" w:color="auto"/>
      </w:divBdr>
    </w:div>
    <w:div w:id="681515703">
      <w:bodyDiv w:val="1"/>
      <w:marLeft w:val="0"/>
      <w:marRight w:val="0"/>
      <w:marTop w:val="0"/>
      <w:marBottom w:val="0"/>
      <w:divBdr>
        <w:top w:val="none" w:sz="0" w:space="0" w:color="auto"/>
        <w:left w:val="none" w:sz="0" w:space="0" w:color="auto"/>
        <w:bottom w:val="none" w:sz="0" w:space="0" w:color="auto"/>
        <w:right w:val="none" w:sz="0" w:space="0" w:color="auto"/>
      </w:divBdr>
    </w:div>
    <w:div w:id="875042361">
      <w:bodyDiv w:val="1"/>
      <w:marLeft w:val="0"/>
      <w:marRight w:val="0"/>
      <w:marTop w:val="0"/>
      <w:marBottom w:val="0"/>
      <w:divBdr>
        <w:top w:val="none" w:sz="0" w:space="0" w:color="auto"/>
        <w:left w:val="none" w:sz="0" w:space="0" w:color="auto"/>
        <w:bottom w:val="none" w:sz="0" w:space="0" w:color="auto"/>
        <w:right w:val="none" w:sz="0" w:space="0" w:color="auto"/>
      </w:divBdr>
    </w:div>
    <w:div w:id="973412292">
      <w:bodyDiv w:val="1"/>
      <w:marLeft w:val="0"/>
      <w:marRight w:val="0"/>
      <w:marTop w:val="0"/>
      <w:marBottom w:val="0"/>
      <w:divBdr>
        <w:top w:val="none" w:sz="0" w:space="0" w:color="auto"/>
        <w:left w:val="none" w:sz="0" w:space="0" w:color="auto"/>
        <w:bottom w:val="none" w:sz="0" w:space="0" w:color="auto"/>
        <w:right w:val="none" w:sz="0" w:space="0" w:color="auto"/>
      </w:divBdr>
    </w:div>
    <w:div w:id="1193229549">
      <w:bodyDiv w:val="1"/>
      <w:marLeft w:val="0"/>
      <w:marRight w:val="0"/>
      <w:marTop w:val="0"/>
      <w:marBottom w:val="0"/>
      <w:divBdr>
        <w:top w:val="none" w:sz="0" w:space="0" w:color="auto"/>
        <w:left w:val="none" w:sz="0" w:space="0" w:color="auto"/>
        <w:bottom w:val="none" w:sz="0" w:space="0" w:color="auto"/>
        <w:right w:val="none" w:sz="0" w:space="0" w:color="auto"/>
      </w:divBdr>
    </w:div>
    <w:div w:id="1300501736">
      <w:bodyDiv w:val="1"/>
      <w:marLeft w:val="0"/>
      <w:marRight w:val="0"/>
      <w:marTop w:val="0"/>
      <w:marBottom w:val="0"/>
      <w:divBdr>
        <w:top w:val="none" w:sz="0" w:space="0" w:color="auto"/>
        <w:left w:val="none" w:sz="0" w:space="0" w:color="auto"/>
        <w:bottom w:val="none" w:sz="0" w:space="0" w:color="auto"/>
        <w:right w:val="none" w:sz="0" w:space="0" w:color="auto"/>
      </w:divBdr>
    </w:div>
    <w:div w:id="1547790901">
      <w:bodyDiv w:val="1"/>
      <w:marLeft w:val="0"/>
      <w:marRight w:val="0"/>
      <w:marTop w:val="0"/>
      <w:marBottom w:val="0"/>
      <w:divBdr>
        <w:top w:val="none" w:sz="0" w:space="0" w:color="auto"/>
        <w:left w:val="none" w:sz="0" w:space="0" w:color="auto"/>
        <w:bottom w:val="none" w:sz="0" w:space="0" w:color="auto"/>
        <w:right w:val="none" w:sz="0" w:space="0" w:color="auto"/>
      </w:divBdr>
    </w:div>
    <w:div w:id="1698121992">
      <w:bodyDiv w:val="1"/>
      <w:marLeft w:val="0"/>
      <w:marRight w:val="0"/>
      <w:marTop w:val="0"/>
      <w:marBottom w:val="0"/>
      <w:divBdr>
        <w:top w:val="none" w:sz="0" w:space="0" w:color="auto"/>
        <w:left w:val="none" w:sz="0" w:space="0" w:color="auto"/>
        <w:bottom w:val="none" w:sz="0" w:space="0" w:color="auto"/>
        <w:right w:val="none" w:sz="0" w:space="0" w:color="auto"/>
      </w:divBdr>
    </w:div>
    <w:div w:id="1764568706">
      <w:bodyDiv w:val="1"/>
      <w:marLeft w:val="0"/>
      <w:marRight w:val="0"/>
      <w:marTop w:val="0"/>
      <w:marBottom w:val="0"/>
      <w:divBdr>
        <w:top w:val="none" w:sz="0" w:space="0" w:color="auto"/>
        <w:left w:val="none" w:sz="0" w:space="0" w:color="auto"/>
        <w:bottom w:val="none" w:sz="0" w:space="0" w:color="auto"/>
        <w:right w:val="none" w:sz="0" w:space="0" w:color="auto"/>
      </w:divBdr>
    </w:div>
    <w:div w:id="1939361141">
      <w:bodyDiv w:val="1"/>
      <w:marLeft w:val="0"/>
      <w:marRight w:val="0"/>
      <w:marTop w:val="0"/>
      <w:marBottom w:val="0"/>
      <w:divBdr>
        <w:top w:val="none" w:sz="0" w:space="0" w:color="auto"/>
        <w:left w:val="none" w:sz="0" w:space="0" w:color="auto"/>
        <w:bottom w:val="none" w:sz="0" w:space="0" w:color="auto"/>
        <w:right w:val="none" w:sz="0" w:space="0" w:color="auto"/>
      </w:divBdr>
    </w:div>
    <w:div w:id="1960795426">
      <w:bodyDiv w:val="1"/>
      <w:marLeft w:val="0"/>
      <w:marRight w:val="0"/>
      <w:marTop w:val="0"/>
      <w:marBottom w:val="0"/>
      <w:divBdr>
        <w:top w:val="none" w:sz="0" w:space="0" w:color="auto"/>
        <w:left w:val="none" w:sz="0" w:space="0" w:color="auto"/>
        <w:bottom w:val="none" w:sz="0" w:space="0" w:color="auto"/>
        <w:right w:val="none" w:sz="0" w:space="0" w:color="auto"/>
      </w:divBdr>
    </w:div>
    <w:div w:id="208413495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D2E933-8C4E-4598-858B-FA43BD477C9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15</Pages>
  <Words>4457</Words>
  <Characters>25408</Characters>
  <Application>Microsoft Office Word</Application>
  <DocSecurity>0</DocSecurity>
  <Lines>211</Lines>
  <Paragraphs>59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29806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Un-named</dc:creator>
  <cp:lastModifiedBy>Vamsi</cp:lastModifiedBy>
  <cp:revision>8</cp:revision>
  <dcterms:created xsi:type="dcterms:W3CDTF">2026-07-29T21:42:00Z</dcterms:created>
  <dcterms:modified xsi:type="dcterms:W3CDTF">2026-07-29T22:20:00Z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caf808ec-88cb-4a9a-bdea-fd8ce6edb802</vt:lpwstr>
  </property>
</Properties>
</file>