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49B" w:rsidRPr="00CB7E73" w:rsidRDefault="00AC149B" w:rsidP="00EC7E0A">
      <w:pPr>
        <w:spacing w:line="360" w:lineRule="auto"/>
        <w:rPr>
          <w:rFonts w:ascii="Arial" w:eastAsia="Calibri" w:hAnsi="Arial" w:cs="Arial"/>
          <w:b/>
          <w:bCs/>
          <w:sz w:val="24"/>
          <w:szCs w:val="24"/>
        </w:rPr>
      </w:pPr>
      <w:r w:rsidRPr="00CB7E73">
        <w:rPr>
          <w:rFonts w:ascii="Arial" w:eastAsia="Calibri" w:hAnsi="Arial" w:cs="Arial"/>
          <w:b/>
          <w:bCs/>
          <w:sz w:val="24"/>
          <w:szCs w:val="24"/>
        </w:rPr>
        <w:t>Report</w:t>
      </w:r>
    </w:p>
    <w:p w:rsidR="00AC149B" w:rsidRPr="00CB7E73" w:rsidRDefault="00AC149B" w:rsidP="00EC7E0A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CB7E73">
        <w:rPr>
          <w:rFonts w:ascii="Arial" w:eastAsia="Calibri" w:hAnsi="Arial" w:cs="Arial"/>
          <w:sz w:val="24"/>
          <w:szCs w:val="24"/>
        </w:rPr>
        <w:t xml:space="preserve"> </w:t>
      </w:r>
    </w:p>
    <w:p w:rsidR="00AC149B" w:rsidRPr="00CB7E73" w:rsidRDefault="00AC149B" w:rsidP="00EC7E0A">
      <w:p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i/>
          <w:iCs/>
          <w:sz w:val="24"/>
          <w:szCs w:val="24"/>
        </w:rPr>
      </w:pPr>
      <w:r w:rsidRPr="00CB7E73">
        <w:rPr>
          <w:rFonts w:ascii="Arial" w:eastAsia="Calibri" w:hAnsi="Arial" w:cs="Arial"/>
          <w:b/>
          <w:bCs/>
          <w:sz w:val="24"/>
          <w:szCs w:val="24"/>
        </w:rPr>
        <w:t xml:space="preserve">Name: </w:t>
      </w:r>
      <w:r w:rsidRPr="00CB7E73">
        <w:rPr>
          <w:rFonts w:ascii="Arial" w:eastAsia="Calibri" w:hAnsi="Arial" w:cs="Arial"/>
          <w:sz w:val="24"/>
          <w:szCs w:val="24"/>
        </w:rPr>
        <w:t>Abdul Kareem Al-Hagin</w:t>
      </w:r>
    </w:p>
    <w:p w:rsidR="00AC149B" w:rsidRPr="00CB7E73" w:rsidRDefault="00AC149B" w:rsidP="00EC7E0A">
      <w:p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CB7E73">
        <w:rPr>
          <w:rFonts w:ascii="Arial" w:eastAsia="Calibri" w:hAnsi="Arial" w:cs="Arial"/>
          <w:b/>
          <w:bCs/>
          <w:sz w:val="24"/>
          <w:szCs w:val="24"/>
        </w:rPr>
        <w:t>Student no.</w:t>
      </w:r>
      <w:r w:rsidRPr="00CB7E73">
        <w:rPr>
          <w:rFonts w:ascii="Arial" w:eastAsia="Calibri" w:hAnsi="Arial" w:cs="Arial"/>
          <w:b/>
          <w:bCs/>
          <w:i/>
          <w:iCs/>
          <w:sz w:val="24"/>
          <w:szCs w:val="24"/>
        </w:rPr>
        <w:t xml:space="preserve"> </w:t>
      </w:r>
      <w:r w:rsidRPr="00CB7E73">
        <w:rPr>
          <w:rFonts w:ascii="Arial" w:eastAsia="Calibri" w:hAnsi="Arial" w:cs="Arial"/>
          <w:sz w:val="24"/>
          <w:szCs w:val="24"/>
        </w:rPr>
        <w:t>1250048</w:t>
      </w:r>
    </w:p>
    <w:p w:rsidR="00AC149B" w:rsidRPr="00CB7E73" w:rsidRDefault="00AC149B" w:rsidP="00EC7E0A">
      <w:p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b/>
          <w:bCs/>
          <w:sz w:val="24"/>
          <w:szCs w:val="24"/>
        </w:rPr>
      </w:pPr>
      <w:r w:rsidRPr="00CB7E73">
        <w:rPr>
          <w:rFonts w:ascii="Arial" w:eastAsia="Calibri" w:hAnsi="Arial" w:cs="Arial"/>
          <w:b/>
          <w:bCs/>
          <w:sz w:val="24"/>
          <w:szCs w:val="24"/>
        </w:rPr>
        <w:t xml:space="preserve">Module: </w:t>
      </w:r>
      <w:r w:rsidRPr="00CB7E73">
        <w:rPr>
          <w:rFonts w:ascii="Arial" w:eastAsia="Calibri" w:hAnsi="Arial" w:cs="Arial"/>
          <w:sz w:val="24"/>
          <w:szCs w:val="24"/>
        </w:rPr>
        <w:t>ECAD-7</w:t>
      </w:r>
      <w:r>
        <w:rPr>
          <w:rFonts w:ascii="Arial" w:eastAsia="Calibri" w:hAnsi="Arial" w:cs="Arial"/>
          <w:sz w:val="24"/>
          <w:szCs w:val="24"/>
        </w:rPr>
        <w:t>004</w:t>
      </w:r>
    </w:p>
    <w:p w:rsidR="00AC149B" w:rsidRPr="00CB7E73" w:rsidRDefault="00AC149B" w:rsidP="00EC7E0A">
      <w:p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i/>
          <w:iCs/>
          <w:sz w:val="24"/>
          <w:szCs w:val="24"/>
        </w:rPr>
      </w:pPr>
      <w:r w:rsidRPr="00CB7E73">
        <w:rPr>
          <w:rFonts w:ascii="Arial" w:eastAsia="Calibri" w:hAnsi="Arial" w:cs="Arial"/>
          <w:b/>
          <w:bCs/>
          <w:sz w:val="24"/>
          <w:szCs w:val="24"/>
        </w:rPr>
        <w:t xml:space="preserve">Assessment number: </w:t>
      </w:r>
      <w:r>
        <w:rPr>
          <w:rFonts w:ascii="Arial" w:eastAsia="Calibri" w:hAnsi="Arial" w:cs="Arial"/>
          <w:sz w:val="24"/>
          <w:szCs w:val="24"/>
        </w:rPr>
        <w:t>3</w:t>
      </w:r>
    </w:p>
    <w:p w:rsidR="00AC149B" w:rsidRPr="00AC149B" w:rsidRDefault="00AC149B" w:rsidP="00EC7E0A">
      <w:pPr>
        <w:spacing w:after="0" w:line="360" w:lineRule="auto"/>
        <w:rPr>
          <w:rFonts w:ascii="Arial" w:eastAsia="Tahoma" w:hAnsi="Arial" w:cs="Arial"/>
          <w:sz w:val="24"/>
          <w:szCs w:val="24"/>
        </w:rPr>
      </w:pPr>
      <w:r w:rsidRPr="00CB7E73">
        <w:rPr>
          <w:rFonts w:ascii="Arial" w:eastAsia="Calibri" w:hAnsi="Arial" w:cs="Arial"/>
          <w:b/>
          <w:bCs/>
          <w:sz w:val="24"/>
          <w:szCs w:val="24"/>
        </w:rPr>
        <w:t xml:space="preserve">Assessment Title: </w:t>
      </w:r>
      <w:r w:rsidRPr="00AC149B">
        <w:rPr>
          <w:rFonts w:ascii="Arial" w:eastAsia="Tahoma" w:hAnsi="Arial" w:cs="Arial"/>
          <w:sz w:val="24"/>
          <w:szCs w:val="24"/>
        </w:rPr>
        <w:t>“</w:t>
      </w:r>
      <w:r w:rsidRPr="00AC149B">
        <w:rPr>
          <w:rFonts w:ascii="Arial" w:hAnsi="Arial" w:cs="Arial"/>
          <w:sz w:val="24"/>
          <w:szCs w:val="24"/>
        </w:rPr>
        <w:t>Design, conduct and critically evaluate a close-to-practice research project (lesson study) focusing on the model of the transformative teacher in developing practice that has a positive impact on the learner.</w:t>
      </w:r>
    </w:p>
    <w:p w:rsidR="00AC149B" w:rsidRPr="00CB7E73" w:rsidRDefault="00AC149B" w:rsidP="00EC7E0A">
      <w:p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i/>
          <w:iCs/>
          <w:sz w:val="24"/>
          <w:szCs w:val="24"/>
        </w:rPr>
      </w:pPr>
      <w:r w:rsidRPr="00CB7E73">
        <w:rPr>
          <w:rFonts w:ascii="Arial" w:eastAsia="Calibri" w:hAnsi="Arial" w:cs="Arial"/>
          <w:b/>
          <w:bCs/>
          <w:sz w:val="24"/>
          <w:szCs w:val="24"/>
        </w:rPr>
        <w:t xml:space="preserve">Submission Date: </w:t>
      </w:r>
      <w:r w:rsidRPr="00CB7E73">
        <w:rPr>
          <w:rFonts w:ascii="Arial" w:eastAsia="Calibri" w:hAnsi="Arial" w:cs="Arial"/>
          <w:sz w:val="24"/>
          <w:szCs w:val="24"/>
        </w:rPr>
        <w:t>2</w:t>
      </w:r>
      <w:r>
        <w:rPr>
          <w:rFonts w:ascii="Arial" w:eastAsia="Calibri" w:hAnsi="Arial" w:cs="Arial"/>
          <w:sz w:val="24"/>
          <w:szCs w:val="24"/>
        </w:rPr>
        <w:t>3rd</w:t>
      </w:r>
      <w:r w:rsidRPr="00CB7E73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February 2020</w:t>
      </w:r>
    </w:p>
    <w:p w:rsidR="00AC149B" w:rsidRPr="00CB7E73" w:rsidRDefault="00AC149B" w:rsidP="00EC7E0A">
      <w:pPr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i/>
          <w:iCs/>
          <w:sz w:val="24"/>
          <w:szCs w:val="24"/>
        </w:rPr>
      </w:pPr>
      <w:r w:rsidRPr="00CB7E73">
        <w:rPr>
          <w:rFonts w:ascii="Arial" w:eastAsia="Calibri" w:hAnsi="Arial" w:cs="Arial"/>
          <w:b/>
          <w:bCs/>
          <w:sz w:val="24"/>
          <w:szCs w:val="24"/>
        </w:rPr>
        <w:t xml:space="preserve">Word count: </w:t>
      </w:r>
      <w:r w:rsidR="00CF463D">
        <w:rPr>
          <w:rFonts w:ascii="Arial" w:eastAsia="Calibri" w:hAnsi="Arial" w:cs="Arial"/>
          <w:b/>
          <w:bCs/>
          <w:sz w:val="24"/>
          <w:szCs w:val="24"/>
        </w:rPr>
        <w:t>4970</w:t>
      </w:r>
      <w:r w:rsidR="00B36CDF">
        <w:rPr>
          <w:rFonts w:ascii="Arial" w:eastAsia="Calibri" w:hAnsi="Arial" w:cs="Arial"/>
          <w:b/>
          <w:bCs/>
          <w:sz w:val="24"/>
          <w:szCs w:val="24"/>
        </w:rPr>
        <w:t xml:space="preserve"> (without references or titles)</w:t>
      </w:r>
    </w:p>
    <w:p w:rsidR="00AC149B" w:rsidRPr="00CB7E73" w:rsidRDefault="00AC149B" w:rsidP="00EC7E0A">
      <w:pPr>
        <w:pStyle w:val="Default"/>
        <w:spacing w:line="360" w:lineRule="auto"/>
        <w:rPr>
          <w:rFonts w:ascii="Arial" w:eastAsia="Calibri" w:hAnsi="Arial" w:cs="Arial"/>
          <w:color w:val="auto"/>
        </w:rPr>
      </w:pPr>
      <w:r w:rsidRPr="00CB7E73">
        <w:rPr>
          <w:rFonts w:ascii="Arial" w:eastAsia="Calibri" w:hAnsi="Arial" w:cs="Arial"/>
          <w:color w:val="auto"/>
        </w:rPr>
        <w:t xml:space="preserve"> </w:t>
      </w:r>
    </w:p>
    <w:p w:rsidR="00AC149B" w:rsidRPr="00CB7E73" w:rsidRDefault="00AC149B" w:rsidP="00EC7E0A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CB7E73">
        <w:rPr>
          <w:rFonts w:ascii="Arial" w:eastAsia="Calibri" w:hAnsi="Arial" w:cs="Arial"/>
          <w:sz w:val="24"/>
          <w:szCs w:val="24"/>
        </w:rPr>
        <w:t xml:space="preserve"> </w:t>
      </w:r>
    </w:p>
    <w:p w:rsidR="00AC149B" w:rsidRPr="00CB7E73" w:rsidRDefault="00AC149B" w:rsidP="00EC7E0A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CB7E73">
        <w:rPr>
          <w:rFonts w:ascii="Arial" w:eastAsia="Calibri" w:hAnsi="Arial" w:cs="Arial"/>
          <w:sz w:val="24"/>
          <w:szCs w:val="24"/>
        </w:rPr>
        <w:t xml:space="preserve"> </w:t>
      </w:r>
    </w:p>
    <w:p w:rsidR="00AC149B" w:rsidRPr="00CB7E73" w:rsidRDefault="00AC149B" w:rsidP="00EC7E0A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CB7E73">
        <w:rPr>
          <w:rFonts w:ascii="Arial" w:eastAsia="Calibri" w:hAnsi="Arial" w:cs="Arial"/>
          <w:sz w:val="24"/>
          <w:szCs w:val="24"/>
        </w:rPr>
        <w:t xml:space="preserve"> </w:t>
      </w:r>
    </w:p>
    <w:p w:rsidR="00AC149B" w:rsidRPr="00CB7E73" w:rsidRDefault="00AC149B" w:rsidP="00EC7E0A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CB7E73">
        <w:rPr>
          <w:rFonts w:ascii="Arial" w:eastAsia="Calibri" w:hAnsi="Arial" w:cs="Arial"/>
          <w:sz w:val="24"/>
          <w:szCs w:val="24"/>
        </w:rPr>
        <w:t xml:space="preserve"> </w:t>
      </w:r>
    </w:p>
    <w:p w:rsidR="00AC149B" w:rsidRPr="00CB7E73" w:rsidRDefault="00AC149B" w:rsidP="00EC7E0A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CB7E73">
        <w:rPr>
          <w:rFonts w:ascii="Arial" w:eastAsia="Calibri" w:hAnsi="Arial" w:cs="Arial"/>
          <w:sz w:val="24"/>
          <w:szCs w:val="24"/>
        </w:rPr>
        <w:t xml:space="preserve"> </w:t>
      </w:r>
    </w:p>
    <w:p w:rsidR="00AC149B" w:rsidRPr="00CB7E73" w:rsidRDefault="00AC149B" w:rsidP="00EC7E0A">
      <w:pPr>
        <w:spacing w:line="360" w:lineRule="auto"/>
        <w:rPr>
          <w:rFonts w:ascii="Arial" w:eastAsia="Calibri" w:hAnsi="Arial" w:cs="Arial"/>
          <w:b/>
          <w:bCs/>
          <w:sz w:val="24"/>
          <w:szCs w:val="24"/>
        </w:rPr>
      </w:pPr>
      <w:r w:rsidRPr="00CB7E73">
        <w:rPr>
          <w:rFonts w:ascii="Arial" w:eastAsia="Calibri" w:hAnsi="Arial" w:cs="Arial"/>
          <w:sz w:val="24"/>
          <w:szCs w:val="24"/>
        </w:rPr>
        <w:t xml:space="preserve">  </w:t>
      </w:r>
      <w:r w:rsidRPr="00CB7E73">
        <w:rPr>
          <w:rFonts w:ascii="Arial" w:eastAsia="Calibri" w:hAnsi="Arial" w:cs="Arial"/>
          <w:b/>
          <w:bCs/>
          <w:sz w:val="24"/>
          <w:szCs w:val="24"/>
        </w:rPr>
        <w:t>Declaration</w:t>
      </w:r>
    </w:p>
    <w:p w:rsidR="00AC149B" w:rsidRPr="00CB7E73" w:rsidRDefault="00AC149B" w:rsidP="00EC7E0A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CB7E73">
        <w:rPr>
          <w:rFonts w:ascii="Arial" w:eastAsia="Calibri" w:hAnsi="Arial" w:cs="Arial"/>
          <w:sz w:val="24"/>
          <w:szCs w:val="24"/>
        </w:rPr>
        <w:t>“I certify this work is the result of my own investigations, except where otherwise stated. All references have been duly cited”</w:t>
      </w:r>
    </w:p>
    <w:p w:rsidR="00AC149B" w:rsidRPr="00CB7E73" w:rsidRDefault="00AC149B" w:rsidP="00EC7E0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7E73">
        <w:rPr>
          <w:rFonts w:ascii="Arial" w:eastAsia="Calibri" w:hAnsi="Arial" w:cs="Arial"/>
          <w:sz w:val="24"/>
          <w:szCs w:val="24"/>
        </w:rPr>
        <w:t xml:space="preserve"> </w:t>
      </w:r>
      <w:r w:rsidRPr="00CB7E73">
        <w:rPr>
          <w:rFonts w:ascii="Arial" w:hAnsi="Arial" w:cs="Arial"/>
          <w:sz w:val="24"/>
          <w:szCs w:val="24"/>
        </w:rPr>
        <w:t>Signed ……………………Abdul Kareem Al-Hagin………..................……………</w:t>
      </w:r>
    </w:p>
    <w:p w:rsidR="00935DF5" w:rsidRDefault="00935DF5" w:rsidP="00EC7E0A">
      <w:pPr>
        <w:spacing w:before="0" w:beforeAutospacing="0" w:after="200" w:line="360" w:lineRule="auto"/>
      </w:pPr>
      <w:r>
        <w:br w:type="page"/>
      </w:r>
    </w:p>
    <w:p w:rsidR="009A00CE" w:rsidRPr="00EB5C66" w:rsidRDefault="00EB5C66" w:rsidP="00EC7E0A">
      <w:pPr>
        <w:spacing w:before="0" w:beforeAutospacing="0" w:line="360" w:lineRule="auto"/>
        <w:rPr>
          <w:rFonts w:ascii="Arial" w:eastAsia="Calibri" w:hAnsi="Arial" w:cs="Arial"/>
          <w:b/>
          <w:bCs/>
          <w:sz w:val="32"/>
          <w:u w:val="single"/>
        </w:rPr>
      </w:pPr>
      <w:bookmarkStart w:id="0" w:name="_GoBack"/>
      <w:bookmarkEnd w:id="0"/>
      <w:r w:rsidRPr="00EB5C66">
        <w:rPr>
          <w:rFonts w:ascii="Arial" w:eastAsia="Calibri" w:hAnsi="Arial" w:cs="Arial"/>
          <w:b/>
          <w:bCs/>
          <w:sz w:val="32"/>
          <w:u w:val="single"/>
        </w:rPr>
        <w:lastRenderedPageBreak/>
        <w:t>Appendices</w:t>
      </w:r>
    </w:p>
    <w:p w:rsidR="00477CB2" w:rsidRDefault="00477CB2" w:rsidP="00EC7E0A">
      <w:pPr>
        <w:spacing w:before="0" w:beforeAutospacing="0" w:line="360" w:lineRule="auto"/>
        <w:rPr>
          <w:rFonts w:ascii="Arial" w:eastAsia="Calibri" w:hAnsi="Arial" w:cs="Arial"/>
          <w:bCs/>
        </w:rPr>
      </w:pPr>
    </w:p>
    <w:p w:rsidR="00477CB2" w:rsidRPr="00477CB2" w:rsidRDefault="00EB5C66" w:rsidP="00EC7E0A">
      <w:pPr>
        <w:spacing w:before="0" w:beforeAutospacing="0" w:line="360" w:lineRule="auto"/>
        <w:rPr>
          <w:rFonts w:ascii="Arial" w:eastAsia="Calibri" w:hAnsi="Arial" w:cs="Arial"/>
          <w:bCs/>
          <w:u w:val="single"/>
        </w:rPr>
      </w:pPr>
      <w:r>
        <w:rPr>
          <w:rFonts w:ascii="Arial" w:eastAsia="Calibri" w:hAnsi="Arial" w:cs="Arial"/>
          <w:bCs/>
          <w:u w:val="single"/>
        </w:rPr>
        <w:t>Appendix</w:t>
      </w:r>
      <w:r w:rsidR="00477CB2" w:rsidRPr="00477CB2">
        <w:rPr>
          <w:rFonts w:ascii="Arial" w:eastAsia="Calibri" w:hAnsi="Arial" w:cs="Arial"/>
          <w:bCs/>
          <w:u w:val="single"/>
        </w:rPr>
        <w:t xml:space="preserve"> 1.0 – Observer Checklist</w:t>
      </w:r>
    </w:p>
    <w:p w:rsidR="00477CB2" w:rsidRPr="009A00CE" w:rsidRDefault="00477CB2" w:rsidP="00EC7E0A">
      <w:pPr>
        <w:spacing w:before="0" w:beforeAutospacing="0" w:line="360" w:lineRule="auto"/>
        <w:rPr>
          <w:rFonts w:ascii="Arial" w:eastAsia="Calibri" w:hAnsi="Arial" w:cs="Arial"/>
          <w:bCs/>
        </w:rPr>
      </w:pPr>
      <w:r>
        <w:rPr>
          <w:noProof/>
        </w:rPr>
        <w:drawing>
          <wp:inline distT="0" distB="0" distL="0" distR="0" wp14:anchorId="19BC8B24" wp14:editId="3244414D">
            <wp:extent cx="5731510" cy="34848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AF0" w:rsidRDefault="00EB5C66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u w:val="single"/>
          <w:lang w:eastAsia="en-US"/>
        </w:rPr>
        <w:t>Appendix 2.0 – Arc Reflection Form</w:t>
      </w:r>
    </w:p>
    <w:p w:rsidR="00EB5C66" w:rsidRDefault="00EB5C66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62412E" w:rsidRDefault="00EB5C66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4767E605" wp14:editId="41F48000">
            <wp:extent cx="5731510" cy="24085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u w:val="single"/>
          <w:lang w:eastAsia="en-US"/>
        </w:rPr>
        <w:t>Appendix 3.0 – Focus Group Interview Question Matrix</w:t>
      </w:r>
    </w:p>
    <w:p w:rsidR="0062412E" w:rsidRDefault="0062412E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213CA707" wp14:editId="5E2B77A8">
            <wp:extent cx="5731510" cy="33801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u w:val="single"/>
          <w:lang w:eastAsia="en-US"/>
        </w:rPr>
        <w:t>Appendix 4.0 – Lesson 1 FGIQM</w:t>
      </w:r>
      <w:r>
        <w:rPr>
          <w:rFonts w:ascii="Arial" w:eastAsiaTheme="minorHAnsi" w:hAnsi="Arial" w:cs="Arial"/>
          <w:u w:val="single"/>
          <w:lang w:eastAsia="en-US"/>
        </w:rPr>
        <w:br/>
      </w:r>
      <w:r>
        <w:rPr>
          <w:noProof/>
        </w:rPr>
        <w:drawing>
          <wp:inline distT="0" distB="0" distL="0" distR="0" wp14:anchorId="5137F172" wp14:editId="5FDADF19">
            <wp:extent cx="5731510" cy="26549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lastRenderedPageBreak/>
        <w:drawing>
          <wp:inline distT="0" distB="0" distL="0" distR="0" wp14:anchorId="44367035" wp14:editId="7D5CB7D2">
            <wp:extent cx="5731510" cy="358267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u w:val="single"/>
          <w:lang w:eastAsia="en-US"/>
        </w:rPr>
        <w:t>Appendix 5.0 – Lesson 1 – Observer Checklist</w:t>
      </w: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7C256A60" wp14:editId="1551BB73">
            <wp:extent cx="5731510" cy="4258945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u w:val="single"/>
          <w:lang w:eastAsia="en-US"/>
        </w:rPr>
        <w:lastRenderedPageBreak/>
        <w:t>Appendix 6.0 – Lesson 1 – Arc Model</w:t>
      </w: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5D5F0626" wp14:editId="4ED358FC">
            <wp:extent cx="5731510" cy="3827145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2C9806A5" wp14:editId="77C60073">
            <wp:extent cx="5731510" cy="3217545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u w:val="single"/>
          <w:lang w:eastAsia="en-US"/>
        </w:rPr>
        <w:lastRenderedPageBreak/>
        <w:t>Appendix 7.0 – Lesson 2 FGIQM</w:t>
      </w: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13ABFEF1" wp14:editId="56609A8D">
            <wp:extent cx="5731510" cy="370141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51EA55AB" wp14:editId="76335569">
            <wp:extent cx="5731510" cy="368173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>
      <w:pPr>
        <w:spacing w:before="0" w:beforeAutospacing="0" w:after="200" w:line="276" w:lineRule="auto"/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u w:val="single"/>
          <w:lang w:eastAsia="en-US"/>
        </w:rPr>
        <w:br w:type="page"/>
      </w:r>
    </w:p>
    <w:p w:rsidR="00A03F0F" w:rsidRDefault="00A03F0F" w:rsidP="00A03F0F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u w:val="single"/>
          <w:lang w:eastAsia="en-US"/>
        </w:rPr>
        <w:lastRenderedPageBreak/>
        <w:t>Appendix 8.0 – Lesson 2 – Observer Checklist</w:t>
      </w:r>
    </w:p>
    <w:p w:rsidR="00A03F0F" w:rsidRDefault="00A03F0F" w:rsidP="00A03F0F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4BD97E9D" wp14:editId="797928B3">
            <wp:extent cx="5731510" cy="368490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 w:rsidP="00A03F0F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17856EBE" wp14:editId="6999E7A8">
            <wp:extent cx="5731510" cy="3176905"/>
            <wp:effectExtent l="0" t="0" r="254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 w:rsidP="00A03F0F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lastRenderedPageBreak/>
        <w:drawing>
          <wp:inline distT="0" distB="0" distL="0" distR="0" wp14:anchorId="2A3D3B99" wp14:editId="7245B076">
            <wp:extent cx="5731510" cy="234442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Default="00A03F0F" w:rsidP="00A03F0F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p w:rsidR="00A03F0F" w:rsidRDefault="00A03F0F" w:rsidP="00A03F0F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u w:val="single"/>
          <w:lang w:eastAsia="en-US"/>
        </w:rPr>
        <w:t>Appendix 9.0 –</w:t>
      </w:r>
      <w:r w:rsidR="00BE3154">
        <w:rPr>
          <w:rFonts w:ascii="Arial" w:eastAsiaTheme="minorHAnsi" w:hAnsi="Arial" w:cs="Arial"/>
          <w:u w:val="single"/>
          <w:lang w:eastAsia="en-US"/>
        </w:rPr>
        <w:t xml:space="preserve"> Lesson 2</w:t>
      </w:r>
      <w:r>
        <w:rPr>
          <w:rFonts w:ascii="Arial" w:eastAsiaTheme="minorHAnsi" w:hAnsi="Arial" w:cs="Arial"/>
          <w:u w:val="single"/>
          <w:lang w:eastAsia="en-US"/>
        </w:rPr>
        <w:t xml:space="preserve"> – Arc Model</w:t>
      </w:r>
    </w:p>
    <w:p w:rsidR="00965356" w:rsidRDefault="00965356" w:rsidP="00A03F0F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2C035D48" wp14:editId="70A305FB">
            <wp:extent cx="5731510" cy="379476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356" w:rsidRDefault="00965356" w:rsidP="00A03F0F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lastRenderedPageBreak/>
        <w:drawing>
          <wp:inline distT="0" distB="0" distL="0" distR="0" wp14:anchorId="606F96C0" wp14:editId="166E01F3">
            <wp:extent cx="5731510" cy="6076315"/>
            <wp:effectExtent l="0" t="0" r="254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7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5356" w:rsidRDefault="00965356" w:rsidP="00A03F0F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  <w:r>
        <w:rPr>
          <w:noProof/>
        </w:rPr>
        <w:drawing>
          <wp:inline distT="0" distB="0" distL="0" distR="0" wp14:anchorId="4B79BDA5" wp14:editId="1DCC5A8D">
            <wp:extent cx="5731510" cy="2276475"/>
            <wp:effectExtent l="0" t="0" r="254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F0F" w:rsidRPr="00EB5C66" w:rsidRDefault="00A03F0F" w:rsidP="00EC7E0A">
      <w:pPr>
        <w:autoSpaceDE w:val="0"/>
        <w:autoSpaceDN w:val="0"/>
        <w:adjustRightInd w:val="0"/>
        <w:spacing w:before="0" w:beforeAutospacing="0" w:after="0" w:line="360" w:lineRule="auto"/>
        <w:rPr>
          <w:rFonts w:ascii="Arial" w:eastAsiaTheme="minorHAnsi" w:hAnsi="Arial" w:cs="Arial"/>
          <w:u w:val="single"/>
          <w:lang w:eastAsia="en-US"/>
        </w:rPr>
      </w:pPr>
    </w:p>
    <w:sectPr w:rsidR="00A03F0F" w:rsidRPr="00EB5C66" w:rsidSect="00750719">
      <w:footerReference w:type="default" r:id="rId24"/>
      <w:pgSz w:w="11906" w:h="16838"/>
      <w:pgMar w:top="1440" w:right="1440" w:bottom="1440" w:left="144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60D" w:rsidRDefault="006F060D" w:rsidP="004B3A04">
      <w:pPr>
        <w:spacing w:before="0" w:after="0" w:line="240" w:lineRule="auto"/>
      </w:pPr>
      <w:r>
        <w:separator/>
      </w:r>
    </w:p>
  </w:endnote>
  <w:endnote w:type="continuationSeparator" w:id="0">
    <w:p w:rsidR="006F060D" w:rsidRDefault="006F060D" w:rsidP="004B3A0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833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7B0D" w:rsidRDefault="00807B0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5B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07B0D" w:rsidRDefault="00807B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60D" w:rsidRDefault="006F060D" w:rsidP="004B3A04">
      <w:pPr>
        <w:spacing w:before="0" w:after="0" w:line="240" w:lineRule="auto"/>
      </w:pPr>
      <w:r>
        <w:separator/>
      </w:r>
    </w:p>
  </w:footnote>
  <w:footnote w:type="continuationSeparator" w:id="0">
    <w:p w:rsidR="006F060D" w:rsidRDefault="006F060D" w:rsidP="004B3A0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D6756"/>
    <w:multiLevelType w:val="hybridMultilevel"/>
    <w:tmpl w:val="15CC9E2C"/>
    <w:lvl w:ilvl="0" w:tplc="F0E40C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70C5E"/>
    <w:multiLevelType w:val="hybridMultilevel"/>
    <w:tmpl w:val="5784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D62A9"/>
    <w:multiLevelType w:val="hybridMultilevel"/>
    <w:tmpl w:val="770C8A90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21416DA9"/>
    <w:multiLevelType w:val="hybridMultilevel"/>
    <w:tmpl w:val="6F7C8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DB207B"/>
    <w:multiLevelType w:val="hybridMultilevel"/>
    <w:tmpl w:val="AE0EC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E116C"/>
    <w:multiLevelType w:val="hybridMultilevel"/>
    <w:tmpl w:val="239469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2F03852"/>
    <w:multiLevelType w:val="hybridMultilevel"/>
    <w:tmpl w:val="A1B88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B798E"/>
    <w:multiLevelType w:val="hybridMultilevel"/>
    <w:tmpl w:val="009CC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C2F08"/>
    <w:multiLevelType w:val="hybridMultilevel"/>
    <w:tmpl w:val="E4E4A5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9A27594"/>
    <w:multiLevelType w:val="hybridMultilevel"/>
    <w:tmpl w:val="E8EA09D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E8B3349"/>
    <w:multiLevelType w:val="hybridMultilevel"/>
    <w:tmpl w:val="87DC7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E011D2"/>
    <w:multiLevelType w:val="multilevel"/>
    <w:tmpl w:val="7430B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6F172686"/>
    <w:multiLevelType w:val="hybridMultilevel"/>
    <w:tmpl w:val="E604B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424E31"/>
    <w:multiLevelType w:val="hybridMultilevel"/>
    <w:tmpl w:val="F808F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7"/>
  </w:num>
  <w:num w:numId="5">
    <w:abstractNumId w:val="13"/>
  </w:num>
  <w:num w:numId="6">
    <w:abstractNumId w:val="1"/>
  </w:num>
  <w:num w:numId="7">
    <w:abstractNumId w:val="10"/>
  </w:num>
  <w:num w:numId="8">
    <w:abstractNumId w:val="3"/>
  </w:num>
  <w:num w:numId="9">
    <w:abstractNumId w:val="2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263"/>
    <w:rsid w:val="00003A15"/>
    <w:rsid w:val="0000763C"/>
    <w:rsid w:val="000125FC"/>
    <w:rsid w:val="0003552A"/>
    <w:rsid w:val="000532B5"/>
    <w:rsid w:val="00070D98"/>
    <w:rsid w:val="00072AFB"/>
    <w:rsid w:val="000742EB"/>
    <w:rsid w:val="000915D4"/>
    <w:rsid w:val="000A21B8"/>
    <w:rsid w:val="000D3113"/>
    <w:rsid w:val="000E06C7"/>
    <w:rsid w:val="000F067F"/>
    <w:rsid w:val="00107C55"/>
    <w:rsid w:val="001150F3"/>
    <w:rsid w:val="00121FF5"/>
    <w:rsid w:val="00133C82"/>
    <w:rsid w:val="00150857"/>
    <w:rsid w:val="00152164"/>
    <w:rsid w:val="001524F3"/>
    <w:rsid w:val="00167BBC"/>
    <w:rsid w:val="00174797"/>
    <w:rsid w:val="001A1F76"/>
    <w:rsid w:val="001B399E"/>
    <w:rsid w:val="001C2570"/>
    <w:rsid w:val="00207E46"/>
    <w:rsid w:val="002112A4"/>
    <w:rsid w:val="002355C4"/>
    <w:rsid w:val="00245F94"/>
    <w:rsid w:val="00271258"/>
    <w:rsid w:val="0028683E"/>
    <w:rsid w:val="002960F4"/>
    <w:rsid w:val="002967DD"/>
    <w:rsid w:val="002B1C7A"/>
    <w:rsid w:val="002D4EEF"/>
    <w:rsid w:val="002E0E3F"/>
    <w:rsid w:val="00301284"/>
    <w:rsid w:val="00317FA5"/>
    <w:rsid w:val="003218A5"/>
    <w:rsid w:val="00345EAD"/>
    <w:rsid w:val="00355FA1"/>
    <w:rsid w:val="0036501F"/>
    <w:rsid w:val="00367BA5"/>
    <w:rsid w:val="00377B42"/>
    <w:rsid w:val="0038353C"/>
    <w:rsid w:val="0039170A"/>
    <w:rsid w:val="00394DC8"/>
    <w:rsid w:val="003A69D4"/>
    <w:rsid w:val="003C34EB"/>
    <w:rsid w:val="003D52FA"/>
    <w:rsid w:val="003D626F"/>
    <w:rsid w:val="003F6043"/>
    <w:rsid w:val="003F7EFC"/>
    <w:rsid w:val="00452593"/>
    <w:rsid w:val="004529EB"/>
    <w:rsid w:val="00462890"/>
    <w:rsid w:val="00462967"/>
    <w:rsid w:val="00471652"/>
    <w:rsid w:val="00476331"/>
    <w:rsid w:val="0047679F"/>
    <w:rsid w:val="00477877"/>
    <w:rsid w:val="00477CB2"/>
    <w:rsid w:val="00496A39"/>
    <w:rsid w:val="004B3A04"/>
    <w:rsid w:val="004D007F"/>
    <w:rsid w:val="004E4BDF"/>
    <w:rsid w:val="00504722"/>
    <w:rsid w:val="00510764"/>
    <w:rsid w:val="0051280A"/>
    <w:rsid w:val="00524B19"/>
    <w:rsid w:val="00530328"/>
    <w:rsid w:val="005436EC"/>
    <w:rsid w:val="00551999"/>
    <w:rsid w:val="00552B9C"/>
    <w:rsid w:val="00584216"/>
    <w:rsid w:val="005A5490"/>
    <w:rsid w:val="005A7C92"/>
    <w:rsid w:val="005B32E7"/>
    <w:rsid w:val="005B6C37"/>
    <w:rsid w:val="005C27AD"/>
    <w:rsid w:val="005C2819"/>
    <w:rsid w:val="005C38DA"/>
    <w:rsid w:val="005C4FF0"/>
    <w:rsid w:val="005C7A7A"/>
    <w:rsid w:val="00601FB4"/>
    <w:rsid w:val="0062412E"/>
    <w:rsid w:val="00636CB6"/>
    <w:rsid w:val="00645EB8"/>
    <w:rsid w:val="00695EEE"/>
    <w:rsid w:val="006B163A"/>
    <w:rsid w:val="006B6E48"/>
    <w:rsid w:val="006F060D"/>
    <w:rsid w:val="0070675F"/>
    <w:rsid w:val="00710A58"/>
    <w:rsid w:val="007179AE"/>
    <w:rsid w:val="00750719"/>
    <w:rsid w:val="007819E6"/>
    <w:rsid w:val="00790228"/>
    <w:rsid w:val="007958EE"/>
    <w:rsid w:val="00796BFB"/>
    <w:rsid w:val="007B141E"/>
    <w:rsid w:val="007B317B"/>
    <w:rsid w:val="007B4129"/>
    <w:rsid w:val="007C4A8E"/>
    <w:rsid w:val="007D4B56"/>
    <w:rsid w:val="007E063E"/>
    <w:rsid w:val="007E5DC6"/>
    <w:rsid w:val="00802A3D"/>
    <w:rsid w:val="00807B0D"/>
    <w:rsid w:val="008135B2"/>
    <w:rsid w:val="00824C52"/>
    <w:rsid w:val="008361B8"/>
    <w:rsid w:val="008445A0"/>
    <w:rsid w:val="00851048"/>
    <w:rsid w:val="00852077"/>
    <w:rsid w:val="00853062"/>
    <w:rsid w:val="0086118D"/>
    <w:rsid w:val="00883476"/>
    <w:rsid w:val="00893CF4"/>
    <w:rsid w:val="00897449"/>
    <w:rsid w:val="008A3E64"/>
    <w:rsid w:val="008A5BBC"/>
    <w:rsid w:val="008B6A91"/>
    <w:rsid w:val="008E64C2"/>
    <w:rsid w:val="008E7554"/>
    <w:rsid w:val="00900238"/>
    <w:rsid w:val="00900E72"/>
    <w:rsid w:val="00905C0A"/>
    <w:rsid w:val="00923038"/>
    <w:rsid w:val="00925064"/>
    <w:rsid w:val="00930BBC"/>
    <w:rsid w:val="00934AD4"/>
    <w:rsid w:val="00935DF5"/>
    <w:rsid w:val="0094099C"/>
    <w:rsid w:val="00945725"/>
    <w:rsid w:val="009502DC"/>
    <w:rsid w:val="00961B5F"/>
    <w:rsid w:val="00965356"/>
    <w:rsid w:val="0096729A"/>
    <w:rsid w:val="009A00CE"/>
    <w:rsid w:val="009C010C"/>
    <w:rsid w:val="009E6B0A"/>
    <w:rsid w:val="009F4187"/>
    <w:rsid w:val="00A03F0F"/>
    <w:rsid w:val="00A061B9"/>
    <w:rsid w:val="00A1172D"/>
    <w:rsid w:val="00A20FFC"/>
    <w:rsid w:val="00A2666F"/>
    <w:rsid w:val="00A316B4"/>
    <w:rsid w:val="00A4344B"/>
    <w:rsid w:val="00A662F5"/>
    <w:rsid w:val="00AC028A"/>
    <w:rsid w:val="00AC149B"/>
    <w:rsid w:val="00AD1EF3"/>
    <w:rsid w:val="00AE6041"/>
    <w:rsid w:val="00AF30BA"/>
    <w:rsid w:val="00B01DA8"/>
    <w:rsid w:val="00B040E9"/>
    <w:rsid w:val="00B303FB"/>
    <w:rsid w:val="00B34584"/>
    <w:rsid w:val="00B356FF"/>
    <w:rsid w:val="00B36CDF"/>
    <w:rsid w:val="00B45700"/>
    <w:rsid w:val="00B51F9B"/>
    <w:rsid w:val="00B7201A"/>
    <w:rsid w:val="00B72BE6"/>
    <w:rsid w:val="00B854A7"/>
    <w:rsid w:val="00B86909"/>
    <w:rsid w:val="00BA0B49"/>
    <w:rsid w:val="00BB65CC"/>
    <w:rsid w:val="00BC1B76"/>
    <w:rsid w:val="00BD29F5"/>
    <w:rsid w:val="00BE3154"/>
    <w:rsid w:val="00BE5959"/>
    <w:rsid w:val="00BE6820"/>
    <w:rsid w:val="00BF788C"/>
    <w:rsid w:val="00C24202"/>
    <w:rsid w:val="00C24474"/>
    <w:rsid w:val="00C259EC"/>
    <w:rsid w:val="00C552B8"/>
    <w:rsid w:val="00C61DB4"/>
    <w:rsid w:val="00C75B22"/>
    <w:rsid w:val="00CB1E41"/>
    <w:rsid w:val="00CD1CFC"/>
    <w:rsid w:val="00CD3215"/>
    <w:rsid w:val="00CF463D"/>
    <w:rsid w:val="00D06690"/>
    <w:rsid w:val="00D113A6"/>
    <w:rsid w:val="00D13E72"/>
    <w:rsid w:val="00D204FD"/>
    <w:rsid w:val="00D316AD"/>
    <w:rsid w:val="00D40A2C"/>
    <w:rsid w:val="00D84482"/>
    <w:rsid w:val="00D934FB"/>
    <w:rsid w:val="00D96E65"/>
    <w:rsid w:val="00DC3263"/>
    <w:rsid w:val="00DE23AE"/>
    <w:rsid w:val="00DE6199"/>
    <w:rsid w:val="00DF07CD"/>
    <w:rsid w:val="00E142F5"/>
    <w:rsid w:val="00E34AF0"/>
    <w:rsid w:val="00E4169D"/>
    <w:rsid w:val="00E456DB"/>
    <w:rsid w:val="00E52FB3"/>
    <w:rsid w:val="00E725BF"/>
    <w:rsid w:val="00EB5C66"/>
    <w:rsid w:val="00EC1EB0"/>
    <w:rsid w:val="00EC7E0A"/>
    <w:rsid w:val="00ED6A29"/>
    <w:rsid w:val="00EF3583"/>
    <w:rsid w:val="00F0722E"/>
    <w:rsid w:val="00F32F66"/>
    <w:rsid w:val="00F66673"/>
    <w:rsid w:val="00F72163"/>
    <w:rsid w:val="00F73408"/>
    <w:rsid w:val="00F75B60"/>
    <w:rsid w:val="00F76589"/>
    <w:rsid w:val="00F9614E"/>
    <w:rsid w:val="00F96952"/>
    <w:rsid w:val="00FC6F0C"/>
    <w:rsid w:val="00FE1216"/>
    <w:rsid w:val="00FF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2076D2-1682-482A-B4C6-EA9C92CC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49B"/>
    <w:pPr>
      <w:spacing w:before="100" w:beforeAutospacing="1" w:after="160" w:line="256" w:lineRule="auto"/>
    </w:pPr>
    <w:rPr>
      <w:rFonts w:ascii="Calibri" w:eastAsia="Times New Roman" w:hAnsi="Calibri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4AF0"/>
    <w:pPr>
      <w:keepNext/>
      <w:keepLines/>
      <w:spacing w:before="240" w:beforeAutospacing="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AC149B"/>
    <w:pPr>
      <w:autoSpaceDE w:val="0"/>
      <w:autoSpaceDN w:val="0"/>
      <w:adjustRightInd w:val="0"/>
      <w:spacing w:after="0" w:line="240" w:lineRule="auto"/>
    </w:pPr>
    <w:rPr>
      <w:rFonts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35DF5"/>
    <w:pPr>
      <w:spacing w:after="200" w:line="271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3A0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A04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B3A0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A04"/>
    <w:rPr>
      <w:rFonts w:ascii="Calibri" w:eastAsia="Times New Roman" w:hAnsi="Calibri" w:cs="Times New Roman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355C4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55C4"/>
    <w:rPr>
      <w:rFonts w:ascii="Calibri" w:eastAsia="Times New Roman" w:hAnsi="Calibri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2355C4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E34AF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E34AF0"/>
  </w:style>
  <w:style w:type="paragraph" w:styleId="NormalWeb">
    <w:name w:val="Normal (Web)"/>
    <w:basedOn w:val="Normal"/>
    <w:uiPriority w:val="99"/>
    <w:semiHidden/>
    <w:unhideWhenUsed/>
    <w:rsid w:val="00477877"/>
    <w:pPr>
      <w:spacing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ssignBodyChar">
    <w:name w:val="AssignBody Char"/>
    <w:basedOn w:val="DefaultParagraphFont"/>
    <w:link w:val="AssignBody"/>
    <w:locked/>
    <w:rsid w:val="00477877"/>
    <w:rPr>
      <w:rFonts w:ascii="Arial" w:hAnsi="Arial" w:cs="Arial"/>
    </w:rPr>
  </w:style>
  <w:style w:type="paragraph" w:customStyle="1" w:styleId="AssignBody">
    <w:name w:val="AssignBody"/>
    <w:basedOn w:val="Normal"/>
    <w:link w:val="AssignBodyChar"/>
    <w:qFormat/>
    <w:rsid w:val="00477877"/>
    <w:pPr>
      <w:spacing w:before="0" w:beforeAutospacing="0" w:after="0" w:line="360" w:lineRule="auto"/>
    </w:pPr>
    <w:rPr>
      <w:rFonts w:ascii="Arial" w:eastAsiaTheme="minorHAnsi" w:hAnsi="Arial" w:cs="Arial"/>
      <w:lang w:eastAsia="en-US"/>
    </w:rPr>
  </w:style>
  <w:style w:type="table" w:styleId="TableGrid">
    <w:name w:val="Table Grid"/>
    <w:basedOn w:val="TableNormal"/>
    <w:uiPriority w:val="39"/>
    <w:rsid w:val="0047787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D6A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D6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Dud14</b:Tag>
    <b:SourceType>Report</b:SourceType>
    <b:Guid>{1D55466C-8236-4963-825E-10BCCC2BB937}</b:Guid>
    <b:Title>Lesson Study: a handbook</b:Title>
    <b:Year>2014</b:Year>
    <b:Publisher>Lesson Study UK</b:Publisher>
    <b:City>Cambridge</b:City>
    <b:Author>
      <b:Author>
        <b:NameList>
          <b:Person>
            <b:Last>Dudley</b:Last>
            <b:First>Peter</b:First>
          </b:Person>
        </b:NameList>
      </b:Author>
    </b:Author>
    <b:RefOrder>9</b:RefOrder>
  </b:Source>
  <b:Source>
    <b:Tag>Rob13</b:Tag>
    <b:SourceType>Report</b:SourceType>
    <b:Guid>{0FA6B9E5-3A9E-4553-92E4-53FC9030ECCB}</b:Guid>
    <b:Author>
      <b:Author>
        <b:Corporate>Robert Hill Consulting </b:Corporate>
      </b:Author>
    </b:Author>
    <b:Title>The future delivery of education services in Wales</b:Title>
    <b:Year>2013</b:Year>
    <b:Publisher>Crown Copyright</b:Publisher>
    <b:City>Cardiff</b:City>
    <b:RefOrder>10</b:RefOrder>
  </b:Source>
  <b:Source>
    <b:Tag>Dep10</b:Tag>
    <b:SourceType>Report</b:SourceType>
    <b:Guid>{D0583B45-4706-4896-BF82-FA3AE1441C70}</b:Guid>
    <b:Author>
      <b:Author>
        <b:Corporate>Department for Education</b:Corporate>
      </b:Author>
    </b:Author>
    <b:Title>Improving subject pedagogy through Lesson study</b:Title>
    <b:Year>2010</b:Year>
    <b:Publisher>DCSF Publications</b:Publisher>
    <b:City>Nottingham</b:City>
    <b:RefOrder>11</b:RefOrder>
  </b:Source>
  <b:Source>
    <b:Tag>Dud15</b:Tag>
    <b:SourceType>Book</b:SourceType>
    <b:Guid>{3339D46A-C066-4EBC-8326-3533007D07B6}</b:Guid>
    <b:Title>Lesson study: Professional learning for our time</b:Title>
    <b:Year>2015</b:Year>
    <b:Publisher>Routledge</b:Publisher>
    <b:City>Oxfordshire</b:City>
    <b:Author>
      <b:Author>
        <b:NameList>
          <b:Person>
            <b:Last>Dudley</b:Last>
            <b:First>Peter</b:First>
          </b:Person>
        </b:NameList>
      </b:Author>
    </b:Author>
    <b:RefOrder>12</b:RefOrder>
  </b:Source>
  <b:Source>
    <b:Tag>Mur17</b:Tag>
    <b:SourceType>Book</b:SourceType>
    <b:Guid>{5E399E9F-0632-4691-916C-18D666BEA81E}</b:Guid>
    <b:Title>Lesson Study: Evaluation report</b:Title>
    <b:Year>2017</b:Year>
    <b:City>London</b:City>
    <b:Publisher>Education Endowment Foundation</b:Publisher>
    <b:Author>
      <b:Author>
        <b:NameList>
          <b:Person>
            <b:Last>Murphy</b:Last>
            <b:First>R</b:First>
          </b:Person>
          <b:Person>
            <b:Last>Wyness</b:Last>
            <b:First>G</b:First>
          </b:Person>
          <b:Person>
            <b:Last>Rolfe</b:Last>
            <b:First>H</b:First>
          </b:Person>
          <b:Person>
            <b:Last>Weinhardt</b:Last>
            <b:First>F</b:First>
          </b:Person>
        </b:NameList>
      </b:Author>
    </b:Author>
    <b:RefOrder>24</b:RefOrder>
  </b:Source>
  <b:Source>
    <b:Tag>Iso07</b:Tag>
    <b:SourceType>Book</b:SourceType>
    <b:Guid>{7C2DED3E-F2C0-4E47-853A-77BB27E5B124}</b:Guid>
    <b:Title>Japanese Lesson Study in Mathematics</b:Title>
    <b:Year>2007</b:Year>
    <b:City>London</b:City>
    <b:Publisher>World Scientific Publishing Co. Pte. Ltd.</b:Publisher>
    <b:Author>
      <b:Author>
        <b:NameList>
          <b:Person>
            <b:Last>Isoda</b:Last>
            <b:First>Masami</b:First>
          </b:Person>
          <b:Person>
            <b:Last>Stephens</b:Last>
            <b:First>Max</b:First>
          </b:Person>
          <b:Person>
            <b:Last>Ohara</b:Last>
            <b:First>Yutaka</b:First>
          </b:Person>
          <b:Person>
            <b:Last>Miyakawa</b:Last>
            <b:First>Takeshi</b:First>
          </b:Person>
        </b:NameList>
      </b:Author>
    </b:Author>
    <b:RefOrder>13</b:RefOrder>
  </b:Source>
  <b:Source>
    <b:Tag>Sai15</b:Tag>
    <b:SourceType>Book</b:SourceType>
    <b:Guid>{DC7006C5-AA60-411D-9E2B-58BC7153CFE4}</b:Guid>
    <b:Title>Lesson Study For Learning Community</b:Title>
    <b:Year>2015</b:Year>
    <b:City>Oxfordshire</b:City>
    <b:Publisher>Routledge</b:Publisher>
    <b:Author>
      <b:Author>
        <b:NameList>
          <b:Person>
            <b:Last>Saito</b:Last>
            <b:First>Eisuke</b:First>
          </b:Person>
          <b:Person>
            <b:Last>Murase</b:Last>
            <b:First>Masatsugu</b:First>
          </b:Person>
          <b:Person>
            <b:Last>Tsukui</b:Last>
            <b:First>Atsushi</b:First>
          </b:Person>
          <b:Person>
            <b:Last>Yeo</b:Last>
            <b:First>John</b:First>
          </b:Person>
        </b:NameList>
      </b:Author>
    </b:Author>
    <b:RefOrder>25</b:RefOrder>
  </b:Source>
  <b:Source>
    <b:Tag>Har11</b:Tag>
    <b:SourceType>Book</b:SourceType>
    <b:Guid>{1FFF2336-199D-484B-9C26-1A924C3E17C3}</b:Guid>
    <b:Title>Lesson Study Research and Practice in Mathematics Education</b:Title>
    <b:Year>2011</b:Year>
    <b:City>New York</b:City>
    <b:Publisher>Springer Science+Business Media B.V</b:Publisher>
    <b:Author>
      <b:Author>
        <b:NameList>
          <b:Person>
            <b:Last>Hart</b:Last>
            <b:Middle>C.</b:Middle>
            <b:First>Lynn</b:First>
          </b:Person>
          <b:Person>
            <b:Last>Alston</b:Last>
            <b:First>Alice</b:First>
          </b:Person>
          <b:Person>
            <b:Last>Murata</b:Last>
            <b:First>Aki</b:First>
          </b:Person>
        </b:NameList>
      </b:Author>
    </b:Author>
    <b:RefOrder>14</b:RefOrder>
  </b:Source>
  <b:Source>
    <b:Tag>Fer04</b:Tag>
    <b:SourceType>Book</b:SourceType>
    <b:Guid>{B7282ECE-D2B0-41D8-9B61-E19AB4BD54E6}</b:Guid>
    <b:Title>Lesson Study: A Japanese Approach to Improving Mathematics Teaching and Learning</b:Title>
    <b:Year>2004</b:Year>
    <b:City>New Jersey</b:City>
    <b:Publisher>Lawrence Erlbaum Associates, Publishers</b:Publisher>
    <b:Author>
      <b:Author>
        <b:NameList>
          <b:Person>
            <b:Last>Fernandez</b:Last>
            <b:First>Clea</b:First>
          </b:Person>
          <b:Person>
            <b:Last>Yoshida</b:Last>
            <b:First>Makoto</b:First>
          </b:Person>
        </b:NameList>
      </b:Author>
    </b:Author>
    <b:RefOrder>15</b:RefOrder>
  </b:Source>
  <b:Source>
    <b:Tag>Ina88</b:Tag>
    <b:SourceType>Book</b:SourceType>
    <b:Guid>{418BF701-BF56-4B2C-B7F0-5C633F067296}</b:Guid>
    <b:Title>Kyoshi no life course [The life course of teachers]</b:Title>
    <b:Year>1988</b:Year>
    <b:City>Tokyo</b:City>
    <b:Publisher>Tokaidaigaku Shuppankai</b:Publisher>
    <b:JournalName> Foro de Educación</b:JournalName>
    <b:Author>
      <b:Author>
        <b:NameList>
          <b:Person>
            <b:Last>Inagaki</b:Last>
            <b:First>T</b:First>
          </b:Person>
          <b:Person>
            <b:Last>Terasaki</b:Last>
            <b:First>M</b:First>
          </b:Person>
          <b:Person>
            <b:Last>Matsudaira</b:Last>
            <b:First>N</b:First>
          </b:Person>
        </b:NameList>
      </b:Author>
    </b:Author>
    <b:RefOrder>16</b:RefOrder>
  </b:Source>
  <b:Source>
    <b:Tag>Coe14</b:Tag>
    <b:SourceType>InternetSite</b:SourceType>
    <b:Guid>{6DEDC434-85C3-441B-9794-263123291658}</b:Guid>
    <b:Title>Classroom observation: it’s harder than you think</b:Title>
    <b:Year>2014</b:Year>
    <b:InternetSiteTitle>CEM</b:InternetSiteTitle>
    <b:Month>January</b:Month>
    <b:Day>9</b:Day>
    <b:URL>http://www.cem.org/blog/414/</b:URL>
    <b:Author>
      <b:Author>
        <b:NameList>
          <b:Person>
            <b:Last>Coe</b:Last>
            <b:First>Robert</b:First>
          </b:Person>
        </b:NameList>
      </b:Author>
    </b:Author>
    <b:RefOrder>17</b:RefOrder>
  </b:Source>
  <b:Source>
    <b:Tag>Zas01</b:Tag>
    <b:SourceType>Book</b:SourceType>
    <b:Guid>{7E644CC7-4FD0-4CBD-A042-48AC8E19946C}</b:Guid>
    <b:Title>Professional development of mathematics teachers: Trends and tasks</b:Title>
    <b:JournalName>Second international handbook of mathematics education</b:JournalName>
    <b:Year>2001</b:Year>
    <b:Author>
      <b:Author>
        <b:NameList>
          <b:Person>
            <b:Last>Zaslavsky</b:Last>
            <b:First>O</b:First>
          </b:Person>
          <b:Person>
            <b:Last> Chapman</b:Last>
            <b:First>O</b:First>
          </b:Person>
          <b:Person>
            <b:Last>Lieken</b:Last>
            <b:First>R</b:First>
          </b:Person>
        </b:NameList>
      </b:Author>
    </b:Author>
    <b:City>Dordrecht</b:City>
    <b:Publisher>Kluwer Academic</b:Publisher>
    <b:RefOrder>18</b:RefOrder>
  </b:Source>
  <b:Source>
    <b:Tag>Doi11</b:Tag>
    <b:SourceType>JournalArticle</b:SourceType>
    <b:Guid>{5C838156-A222-405F-830E-D1B204B06C84}</b:Guid>
    <b:Title>Japanese Lesson Study: Teacher Professional Development through Communities of Inquiry</b:Title>
    <b:Year>2011</b:Year>
    <b:JournalName>Mathematics Teacher Education and Development</b:JournalName>
    <b:Pages>78-79</b:Pages>
    <b:Author>
      <b:Author>
        <b:NameList>
          <b:Person>
            <b:Last>Doig</b:Last>
            <b:First>Brian </b:First>
          </b:Person>
          <b:Person>
            <b:Last>Groves</b:Last>
            <b:First>Susie</b:First>
          </b:Person>
        </b:NameList>
      </b:Author>
    </b:Author>
    <b:RefOrder>19</b:RefOrder>
  </b:Source>
  <b:Source>
    <b:Tag>Mac12</b:Tag>
    <b:SourceType>JournalArticle</b:SourceType>
    <b:Guid>{86952691-AA99-43AA-BF66-D3AFEAEAFE55}</b:Guid>
    <b:Title>UNDERSTANDING PARTICIPATORY ACTION RESEARCH: A QUALITATIVE RESEARCH METHODOLOGY OPTION</b:Title>
    <b:JournalName>Canadian Journal of Action Research</b:JournalName>
    <b:Year>2012</b:Year>
    <b:Pages>34-50</b:Pages>
    <b:Author>
      <b:Author>
        <b:NameList>
          <b:Person>
            <b:Last>MacDonald</b:Last>
            <b:First>Cathy</b:First>
          </b:Person>
        </b:NameList>
      </b:Author>
    </b:Author>
    <b:RefOrder>20</b:RefOrder>
  </b:Source>
  <b:Source>
    <b:Tag>Rya181</b:Tag>
    <b:SourceType>JournalArticle</b:SourceType>
    <b:Guid>{51C35EDA-A19E-44B8-8460-779A9F4C82E5}</b:Guid>
    <b:Title>Introduction to positivism, interpretivism and critical theory</b:Title>
    <b:JournalName>Nurse Researcher 25(4)</b:JournalName>
    <b:Year>2018</b:Year>
    <b:Pages>8</b:Pages>
    <b:Author>
      <b:Author>
        <b:NameList>
          <b:Person>
            <b:Last>Ryan</b:Last>
            <b:First>Gemma</b:First>
          </b:Person>
        </b:NameList>
      </b:Author>
    </b:Author>
    <b:RefOrder>21</b:RefOrder>
  </b:Source>
  <b:Source>
    <b:Tag>Coh071</b:Tag>
    <b:SourceType>Book</b:SourceType>
    <b:Guid>{3E8BCC1D-B049-4CB3-962D-670F37D961B7}</b:Guid>
    <b:Title>Research Methods in Education</b:Title>
    <b:Year>2007</b:Year>
    <b:City>Oxfordshire</b:City>
    <b:Publisher>Routledge</b:Publisher>
    <b:Author>
      <b:Author>
        <b:NameList>
          <b:Person>
            <b:Last>Cohen</b:Last>
            <b:First>Louis</b:First>
          </b:Person>
          <b:Person>
            <b:Last>Manion</b:Last>
            <b:First>Lawrence</b:First>
          </b:Person>
          <b:Person>
            <b:Last>Morrison</b:Last>
            <b:First>Keith</b:First>
          </b:Person>
        </b:NameList>
      </b:Author>
    </b:Author>
    <b:RefOrder>22</b:RefOrder>
  </b:Source>
  <b:Source>
    <b:Tag>Kir001</b:Tag>
    <b:SourceType>Book</b:SourceType>
    <b:Guid>{E18EA648-D4CC-4175-9EE1-2710E5C4F803}</b:Guid>
    <b:Title>Sociology in Perspective</b:Title>
    <b:Year>2000</b:Year>
    <b:City>Oxford</b:City>
    <b:Publisher>Heinemann Educational Publishers</b:Publisher>
    <b:Author>
      <b:Author>
        <b:NameList>
          <b:Person>
            <b:Last>Kirby</b:Last>
            <b:First>Mark</b:First>
          </b:Person>
        </b:NameList>
      </b:Author>
    </b:Author>
    <b:RefOrder>23</b:RefOrder>
  </b:Source>
  <b:Source>
    <b:Tag>Bla032</b:Tag>
    <b:SourceType>Book</b:SourceType>
    <b:Guid>{6B7DD112-3663-45DF-ACA0-094E20F15B4C}</b:Guid>
    <b:Title>Assessment for learning Putting it into practice</b:Title>
    <b:Year>2003</b:Year>
    <b:City>New York</b:City>
    <b:Publisher>Open University Press</b:Publisher>
    <b:Author>
      <b:Author>
        <b:NameList>
          <b:Person>
            <b:Last>Black</b:Last>
            <b:First>Paul</b:First>
          </b:Person>
          <b:Person>
            <b:Last>Harrison</b:Last>
            <b:First>Christine</b:First>
          </b:Person>
          <b:Person>
            <b:Last>Lee</b:Last>
            <b:First>Clare</b:First>
          </b:Person>
          <b:Person>
            <b:Last>Marshall</b:Last>
            <b:First>Bethan</b:First>
          </b:Person>
          <b:Person>
            <b:Last>Wiliam</b:Last>
            <b:First>Dylan</b:First>
          </b:Person>
        </b:NameList>
      </b:Author>
    </b:Author>
    <b:RefOrder>26</b:RefOrder>
  </b:Source>
  <b:Source>
    <b:Tag>Jam08</b:Tag>
    <b:SourceType>Book</b:SourceType>
    <b:Guid>{BAD6647B-85EF-42A3-B6D8-BB30288A9435}</b:Guid>
    <b:Title>Assessment and learning</b:Title>
    <b:Year>2008</b:Year>
    <b:City>New York</b:City>
    <b:Publisher>Routledge</b:Publisher>
    <b:Author>
      <b:Author>
        <b:NameList>
          <b:Person>
            <b:Last>James</b:Last>
            <b:First>Mary</b:First>
          </b:Person>
        </b:NameList>
      </b:Author>
    </b:Author>
    <b:RefOrder>1</b:RefOrder>
  </b:Source>
  <b:Source>
    <b:Tag>Wel10</b:Tag>
    <b:SourceType>Report</b:SourceType>
    <b:Guid>{6F618285-CA99-4984-81D4-5D48307C2089}</b:Guid>
    <b:Title>How to develop thinking and assessment for learning in the classroom</b:Title>
    <b:Year>2010</b:Year>
    <b:City>Cardiff</b:City>
    <b:Publisher>Welsh Assembly Government</b:Publisher>
    <b:Author>
      <b:Author>
        <b:Corporate>Welsh Assembly Government</b:Corporate>
      </b:Author>
    </b:Author>
    <b:RefOrder>2</b:RefOrder>
  </b:Source>
  <b:Source>
    <b:Tag>Hol82</b:Tag>
    <b:SourceType>Report</b:SourceType>
    <b:Guid>{D21E0156-0EDF-4FAA-88DA-A1FB548CBE6F}</b:Guid>
    <b:Title>How Children Fail</b:Title>
    <b:Year>1982</b:Year>
    <b:Publisher>Merloyd Lawrence, Delta/Seymour Lawrence</b:Publisher>
    <b:City>New York</b:City>
    <b:Author>
      <b:Author>
        <b:NameList>
          <b:Person>
            <b:Last>Holt</b:Last>
            <b:First>John</b:First>
          </b:Person>
        </b:NameList>
      </b:Author>
    </b:Author>
    <b:RefOrder>3</b:RefOrder>
  </b:Source>
  <b:Source>
    <b:Tag>Dal13</b:Tag>
    <b:SourceType>JournalArticle</b:SourceType>
    <b:Guid>{6EFC47E1-3C88-4812-9528-0109C47CDBB5}</b:Guid>
    <b:Title>Impact of Cold-Calling on Student Voluntary Participation</b:Title>
    <b:Year>2013</b:Year>
    <b:JournalName>Journal of Management Education</b:JournalName>
    <b:Pages>305-341</b:Pages>
    <b:Author>
      <b:Author>
        <b:NameList>
          <b:Person>
            <b:Last>Dallimore</b:Last>
            <b:Middle>J.</b:Middle>
            <b:First>Elise</b:First>
          </b:Person>
          <b:Person>
            <b:Last>Hertenstein</b:Last>
            <b:Middle>H.</b:Middle>
            <b:First>Julie</b:First>
          </b:Person>
          <b:Person>
            <b:Last>Platt</b:Last>
            <b:Middle>B.</b:Middle>
            <b:First>Marjorie</b:First>
          </b:Person>
        </b:NameList>
      </b:Author>
    </b:Author>
    <b:RefOrder>4</b:RefOrder>
  </b:Source>
  <b:Source>
    <b:Tag>Bro14</b:Tag>
    <b:SourceType>Book</b:SourceType>
    <b:Guid>{E53799A3-A220-4562-B256-3C1F6451AA3A}</b:Guid>
    <b:Title>Motivating Students to Learn</b:Title>
    <b:Year>2014</b:Year>
    <b:City>Oxfordshire</b:City>
    <b:Publisher>Routledge</b:Publisher>
    <b:Author>
      <b:Author>
        <b:NameList>
          <b:Person>
            <b:Last>Brophy</b:Last>
            <b:First>Jere </b:First>
          </b:Person>
          <b:Person>
            <b:Last>Wentzel</b:Last>
            <b:Middle>R.</b:Middle>
            <b:First>Kathryn </b:First>
          </b:Person>
        </b:NameList>
      </b:Author>
    </b:Author>
    <b:RefOrder>5</b:RefOrder>
  </b:Source>
  <b:Source>
    <b:Tag>Tur04</b:Tag>
    <b:SourceType>JournalArticle</b:SourceType>
    <b:Guid>{F0AA8938-0727-4EE6-B227-86F5EBC3F3A4}</b:Guid>
    <b:Title>Motivational Influences on Student Participation in Classroom Learning Activities</b:Title>
    <b:Year>2004</b:Year>
    <b:City>New York</b:City>
    <b:Author>
      <b:Author>
        <b:NameList>
          <b:Person>
            <b:Last>Turner</b:Last>
            <b:Middle>C. </b:Middle>
            <b:First>JULIANNE </b:First>
          </b:Person>
          <b:Person>
            <b:Last>Patrick</b:Last>
            <b:First>Helen</b:First>
          </b:Person>
        </b:NameList>
      </b:Author>
    </b:Author>
    <b:JournalName>Teachers College Record</b:JournalName>
    <b:Pages>1759-1785</b:Pages>
    <b:RefOrder>6</b:RefOrder>
  </b:Source>
  <b:Source>
    <b:Tag>Val12</b:Tag>
    <b:SourceType>JournalArticle</b:SourceType>
    <b:Guid>{FC8E6665-EE8C-4177-88D7-8AA621358E7E}</b:Guid>
    <b:Title>Intrinsic motivation in the classroom</b:Title>
    <b:JournalName>Journal of Student Engagement: Education Matters</b:JournalName>
    <b:Year>2012</b:Year>
    <b:Pages>30-35</b:Pages>
    <b:Author>
      <b:Author>
        <b:NameList>
          <b:Person>
            <b:Last>Valerio</b:Last>
            <b:First>Krystle</b:First>
          </b:Person>
        </b:NameList>
      </b:Author>
    </b:Author>
    <b:RefOrder>7</b:RefOrder>
  </b:Source>
  <b:Source>
    <b:Tag>Wil14</b:Tag>
    <b:SourceType>InternetSite</b:SourceType>
    <b:Guid>{4343C96A-C29B-43B3-9A58-815F1A6585F3}</b:Guid>
    <b:Title>The Right Questions, The Right Way</b:Title>
    <b:InternetSiteTitle>ASCD</b:InternetSiteTitle>
    <b:Year>2014</b:Year>
    <b:Month>march</b:Month>
    <b:URL>http://www.ascd.org/publications/educational-leadership/mar14/vol71/num06/The-Right-Questions,-The-Right-Way.aspx</b:URL>
    <b:Author>
      <b:Author>
        <b:NameList>
          <b:Person>
            <b:Last>Wiliam</b:Last>
            <b:First>Dylan</b:First>
          </b:Person>
        </b:NameList>
      </b:Author>
    </b:Author>
    <b:RefOrder>8</b:RefOrder>
  </b:Source>
</b:Sources>
</file>

<file path=customXml/itemProps1.xml><?xml version="1.0" encoding="utf-8"?>
<ds:datastoreItem xmlns:ds="http://schemas.openxmlformats.org/officeDocument/2006/customXml" ds:itemID="{9F70D1D7-EB12-40E0-A2E2-2641FD785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1760</TotalTime>
  <Pages>9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Al-hagin (1250048)</dc:creator>
  <cp:keywords/>
  <dc:description/>
  <cp:lastModifiedBy>Abdul Al-hagin (1250048)</cp:lastModifiedBy>
  <cp:revision>209</cp:revision>
  <dcterms:created xsi:type="dcterms:W3CDTF">2020-02-15T16:25:00Z</dcterms:created>
  <dcterms:modified xsi:type="dcterms:W3CDTF">2020-02-23T00:09:00Z</dcterms:modified>
</cp:coreProperties>
</file>