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9BC4A" w14:textId="77777777" w:rsidR="00C96DC2" w:rsidRDefault="00C96DC2" w:rsidP="00651004">
      <w:pPr>
        <w:spacing w:line="360" w:lineRule="auto"/>
        <w:jc w:val="both"/>
        <w:rPr>
          <w:rFonts w:ascii="Times New Roman" w:hAnsi="Times New Roman" w:cs="Times New Roman"/>
          <w:b/>
          <w:sz w:val="24"/>
          <w:szCs w:val="24"/>
        </w:rPr>
      </w:pPr>
    </w:p>
    <w:p w14:paraId="468924E5" w14:textId="77777777" w:rsidR="00C96DC2" w:rsidRDefault="00C96DC2" w:rsidP="00651004">
      <w:pPr>
        <w:spacing w:line="360" w:lineRule="auto"/>
        <w:jc w:val="both"/>
        <w:rPr>
          <w:rFonts w:ascii="Times New Roman" w:hAnsi="Times New Roman" w:cs="Times New Roman"/>
          <w:b/>
          <w:sz w:val="24"/>
          <w:szCs w:val="24"/>
        </w:rPr>
      </w:pPr>
    </w:p>
    <w:p w14:paraId="16594002" w14:textId="77777777" w:rsidR="00C96DC2" w:rsidRDefault="00C96DC2" w:rsidP="00651004">
      <w:pPr>
        <w:spacing w:line="360" w:lineRule="auto"/>
        <w:jc w:val="both"/>
        <w:rPr>
          <w:rFonts w:ascii="Times New Roman" w:hAnsi="Times New Roman" w:cs="Times New Roman"/>
          <w:b/>
          <w:sz w:val="24"/>
          <w:szCs w:val="24"/>
        </w:rPr>
      </w:pPr>
    </w:p>
    <w:p w14:paraId="78F945E5" w14:textId="77777777" w:rsidR="00C96DC2" w:rsidRDefault="00C96DC2" w:rsidP="00651004">
      <w:pPr>
        <w:spacing w:line="360" w:lineRule="auto"/>
        <w:jc w:val="both"/>
        <w:rPr>
          <w:rFonts w:ascii="Times New Roman" w:hAnsi="Times New Roman" w:cs="Times New Roman"/>
          <w:b/>
          <w:sz w:val="24"/>
          <w:szCs w:val="24"/>
        </w:rPr>
      </w:pPr>
    </w:p>
    <w:p w14:paraId="0DFB52BD" w14:textId="77777777" w:rsidR="00C96DC2" w:rsidRDefault="00C96DC2" w:rsidP="00651004">
      <w:pPr>
        <w:spacing w:line="360" w:lineRule="auto"/>
        <w:jc w:val="both"/>
        <w:rPr>
          <w:rFonts w:ascii="Times New Roman" w:hAnsi="Times New Roman" w:cs="Times New Roman"/>
          <w:b/>
          <w:sz w:val="24"/>
          <w:szCs w:val="24"/>
        </w:rPr>
      </w:pPr>
    </w:p>
    <w:p w14:paraId="7DA1C98A" w14:textId="77777777" w:rsidR="00C96DC2" w:rsidRDefault="00C96DC2" w:rsidP="00651004">
      <w:pPr>
        <w:spacing w:line="360" w:lineRule="auto"/>
        <w:jc w:val="both"/>
        <w:rPr>
          <w:rFonts w:ascii="Times New Roman" w:hAnsi="Times New Roman" w:cs="Times New Roman"/>
          <w:b/>
          <w:sz w:val="24"/>
          <w:szCs w:val="24"/>
        </w:rPr>
      </w:pPr>
    </w:p>
    <w:p w14:paraId="42BDABC4" w14:textId="77777777" w:rsidR="00C96DC2" w:rsidRDefault="00C96DC2" w:rsidP="00651004">
      <w:pPr>
        <w:spacing w:line="360" w:lineRule="auto"/>
        <w:jc w:val="both"/>
        <w:rPr>
          <w:rFonts w:ascii="Times New Roman" w:hAnsi="Times New Roman" w:cs="Times New Roman"/>
          <w:b/>
          <w:sz w:val="24"/>
          <w:szCs w:val="24"/>
        </w:rPr>
      </w:pPr>
    </w:p>
    <w:p w14:paraId="01736921" w14:textId="77777777" w:rsidR="00C96DC2" w:rsidRDefault="00C96DC2" w:rsidP="00651004">
      <w:pPr>
        <w:spacing w:line="360" w:lineRule="auto"/>
        <w:jc w:val="both"/>
        <w:rPr>
          <w:rFonts w:ascii="Times New Roman" w:hAnsi="Times New Roman" w:cs="Times New Roman"/>
          <w:b/>
          <w:sz w:val="24"/>
          <w:szCs w:val="24"/>
        </w:rPr>
      </w:pPr>
    </w:p>
    <w:p w14:paraId="4394D22F" w14:textId="77777777" w:rsidR="00651004" w:rsidRPr="00C96DC2" w:rsidRDefault="00C96DC2" w:rsidP="00C96DC2">
      <w:pPr>
        <w:spacing w:line="360" w:lineRule="auto"/>
        <w:jc w:val="center"/>
        <w:rPr>
          <w:rFonts w:ascii="Times New Roman" w:hAnsi="Times New Roman" w:cs="Times New Roman"/>
          <w:sz w:val="24"/>
          <w:szCs w:val="24"/>
        </w:rPr>
      </w:pPr>
      <w:r w:rsidRPr="00C96DC2">
        <w:rPr>
          <w:rFonts w:ascii="Times New Roman" w:hAnsi="Times New Roman" w:cs="Times New Roman"/>
          <w:sz w:val="24"/>
          <w:szCs w:val="24"/>
        </w:rPr>
        <w:t>REFORMS TO THE NON-FATAL OFFENCES AGAINST THE PERSON</w:t>
      </w:r>
    </w:p>
    <w:p w14:paraId="3F501B95" w14:textId="216FC1EE" w:rsidR="00651004" w:rsidRDefault="00651004" w:rsidP="00C96DC2">
      <w:pPr>
        <w:spacing w:line="360" w:lineRule="auto"/>
        <w:jc w:val="center"/>
        <w:rPr>
          <w:rFonts w:ascii="Times New Roman" w:hAnsi="Times New Roman" w:cs="Times New Roman"/>
          <w:sz w:val="24"/>
          <w:szCs w:val="24"/>
        </w:rPr>
      </w:pPr>
    </w:p>
    <w:p w14:paraId="7F3F0582" w14:textId="01046298" w:rsidR="00C96DC2" w:rsidRDefault="00615B65" w:rsidP="00615B65">
      <w:pPr>
        <w:spacing w:line="360" w:lineRule="auto"/>
        <w:jc w:val="center"/>
        <w:rPr>
          <w:rFonts w:ascii="Times New Roman" w:hAnsi="Times New Roman" w:cs="Times New Roman"/>
          <w:sz w:val="24"/>
          <w:szCs w:val="24"/>
        </w:rPr>
      </w:pPr>
      <w:r>
        <w:rPr>
          <w:rFonts w:ascii="Times New Roman" w:hAnsi="Times New Roman" w:cs="Times New Roman"/>
          <w:sz w:val="24"/>
          <w:szCs w:val="24"/>
        </w:rPr>
        <w:t>Adelajda Anna Bachleda</w:t>
      </w:r>
    </w:p>
    <w:p w14:paraId="2FC33906" w14:textId="49511AF1" w:rsidR="00C96DC2" w:rsidRPr="00C96DC2" w:rsidRDefault="00BC5B80" w:rsidP="00BC5B8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F6F6B20" w14:textId="77777777" w:rsidR="00651004" w:rsidRDefault="00651004">
      <w:pPr>
        <w:rPr>
          <w:rFonts w:ascii="Times New Roman" w:hAnsi="Times New Roman" w:cs="Times New Roman"/>
          <w:b/>
          <w:sz w:val="24"/>
          <w:szCs w:val="24"/>
        </w:rPr>
      </w:pPr>
      <w:r>
        <w:rPr>
          <w:rFonts w:ascii="Times New Roman" w:hAnsi="Times New Roman" w:cs="Times New Roman"/>
          <w:b/>
          <w:sz w:val="24"/>
          <w:szCs w:val="24"/>
        </w:rPr>
        <w:br w:type="page"/>
      </w:r>
    </w:p>
    <w:p w14:paraId="206DA390" w14:textId="77777777" w:rsidR="00D63D5B" w:rsidRPr="00250473" w:rsidRDefault="00BE27D6" w:rsidP="004B6F44">
      <w:pPr>
        <w:spacing w:line="360" w:lineRule="auto"/>
        <w:jc w:val="both"/>
        <w:rPr>
          <w:rFonts w:ascii="Times New Roman" w:hAnsi="Times New Roman" w:cs="Times New Roman"/>
          <w:b/>
          <w:sz w:val="24"/>
          <w:szCs w:val="24"/>
        </w:rPr>
      </w:pPr>
      <w:r w:rsidRPr="00250473">
        <w:rPr>
          <w:rFonts w:ascii="Times New Roman" w:hAnsi="Times New Roman" w:cs="Times New Roman"/>
          <w:b/>
          <w:sz w:val="24"/>
          <w:szCs w:val="24"/>
        </w:rPr>
        <w:lastRenderedPageBreak/>
        <w:t>Reforms to the</w:t>
      </w:r>
      <w:r w:rsidR="00250473" w:rsidRPr="00250473">
        <w:rPr>
          <w:rFonts w:ascii="Times New Roman" w:hAnsi="Times New Roman" w:cs="Times New Roman"/>
          <w:b/>
          <w:sz w:val="24"/>
          <w:szCs w:val="24"/>
        </w:rPr>
        <w:t xml:space="preserve"> Non-Fatal</w:t>
      </w:r>
      <w:r w:rsidRPr="00250473">
        <w:rPr>
          <w:rFonts w:ascii="Times New Roman" w:hAnsi="Times New Roman" w:cs="Times New Roman"/>
          <w:b/>
          <w:sz w:val="24"/>
          <w:szCs w:val="24"/>
        </w:rPr>
        <w:t xml:space="preserve"> Offen</w:t>
      </w:r>
      <w:r w:rsidR="00250473" w:rsidRPr="00250473">
        <w:rPr>
          <w:rFonts w:ascii="Times New Roman" w:hAnsi="Times New Roman" w:cs="Times New Roman"/>
          <w:b/>
          <w:sz w:val="24"/>
          <w:szCs w:val="24"/>
        </w:rPr>
        <w:t xml:space="preserve">ces </w:t>
      </w:r>
      <w:r w:rsidR="00AA5980" w:rsidRPr="00250473">
        <w:rPr>
          <w:rFonts w:ascii="Times New Roman" w:hAnsi="Times New Roman" w:cs="Times New Roman"/>
          <w:b/>
          <w:sz w:val="24"/>
          <w:szCs w:val="24"/>
        </w:rPr>
        <w:t>against</w:t>
      </w:r>
      <w:r w:rsidR="00250473" w:rsidRPr="00250473">
        <w:rPr>
          <w:rFonts w:ascii="Times New Roman" w:hAnsi="Times New Roman" w:cs="Times New Roman"/>
          <w:b/>
          <w:sz w:val="24"/>
          <w:szCs w:val="24"/>
        </w:rPr>
        <w:t xml:space="preserve"> the</w:t>
      </w:r>
      <w:r w:rsidR="00651004">
        <w:rPr>
          <w:rFonts w:ascii="Times New Roman" w:hAnsi="Times New Roman" w:cs="Times New Roman"/>
          <w:b/>
          <w:sz w:val="24"/>
          <w:szCs w:val="24"/>
        </w:rPr>
        <w:t xml:space="preserve"> Person</w:t>
      </w:r>
    </w:p>
    <w:p w14:paraId="29288562" w14:textId="77777777" w:rsidR="00250473" w:rsidRDefault="00250473"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B47C0">
        <w:rPr>
          <w:rFonts w:ascii="Times New Roman" w:hAnsi="Times New Roman" w:cs="Times New Roman"/>
          <w:sz w:val="24"/>
          <w:szCs w:val="24"/>
        </w:rPr>
        <w:t xml:space="preserve">1861 Act lists </w:t>
      </w:r>
      <w:r>
        <w:rPr>
          <w:rFonts w:ascii="Times New Roman" w:hAnsi="Times New Roman" w:cs="Times New Roman"/>
          <w:sz w:val="24"/>
          <w:szCs w:val="24"/>
        </w:rPr>
        <w:t>offences against the person</w:t>
      </w:r>
      <w:r w:rsidR="006B47C0">
        <w:rPr>
          <w:rFonts w:ascii="Times New Roman" w:hAnsi="Times New Roman" w:cs="Times New Roman"/>
          <w:sz w:val="24"/>
          <w:szCs w:val="24"/>
        </w:rPr>
        <w:t xml:space="preserve"> that do not result in death of the person</w:t>
      </w:r>
      <w:r>
        <w:rPr>
          <w:rFonts w:ascii="Times New Roman" w:hAnsi="Times New Roman" w:cs="Times New Roman"/>
          <w:sz w:val="24"/>
          <w:szCs w:val="24"/>
        </w:rPr>
        <w:t>. However</w:t>
      </w:r>
      <w:r w:rsidR="007A607D">
        <w:rPr>
          <w:rFonts w:ascii="Times New Roman" w:hAnsi="Times New Roman" w:cs="Times New Roman"/>
          <w:sz w:val="24"/>
          <w:szCs w:val="24"/>
        </w:rPr>
        <w:t>,</w:t>
      </w:r>
      <w:r>
        <w:rPr>
          <w:rFonts w:ascii="Times New Roman" w:hAnsi="Times New Roman" w:cs="Times New Roman"/>
          <w:sz w:val="24"/>
          <w:szCs w:val="24"/>
        </w:rPr>
        <w:t xml:space="preserve"> the Act is marred with problems some of which are common in the whole Act such as outdated language and some of which are specific to particular offences.</w:t>
      </w:r>
    </w:p>
    <w:p w14:paraId="1291D1AD" w14:textId="77777777" w:rsidR="00BE27D6" w:rsidRDefault="008E0010" w:rsidP="004B6F44">
      <w:pPr>
        <w:pStyle w:val="ListParagraph"/>
        <w:numPr>
          <w:ilvl w:val="0"/>
          <w:numId w:val="1"/>
        </w:numPr>
        <w:spacing w:line="360" w:lineRule="auto"/>
        <w:jc w:val="both"/>
        <w:rPr>
          <w:rFonts w:ascii="Times New Roman" w:hAnsi="Times New Roman" w:cs="Times New Roman"/>
          <w:b/>
          <w:sz w:val="24"/>
          <w:szCs w:val="24"/>
        </w:rPr>
      </w:pPr>
      <w:r w:rsidRPr="008E0010">
        <w:rPr>
          <w:rFonts w:ascii="Times New Roman" w:hAnsi="Times New Roman" w:cs="Times New Roman"/>
          <w:b/>
          <w:sz w:val="24"/>
          <w:szCs w:val="24"/>
        </w:rPr>
        <w:t>Particularity of Offences</w:t>
      </w:r>
    </w:p>
    <w:p w14:paraId="7F25A1DA" w14:textId="77777777" w:rsidR="0099380F" w:rsidRDefault="00BE27D6"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The 1861 Act creates particular offences that fall under the same subject matter as opposed to</w:t>
      </w:r>
      <w:r w:rsidR="001B744F">
        <w:rPr>
          <w:rFonts w:ascii="Times New Roman" w:hAnsi="Times New Roman" w:cs="Times New Roman"/>
          <w:sz w:val="24"/>
          <w:szCs w:val="24"/>
        </w:rPr>
        <w:t xml:space="preserve"> general offences. For example the act provides for causing injuries of particular types (</w:t>
      </w:r>
      <w:r w:rsidR="00AA5980">
        <w:rPr>
          <w:rFonts w:ascii="Times New Roman" w:hAnsi="Times New Roman" w:cs="Times New Roman"/>
          <w:sz w:val="24"/>
          <w:szCs w:val="24"/>
        </w:rPr>
        <w:t>e.g.</w:t>
      </w:r>
      <w:r w:rsidR="001B744F">
        <w:rPr>
          <w:rFonts w:ascii="Times New Roman" w:hAnsi="Times New Roman" w:cs="Times New Roman"/>
          <w:sz w:val="24"/>
          <w:szCs w:val="24"/>
        </w:rPr>
        <w:t xml:space="preserve"> wounds, burns) and by particular means (</w:t>
      </w:r>
      <w:r w:rsidR="00AA5980">
        <w:rPr>
          <w:rFonts w:ascii="Times New Roman" w:hAnsi="Times New Roman" w:cs="Times New Roman"/>
          <w:sz w:val="24"/>
          <w:szCs w:val="24"/>
        </w:rPr>
        <w:t>e.g.</w:t>
      </w:r>
      <w:r w:rsidR="001B744F">
        <w:rPr>
          <w:rFonts w:ascii="Times New Roman" w:hAnsi="Times New Roman" w:cs="Times New Roman"/>
          <w:sz w:val="24"/>
          <w:szCs w:val="24"/>
        </w:rPr>
        <w:t xml:space="preserve"> shooting (s.18), </w:t>
      </w:r>
      <w:r w:rsidR="00AA5980">
        <w:rPr>
          <w:rFonts w:ascii="Times New Roman" w:hAnsi="Times New Roman" w:cs="Times New Roman"/>
          <w:sz w:val="24"/>
          <w:szCs w:val="24"/>
        </w:rPr>
        <w:t>poisoning (</w:t>
      </w:r>
      <w:r w:rsidR="001B744F">
        <w:rPr>
          <w:rFonts w:ascii="Times New Roman" w:hAnsi="Times New Roman" w:cs="Times New Roman"/>
          <w:sz w:val="24"/>
          <w:szCs w:val="24"/>
        </w:rPr>
        <w:t>s.23) and explosions (s.29). Furthermore,</w:t>
      </w:r>
      <w:r w:rsidR="006B47C0">
        <w:rPr>
          <w:rFonts w:ascii="Times New Roman" w:hAnsi="Times New Roman" w:cs="Times New Roman"/>
          <w:sz w:val="24"/>
          <w:szCs w:val="24"/>
        </w:rPr>
        <w:t xml:space="preserve"> sections 28-39 of the Act, lists a variety of offences relating to the same offence of using explosives in an irresponsible manner. </w:t>
      </w:r>
      <w:r w:rsidR="0099380F">
        <w:rPr>
          <w:rFonts w:ascii="Times New Roman" w:hAnsi="Times New Roman" w:cs="Times New Roman"/>
          <w:sz w:val="24"/>
          <w:szCs w:val="24"/>
        </w:rPr>
        <w:t xml:space="preserve">The </w:t>
      </w:r>
      <w:r w:rsidR="00AA5980">
        <w:rPr>
          <w:rFonts w:ascii="Times New Roman" w:hAnsi="Times New Roman" w:cs="Times New Roman"/>
          <w:sz w:val="24"/>
          <w:szCs w:val="24"/>
        </w:rPr>
        <w:t>problem</w:t>
      </w:r>
      <w:r w:rsidR="0099380F">
        <w:rPr>
          <w:rFonts w:ascii="Times New Roman" w:hAnsi="Times New Roman" w:cs="Times New Roman"/>
          <w:sz w:val="24"/>
          <w:szCs w:val="24"/>
        </w:rPr>
        <w:t xml:space="preserve"> with </w:t>
      </w:r>
      <w:r w:rsidR="00AA5980">
        <w:rPr>
          <w:rFonts w:ascii="Times New Roman" w:hAnsi="Times New Roman" w:cs="Times New Roman"/>
          <w:sz w:val="24"/>
          <w:szCs w:val="24"/>
        </w:rPr>
        <w:t>such</w:t>
      </w:r>
      <w:r w:rsidR="0099380F">
        <w:rPr>
          <w:rFonts w:ascii="Times New Roman" w:hAnsi="Times New Roman" w:cs="Times New Roman"/>
          <w:sz w:val="24"/>
          <w:szCs w:val="24"/>
        </w:rPr>
        <w:t xml:space="preserve"> particularity is the creation of </w:t>
      </w:r>
      <w:r w:rsidR="00AA5980">
        <w:rPr>
          <w:rFonts w:ascii="Times New Roman" w:hAnsi="Times New Roman" w:cs="Times New Roman"/>
          <w:sz w:val="24"/>
          <w:szCs w:val="24"/>
        </w:rPr>
        <w:t>unnecessary</w:t>
      </w:r>
      <w:r w:rsidR="0099380F">
        <w:rPr>
          <w:rFonts w:ascii="Times New Roman" w:hAnsi="Times New Roman" w:cs="Times New Roman"/>
          <w:sz w:val="24"/>
          <w:szCs w:val="24"/>
        </w:rPr>
        <w:t xml:space="preserve"> details that prove complex. Furthermore, such particularity does not follow the definition of offences such as murder and manslaughter. The offence of murder does not involve particular offences of “</w:t>
      </w:r>
      <w:r w:rsidR="0099380F" w:rsidRPr="0099380F">
        <w:rPr>
          <w:rFonts w:ascii="Times New Roman" w:hAnsi="Times New Roman" w:cs="Times New Roman"/>
          <w:sz w:val="24"/>
          <w:szCs w:val="24"/>
        </w:rPr>
        <w:t>causing death by stabbing, shooting, poisoning</w:t>
      </w:r>
      <w:r w:rsidR="0099380F">
        <w:rPr>
          <w:rFonts w:ascii="Times New Roman" w:hAnsi="Times New Roman" w:cs="Times New Roman"/>
          <w:sz w:val="24"/>
          <w:szCs w:val="24"/>
        </w:rPr>
        <w:t>” but a singular offence of murder (Law Commission, 2015, p.51)</w:t>
      </w:r>
      <w:r w:rsidR="00694543">
        <w:rPr>
          <w:rFonts w:ascii="Times New Roman" w:hAnsi="Times New Roman" w:cs="Times New Roman"/>
          <w:sz w:val="24"/>
          <w:szCs w:val="24"/>
        </w:rPr>
        <w:t xml:space="preserve">. Non-fatal injuries should </w:t>
      </w:r>
      <w:r w:rsidR="00AA5980">
        <w:rPr>
          <w:rFonts w:ascii="Times New Roman" w:hAnsi="Times New Roman" w:cs="Times New Roman"/>
          <w:sz w:val="24"/>
          <w:szCs w:val="24"/>
        </w:rPr>
        <w:t>also be</w:t>
      </w:r>
      <w:r w:rsidR="00694543">
        <w:rPr>
          <w:rFonts w:ascii="Times New Roman" w:hAnsi="Times New Roman" w:cs="Times New Roman"/>
          <w:sz w:val="24"/>
          <w:szCs w:val="24"/>
        </w:rPr>
        <w:t xml:space="preserve"> defined in similar manner. </w:t>
      </w:r>
    </w:p>
    <w:p w14:paraId="61BF1763" w14:textId="77777777" w:rsidR="00BE38C1" w:rsidRDefault="00250473" w:rsidP="004B6F44">
      <w:pPr>
        <w:spacing w:line="360" w:lineRule="auto"/>
        <w:jc w:val="both"/>
        <w:rPr>
          <w:rFonts w:ascii="Times New Roman" w:hAnsi="Times New Roman" w:cs="Times New Roman"/>
          <w:sz w:val="24"/>
          <w:szCs w:val="24"/>
        </w:rPr>
      </w:pPr>
      <w:r>
        <w:rPr>
          <w:rFonts w:ascii="Times New Roman" w:hAnsi="Times New Roman" w:cs="Times New Roman"/>
          <w:b/>
          <w:sz w:val="24"/>
          <w:szCs w:val="24"/>
        </w:rPr>
        <w:t>Recommendation</w:t>
      </w:r>
      <w:r w:rsidR="00694543">
        <w:rPr>
          <w:rFonts w:ascii="Times New Roman" w:hAnsi="Times New Roman" w:cs="Times New Roman"/>
          <w:sz w:val="24"/>
          <w:szCs w:val="24"/>
        </w:rPr>
        <w:t>:  The 1998 Draft Bill attempted to cure this defect. The Bill</w:t>
      </w:r>
      <w:r w:rsidR="00AB778D">
        <w:rPr>
          <w:rFonts w:ascii="Times New Roman" w:hAnsi="Times New Roman" w:cs="Times New Roman"/>
          <w:sz w:val="24"/>
          <w:szCs w:val="24"/>
        </w:rPr>
        <w:t xml:space="preserve"> created only two categories of injury </w:t>
      </w:r>
      <w:r w:rsidR="00AA5980">
        <w:rPr>
          <w:rFonts w:ascii="Times New Roman" w:hAnsi="Times New Roman" w:cs="Times New Roman"/>
          <w:sz w:val="24"/>
          <w:szCs w:val="24"/>
        </w:rPr>
        <w:t>offences: offences</w:t>
      </w:r>
      <w:r w:rsidR="00110AE7">
        <w:rPr>
          <w:rFonts w:ascii="Times New Roman" w:hAnsi="Times New Roman" w:cs="Times New Roman"/>
          <w:sz w:val="24"/>
          <w:szCs w:val="24"/>
        </w:rPr>
        <w:t xml:space="preserve"> resulting into serious injury and those resulting into general injury</w:t>
      </w:r>
      <w:r w:rsidR="00300835">
        <w:rPr>
          <w:rFonts w:ascii="Times New Roman" w:hAnsi="Times New Roman" w:cs="Times New Roman"/>
          <w:sz w:val="24"/>
          <w:szCs w:val="24"/>
        </w:rPr>
        <w:t>.</w:t>
      </w:r>
      <w:r w:rsidR="003742CC">
        <w:rPr>
          <w:rFonts w:ascii="Times New Roman" w:hAnsi="Times New Roman" w:cs="Times New Roman"/>
          <w:sz w:val="24"/>
          <w:szCs w:val="24"/>
        </w:rPr>
        <w:t xml:space="preserve"> </w:t>
      </w:r>
    </w:p>
    <w:p w14:paraId="7AF12015" w14:textId="77777777" w:rsidR="00AB778D" w:rsidRDefault="003742CC"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The Bill also retains the particular offences but creates a sin</w:t>
      </w:r>
      <w:r w:rsidR="00C44676">
        <w:rPr>
          <w:rFonts w:ascii="Times New Roman" w:hAnsi="Times New Roman" w:cs="Times New Roman"/>
          <w:sz w:val="24"/>
          <w:szCs w:val="24"/>
        </w:rPr>
        <w:t>gular offence for each of them.</w:t>
      </w:r>
      <w:r w:rsidR="00AB778D" w:rsidRPr="00AB778D">
        <w:t xml:space="preserve"> </w:t>
      </w:r>
      <w:r w:rsidR="00AB778D" w:rsidRPr="00AB778D">
        <w:rPr>
          <w:rFonts w:ascii="Times New Roman" w:hAnsi="Times New Roman" w:cs="Times New Roman"/>
          <w:sz w:val="24"/>
          <w:szCs w:val="24"/>
        </w:rPr>
        <w:t>For example instead of four offences on causing actual injury by misuse of explosives, there is a single offence that prohibits use of explosives that may threaten to cause injury or serious injury (Law Commission SCP</w:t>
      </w:r>
      <w:r w:rsidR="00AA5980" w:rsidRPr="00AB778D">
        <w:rPr>
          <w:rFonts w:ascii="Times New Roman" w:hAnsi="Times New Roman" w:cs="Times New Roman"/>
          <w:sz w:val="24"/>
          <w:szCs w:val="24"/>
        </w:rPr>
        <w:t>, 2014</w:t>
      </w:r>
      <w:r w:rsidR="00AB778D" w:rsidRPr="00AB778D">
        <w:rPr>
          <w:rFonts w:ascii="Times New Roman" w:hAnsi="Times New Roman" w:cs="Times New Roman"/>
          <w:sz w:val="24"/>
          <w:szCs w:val="24"/>
        </w:rPr>
        <w:t xml:space="preserve">, para 3.18). </w:t>
      </w:r>
      <w:r w:rsidR="00C44676">
        <w:rPr>
          <w:rFonts w:ascii="Times New Roman" w:hAnsi="Times New Roman" w:cs="Times New Roman"/>
          <w:sz w:val="24"/>
          <w:szCs w:val="24"/>
        </w:rPr>
        <w:t xml:space="preserve"> </w:t>
      </w:r>
    </w:p>
    <w:p w14:paraId="0F68ADC8" w14:textId="77777777" w:rsidR="003B1773" w:rsidRPr="003B1773" w:rsidRDefault="00366E86" w:rsidP="003B1773">
      <w:pPr>
        <w:pStyle w:val="ListParagraph"/>
        <w:numPr>
          <w:ilvl w:val="0"/>
          <w:numId w:val="1"/>
        </w:numPr>
        <w:spacing w:line="360" w:lineRule="auto"/>
        <w:jc w:val="both"/>
        <w:rPr>
          <w:rFonts w:ascii="Times New Roman" w:hAnsi="Times New Roman" w:cs="Times New Roman"/>
          <w:sz w:val="24"/>
          <w:szCs w:val="24"/>
        </w:rPr>
      </w:pPr>
      <w:r w:rsidRPr="00366E86">
        <w:rPr>
          <w:rFonts w:ascii="Times New Roman" w:hAnsi="Times New Roman" w:cs="Times New Roman"/>
          <w:b/>
          <w:sz w:val="24"/>
          <w:szCs w:val="24"/>
        </w:rPr>
        <w:t>Archaic language</w:t>
      </w:r>
    </w:p>
    <w:p w14:paraId="3DDF97B7" w14:textId="77777777" w:rsidR="003B1773" w:rsidRDefault="003B1773" w:rsidP="003B17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30F9E">
        <w:rPr>
          <w:rFonts w:ascii="Times New Roman" w:hAnsi="Times New Roman" w:cs="Times New Roman"/>
          <w:sz w:val="24"/>
          <w:szCs w:val="24"/>
        </w:rPr>
        <w:t>1861 Act contains archaic terms such as penal servitude, detainer and grievous. When reportin</w:t>
      </w:r>
      <w:r w:rsidR="00AA5980">
        <w:rPr>
          <w:rFonts w:ascii="Times New Roman" w:hAnsi="Times New Roman" w:cs="Times New Roman"/>
          <w:sz w:val="24"/>
          <w:szCs w:val="24"/>
        </w:rPr>
        <w:t>g on these terms the Law Commiss</w:t>
      </w:r>
      <w:r w:rsidR="00530F9E">
        <w:rPr>
          <w:rFonts w:ascii="Times New Roman" w:hAnsi="Times New Roman" w:cs="Times New Roman"/>
          <w:sz w:val="24"/>
          <w:szCs w:val="24"/>
        </w:rPr>
        <w:t xml:space="preserve">ion (2015) noted that: </w:t>
      </w:r>
    </w:p>
    <w:p w14:paraId="45CC1AF3" w14:textId="77777777" w:rsidR="00530F9E" w:rsidRDefault="00530F9E" w:rsidP="00530F9E">
      <w:pPr>
        <w:spacing w:line="360" w:lineRule="auto"/>
        <w:ind w:left="360"/>
        <w:jc w:val="both"/>
        <w:rPr>
          <w:rFonts w:ascii="Times New Roman" w:hAnsi="Times New Roman" w:cs="Times New Roman"/>
          <w:sz w:val="24"/>
          <w:szCs w:val="24"/>
        </w:rPr>
      </w:pPr>
      <w:r w:rsidRPr="00530F9E">
        <w:rPr>
          <w:rFonts w:ascii="Times New Roman" w:hAnsi="Times New Roman" w:cs="Times New Roman"/>
          <w:sz w:val="24"/>
          <w:szCs w:val="24"/>
        </w:rPr>
        <w:t xml:space="preserve">Terms such as “detainer” (a term from the long-dead language Law French) and obsolete terminology (such as “penal servitude”, which originally meant a sentence involving hard </w:t>
      </w:r>
      <w:r w:rsidRPr="00530F9E">
        <w:rPr>
          <w:rFonts w:ascii="Times New Roman" w:hAnsi="Times New Roman" w:cs="Times New Roman"/>
          <w:sz w:val="24"/>
          <w:szCs w:val="24"/>
        </w:rPr>
        <w:lastRenderedPageBreak/>
        <w:t>labour but is n</w:t>
      </w:r>
      <w:r>
        <w:rPr>
          <w:rFonts w:ascii="Times New Roman" w:hAnsi="Times New Roman" w:cs="Times New Roman"/>
          <w:sz w:val="24"/>
          <w:szCs w:val="24"/>
        </w:rPr>
        <w:t>ow deemed to mean imprisonment</w:t>
      </w:r>
      <w:r w:rsidRPr="00530F9E">
        <w:rPr>
          <w:rFonts w:ascii="Times New Roman" w:hAnsi="Times New Roman" w:cs="Times New Roman"/>
          <w:sz w:val="24"/>
          <w:szCs w:val="24"/>
        </w:rPr>
        <w:t>) can be confusing even to professionals, and certainly harm the accessibility of the law to lay people</w:t>
      </w:r>
      <w:r>
        <w:rPr>
          <w:rFonts w:ascii="Times New Roman" w:hAnsi="Times New Roman" w:cs="Times New Roman"/>
          <w:sz w:val="24"/>
          <w:szCs w:val="24"/>
        </w:rPr>
        <w:t>.</w:t>
      </w:r>
    </w:p>
    <w:p w14:paraId="4232C374" w14:textId="77777777" w:rsidR="00366E86" w:rsidRPr="00530F9E" w:rsidRDefault="00530F9E" w:rsidP="00530F9E">
      <w:pPr>
        <w:spacing w:line="360" w:lineRule="auto"/>
        <w:jc w:val="both"/>
        <w:rPr>
          <w:rFonts w:ascii="Times New Roman" w:hAnsi="Times New Roman" w:cs="Times New Roman"/>
          <w:sz w:val="24"/>
          <w:szCs w:val="24"/>
        </w:rPr>
      </w:pPr>
      <w:r w:rsidRPr="00250473">
        <w:rPr>
          <w:rFonts w:ascii="Times New Roman" w:hAnsi="Times New Roman" w:cs="Times New Roman"/>
          <w:b/>
          <w:sz w:val="24"/>
          <w:szCs w:val="24"/>
        </w:rPr>
        <w:t>Recommendation</w:t>
      </w:r>
      <w:r>
        <w:rPr>
          <w:rFonts w:ascii="Times New Roman" w:hAnsi="Times New Roman" w:cs="Times New Roman"/>
          <w:sz w:val="24"/>
          <w:szCs w:val="24"/>
        </w:rPr>
        <w:t>: That outdated and archaic terms be repealed and be replaced by word that are in more common use.</w:t>
      </w:r>
    </w:p>
    <w:p w14:paraId="3081178D" w14:textId="77777777" w:rsidR="00AB778D" w:rsidRPr="00AB778D" w:rsidRDefault="008E0010" w:rsidP="004B6F44">
      <w:pPr>
        <w:pStyle w:val="ListParagraph"/>
        <w:numPr>
          <w:ilvl w:val="0"/>
          <w:numId w:val="1"/>
        </w:numPr>
        <w:spacing w:line="360" w:lineRule="auto"/>
        <w:jc w:val="both"/>
        <w:rPr>
          <w:rFonts w:ascii="Times New Roman" w:hAnsi="Times New Roman" w:cs="Times New Roman"/>
          <w:sz w:val="24"/>
          <w:szCs w:val="24"/>
        </w:rPr>
      </w:pPr>
      <w:r w:rsidRPr="00AB778D">
        <w:rPr>
          <w:rFonts w:ascii="Times New Roman" w:hAnsi="Times New Roman" w:cs="Times New Roman"/>
          <w:b/>
          <w:sz w:val="24"/>
          <w:szCs w:val="24"/>
        </w:rPr>
        <w:t xml:space="preserve">Lack of clear hierarchy among the offences. </w:t>
      </w:r>
    </w:p>
    <w:p w14:paraId="637150F7" w14:textId="77777777" w:rsidR="00AB778D" w:rsidRDefault="00AB778D"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The 1861 Act provides a hiera</w:t>
      </w:r>
      <w:r w:rsidR="002A553A">
        <w:rPr>
          <w:rFonts w:ascii="Times New Roman" w:hAnsi="Times New Roman" w:cs="Times New Roman"/>
          <w:sz w:val="24"/>
          <w:szCs w:val="24"/>
        </w:rPr>
        <w:t xml:space="preserve">rchy that is marred with flaws. </w:t>
      </w:r>
      <w:r>
        <w:rPr>
          <w:rFonts w:ascii="Times New Roman" w:hAnsi="Times New Roman" w:cs="Times New Roman"/>
          <w:sz w:val="24"/>
          <w:szCs w:val="24"/>
        </w:rPr>
        <w:t xml:space="preserve">Section </w:t>
      </w:r>
      <w:r w:rsidR="00AA5980">
        <w:rPr>
          <w:rFonts w:ascii="Times New Roman" w:hAnsi="Times New Roman" w:cs="Times New Roman"/>
          <w:sz w:val="24"/>
          <w:szCs w:val="24"/>
        </w:rPr>
        <w:t>18 and</w:t>
      </w:r>
      <w:r>
        <w:rPr>
          <w:rFonts w:ascii="Times New Roman" w:hAnsi="Times New Roman" w:cs="Times New Roman"/>
          <w:sz w:val="24"/>
          <w:szCs w:val="24"/>
        </w:rPr>
        <w:t xml:space="preserve"> section 20 offences are the more serious offences since they result in Grievous Bodily Harm (GBH). The section 47 offence </w:t>
      </w:r>
      <w:r w:rsidR="00935747">
        <w:rPr>
          <w:rFonts w:ascii="Times New Roman" w:hAnsi="Times New Roman" w:cs="Times New Roman"/>
          <w:sz w:val="24"/>
          <w:szCs w:val="24"/>
        </w:rPr>
        <w:t xml:space="preserve">is less serious than the two since it results in Actual Bodily </w:t>
      </w:r>
      <w:r w:rsidR="00AA5980">
        <w:rPr>
          <w:rFonts w:ascii="Times New Roman" w:hAnsi="Times New Roman" w:cs="Times New Roman"/>
          <w:sz w:val="24"/>
          <w:szCs w:val="24"/>
        </w:rPr>
        <w:t>Harm (</w:t>
      </w:r>
      <w:r w:rsidR="00935747">
        <w:rPr>
          <w:rFonts w:ascii="Times New Roman" w:hAnsi="Times New Roman" w:cs="Times New Roman"/>
          <w:sz w:val="24"/>
          <w:szCs w:val="24"/>
        </w:rPr>
        <w:t xml:space="preserve">ABH). However, the maximum sentences for section 20 and section 47 are the same (5 years imprisonment). </w:t>
      </w:r>
    </w:p>
    <w:p w14:paraId="0D3BFE48" w14:textId="77777777" w:rsidR="002A553A" w:rsidRPr="002A553A" w:rsidRDefault="00935747"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sections 18 and 20 lay undue emphasis on wounding</w:t>
      </w:r>
      <w:r w:rsidR="002A553A">
        <w:rPr>
          <w:rFonts w:ascii="Times New Roman" w:hAnsi="Times New Roman" w:cs="Times New Roman"/>
          <w:sz w:val="24"/>
          <w:szCs w:val="24"/>
        </w:rPr>
        <w:t xml:space="preserve"> and do not represent the seriousness of the </w:t>
      </w:r>
      <w:r w:rsidR="008723FD">
        <w:rPr>
          <w:rFonts w:ascii="Times New Roman" w:hAnsi="Times New Roman" w:cs="Times New Roman"/>
          <w:sz w:val="24"/>
          <w:szCs w:val="24"/>
        </w:rPr>
        <w:t xml:space="preserve">injury. </w:t>
      </w:r>
      <w:r w:rsidR="002A553A">
        <w:rPr>
          <w:rFonts w:ascii="Times New Roman" w:hAnsi="Times New Roman" w:cs="Times New Roman"/>
          <w:sz w:val="24"/>
          <w:szCs w:val="24"/>
        </w:rPr>
        <w:t xml:space="preserve">The practical problem presented is that </w:t>
      </w:r>
      <w:r w:rsidR="00AA5980">
        <w:rPr>
          <w:rFonts w:ascii="Times New Roman" w:hAnsi="Times New Roman" w:cs="Times New Roman"/>
          <w:sz w:val="24"/>
          <w:szCs w:val="24"/>
        </w:rPr>
        <w:t>“a</w:t>
      </w:r>
      <w:r w:rsidR="002A553A" w:rsidRPr="002A553A">
        <w:rPr>
          <w:rFonts w:ascii="Times New Roman" w:hAnsi="Times New Roman" w:cs="Times New Roman"/>
          <w:sz w:val="24"/>
          <w:szCs w:val="24"/>
        </w:rPr>
        <w:t xml:space="preserve"> wound can be quite minor and nevertheless constitute the offence unde</w:t>
      </w:r>
      <w:r w:rsidR="002A553A">
        <w:rPr>
          <w:rFonts w:ascii="Times New Roman" w:hAnsi="Times New Roman" w:cs="Times New Roman"/>
          <w:sz w:val="24"/>
          <w:szCs w:val="24"/>
        </w:rPr>
        <w:t xml:space="preserve">r section 20 or even section 18” (Law </w:t>
      </w:r>
      <w:r w:rsidR="00AA5980">
        <w:rPr>
          <w:rFonts w:ascii="Times New Roman" w:hAnsi="Times New Roman" w:cs="Times New Roman"/>
          <w:sz w:val="24"/>
          <w:szCs w:val="24"/>
        </w:rPr>
        <w:t>Commission</w:t>
      </w:r>
      <w:r w:rsidR="002A553A">
        <w:rPr>
          <w:rFonts w:ascii="Times New Roman" w:hAnsi="Times New Roman" w:cs="Times New Roman"/>
          <w:sz w:val="24"/>
          <w:szCs w:val="24"/>
        </w:rPr>
        <w:t>, 2015, para 3.4).</w:t>
      </w:r>
    </w:p>
    <w:p w14:paraId="5196CEDF" w14:textId="39881C12" w:rsidR="00AB778D" w:rsidRDefault="00250473" w:rsidP="004B6F44">
      <w:pPr>
        <w:spacing w:line="360" w:lineRule="auto"/>
        <w:jc w:val="both"/>
        <w:rPr>
          <w:rFonts w:ascii="Times New Roman" w:hAnsi="Times New Roman" w:cs="Times New Roman"/>
          <w:sz w:val="24"/>
          <w:szCs w:val="24"/>
        </w:rPr>
      </w:pPr>
      <w:r w:rsidRPr="00250473">
        <w:rPr>
          <w:rFonts w:ascii="Times New Roman" w:hAnsi="Times New Roman" w:cs="Times New Roman"/>
          <w:b/>
          <w:sz w:val="24"/>
          <w:szCs w:val="24"/>
        </w:rPr>
        <w:t>Recommendation</w:t>
      </w:r>
      <w:r w:rsidR="008723FD" w:rsidRPr="00250473">
        <w:rPr>
          <w:rFonts w:ascii="Times New Roman" w:hAnsi="Times New Roman" w:cs="Times New Roman"/>
          <w:b/>
          <w:sz w:val="24"/>
          <w:szCs w:val="24"/>
        </w:rPr>
        <w:t>:</w:t>
      </w:r>
      <w:r w:rsidR="008723FD">
        <w:rPr>
          <w:rFonts w:ascii="Times New Roman" w:hAnsi="Times New Roman" w:cs="Times New Roman"/>
          <w:sz w:val="24"/>
          <w:szCs w:val="24"/>
        </w:rPr>
        <w:t xml:space="preserve"> There should be a new offence that does not grant any special status to wounding. The distinction should between the </w:t>
      </w:r>
      <w:r w:rsidR="00AA5980">
        <w:rPr>
          <w:rFonts w:ascii="Times New Roman" w:hAnsi="Times New Roman" w:cs="Times New Roman"/>
          <w:sz w:val="24"/>
          <w:szCs w:val="24"/>
        </w:rPr>
        <w:t>levels</w:t>
      </w:r>
      <w:r w:rsidR="008723FD">
        <w:rPr>
          <w:rFonts w:ascii="Times New Roman" w:hAnsi="Times New Roman" w:cs="Times New Roman"/>
          <w:sz w:val="24"/>
          <w:szCs w:val="24"/>
        </w:rPr>
        <w:t xml:space="preserve"> of seriousness of the injury caused. Thus, there should </w:t>
      </w:r>
      <w:r w:rsidR="00AA5980">
        <w:rPr>
          <w:rFonts w:ascii="Times New Roman" w:hAnsi="Times New Roman" w:cs="Times New Roman"/>
          <w:sz w:val="24"/>
          <w:szCs w:val="24"/>
        </w:rPr>
        <w:t>be serious</w:t>
      </w:r>
      <w:r w:rsidR="008723FD">
        <w:rPr>
          <w:rFonts w:ascii="Times New Roman" w:hAnsi="Times New Roman" w:cs="Times New Roman"/>
          <w:sz w:val="24"/>
          <w:szCs w:val="24"/>
        </w:rPr>
        <w:t xml:space="preserve"> injury offences </w:t>
      </w:r>
      <w:r w:rsidR="00F00BFC">
        <w:rPr>
          <w:rFonts w:ascii="Times New Roman" w:hAnsi="Times New Roman" w:cs="Times New Roman"/>
          <w:sz w:val="24"/>
          <w:szCs w:val="24"/>
        </w:rPr>
        <w:t xml:space="preserve">instead of offences causing GBH </w:t>
      </w:r>
      <w:r w:rsidR="008723FD">
        <w:rPr>
          <w:rFonts w:ascii="Times New Roman" w:hAnsi="Times New Roman" w:cs="Times New Roman"/>
          <w:sz w:val="24"/>
          <w:szCs w:val="24"/>
        </w:rPr>
        <w:t>and injury in general</w:t>
      </w:r>
      <w:r w:rsidR="00F00BFC">
        <w:rPr>
          <w:rFonts w:ascii="Times New Roman" w:hAnsi="Times New Roman" w:cs="Times New Roman"/>
          <w:sz w:val="24"/>
          <w:szCs w:val="24"/>
        </w:rPr>
        <w:t xml:space="preserve"> instead of offences causing ABH</w:t>
      </w:r>
      <w:r w:rsidR="008723FD">
        <w:rPr>
          <w:rFonts w:ascii="Times New Roman" w:hAnsi="Times New Roman" w:cs="Times New Roman"/>
          <w:sz w:val="24"/>
          <w:szCs w:val="24"/>
        </w:rPr>
        <w:t>.</w:t>
      </w:r>
      <w:r w:rsidR="00702900">
        <w:rPr>
          <w:rFonts w:ascii="Times New Roman" w:hAnsi="Times New Roman" w:cs="Times New Roman"/>
          <w:sz w:val="24"/>
          <w:szCs w:val="24"/>
        </w:rPr>
        <w:t xml:space="preserve"> Injury should include physical injury and mental injury. In R v Ireland and Burstow, the court held that </w:t>
      </w:r>
      <w:r w:rsidR="00AA5980">
        <w:rPr>
          <w:rFonts w:ascii="Times New Roman" w:hAnsi="Times New Roman" w:cs="Times New Roman"/>
          <w:sz w:val="24"/>
          <w:szCs w:val="24"/>
        </w:rPr>
        <w:t>psychiatric</w:t>
      </w:r>
      <w:r w:rsidR="00702900">
        <w:rPr>
          <w:rFonts w:ascii="Times New Roman" w:hAnsi="Times New Roman" w:cs="Times New Roman"/>
          <w:sz w:val="24"/>
          <w:szCs w:val="24"/>
        </w:rPr>
        <w:t xml:space="preserve"> (mental) </w:t>
      </w:r>
      <w:r w:rsidR="00AA5980">
        <w:rPr>
          <w:rFonts w:ascii="Times New Roman" w:hAnsi="Times New Roman" w:cs="Times New Roman"/>
          <w:sz w:val="24"/>
          <w:szCs w:val="24"/>
        </w:rPr>
        <w:t>injury should</w:t>
      </w:r>
      <w:r w:rsidR="00702900">
        <w:rPr>
          <w:rFonts w:ascii="Times New Roman" w:hAnsi="Times New Roman" w:cs="Times New Roman"/>
          <w:sz w:val="24"/>
          <w:szCs w:val="24"/>
        </w:rPr>
        <w:t xml:space="preserve"> be considered as actual bodily harm.</w:t>
      </w:r>
      <w:r w:rsidR="008723FD">
        <w:rPr>
          <w:rFonts w:ascii="Times New Roman" w:hAnsi="Times New Roman" w:cs="Times New Roman"/>
          <w:sz w:val="24"/>
          <w:szCs w:val="24"/>
        </w:rPr>
        <w:t xml:space="preserve"> Serious injury should be “really serious” or of “exceptional gravity” (Law </w:t>
      </w:r>
      <w:r w:rsidR="00AA5980">
        <w:rPr>
          <w:rFonts w:ascii="Times New Roman" w:hAnsi="Times New Roman" w:cs="Times New Roman"/>
          <w:sz w:val="24"/>
          <w:szCs w:val="24"/>
        </w:rPr>
        <w:t>Commission</w:t>
      </w:r>
      <w:r w:rsidR="008723FD">
        <w:rPr>
          <w:rFonts w:ascii="Times New Roman" w:hAnsi="Times New Roman" w:cs="Times New Roman"/>
          <w:sz w:val="24"/>
          <w:szCs w:val="24"/>
        </w:rPr>
        <w:t xml:space="preserve">, 2015, para 4.4.). </w:t>
      </w:r>
      <w:r w:rsidR="00F00BFC">
        <w:rPr>
          <w:rFonts w:ascii="Times New Roman" w:hAnsi="Times New Roman" w:cs="Times New Roman"/>
          <w:sz w:val="24"/>
          <w:szCs w:val="24"/>
        </w:rPr>
        <w:t>In DPP v Smith</w:t>
      </w:r>
      <w:r w:rsidR="002E1A9C">
        <w:rPr>
          <w:rFonts w:ascii="Times New Roman" w:hAnsi="Times New Roman" w:cs="Times New Roman"/>
          <w:sz w:val="24"/>
          <w:szCs w:val="24"/>
        </w:rPr>
        <w:t xml:space="preserve"> (1961) GBH was interpreted to mean “really serious harm”.</w:t>
      </w:r>
      <w:r w:rsidR="004F6772">
        <w:rPr>
          <w:rFonts w:ascii="Times New Roman" w:hAnsi="Times New Roman" w:cs="Times New Roman"/>
          <w:sz w:val="24"/>
          <w:szCs w:val="24"/>
        </w:rPr>
        <w:t xml:space="preserve"> The definition was later confirmed in R</w:t>
      </w:r>
      <w:r w:rsidR="00AA5980">
        <w:rPr>
          <w:rFonts w:ascii="Times New Roman" w:hAnsi="Times New Roman" w:cs="Times New Roman"/>
          <w:sz w:val="24"/>
          <w:szCs w:val="24"/>
        </w:rPr>
        <w:t xml:space="preserve"> </w:t>
      </w:r>
      <w:r w:rsidR="004F6772">
        <w:rPr>
          <w:rFonts w:ascii="Times New Roman" w:hAnsi="Times New Roman" w:cs="Times New Roman"/>
          <w:sz w:val="24"/>
          <w:szCs w:val="24"/>
        </w:rPr>
        <w:t>v Saunders (1985).</w:t>
      </w:r>
      <w:r w:rsidR="008B49C0">
        <w:rPr>
          <w:rFonts w:ascii="Times New Roman" w:hAnsi="Times New Roman" w:cs="Times New Roman"/>
          <w:sz w:val="24"/>
          <w:szCs w:val="24"/>
        </w:rPr>
        <w:t xml:space="preserve"> ABH was interpret</w:t>
      </w:r>
      <w:r w:rsidR="00CF1951">
        <w:rPr>
          <w:rFonts w:ascii="Times New Roman" w:hAnsi="Times New Roman" w:cs="Times New Roman"/>
          <w:sz w:val="24"/>
          <w:szCs w:val="24"/>
        </w:rPr>
        <w:t xml:space="preserve">ed </w:t>
      </w:r>
      <w:r w:rsidR="00AA5980">
        <w:rPr>
          <w:rFonts w:ascii="Times New Roman" w:hAnsi="Times New Roman" w:cs="Times New Roman"/>
          <w:sz w:val="24"/>
          <w:szCs w:val="24"/>
        </w:rPr>
        <w:t>in R</w:t>
      </w:r>
      <w:r w:rsidR="008738CB">
        <w:rPr>
          <w:rFonts w:ascii="Times New Roman" w:hAnsi="Times New Roman" w:cs="Times New Roman"/>
          <w:sz w:val="24"/>
          <w:szCs w:val="24"/>
        </w:rPr>
        <w:t xml:space="preserve"> v Miller (1954) to mean: “any hurt or injury calculated to interfere with the he</w:t>
      </w:r>
      <w:r w:rsidR="00CF1951">
        <w:rPr>
          <w:rFonts w:ascii="Times New Roman" w:hAnsi="Times New Roman" w:cs="Times New Roman"/>
          <w:sz w:val="24"/>
          <w:szCs w:val="24"/>
        </w:rPr>
        <w:t>alth or comfort of the victim” (Lynsky).</w:t>
      </w:r>
      <w:r w:rsidR="002E1A9C">
        <w:rPr>
          <w:rFonts w:ascii="Times New Roman" w:hAnsi="Times New Roman" w:cs="Times New Roman"/>
          <w:sz w:val="24"/>
          <w:szCs w:val="24"/>
        </w:rPr>
        <w:t xml:space="preserve"> </w:t>
      </w:r>
      <w:r w:rsidR="008723FD">
        <w:rPr>
          <w:rFonts w:ascii="Times New Roman" w:hAnsi="Times New Roman" w:cs="Times New Roman"/>
          <w:sz w:val="24"/>
          <w:szCs w:val="24"/>
        </w:rPr>
        <w:t>There should also be offences that cause minor injury.</w:t>
      </w:r>
    </w:p>
    <w:p w14:paraId="218B1C20" w14:textId="77777777" w:rsidR="00DC27B1" w:rsidRPr="00DC27B1" w:rsidRDefault="00DC27B1" w:rsidP="004B6F44">
      <w:pPr>
        <w:pStyle w:val="ListParagraph"/>
        <w:numPr>
          <w:ilvl w:val="0"/>
          <w:numId w:val="1"/>
        </w:numPr>
        <w:spacing w:line="360" w:lineRule="auto"/>
        <w:jc w:val="both"/>
        <w:rPr>
          <w:rFonts w:ascii="Times New Roman" w:hAnsi="Times New Roman" w:cs="Times New Roman"/>
          <w:b/>
          <w:sz w:val="24"/>
          <w:szCs w:val="24"/>
        </w:rPr>
      </w:pPr>
      <w:r w:rsidRPr="00DC27B1">
        <w:rPr>
          <w:rFonts w:ascii="Times New Roman" w:hAnsi="Times New Roman" w:cs="Times New Roman"/>
          <w:b/>
          <w:sz w:val="24"/>
          <w:szCs w:val="24"/>
        </w:rPr>
        <w:t>Mismatch between th</w:t>
      </w:r>
      <w:r w:rsidR="00CF1951">
        <w:rPr>
          <w:rFonts w:ascii="Times New Roman" w:hAnsi="Times New Roman" w:cs="Times New Roman"/>
          <w:b/>
          <w:sz w:val="24"/>
          <w:szCs w:val="24"/>
        </w:rPr>
        <w:t xml:space="preserve">e state of </w:t>
      </w:r>
      <w:r w:rsidR="004E3DC3">
        <w:rPr>
          <w:rFonts w:ascii="Times New Roman" w:hAnsi="Times New Roman" w:cs="Times New Roman"/>
          <w:b/>
          <w:sz w:val="24"/>
          <w:szCs w:val="24"/>
        </w:rPr>
        <w:t xml:space="preserve">mind </w:t>
      </w:r>
      <w:r w:rsidR="004E3DC3" w:rsidRPr="00DC27B1">
        <w:rPr>
          <w:rFonts w:ascii="Times New Roman" w:hAnsi="Times New Roman" w:cs="Times New Roman"/>
          <w:b/>
          <w:sz w:val="24"/>
          <w:szCs w:val="24"/>
        </w:rPr>
        <w:t>and</w:t>
      </w:r>
      <w:r w:rsidRPr="00DC27B1">
        <w:rPr>
          <w:rFonts w:ascii="Times New Roman" w:hAnsi="Times New Roman" w:cs="Times New Roman"/>
          <w:b/>
          <w:sz w:val="24"/>
          <w:szCs w:val="24"/>
        </w:rPr>
        <w:t xml:space="preserve"> the actual conduct of the defendant.</w:t>
      </w:r>
    </w:p>
    <w:p w14:paraId="70C2CCAA" w14:textId="77777777" w:rsidR="00DC27B1" w:rsidRDefault="00DC27B1"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 20 and section 47 offences are constructive liability </w:t>
      </w:r>
      <w:r w:rsidR="00AA5980">
        <w:rPr>
          <w:rFonts w:ascii="Times New Roman" w:hAnsi="Times New Roman" w:cs="Times New Roman"/>
          <w:sz w:val="24"/>
          <w:szCs w:val="24"/>
        </w:rPr>
        <w:t>offences (</w:t>
      </w:r>
      <w:r>
        <w:rPr>
          <w:rFonts w:ascii="Times New Roman" w:hAnsi="Times New Roman" w:cs="Times New Roman"/>
          <w:sz w:val="24"/>
          <w:szCs w:val="24"/>
        </w:rPr>
        <w:t xml:space="preserve">Law </w:t>
      </w:r>
      <w:r w:rsidR="00AA5980">
        <w:rPr>
          <w:rFonts w:ascii="Times New Roman" w:hAnsi="Times New Roman" w:cs="Times New Roman"/>
          <w:sz w:val="24"/>
          <w:szCs w:val="24"/>
        </w:rPr>
        <w:t>Commission, 2015</w:t>
      </w:r>
      <w:r>
        <w:rPr>
          <w:rFonts w:ascii="Times New Roman" w:hAnsi="Times New Roman" w:cs="Times New Roman"/>
          <w:sz w:val="24"/>
          <w:szCs w:val="24"/>
        </w:rPr>
        <w:t xml:space="preserve">, para 4.49). Constructive liability implies that “a person may also be held criminally liable for any consequences resulting from his unlawful conduct”…even if the person did not </w:t>
      </w:r>
      <w:r w:rsidR="00AA5980">
        <w:rPr>
          <w:rFonts w:ascii="Times New Roman" w:hAnsi="Times New Roman" w:cs="Times New Roman"/>
          <w:sz w:val="24"/>
          <w:szCs w:val="24"/>
        </w:rPr>
        <w:t>foresee</w:t>
      </w:r>
      <w:r>
        <w:rPr>
          <w:rFonts w:ascii="Times New Roman" w:hAnsi="Times New Roman" w:cs="Times New Roman"/>
          <w:sz w:val="24"/>
          <w:szCs w:val="24"/>
        </w:rPr>
        <w:t xml:space="preserve"> or intend such consequences</w:t>
      </w:r>
      <w:r w:rsidR="009A2240">
        <w:rPr>
          <w:rFonts w:ascii="Times New Roman" w:hAnsi="Times New Roman" w:cs="Times New Roman"/>
          <w:sz w:val="24"/>
          <w:szCs w:val="24"/>
        </w:rPr>
        <w:t xml:space="preserve"> (</w:t>
      </w:r>
      <w:r w:rsidR="00AA5980">
        <w:rPr>
          <w:rFonts w:ascii="Times New Roman" w:hAnsi="Times New Roman" w:cs="Times New Roman"/>
          <w:sz w:val="24"/>
          <w:szCs w:val="24"/>
        </w:rPr>
        <w:t>Bahrain, 2020</w:t>
      </w:r>
      <w:r w:rsidR="009A2240">
        <w:rPr>
          <w:rFonts w:ascii="Times New Roman" w:hAnsi="Times New Roman" w:cs="Times New Roman"/>
          <w:sz w:val="24"/>
          <w:szCs w:val="24"/>
        </w:rPr>
        <w:t>)</w:t>
      </w:r>
      <w:r>
        <w:rPr>
          <w:rFonts w:ascii="Times New Roman" w:hAnsi="Times New Roman" w:cs="Times New Roman"/>
          <w:sz w:val="24"/>
          <w:szCs w:val="24"/>
        </w:rPr>
        <w:t xml:space="preserve">. The doctrine imposes liability where a person </w:t>
      </w:r>
      <w:r w:rsidR="00AA5980">
        <w:rPr>
          <w:rFonts w:ascii="Times New Roman" w:hAnsi="Times New Roman" w:cs="Times New Roman"/>
          <w:sz w:val="24"/>
          <w:szCs w:val="24"/>
        </w:rPr>
        <w:t>foresees</w:t>
      </w:r>
      <w:r>
        <w:rPr>
          <w:rFonts w:ascii="Times New Roman" w:hAnsi="Times New Roman" w:cs="Times New Roman"/>
          <w:sz w:val="24"/>
          <w:szCs w:val="24"/>
        </w:rPr>
        <w:t xml:space="preserve"> some </w:t>
      </w:r>
      <w:r w:rsidR="00AA5980">
        <w:rPr>
          <w:rFonts w:ascii="Times New Roman" w:hAnsi="Times New Roman" w:cs="Times New Roman"/>
          <w:sz w:val="24"/>
          <w:szCs w:val="24"/>
        </w:rPr>
        <w:lastRenderedPageBreak/>
        <w:t>level</w:t>
      </w:r>
      <w:r>
        <w:rPr>
          <w:rFonts w:ascii="Times New Roman" w:hAnsi="Times New Roman" w:cs="Times New Roman"/>
          <w:sz w:val="24"/>
          <w:szCs w:val="24"/>
        </w:rPr>
        <w:t xml:space="preserve"> of harm but</w:t>
      </w:r>
      <w:r w:rsidR="0088219E">
        <w:rPr>
          <w:rFonts w:ascii="Times New Roman" w:hAnsi="Times New Roman" w:cs="Times New Roman"/>
          <w:sz w:val="24"/>
          <w:szCs w:val="24"/>
        </w:rPr>
        <w:t xml:space="preserve"> causes</w:t>
      </w:r>
      <w:r>
        <w:rPr>
          <w:rFonts w:ascii="Times New Roman" w:hAnsi="Times New Roman" w:cs="Times New Roman"/>
          <w:sz w:val="24"/>
          <w:szCs w:val="24"/>
        </w:rPr>
        <w:t xml:space="preserve"> greater </w:t>
      </w:r>
      <w:r w:rsidR="0088219E">
        <w:rPr>
          <w:rFonts w:ascii="Times New Roman" w:hAnsi="Times New Roman" w:cs="Times New Roman"/>
          <w:sz w:val="24"/>
          <w:szCs w:val="24"/>
        </w:rPr>
        <w:t xml:space="preserve">harm than the one </w:t>
      </w:r>
      <w:r w:rsidR="00AA5980">
        <w:rPr>
          <w:rFonts w:ascii="Times New Roman" w:hAnsi="Times New Roman" w:cs="Times New Roman"/>
          <w:sz w:val="24"/>
          <w:szCs w:val="24"/>
        </w:rPr>
        <w:t>foreseen (</w:t>
      </w:r>
      <w:r>
        <w:rPr>
          <w:rFonts w:ascii="Times New Roman" w:hAnsi="Times New Roman" w:cs="Times New Roman"/>
          <w:sz w:val="24"/>
          <w:szCs w:val="24"/>
        </w:rPr>
        <w:t>Law Commission</w:t>
      </w:r>
      <w:r w:rsidR="00AA5980">
        <w:rPr>
          <w:rFonts w:ascii="Times New Roman" w:hAnsi="Times New Roman" w:cs="Times New Roman"/>
          <w:sz w:val="24"/>
          <w:szCs w:val="24"/>
        </w:rPr>
        <w:t>, 2015</w:t>
      </w:r>
      <w:r>
        <w:rPr>
          <w:rFonts w:ascii="Times New Roman" w:hAnsi="Times New Roman" w:cs="Times New Roman"/>
          <w:sz w:val="24"/>
          <w:szCs w:val="24"/>
        </w:rPr>
        <w:t>).</w:t>
      </w:r>
      <w:r w:rsidR="0088219E">
        <w:rPr>
          <w:rFonts w:ascii="Times New Roman" w:hAnsi="Times New Roman" w:cs="Times New Roman"/>
          <w:sz w:val="24"/>
          <w:szCs w:val="24"/>
        </w:rPr>
        <w:t xml:space="preserve"> </w:t>
      </w:r>
      <w:r>
        <w:rPr>
          <w:rFonts w:ascii="Times New Roman" w:hAnsi="Times New Roman" w:cs="Times New Roman"/>
          <w:sz w:val="24"/>
          <w:szCs w:val="24"/>
        </w:rPr>
        <w:t xml:space="preserve"> Under section 20 the defendant may either wound a person or cause GBH (serious</w:t>
      </w:r>
      <w:r w:rsidR="005B1A6F">
        <w:rPr>
          <w:rFonts w:ascii="Times New Roman" w:hAnsi="Times New Roman" w:cs="Times New Roman"/>
          <w:sz w:val="24"/>
          <w:szCs w:val="24"/>
        </w:rPr>
        <w:t xml:space="preserve"> injury). However, they</w:t>
      </w:r>
      <w:r>
        <w:rPr>
          <w:rFonts w:ascii="Times New Roman" w:hAnsi="Times New Roman" w:cs="Times New Roman"/>
          <w:sz w:val="24"/>
          <w:szCs w:val="24"/>
        </w:rPr>
        <w:t xml:space="preserve"> “</w:t>
      </w:r>
      <w:r w:rsidRPr="00DC27B1">
        <w:rPr>
          <w:rFonts w:ascii="Times New Roman" w:hAnsi="Times New Roman" w:cs="Times New Roman"/>
          <w:sz w:val="24"/>
          <w:szCs w:val="24"/>
        </w:rPr>
        <w:t>need not intend or foresee a risk of serious injury: it is enough to foresee a risk of any injury</w:t>
      </w:r>
      <w:r>
        <w:rPr>
          <w:rFonts w:ascii="Times New Roman" w:hAnsi="Times New Roman" w:cs="Times New Roman"/>
          <w:sz w:val="24"/>
          <w:szCs w:val="24"/>
        </w:rPr>
        <w:t xml:space="preserve">.” The defendant will thus be liable </w:t>
      </w:r>
      <w:r w:rsidR="00C72A7F">
        <w:rPr>
          <w:rFonts w:ascii="Times New Roman" w:hAnsi="Times New Roman" w:cs="Times New Roman"/>
          <w:sz w:val="24"/>
          <w:szCs w:val="24"/>
        </w:rPr>
        <w:t xml:space="preserve">for causing a serious injury while they only </w:t>
      </w:r>
      <w:r w:rsidR="00AA5980">
        <w:rPr>
          <w:rFonts w:ascii="Times New Roman" w:hAnsi="Times New Roman" w:cs="Times New Roman"/>
          <w:sz w:val="24"/>
          <w:szCs w:val="24"/>
        </w:rPr>
        <w:t>foresaw</w:t>
      </w:r>
      <w:r w:rsidR="00C72A7F">
        <w:rPr>
          <w:rFonts w:ascii="Times New Roman" w:hAnsi="Times New Roman" w:cs="Times New Roman"/>
          <w:sz w:val="24"/>
          <w:szCs w:val="24"/>
        </w:rPr>
        <w:t xml:space="preserve"> only some level of harm. </w:t>
      </w:r>
    </w:p>
    <w:p w14:paraId="7C329C2D" w14:textId="77777777" w:rsidR="00776CEA" w:rsidRDefault="00C72A7F" w:rsidP="004B6F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section 47 imputes liability for ABH where a defendant does not </w:t>
      </w:r>
      <w:r w:rsidR="00AA5980">
        <w:rPr>
          <w:rFonts w:ascii="Times New Roman" w:hAnsi="Times New Roman" w:cs="Times New Roman"/>
          <w:sz w:val="24"/>
          <w:szCs w:val="24"/>
        </w:rPr>
        <w:t>foresee</w:t>
      </w:r>
      <w:r>
        <w:rPr>
          <w:rFonts w:ascii="Times New Roman" w:hAnsi="Times New Roman" w:cs="Times New Roman"/>
          <w:sz w:val="24"/>
          <w:szCs w:val="24"/>
        </w:rPr>
        <w:t xml:space="preserve"> any risk of physical harm (ABH)</w:t>
      </w:r>
      <w:r w:rsidR="00776CEA">
        <w:rPr>
          <w:rFonts w:ascii="Times New Roman" w:hAnsi="Times New Roman" w:cs="Times New Roman"/>
          <w:sz w:val="24"/>
          <w:szCs w:val="24"/>
        </w:rPr>
        <w:t xml:space="preserve"> </w:t>
      </w:r>
      <w:r w:rsidR="00AA5980">
        <w:rPr>
          <w:rFonts w:ascii="Times New Roman" w:hAnsi="Times New Roman" w:cs="Times New Roman"/>
          <w:sz w:val="24"/>
          <w:szCs w:val="24"/>
        </w:rPr>
        <w:t>but only</w:t>
      </w:r>
      <w:r>
        <w:rPr>
          <w:rFonts w:ascii="Times New Roman" w:hAnsi="Times New Roman" w:cs="Times New Roman"/>
          <w:sz w:val="24"/>
          <w:szCs w:val="24"/>
        </w:rPr>
        <w:t xml:space="preserve"> </w:t>
      </w:r>
      <w:r w:rsidR="00AA5980">
        <w:rPr>
          <w:rFonts w:ascii="Times New Roman" w:hAnsi="Times New Roman" w:cs="Times New Roman"/>
          <w:sz w:val="24"/>
          <w:szCs w:val="24"/>
        </w:rPr>
        <w:t>foresees</w:t>
      </w:r>
      <w:r>
        <w:rPr>
          <w:rFonts w:ascii="Times New Roman" w:hAnsi="Times New Roman" w:cs="Times New Roman"/>
          <w:sz w:val="24"/>
          <w:szCs w:val="24"/>
        </w:rPr>
        <w:t xml:space="preserve"> or intends to commit assault or batte</w:t>
      </w:r>
      <w:r w:rsidR="00776CEA">
        <w:rPr>
          <w:rFonts w:ascii="Times New Roman" w:hAnsi="Times New Roman" w:cs="Times New Roman"/>
          <w:sz w:val="24"/>
          <w:szCs w:val="24"/>
        </w:rPr>
        <w:t>ry</w:t>
      </w:r>
      <w:r>
        <w:rPr>
          <w:rFonts w:ascii="Times New Roman" w:hAnsi="Times New Roman" w:cs="Times New Roman"/>
          <w:sz w:val="24"/>
          <w:szCs w:val="24"/>
        </w:rPr>
        <w:t xml:space="preserve">. </w:t>
      </w:r>
      <w:r w:rsidR="00776CEA">
        <w:rPr>
          <w:rFonts w:ascii="Times New Roman" w:hAnsi="Times New Roman" w:cs="Times New Roman"/>
          <w:sz w:val="24"/>
          <w:szCs w:val="24"/>
        </w:rPr>
        <w:t>The effect of the provisions is that the defendant is “</w:t>
      </w:r>
      <w:r w:rsidR="00776CEA" w:rsidRPr="00776CEA">
        <w:rPr>
          <w:rFonts w:ascii="Times New Roman" w:hAnsi="Times New Roman" w:cs="Times New Roman"/>
          <w:sz w:val="24"/>
          <w:szCs w:val="24"/>
        </w:rPr>
        <w:t>unfairly held to blame for results that he or</w:t>
      </w:r>
      <w:r w:rsidR="00776CEA">
        <w:rPr>
          <w:rFonts w:ascii="Times New Roman" w:hAnsi="Times New Roman" w:cs="Times New Roman"/>
          <w:sz w:val="24"/>
          <w:szCs w:val="24"/>
        </w:rPr>
        <w:t xml:space="preserve"> she did not intend or foresee” (Law </w:t>
      </w:r>
      <w:r w:rsidR="00AA5980">
        <w:rPr>
          <w:rFonts w:ascii="Times New Roman" w:hAnsi="Times New Roman" w:cs="Times New Roman"/>
          <w:sz w:val="24"/>
          <w:szCs w:val="24"/>
        </w:rPr>
        <w:t>Commission</w:t>
      </w:r>
      <w:r w:rsidR="00776CEA">
        <w:rPr>
          <w:rFonts w:ascii="Times New Roman" w:hAnsi="Times New Roman" w:cs="Times New Roman"/>
          <w:sz w:val="24"/>
          <w:szCs w:val="24"/>
        </w:rPr>
        <w:t>, 2014, para 2.6).</w:t>
      </w:r>
    </w:p>
    <w:p w14:paraId="3C9E6575" w14:textId="77777777" w:rsidR="009A2240" w:rsidRDefault="00432C10" w:rsidP="004B6F44">
      <w:pPr>
        <w:spacing w:line="360" w:lineRule="auto"/>
        <w:jc w:val="both"/>
        <w:rPr>
          <w:rFonts w:ascii="Times New Roman" w:hAnsi="Times New Roman" w:cs="Times New Roman"/>
          <w:sz w:val="24"/>
          <w:szCs w:val="24"/>
        </w:rPr>
      </w:pPr>
      <w:r w:rsidRPr="00432C10">
        <w:rPr>
          <w:rFonts w:ascii="Times New Roman" w:hAnsi="Times New Roman" w:cs="Times New Roman"/>
          <w:b/>
          <w:sz w:val="24"/>
          <w:szCs w:val="24"/>
        </w:rPr>
        <w:t>Recommendation</w:t>
      </w:r>
      <w:r w:rsidR="009A2240" w:rsidRPr="00432C10">
        <w:rPr>
          <w:rFonts w:ascii="Times New Roman" w:hAnsi="Times New Roman" w:cs="Times New Roman"/>
          <w:b/>
          <w:sz w:val="24"/>
          <w:szCs w:val="24"/>
        </w:rPr>
        <w:t>:</w:t>
      </w:r>
      <w:r w:rsidR="009A2240">
        <w:rPr>
          <w:rFonts w:ascii="Times New Roman" w:hAnsi="Times New Roman" w:cs="Times New Roman"/>
          <w:sz w:val="24"/>
          <w:szCs w:val="24"/>
        </w:rPr>
        <w:t xml:space="preserve"> The 1862 Act should be reformed such that the principle of correspondence as opposed to that of constructive liability applies.</w:t>
      </w:r>
      <w:r w:rsidR="005B1A6F">
        <w:rPr>
          <w:rFonts w:ascii="Times New Roman" w:hAnsi="Times New Roman" w:cs="Times New Roman"/>
          <w:sz w:val="24"/>
          <w:szCs w:val="24"/>
        </w:rPr>
        <w:t xml:space="preserve"> The</w:t>
      </w:r>
      <w:r w:rsidR="00C90818">
        <w:rPr>
          <w:rFonts w:ascii="Times New Roman" w:hAnsi="Times New Roman" w:cs="Times New Roman"/>
          <w:sz w:val="24"/>
          <w:szCs w:val="24"/>
        </w:rPr>
        <w:t xml:space="preserve"> principle</w:t>
      </w:r>
      <w:r w:rsidR="005B1A6F">
        <w:rPr>
          <w:rFonts w:ascii="Times New Roman" w:hAnsi="Times New Roman" w:cs="Times New Roman"/>
          <w:sz w:val="24"/>
          <w:szCs w:val="24"/>
        </w:rPr>
        <w:t xml:space="preserve"> of correspondence provides that</w:t>
      </w:r>
      <w:r w:rsidR="00C90818">
        <w:rPr>
          <w:rFonts w:ascii="Times New Roman" w:hAnsi="Times New Roman" w:cs="Times New Roman"/>
          <w:sz w:val="24"/>
          <w:szCs w:val="24"/>
        </w:rPr>
        <w:t xml:space="preserve">: “every actus reus element of a criminal offence must </w:t>
      </w:r>
      <w:r w:rsidR="004B6F44">
        <w:rPr>
          <w:rFonts w:ascii="Times New Roman" w:hAnsi="Times New Roman" w:cs="Times New Roman"/>
          <w:sz w:val="24"/>
          <w:szCs w:val="24"/>
        </w:rPr>
        <w:t xml:space="preserve">be accompanied by a corresponding mens rea requirement” (Cornford, 2014). Thus, an offender must have intended or </w:t>
      </w:r>
      <w:r w:rsidR="00AA5980">
        <w:rPr>
          <w:rFonts w:ascii="Times New Roman" w:hAnsi="Times New Roman" w:cs="Times New Roman"/>
          <w:sz w:val="24"/>
          <w:szCs w:val="24"/>
        </w:rPr>
        <w:t>foreseen</w:t>
      </w:r>
      <w:r w:rsidR="004B6F44">
        <w:rPr>
          <w:rFonts w:ascii="Times New Roman" w:hAnsi="Times New Roman" w:cs="Times New Roman"/>
          <w:sz w:val="24"/>
          <w:szCs w:val="24"/>
        </w:rPr>
        <w:t xml:space="preserve"> the result of the offence they </w:t>
      </w:r>
      <w:r w:rsidR="00AA5980">
        <w:rPr>
          <w:rFonts w:ascii="Times New Roman" w:hAnsi="Times New Roman" w:cs="Times New Roman"/>
          <w:sz w:val="24"/>
          <w:szCs w:val="24"/>
        </w:rPr>
        <w:t>committed</w:t>
      </w:r>
      <w:r w:rsidR="004B6F44">
        <w:rPr>
          <w:rFonts w:ascii="Times New Roman" w:hAnsi="Times New Roman" w:cs="Times New Roman"/>
          <w:sz w:val="24"/>
          <w:szCs w:val="24"/>
        </w:rPr>
        <w:t>.</w:t>
      </w:r>
      <w:r w:rsidR="009A2240">
        <w:rPr>
          <w:rFonts w:ascii="Times New Roman" w:hAnsi="Times New Roman" w:cs="Times New Roman"/>
          <w:sz w:val="24"/>
          <w:szCs w:val="24"/>
        </w:rPr>
        <w:t xml:space="preserve"> </w:t>
      </w:r>
      <w:r w:rsidR="00B4134D">
        <w:rPr>
          <w:rFonts w:ascii="Times New Roman" w:hAnsi="Times New Roman" w:cs="Times New Roman"/>
          <w:sz w:val="24"/>
          <w:szCs w:val="24"/>
        </w:rPr>
        <w:t>The principle wi</w:t>
      </w:r>
      <w:r w:rsidR="00536512">
        <w:rPr>
          <w:rFonts w:ascii="Times New Roman" w:hAnsi="Times New Roman" w:cs="Times New Roman"/>
          <w:sz w:val="24"/>
          <w:szCs w:val="24"/>
        </w:rPr>
        <w:t>ll then give rise to the offences of “</w:t>
      </w:r>
      <w:r w:rsidR="00D71AE5">
        <w:rPr>
          <w:rFonts w:ascii="Times New Roman" w:hAnsi="Times New Roman" w:cs="Times New Roman"/>
          <w:sz w:val="24"/>
          <w:szCs w:val="24"/>
        </w:rPr>
        <w:t>i</w:t>
      </w:r>
      <w:r w:rsidR="00D71AE5" w:rsidRPr="00D71AE5">
        <w:rPr>
          <w:rFonts w:ascii="Times New Roman" w:hAnsi="Times New Roman" w:cs="Times New Roman"/>
          <w:sz w:val="24"/>
          <w:szCs w:val="24"/>
        </w:rPr>
        <w:t>ntenti</w:t>
      </w:r>
      <w:r w:rsidR="00D71AE5">
        <w:rPr>
          <w:rFonts w:ascii="Times New Roman" w:hAnsi="Times New Roman" w:cs="Times New Roman"/>
          <w:sz w:val="24"/>
          <w:szCs w:val="24"/>
        </w:rPr>
        <w:t>onally causing serious injury, r</w:t>
      </w:r>
      <w:r w:rsidR="00D71AE5" w:rsidRPr="00D71AE5">
        <w:rPr>
          <w:rFonts w:ascii="Times New Roman" w:hAnsi="Times New Roman" w:cs="Times New Roman"/>
          <w:sz w:val="24"/>
          <w:szCs w:val="24"/>
        </w:rPr>
        <w:t>eck</w:t>
      </w:r>
      <w:r w:rsidR="00D71AE5">
        <w:rPr>
          <w:rFonts w:ascii="Times New Roman" w:hAnsi="Times New Roman" w:cs="Times New Roman"/>
          <w:sz w:val="24"/>
          <w:szCs w:val="24"/>
        </w:rPr>
        <w:t>lessly causing serious injury, i</w:t>
      </w:r>
      <w:r w:rsidR="00D71AE5" w:rsidRPr="00D71AE5">
        <w:rPr>
          <w:rFonts w:ascii="Times New Roman" w:hAnsi="Times New Roman" w:cs="Times New Roman"/>
          <w:sz w:val="24"/>
          <w:szCs w:val="24"/>
        </w:rPr>
        <w:t>ntentionally</w:t>
      </w:r>
      <w:r w:rsidR="00D71AE5">
        <w:rPr>
          <w:rFonts w:ascii="Times New Roman" w:hAnsi="Times New Roman" w:cs="Times New Roman"/>
          <w:sz w:val="24"/>
          <w:szCs w:val="24"/>
        </w:rPr>
        <w:t xml:space="preserve"> or recklessly causing injury and i</w:t>
      </w:r>
      <w:r w:rsidR="00D71AE5" w:rsidRPr="00D71AE5">
        <w:rPr>
          <w:rFonts w:ascii="Times New Roman" w:hAnsi="Times New Roman" w:cs="Times New Roman"/>
          <w:sz w:val="24"/>
          <w:szCs w:val="24"/>
        </w:rPr>
        <w:t>ntentionally or recklessly applying force or causing impact, or causing a person to believe that such force or impact is imminent.</w:t>
      </w:r>
      <w:r w:rsidR="00536512">
        <w:rPr>
          <w:rFonts w:ascii="Times New Roman" w:hAnsi="Times New Roman" w:cs="Times New Roman"/>
          <w:sz w:val="24"/>
          <w:szCs w:val="24"/>
        </w:rPr>
        <w:t>”</w:t>
      </w:r>
      <w:r w:rsidR="00D71AE5">
        <w:rPr>
          <w:rFonts w:ascii="Times New Roman" w:hAnsi="Times New Roman" w:cs="Times New Roman"/>
          <w:sz w:val="24"/>
          <w:szCs w:val="24"/>
        </w:rPr>
        <w:t xml:space="preserve"> </w:t>
      </w:r>
      <w:r w:rsidR="00366E86">
        <w:rPr>
          <w:rFonts w:ascii="Times New Roman" w:hAnsi="Times New Roman" w:cs="Times New Roman"/>
          <w:sz w:val="24"/>
          <w:szCs w:val="24"/>
        </w:rPr>
        <w:t>The offences were preferred by the Home Office Draft Bill 1998.</w:t>
      </w:r>
      <w:r w:rsidR="00D71AE5">
        <w:rPr>
          <w:rFonts w:ascii="Times New Roman" w:hAnsi="Times New Roman" w:cs="Times New Roman"/>
          <w:sz w:val="24"/>
          <w:szCs w:val="24"/>
        </w:rPr>
        <w:t xml:space="preserve">The first offence requires that the defendant intends and actually causes serious injury. The second offence requires that </w:t>
      </w:r>
      <w:r w:rsidR="00D71AE5" w:rsidRPr="00D71AE5">
        <w:rPr>
          <w:rFonts w:ascii="Times New Roman" w:hAnsi="Times New Roman" w:cs="Times New Roman"/>
          <w:sz w:val="24"/>
          <w:szCs w:val="24"/>
        </w:rPr>
        <w:t xml:space="preserve">the </w:t>
      </w:r>
      <w:r w:rsidR="00D71AE5">
        <w:rPr>
          <w:rFonts w:ascii="Times New Roman" w:hAnsi="Times New Roman" w:cs="Times New Roman"/>
          <w:sz w:val="24"/>
          <w:szCs w:val="24"/>
        </w:rPr>
        <w:t>“</w:t>
      </w:r>
      <w:r w:rsidR="00D71AE5" w:rsidRPr="00D71AE5">
        <w:rPr>
          <w:rFonts w:ascii="Times New Roman" w:hAnsi="Times New Roman" w:cs="Times New Roman"/>
          <w:sz w:val="24"/>
          <w:szCs w:val="24"/>
        </w:rPr>
        <w:t>offender must foresee the possibility of serious injury. Foreseeing the risk</w:t>
      </w:r>
      <w:r w:rsidR="00D71AE5">
        <w:rPr>
          <w:rFonts w:ascii="Times New Roman" w:hAnsi="Times New Roman" w:cs="Times New Roman"/>
          <w:sz w:val="24"/>
          <w:szCs w:val="24"/>
        </w:rPr>
        <w:t xml:space="preserve"> of some harm is not sufficient” (Law </w:t>
      </w:r>
      <w:r w:rsidR="00AA5980">
        <w:rPr>
          <w:rFonts w:ascii="Times New Roman" w:hAnsi="Times New Roman" w:cs="Times New Roman"/>
          <w:sz w:val="24"/>
          <w:szCs w:val="24"/>
        </w:rPr>
        <w:t>Commission</w:t>
      </w:r>
      <w:r w:rsidR="00D71AE5">
        <w:rPr>
          <w:rFonts w:ascii="Times New Roman" w:hAnsi="Times New Roman" w:cs="Times New Roman"/>
          <w:sz w:val="24"/>
          <w:szCs w:val="24"/>
        </w:rPr>
        <w:t xml:space="preserve"> SCP, 2014, para 2.13). The third </w:t>
      </w:r>
      <w:r w:rsidR="00AA5980">
        <w:rPr>
          <w:rFonts w:ascii="Times New Roman" w:hAnsi="Times New Roman" w:cs="Times New Roman"/>
          <w:sz w:val="24"/>
          <w:szCs w:val="24"/>
        </w:rPr>
        <w:t>offence</w:t>
      </w:r>
      <w:r w:rsidR="00D71AE5">
        <w:rPr>
          <w:rFonts w:ascii="Times New Roman" w:hAnsi="Times New Roman" w:cs="Times New Roman"/>
          <w:sz w:val="24"/>
          <w:szCs w:val="24"/>
        </w:rPr>
        <w:t xml:space="preserve"> requires that the defendant intends or </w:t>
      </w:r>
      <w:r w:rsidR="00AA5980">
        <w:rPr>
          <w:rFonts w:ascii="Times New Roman" w:hAnsi="Times New Roman" w:cs="Times New Roman"/>
          <w:sz w:val="24"/>
          <w:szCs w:val="24"/>
        </w:rPr>
        <w:t>foresees</w:t>
      </w:r>
      <w:r w:rsidR="00D71AE5">
        <w:rPr>
          <w:rFonts w:ascii="Times New Roman" w:hAnsi="Times New Roman" w:cs="Times New Roman"/>
          <w:sz w:val="24"/>
          <w:szCs w:val="24"/>
        </w:rPr>
        <w:t xml:space="preserve"> the risk of any injury. </w:t>
      </w:r>
      <w:r w:rsidR="00EF4529">
        <w:rPr>
          <w:rFonts w:ascii="Times New Roman" w:hAnsi="Times New Roman" w:cs="Times New Roman"/>
          <w:sz w:val="24"/>
          <w:szCs w:val="24"/>
        </w:rPr>
        <w:t xml:space="preserve">The fourth </w:t>
      </w:r>
      <w:r w:rsidR="00AA5980">
        <w:rPr>
          <w:rFonts w:ascii="Times New Roman" w:hAnsi="Times New Roman" w:cs="Times New Roman"/>
          <w:sz w:val="24"/>
          <w:szCs w:val="24"/>
        </w:rPr>
        <w:t>offence</w:t>
      </w:r>
      <w:r w:rsidR="00EF4529">
        <w:rPr>
          <w:rFonts w:ascii="Times New Roman" w:hAnsi="Times New Roman" w:cs="Times New Roman"/>
          <w:sz w:val="24"/>
          <w:szCs w:val="24"/>
        </w:rPr>
        <w:t xml:space="preserve"> covers assault and battery.</w:t>
      </w:r>
    </w:p>
    <w:p w14:paraId="23A6FDC4" w14:textId="77777777" w:rsidR="00E845DF" w:rsidRDefault="00E845DF" w:rsidP="00E845DF">
      <w:pPr>
        <w:pStyle w:val="ListParagraph"/>
        <w:numPr>
          <w:ilvl w:val="0"/>
          <w:numId w:val="1"/>
        </w:numPr>
        <w:spacing w:line="360" w:lineRule="auto"/>
        <w:jc w:val="both"/>
        <w:rPr>
          <w:rFonts w:ascii="Times New Roman" w:hAnsi="Times New Roman" w:cs="Times New Roman"/>
          <w:b/>
          <w:sz w:val="24"/>
          <w:szCs w:val="24"/>
        </w:rPr>
      </w:pPr>
      <w:r w:rsidRPr="00E845DF">
        <w:rPr>
          <w:rFonts w:ascii="Times New Roman" w:hAnsi="Times New Roman" w:cs="Times New Roman"/>
          <w:b/>
          <w:sz w:val="24"/>
          <w:szCs w:val="24"/>
        </w:rPr>
        <w:t>Offences that serve no purpose</w:t>
      </w:r>
    </w:p>
    <w:p w14:paraId="58620DE3" w14:textId="77777777" w:rsidR="006A5536" w:rsidRPr="006A5536" w:rsidRDefault="00E845DF" w:rsidP="006A5536">
      <w:pPr>
        <w:spacing w:line="360" w:lineRule="auto"/>
        <w:jc w:val="both"/>
        <w:rPr>
          <w:rFonts w:ascii="Times New Roman" w:hAnsi="Times New Roman" w:cs="Times New Roman"/>
          <w:sz w:val="24"/>
          <w:szCs w:val="24"/>
        </w:rPr>
      </w:pPr>
      <w:r w:rsidRPr="00E845DF">
        <w:rPr>
          <w:rFonts w:ascii="Times New Roman" w:hAnsi="Times New Roman" w:cs="Times New Roman"/>
          <w:sz w:val="24"/>
          <w:szCs w:val="24"/>
        </w:rPr>
        <w:t>Section 36 provides for the offenc</w:t>
      </w:r>
      <w:r>
        <w:rPr>
          <w:rFonts w:ascii="Times New Roman" w:hAnsi="Times New Roman" w:cs="Times New Roman"/>
          <w:sz w:val="24"/>
          <w:szCs w:val="24"/>
        </w:rPr>
        <w:t xml:space="preserve">e of obstructing a clergy man in the discharge of his duties, section 37 provides for </w:t>
      </w:r>
      <w:r w:rsidR="006A5536">
        <w:rPr>
          <w:rFonts w:ascii="Times New Roman" w:hAnsi="Times New Roman" w:cs="Times New Roman"/>
          <w:sz w:val="24"/>
          <w:szCs w:val="24"/>
        </w:rPr>
        <w:t xml:space="preserve">assaulting a magistrate that preserves a ship wreck and section 26 provides for endangering the lives of apprentices and servants by not </w:t>
      </w:r>
      <w:r w:rsidR="00AA5980">
        <w:rPr>
          <w:rFonts w:ascii="Times New Roman" w:hAnsi="Times New Roman" w:cs="Times New Roman"/>
          <w:sz w:val="24"/>
          <w:szCs w:val="24"/>
        </w:rPr>
        <w:t>providing</w:t>
      </w:r>
      <w:r w:rsidR="006A5536">
        <w:rPr>
          <w:rFonts w:ascii="Times New Roman" w:hAnsi="Times New Roman" w:cs="Times New Roman"/>
          <w:sz w:val="24"/>
          <w:szCs w:val="24"/>
        </w:rPr>
        <w:t xml:space="preserve"> them with food. The Law </w:t>
      </w:r>
      <w:r w:rsidR="00AA5980">
        <w:rPr>
          <w:rFonts w:ascii="Times New Roman" w:hAnsi="Times New Roman" w:cs="Times New Roman"/>
          <w:sz w:val="24"/>
          <w:szCs w:val="24"/>
        </w:rPr>
        <w:t>Commission</w:t>
      </w:r>
      <w:r w:rsidR="006A5536">
        <w:rPr>
          <w:rFonts w:ascii="Times New Roman" w:hAnsi="Times New Roman" w:cs="Times New Roman"/>
          <w:sz w:val="24"/>
          <w:szCs w:val="24"/>
        </w:rPr>
        <w:t xml:space="preserve"> (2015) reported that in the recent years there was little or no prosecution for the above offences since they rarely happen. The </w:t>
      </w:r>
      <w:r w:rsidR="00AA5980">
        <w:rPr>
          <w:rFonts w:ascii="Times New Roman" w:hAnsi="Times New Roman" w:cs="Times New Roman"/>
          <w:sz w:val="24"/>
          <w:szCs w:val="24"/>
        </w:rPr>
        <w:t>Commission</w:t>
      </w:r>
      <w:r w:rsidR="006A5536">
        <w:rPr>
          <w:rFonts w:ascii="Times New Roman" w:hAnsi="Times New Roman" w:cs="Times New Roman"/>
          <w:sz w:val="24"/>
          <w:szCs w:val="24"/>
        </w:rPr>
        <w:t xml:space="preserve"> further reported that clergy men were not special groups of the law and assault on them should be regarded the same as </w:t>
      </w:r>
      <w:r w:rsidR="006A5536">
        <w:rPr>
          <w:rFonts w:ascii="Times New Roman" w:hAnsi="Times New Roman" w:cs="Times New Roman"/>
          <w:sz w:val="24"/>
          <w:szCs w:val="24"/>
        </w:rPr>
        <w:lastRenderedPageBreak/>
        <w:t xml:space="preserve">assault on other groups such as teachers. Regarding apprentices, the </w:t>
      </w:r>
      <w:r w:rsidR="00AA5980">
        <w:rPr>
          <w:rFonts w:ascii="Times New Roman" w:hAnsi="Times New Roman" w:cs="Times New Roman"/>
          <w:sz w:val="24"/>
          <w:szCs w:val="24"/>
        </w:rPr>
        <w:t>Commission</w:t>
      </w:r>
      <w:r w:rsidR="006A5536">
        <w:rPr>
          <w:rFonts w:ascii="Times New Roman" w:hAnsi="Times New Roman" w:cs="Times New Roman"/>
          <w:sz w:val="24"/>
          <w:szCs w:val="24"/>
        </w:rPr>
        <w:t xml:space="preserve"> reported that “s</w:t>
      </w:r>
      <w:r w:rsidR="006A5536" w:rsidRPr="006A5536">
        <w:rPr>
          <w:rFonts w:ascii="Times New Roman" w:hAnsi="Times New Roman" w:cs="Times New Roman"/>
          <w:sz w:val="24"/>
          <w:szCs w:val="24"/>
        </w:rPr>
        <w:t>uch matters should be left to employment o</w:t>
      </w:r>
      <w:r w:rsidR="006A5536">
        <w:rPr>
          <w:rFonts w:ascii="Times New Roman" w:hAnsi="Times New Roman" w:cs="Times New Roman"/>
          <w:sz w:val="24"/>
          <w:szCs w:val="24"/>
        </w:rPr>
        <w:t>r health and safety legislation”</w:t>
      </w:r>
      <w:r w:rsidR="006A5536" w:rsidRPr="006A5536">
        <w:rPr>
          <w:rFonts w:ascii="Times New Roman" w:hAnsi="Times New Roman" w:cs="Times New Roman"/>
          <w:sz w:val="24"/>
          <w:szCs w:val="24"/>
        </w:rPr>
        <w:t xml:space="preserve"> </w:t>
      </w:r>
      <w:r w:rsidR="006A5536">
        <w:rPr>
          <w:rFonts w:ascii="Times New Roman" w:hAnsi="Times New Roman" w:cs="Times New Roman"/>
          <w:sz w:val="24"/>
          <w:szCs w:val="24"/>
        </w:rPr>
        <w:t xml:space="preserve">(Law Commission, 2015, para 5.91). </w:t>
      </w:r>
    </w:p>
    <w:p w14:paraId="44BB9475" w14:textId="77777777" w:rsidR="00E845DF" w:rsidRDefault="00432C10" w:rsidP="006A5536">
      <w:pPr>
        <w:spacing w:line="360" w:lineRule="auto"/>
        <w:jc w:val="both"/>
        <w:rPr>
          <w:rFonts w:ascii="Times New Roman" w:hAnsi="Times New Roman" w:cs="Times New Roman"/>
          <w:sz w:val="24"/>
          <w:szCs w:val="24"/>
        </w:rPr>
      </w:pPr>
      <w:r w:rsidRPr="00432C10">
        <w:rPr>
          <w:rFonts w:ascii="Times New Roman" w:hAnsi="Times New Roman" w:cs="Times New Roman"/>
          <w:b/>
          <w:sz w:val="24"/>
          <w:szCs w:val="24"/>
        </w:rPr>
        <w:t>Recommendation</w:t>
      </w:r>
      <w:r w:rsidR="006A5536">
        <w:rPr>
          <w:rFonts w:ascii="Times New Roman" w:hAnsi="Times New Roman" w:cs="Times New Roman"/>
          <w:sz w:val="24"/>
          <w:szCs w:val="24"/>
        </w:rPr>
        <w:t xml:space="preserve">: abolition of the offences of obstructing </w:t>
      </w:r>
      <w:r w:rsidR="00AA5980">
        <w:rPr>
          <w:rFonts w:ascii="Times New Roman" w:hAnsi="Times New Roman" w:cs="Times New Roman"/>
          <w:sz w:val="24"/>
          <w:szCs w:val="24"/>
        </w:rPr>
        <w:t>clergy</w:t>
      </w:r>
      <w:r w:rsidR="006A5536">
        <w:rPr>
          <w:rFonts w:ascii="Times New Roman" w:hAnsi="Times New Roman" w:cs="Times New Roman"/>
          <w:sz w:val="24"/>
          <w:szCs w:val="24"/>
        </w:rPr>
        <w:t>, assault on magistrate for preserving a wreck and endangering lives of apprentices and servants by denying them food.</w:t>
      </w:r>
    </w:p>
    <w:p w14:paraId="6B3B21EB" w14:textId="77777777" w:rsidR="008C1E02" w:rsidRPr="00432C10" w:rsidRDefault="008C1E02" w:rsidP="00432C10">
      <w:pPr>
        <w:pStyle w:val="ListParagraph"/>
        <w:numPr>
          <w:ilvl w:val="0"/>
          <w:numId w:val="1"/>
        </w:numPr>
        <w:spacing w:line="360" w:lineRule="auto"/>
        <w:jc w:val="both"/>
        <w:rPr>
          <w:rFonts w:ascii="Times New Roman" w:hAnsi="Times New Roman" w:cs="Times New Roman"/>
          <w:b/>
          <w:sz w:val="24"/>
          <w:szCs w:val="24"/>
        </w:rPr>
      </w:pPr>
      <w:r w:rsidRPr="00432C10">
        <w:rPr>
          <w:rFonts w:ascii="Times New Roman" w:hAnsi="Times New Roman" w:cs="Times New Roman"/>
          <w:b/>
          <w:sz w:val="24"/>
          <w:szCs w:val="24"/>
        </w:rPr>
        <w:t>Threats to Kill</w:t>
      </w:r>
    </w:p>
    <w:p w14:paraId="56913745" w14:textId="77777777" w:rsidR="008C1E02" w:rsidRDefault="00C10CF8" w:rsidP="006A553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C1E02">
        <w:rPr>
          <w:rFonts w:ascii="Times New Roman" w:hAnsi="Times New Roman" w:cs="Times New Roman"/>
          <w:sz w:val="24"/>
          <w:szCs w:val="24"/>
        </w:rPr>
        <w:t>he 1861 Act provides for the offence of threats to kill</w:t>
      </w:r>
      <w:r>
        <w:rPr>
          <w:rFonts w:ascii="Times New Roman" w:hAnsi="Times New Roman" w:cs="Times New Roman"/>
          <w:sz w:val="24"/>
          <w:szCs w:val="24"/>
        </w:rPr>
        <w:t xml:space="preserve"> (s.16)</w:t>
      </w:r>
      <w:r w:rsidR="008C1E02">
        <w:rPr>
          <w:rFonts w:ascii="Times New Roman" w:hAnsi="Times New Roman" w:cs="Times New Roman"/>
          <w:sz w:val="24"/>
          <w:szCs w:val="24"/>
        </w:rPr>
        <w:t>. For the offence to o</w:t>
      </w:r>
      <w:r w:rsidR="00536512">
        <w:rPr>
          <w:rFonts w:ascii="Times New Roman" w:hAnsi="Times New Roman" w:cs="Times New Roman"/>
          <w:sz w:val="24"/>
          <w:szCs w:val="24"/>
        </w:rPr>
        <w:t>ccur, the recipient of the threat</w:t>
      </w:r>
      <w:r w:rsidR="008C1E02">
        <w:rPr>
          <w:rFonts w:ascii="Times New Roman" w:hAnsi="Times New Roman" w:cs="Times New Roman"/>
          <w:sz w:val="24"/>
          <w:szCs w:val="24"/>
        </w:rPr>
        <w:t xml:space="preserve"> must fear that the threat should be carried out. The person need not be certain that the threat will be carried out (Law </w:t>
      </w:r>
      <w:r w:rsidR="00AA5980">
        <w:rPr>
          <w:rFonts w:ascii="Times New Roman" w:hAnsi="Times New Roman" w:cs="Times New Roman"/>
          <w:sz w:val="24"/>
          <w:szCs w:val="24"/>
        </w:rPr>
        <w:t>Commission</w:t>
      </w:r>
      <w:r w:rsidR="008C1E02">
        <w:rPr>
          <w:rFonts w:ascii="Times New Roman" w:hAnsi="Times New Roman" w:cs="Times New Roman"/>
          <w:sz w:val="24"/>
          <w:szCs w:val="24"/>
        </w:rPr>
        <w:t>, 2015).</w:t>
      </w:r>
    </w:p>
    <w:p w14:paraId="1C02387F" w14:textId="77777777" w:rsidR="00383CA2" w:rsidRDefault="00383CA2" w:rsidP="006A55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Law Commission (2015) states hat several issues arise from the offence: whether the offence is needed at all, whether threats to other forms of violence may be included, whether it should cover </w:t>
      </w:r>
      <w:r w:rsidR="003432DA">
        <w:rPr>
          <w:rFonts w:ascii="Times New Roman" w:hAnsi="Times New Roman" w:cs="Times New Roman"/>
          <w:sz w:val="24"/>
          <w:szCs w:val="24"/>
        </w:rPr>
        <w:t>conditional threats</w:t>
      </w:r>
      <w:r>
        <w:rPr>
          <w:rFonts w:ascii="Times New Roman" w:hAnsi="Times New Roman" w:cs="Times New Roman"/>
          <w:sz w:val="24"/>
          <w:szCs w:val="24"/>
        </w:rPr>
        <w:t xml:space="preserve"> and whether there should provision for jurisdiction. </w:t>
      </w:r>
    </w:p>
    <w:p w14:paraId="1C3E1F3B" w14:textId="77777777" w:rsidR="002649C5" w:rsidRDefault="00383CA2" w:rsidP="006A55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answer to the first issue is that yes there is need for the offence because </w:t>
      </w:r>
      <w:r w:rsidR="00AA5980">
        <w:rPr>
          <w:rFonts w:ascii="Times New Roman" w:hAnsi="Times New Roman" w:cs="Times New Roman"/>
          <w:sz w:val="24"/>
          <w:szCs w:val="24"/>
        </w:rPr>
        <w:t>almost</w:t>
      </w:r>
      <w:r>
        <w:rPr>
          <w:rFonts w:ascii="Times New Roman" w:hAnsi="Times New Roman" w:cs="Times New Roman"/>
          <w:sz w:val="24"/>
          <w:szCs w:val="24"/>
        </w:rPr>
        <w:t xml:space="preserve"> similar offences spelt out in the Public Order Act (1981) do not reflect the gravity of the offence. With regards to the second issue</w:t>
      </w:r>
      <w:r w:rsidR="003432DA">
        <w:rPr>
          <w:rFonts w:ascii="Times New Roman" w:hAnsi="Times New Roman" w:cs="Times New Roman"/>
          <w:sz w:val="24"/>
          <w:szCs w:val="24"/>
        </w:rPr>
        <w:t>,</w:t>
      </w:r>
      <w:r>
        <w:rPr>
          <w:rFonts w:ascii="Times New Roman" w:hAnsi="Times New Roman" w:cs="Times New Roman"/>
          <w:sz w:val="24"/>
          <w:szCs w:val="24"/>
        </w:rPr>
        <w:t xml:space="preserve"> </w:t>
      </w:r>
      <w:r w:rsidR="003432DA">
        <w:rPr>
          <w:rFonts w:ascii="Times New Roman" w:hAnsi="Times New Roman" w:cs="Times New Roman"/>
          <w:sz w:val="24"/>
          <w:szCs w:val="24"/>
        </w:rPr>
        <w:t xml:space="preserve">the Law </w:t>
      </w:r>
      <w:r w:rsidR="00AA5980">
        <w:rPr>
          <w:rFonts w:ascii="Times New Roman" w:hAnsi="Times New Roman" w:cs="Times New Roman"/>
          <w:sz w:val="24"/>
          <w:szCs w:val="24"/>
        </w:rPr>
        <w:t>Commission</w:t>
      </w:r>
      <w:r w:rsidR="003432DA">
        <w:rPr>
          <w:rFonts w:ascii="Times New Roman" w:hAnsi="Times New Roman" w:cs="Times New Roman"/>
          <w:sz w:val="24"/>
          <w:szCs w:val="24"/>
        </w:rPr>
        <w:t xml:space="preserve"> (2015) reported that there was consensus that the offence should cover death </w:t>
      </w:r>
      <w:r w:rsidR="00AA5980">
        <w:rPr>
          <w:rFonts w:ascii="Times New Roman" w:hAnsi="Times New Roman" w:cs="Times New Roman"/>
          <w:sz w:val="24"/>
          <w:szCs w:val="24"/>
        </w:rPr>
        <w:t>threats,</w:t>
      </w:r>
      <w:r w:rsidR="003432DA">
        <w:rPr>
          <w:rFonts w:ascii="Times New Roman" w:hAnsi="Times New Roman" w:cs="Times New Roman"/>
          <w:sz w:val="24"/>
          <w:szCs w:val="24"/>
        </w:rPr>
        <w:t xml:space="preserve"> threats to serious injury and threats to rape. The three kinds of threats have one thing in common: they are serious or grave threats. </w:t>
      </w:r>
    </w:p>
    <w:p w14:paraId="1640CBAA" w14:textId="77777777" w:rsidR="00432C10" w:rsidRDefault="00C10CF8" w:rsidP="00432C10">
      <w:pPr>
        <w:spacing w:line="360" w:lineRule="auto"/>
        <w:jc w:val="both"/>
        <w:rPr>
          <w:rFonts w:ascii="Times New Roman" w:hAnsi="Times New Roman" w:cs="Times New Roman"/>
          <w:sz w:val="24"/>
          <w:szCs w:val="24"/>
        </w:rPr>
      </w:pPr>
      <w:r>
        <w:rPr>
          <w:rFonts w:ascii="Times New Roman" w:hAnsi="Times New Roman" w:cs="Times New Roman"/>
          <w:sz w:val="24"/>
          <w:szCs w:val="24"/>
        </w:rPr>
        <w:t>The offence should also</w:t>
      </w:r>
      <w:r w:rsidR="00536512">
        <w:rPr>
          <w:rFonts w:ascii="Times New Roman" w:hAnsi="Times New Roman" w:cs="Times New Roman"/>
          <w:sz w:val="24"/>
          <w:szCs w:val="24"/>
        </w:rPr>
        <w:t xml:space="preserve"> include </w:t>
      </w:r>
      <w:r w:rsidR="003432DA">
        <w:rPr>
          <w:rFonts w:ascii="Times New Roman" w:hAnsi="Times New Roman" w:cs="Times New Roman"/>
          <w:sz w:val="24"/>
          <w:szCs w:val="24"/>
        </w:rPr>
        <w:t>conditional threats “whether or not the condition relates to the victims conduct” (Law Commission</w:t>
      </w:r>
      <w:r w:rsidR="00AA5980">
        <w:rPr>
          <w:rFonts w:ascii="Times New Roman" w:hAnsi="Times New Roman" w:cs="Times New Roman"/>
          <w:sz w:val="24"/>
          <w:szCs w:val="24"/>
        </w:rPr>
        <w:t>, 2015</w:t>
      </w:r>
      <w:r w:rsidR="003432DA">
        <w:rPr>
          <w:rFonts w:ascii="Times New Roman" w:hAnsi="Times New Roman" w:cs="Times New Roman"/>
          <w:sz w:val="24"/>
          <w:szCs w:val="24"/>
        </w:rPr>
        <w:t>). The rationale behind the inclusion of such a provision is that many threats take the form of “unless you do so I shall do so…</w:t>
      </w:r>
      <w:r w:rsidR="00AA5980">
        <w:rPr>
          <w:rFonts w:ascii="Times New Roman" w:hAnsi="Times New Roman" w:cs="Times New Roman"/>
          <w:sz w:val="24"/>
          <w:szCs w:val="24"/>
        </w:rPr>
        <w:t>”</w:t>
      </w:r>
      <w:r w:rsidR="003432DA">
        <w:rPr>
          <w:rFonts w:ascii="Times New Roman" w:hAnsi="Times New Roman" w:cs="Times New Roman"/>
          <w:sz w:val="24"/>
          <w:szCs w:val="24"/>
        </w:rPr>
        <w:t xml:space="preserve"> </w:t>
      </w:r>
      <w:r w:rsidR="002649C5">
        <w:rPr>
          <w:rFonts w:ascii="Times New Roman" w:hAnsi="Times New Roman" w:cs="Times New Roman"/>
          <w:sz w:val="24"/>
          <w:szCs w:val="24"/>
        </w:rPr>
        <w:t xml:space="preserve"> </w:t>
      </w:r>
      <w:r w:rsidR="00C25D53">
        <w:rPr>
          <w:rFonts w:ascii="Times New Roman" w:hAnsi="Times New Roman" w:cs="Times New Roman"/>
          <w:sz w:val="24"/>
          <w:szCs w:val="24"/>
        </w:rPr>
        <w:t xml:space="preserve">The need to include a provision on jurisdiction is for the provision to be in tandem with the guidance provided in the Serious Crime Act 2007. Under the jurisdiction provision, the </w:t>
      </w:r>
      <w:r w:rsidR="00AA5980">
        <w:rPr>
          <w:rFonts w:ascii="Times New Roman" w:hAnsi="Times New Roman" w:cs="Times New Roman"/>
          <w:sz w:val="24"/>
          <w:szCs w:val="24"/>
        </w:rPr>
        <w:t>threat</w:t>
      </w:r>
      <w:r w:rsidR="00C25D53">
        <w:rPr>
          <w:rFonts w:ascii="Times New Roman" w:hAnsi="Times New Roman" w:cs="Times New Roman"/>
          <w:sz w:val="24"/>
          <w:szCs w:val="24"/>
        </w:rPr>
        <w:t xml:space="preserve"> should take place in England or Wales, should be carried out by a British citizen and should be carried out in either England or Wales or in </w:t>
      </w:r>
      <w:r w:rsidR="00AA5980">
        <w:rPr>
          <w:rFonts w:ascii="Times New Roman" w:hAnsi="Times New Roman" w:cs="Times New Roman"/>
          <w:sz w:val="24"/>
          <w:szCs w:val="24"/>
        </w:rPr>
        <w:t xml:space="preserve">a </w:t>
      </w:r>
      <w:r w:rsidR="00AA5980" w:rsidRPr="00C25D53">
        <w:rPr>
          <w:rFonts w:ascii="Times New Roman" w:hAnsi="Times New Roman" w:cs="Times New Roman"/>
          <w:sz w:val="24"/>
          <w:szCs w:val="24"/>
        </w:rPr>
        <w:t>“</w:t>
      </w:r>
      <w:r w:rsidR="00C25D53" w:rsidRPr="00C25D53">
        <w:rPr>
          <w:rFonts w:ascii="Times New Roman" w:hAnsi="Times New Roman" w:cs="Times New Roman"/>
          <w:sz w:val="24"/>
          <w:szCs w:val="24"/>
        </w:rPr>
        <w:t>country designated as party to the 1977 European Convention on the Suppression of Terrorism, India or the United States</w:t>
      </w:r>
      <w:r w:rsidR="00C25D53">
        <w:rPr>
          <w:rFonts w:ascii="Times New Roman" w:hAnsi="Times New Roman" w:cs="Times New Roman"/>
          <w:sz w:val="24"/>
          <w:szCs w:val="24"/>
        </w:rPr>
        <w:t>” (The Suppression of Terrorism Act 1978, s.4&amp;5).</w:t>
      </w:r>
    </w:p>
    <w:p w14:paraId="4ED1F932" w14:textId="77777777" w:rsidR="00432C10" w:rsidRDefault="00432C10" w:rsidP="00432C10">
      <w:pPr>
        <w:spacing w:line="360" w:lineRule="auto"/>
        <w:jc w:val="both"/>
        <w:rPr>
          <w:rFonts w:ascii="Times New Roman" w:hAnsi="Times New Roman" w:cs="Times New Roman"/>
          <w:sz w:val="24"/>
          <w:szCs w:val="24"/>
        </w:rPr>
      </w:pPr>
    </w:p>
    <w:p w14:paraId="6851D518" w14:textId="77777777" w:rsidR="00432C10" w:rsidRPr="00432C10" w:rsidRDefault="00432C10" w:rsidP="00432C10">
      <w:pPr>
        <w:spacing w:line="360" w:lineRule="auto"/>
        <w:jc w:val="both"/>
        <w:rPr>
          <w:rFonts w:ascii="Times New Roman" w:hAnsi="Times New Roman" w:cs="Times New Roman"/>
          <w:sz w:val="24"/>
          <w:szCs w:val="24"/>
        </w:rPr>
      </w:pPr>
    </w:p>
    <w:p w14:paraId="2675B4D4" w14:textId="77777777" w:rsidR="001E46CF" w:rsidRPr="00432C10" w:rsidRDefault="001E46CF" w:rsidP="00432C10">
      <w:pPr>
        <w:pStyle w:val="ListParagraph"/>
        <w:numPr>
          <w:ilvl w:val="0"/>
          <w:numId w:val="1"/>
        </w:numPr>
        <w:spacing w:line="360" w:lineRule="auto"/>
        <w:jc w:val="both"/>
        <w:rPr>
          <w:rFonts w:ascii="Times New Roman" w:hAnsi="Times New Roman" w:cs="Times New Roman"/>
          <w:b/>
          <w:sz w:val="24"/>
          <w:szCs w:val="24"/>
        </w:rPr>
      </w:pPr>
      <w:bookmarkStart w:id="0" w:name="_GoBack"/>
      <w:bookmarkEnd w:id="0"/>
      <w:r w:rsidRPr="00432C10">
        <w:rPr>
          <w:rFonts w:ascii="Times New Roman" w:hAnsi="Times New Roman" w:cs="Times New Roman"/>
          <w:b/>
          <w:sz w:val="24"/>
          <w:szCs w:val="24"/>
        </w:rPr>
        <w:t>Poisoning Offences</w:t>
      </w:r>
    </w:p>
    <w:p w14:paraId="0CA6EE07" w14:textId="77777777" w:rsidR="001E46CF" w:rsidRDefault="001E46CF" w:rsidP="006A5536">
      <w:pPr>
        <w:spacing w:line="360" w:lineRule="auto"/>
        <w:jc w:val="both"/>
        <w:rPr>
          <w:rFonts w:ascii="Times New Roman" w:hAnsi="Times New Roman" w:cs="Times New Roman"/>
          <w:sz w:val="24"/>
          <w:szCs w:val="24"/>
        </w:rPr>
      </w:pPr>
      <w:r>
        <w:rPr>
          <w:rFonts w:ascii="Times New Roman" w:hAnsi="Times New Roman" w:cs="Times New Roman"/>
          <w:sz w:val="24"/>
          <w:szCs w:val="24"/>
        </w:rPr>
        <w:t>The 1865 Act provides for 3 poison offences. Section 22 provides for the offence of administering</w:t>
      </w:r>
      <w:r w:rsidR="00AA5980">
        <w:rPr>
          <w:rFonts w:ascii="Times New Roman" w:hAnsi="Times New Roman" w:cs="Times New Roman"/>
          <w:sz w:val="24"/>
          <w:szCs w:val="24"/>
        </w:rPr>
        <w:t xml:space="preserve"> chloroform</w:t>
      </w:r>
      <w:r>
        <w:rPr>
          <w:rFonts w:ascii="Times New Roman" w:hAnsi="Times New Roman" w:cs="Times New Roman"/>
          <w:sz w:val="24"/>
          <w:szCs w:val="24"/>
        </w:rPr>
        <w:t xml:space="preserve"> or other stupefying substances with intent to commit a crime. Section 23 provides for the offence of administering poison with the intent to endanger life of cause GBH. Section 24 </w:t>
      </w:r>
      <w:r w:rsidR="000A5394">
        <w:rPr>
          <w:rFonts w:ascii="Times New Roman" w:hAnsi="Times New Roman" w:cs="Times New Roman"/>
          <w:sz w:val="24"/>
          <w:szCs w:val="24"/>
        </w:rPr>
        <w:t xml:space="preserve">lists the offence of dispensing poison </w:t>
      </w:r>
      <w:r>
        <w:rPr>
          <w:rFonts w:ascii="Times New Roman" w:hAnsi="Times New Roman" w:cs="Times New Roman"/>
          <w:sz w:val="24"/>
          <w:szCs w:val="24"/>
        </w:rPr>
        <w:t>with the intent</w:t>
      </w:r>
      <w:r w:rsidR="000A5394">
        <w:rPr>
          <w:rFonts w:ascii="Times New Roman" w:hAnsi="Times New Roman" w:cs="Times New Roman"/>
          <w:sz w:val="24"/>
          <w:szCs w:val="24"/>
        </w:rPr>
        <w:t xml:space="preserve">ion </w:t>
      </w:r>
      <w:r w:rsidR="004E3DC3">
        <w:rPr>
          <w:rFonts w:ascii="Times New Roman" w:hAnsi="Times New Roman" w:cs="Times New Roman"/>
          <w:sz w:val="24"/>
          <w:szCs w:val="24"/>
        </w:rPr>
        <w:t>of injuring</w:t>
      </w:r>
      <w:r>
        <w:rPr>
          <w:rFonts w:ascii="Times New Roman" w:hAnsi="Times New Roman" w:cs="Times New Roman"/>
          <w:sz w:val="24"/>
          <w:szCs w:val="24"/>
        </w:rPr>
        <w:t xml:space="preserve"> or annoy</w:t>
      </w:r>
      <w:r w:rsidR="000A5394">
        <w:rPr>
          <w:rFonts w:ascii="Times New Roman" w:hAnsi="Times New Roman" w:cs="Times New Roman"/>
          <w:sz w:val="24"/>
          <w:szCs w:val="24"/>
        </w:rPr>
        <w:t xml:space="preserve">ing the </w:t>
      </w:r>
      <w:r w:rsidR="00BB3466">
        <w:rPr>
          <w:rFonts w:ascii="Times New Roman" w:hAnsi="Times New Roman" w:cs="Times New Roman"/>
          <w:sz w:val="24"/>
          <w:szCs w:val="24"/>
        </w:rPr>
        <w:t>recipient</w:t>
      </w:r>
      <w:r>
        <w:rPr>
          <w:rFonts w:ascii="Times New Roman" w:hAnsi="Times New Roman" w:cs="Times New Roman"/>
          <w:sz w:val="24"/>
          <w:szCs w:val="24"/>
        </w:rPr>
        <w:t xml:space="preserve">. </w:t>
      </w:r>
    </w:p>
    <w:p w14:paraId="7B06412E" w14:textId="77777777" w:rsidR="00504F6E" w:rsidRDefault="00504F6E"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  There should be a “single </w:t>
      </w:r>
      <w:r w:rsidR="00AA5980">
        <w:rPr>
          <w:rFonts w:ascii="Times New Roman" w:hAnsi="Times New Roman" w:cs="Times New Roman"/>
          <w:sz w:val="24"/>
          <w:szCs w:val="24"/>
        </w:rPr>
        <w:t xml:space="preserve">offence </w:t>
      </w:r>
      <w:r w:rsidR="00AA5980" w:rsidRPr="00504F6E">
        <w:rPr>
          <w:rFonts w:ascii="Times New Roman" w:hAnsi="Times New Roman" w:cs="Times New Roman"/>
          <w:sz w:val="24"/>
          <w:szCs w:val="24"/>
        </w:rPr>
        <w:t>of</w:t>
      </w:r>
      <w:r w:rsidRPr="00504F6E">
        <w:rPr>
          <w:rFonts w:ascii="Times New Roman" w:hAnsi="Times New Roman" w:cs="Times New Roman"/>
          <w:sz w:val="24"/>
          <w:szCs w:val="24"/>
        </w:rPr>
        <w:t xml:space="preserve"> administering a substance knowing that it is capable of causing injury</w:t>
      </w:r>
      <w:r>
        <w:rPr>
          <w:rFonts w:ascii="Times New Roman" w:hAnsi="Times New Roman" w:cs="Times New Roman"/>
          <w:sz w:val="24"/>
          <w:szCs w:val="24"/>
        </w:rPr>
        <w:t xml:space="preserve">” (Law </w:t>
      </w:r>
      <w:r w:rsidR="00AA5980">
        <w:rPr>
          <w:rFonts w:ascii="Times New Roman" w:hAnsi="Times New Roman" w:cs="Times New Roman"/>
          <w:sz w:val="24"/>
          <w:szCs w:val="24"/>
        </w:rPr>
        <w:t>Commission</w:t>
      </w:r>
      <w:r>
        <w:rPr>
          <w:rFonts w:ascii="Times New Roman" w:hAnsi="Times New Roman" w:cs="Times New Roman"/>
          <w:sz w:val="24"/>
          <w:szCs w:val="24"/>
        </w:rPr>
        <w:t xml:space="preserve"> SCP</w:t>
      </w:r>
      <w:r w:rsidR="00AA5980">
        <w:rPr>
          <w:rFonts w:ascii="Times New Roman" w:hAnsi="Times New Roman" w:cs="Times New Roman"/>
          <w:sz w:val="24"/>
          <w:szCs w:val="24"/>
        </w:rPr>
        <w:t>, 2014</w:t>
      </w:r>
      <w:r>
        <w:rPr>
          <w:rFonts w:ascii="Times New Roman" w:hAnsi="Times New Roman" w:cs="Times New Roman"/>
          <w:sz w:val="24"/>
          <w:szCs w:val="24"/>
        </w:rPr>
        <w:t xml:space="preserve">). The Law </w:t>
      </w:r>
      <w:r w:rsidR="00AA5980">
        <w:rPr>
          <w:rFonts w:ascii="Times New Roman" w:hAnsi="Times New Roman" w:cs="Times New Roman"/>
          <w:sz w:val="24"/>
          <w:szCs w:val="24"/>
        </w:rPr>
        <w:t>Commission</w:t>
      </w:r>
      <w:r>
        <w:rPr>
          <w:rFonts w:ascii="Times New Roman" w:hAnsi="Times New Roman" w:cs="Times New Roman"/>
          <w:sz w:val="24"/>
          <w:szCs w:val="24"/>
        </w:rPr>
        <w:t xml:space="preserve"> (2014</w:t>
      </w:r>
      <w:r w:rsidR="00AA5980">
        <w:rPr>
          <w:rFonts w:ascii="Times New Roman" w:hAnsi="Times New Roman" w:cs="Times New Roman"/>
          <w:sz w:val="24"/>
          <w:szCs w:val="24"/>
        </w:rPr>
        <w:t>, para</w:t>
      </w:r>
      <w:r>
        <w:rPr>
          <w:rFonts w:ascii="Times New Roman" w:hAnsi="Times New Roman" w:cs="Times New Roman"/>
          <w:sz w:val="24"/>
          <w:szCs w:val="24"/>
        </w:rPr>
        <w:t xml:space="preserve"> 3.14) posits that the rationale for this is that “t</w:t>
      </w:r>
      <w:r w:rsidRPr="00504F6E">
        <w:rPr>
          <w:rFonts w:ascii="Times New Roman" w:hAnsi="Times New Roman" w:cs="Times New Roman"/>
          <w:sz w:val="24"/>
          <w:szCs w:val="24"/>
        </w:rPr>
        <w:t>here is no need for any offence of causing actual harm by poison</w:t>
      </w:r>
      <w:r>
        <w:rPr>
          <w:rFonts w:ascii="Times New Roman" w:hAnsi="Times New Roman" w:cs="Times New Roman"/>
          <w:sz w:val="24"/>
          <w:szCs w:val="24"/>
        </w:rPr>
        <w:t>.” The offence should be that of creating danger not one of causing actual harm. The reason for this is that naturally poisons are dangerous substances and “t</w:t>
      </w:r>
      <w:r w:rsidRPr="00504F6E">
        <w:rPr>
          <w:rFonts w:ascii="Times New Roman" w:hAnsi="Times New Roman" w:cs="Times New Roman"/>
          <w:sz w:val="24"/>
          <w:szCs w:val="24"/>
        </w:rPr>
        <w:t>o prosecute only when the harm is</w:t>
      </w:r>
      <w:r>
        <w:rPr>
          <w:rFonts w:ascii="Times New Roman" w:hAnsi="Times New Roman" w:cs="Times New Roman"/>
          <w:sz w:val="24"/>
          <w:szCs w:val="24"/>
        </w:rPr>
        <w:t xml:space="preserve"> done is to intervene too late” (Law Commission SCP</w:t>
      </w:r>
      <w:r w:rsidR="00AA5980">
        <w:rPr>
          <w:rFonts w:ascii="Times New Roman" w:hAnsi="Times New Roman" w:cs="Times New Roman"/>
          <w:sz w:val="24"/>
          <w:szCs w:val="24"/>
        </w:rPr>
        <w:t>, 2014</w:t>
      </w:r>
      <w:r>
        <w:rPr>
          <w:rFonts w:ascii="Times New Roman" w:hAnsi="Times New Roman" w:cs="Times New Roman"/>
          <w:sz w:val="24"/>
          <w:szCs w:val="24"/>
        </w:rPr>
        <w:t xml:space="preserve">). </w:t>
      </w:r>
    </w:p>
    <w:p w14:paraId="39FF7C38" w14:textId="77777777" w:rsidR="002E7F56" w:rsidRPr="00432C10" w:rsidRDefault="00A44562" w:rsidP="00432C10">
      <w:pPr>
        <w:pStyle w:val="ListParagraph"/>
        <w:numPr>
          <w:ilvl w:val="0"/>
          <w:numId w:val="1"/>
        </w:numPr>
        <w:spacing w:line="360" w:lineRule="auto"/>
        <w:jc w:val="both"/>
        <w:rPr>
          <w:rFonts w:ascii="Times New Roman" w:hAnsi="Times New Roman" w:cs="Times New Roman"/>
          <w:b/>
          <w:sz w:val="24"/>
          <w:szCs w:val="24"/>
        </w:rPr>
      </w:pPr>
      <w:r w:rsidRPr="00432C10">
        <w:rPr>
          <w:rFonts w:ascii="Times New Roman" w:hAnsi="Times New Roman" w:cs="Times New Roman"/>
          <w:b/>
          <w:sz w:val="24"/>
          <w:szCs w:val="24"/>
        </w:rPr>
        <w:t>Explosions and dangerous substances</w:t>
      </w:r>
    </w:p>
    <w:p w14:paraId="194D4996" w14:textId="77777777" w:rsidR="00A44562" w:rsidRDefault="00A44562"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Offences under this category are provided for in sections 28 to 31 of the 1865 Act. </w:t>
      </w:r>
    </w:p>
    <w:p w14:paraId="450CBFC8" w14:textId="77777777" w:rsidR="00A44562" w:rsidRDefault="00A44562" w:rsidP="00504F6E">
      <w:pPr>
        <w:spacing w:line="360" w:lineRule="auto"/>
        <w:jc w:val="both"/>
        <w:rPr>
          <w:rFonts w:ascii="Times New Roman" w:hAnsi="Times New Roman" w:cs="Times New Roman"/>
          <w:sz w:val="24"/>
          <w:szCs w:val="24"/>
        </w:rPr>
      </w:pPr>
      <w:r w:rsidRPr="00432C10">
        <w:rPr>
          <w:rFonts w:ascii="Times New Roman" w:hAnsi="Times New Roman" w:cs="Times New Roman"/>
          <w:b/>
          <w:sz w:val="24"/>
          <w:szCs w:val="24"/>
        </w:rPr>
        <w:t>Recommendation</w:t>
      </w:r>
      <w:r>
        <w:rPr>
          <w:rFonts w:ascii="Times New Roman" w:hAnsi="Times New Roman" w:cs="Times New Roman"/>
          <w:sz w:val="24"/>
          <w:szCs w:val="24"/>
        </w:rPr>
        <w:t xml:space="preserve">: </w:t>
      </w:r>
      <w:r w:rsidR="00BB18D9">
        <w:rPr>
          <w:rFonts w:ascii="Times New Roman" w:hAnsi="Times New Roman" w:cs="Times New Roman"/>
          <w:sz w:val="24"/>
          <w:szCs w:val="24"/>
        </w:rPr>
        <w:t xml:space="preserve">In accordance with the proposed reform of forming general offences as opposed to particular offences of the same subject matter, there should be two offences relating to misuse of explosion. The first is the offence </w:t>
      </w:r>
      <w:r w:rsidR="00AA5980">
        <w:rPr>
          <w:rFonts w:ascii="Times New Roman" w:hAnsi="Times New Roman" w:cs="Times New Roman"/>
          <w:sz w:val="24"/>
          <w:szCs w:val="24"/>
        </w:rPr>
        <w:t>of using</w:t>
      </w:r>
      <w:r w:rsidR="00BB18D9">
        <w:rPr>
          <w:rFonts w:ascii="Times New Roman" w:hAnsi="Times New Roman" w:cs="Times New Roman"/>
          <w:sz w:val="24"/>
          <w:szCs w:val="24"/>
        </w:rPr>
        <w:t xml:space="preserve"> an explosive with the intention of causing serious injury and the </w:t>
      </w:r>
      <w:r w:rsidR="00AA5980">
        <w:rPr>
          <w:rFonts w:ascii="Times New Roman" w:hAnsi="Times New Roman" w:cs="Times New Roman"/>
          <w:sz w:val="24"/>
          <w:szCs w:val="24"/>
        </w:rPr>
        <w:t>second, is</w:t>
      </w:r>
      <w:r w:rsidR="00BB18D9">
        <w:rPr>
          <w:rFonts w:ascii="Times New Roman" w:hAnsi="Times New Roman" w:cs="Times New Roman"/>
          <w:sz w:val="24"/>
          <w:szCs w:val="24"/>
        </w:rPr>
        <w:t xml:space="preserve"> the offence of using explosives with the intention of causing injury. The distinction between t</w:t>
      </w:r>
      <w:r w:rsidR="009662D6">
        <w:rPr>
          <w:rFonts w:ascii="Times New Roman" w:hAnsi="Times New Roman" w:cs="Times New Roman"/>
          <w:sz w:val="24"/>
          <w:szCs w:val="24"/>
        </w:rPr>
        <w:t xml:space="preserve">he two </w:t>
      </w:r>
      <w:r w:rsidR="00AA5980">
        <w:rPr>
          <w:rFonts w:ascii="Times New Roman" w:hAnsi="Times New Roman" w:cs="Times New Roman"/>
          <w:sz w:val="24"/>
          <w:szCs w:val="24"/>
        </w:rPr>
        <w:t>is in</w:t>
      </w:r>
      <w:r w:rsidR="009662D6">
        <w:rPr>
          <w:rFonts w:ascii="Times New Roman" w:hAnsi="Times New Roman" w:cs="Times New Roman"/>
          <w:sz w:val="24"/>
          <w:szCs w:val="24"/>
        </w:rPr>
        <w:t xml:space="preserve"> the gravity</w:t>
      </w:r>
      <w:r w:rsidR="00BB18D9">
        <w:rPr>
          <w:rFonts w:ascii="Times New Roman" w:hAnsi="Times New Roman" w:cs="Times New Roman"/>
          <w:sz w:val="24"/>
          <w:szCs w:val="24"/>
        </w:rPr>
        <w:t xml:space="preserve"> of the</w:t>
      </w:r>
      <w:r w:rsidR="009662D6">
        <w:rPr>
          <w:rFonts w:ascii="Times New Roman" w:hAnsi="Times New Roman" w:cs="Times New Roman"/>
          <w:sz w:val="24"/>
          <w:szCs w:val="24"/>
        </w:rPr>
        <w:t xml:space="preserve"> </w:t>
      </w:r>
      <w:r w:rsidR="00AA5980">
        <w:rPr>
          <w:rFonts w:ascii="Times New Roman" w:hAnsi="Times New Roman" w:cs="Times New Roman"/>
          <w:sz w:val="24"/>
          <w:szCs w:val="24"/>
        </w:rPr>
        <w:t>foreseeable</w:t>
      </w:r>
      <w:r w:rsidR="009662D6">
        <w:rPr>
          <w:rFonts w:ascii="Times New Roman" w:hAnsi="Times New Roman" w:cs="Times New Roman"/>
          <w:sz w:val="24"/>
          <w:szCs w:val="24"/>
        </w:rPr>
        <w:t xml:space="preserve"> danger. The rationale and justification for punishing an offender for causing danger rather than actual harm using explosives is similar to that in poison offences.</w:t>
      </w:r>
    </w:p>
    <w:p w14:paraId="15262FA7" w14:textId="77777777" w:rsidR="009662D6" w:rsidRPr="00432C10" w:rsidRDefault="009662D6" w:rsidP="00432C10">
      <w:pPr>
        <w:pStyle w:val="ListParagraph"/>
        <w:numPr>
          <w:ilvl w:val="0"/>
          <w:numId w:val="1"/>
        </w:numPr>
        <w:spacing w:line="360" w:lineRule="auto"/>
        <w:jc w:val="both"/>
        <w:rPr>
          <w:rFonts w:ascii="Times New Roman" w:hAnsi="Times New Roman" w:cs="Times New Roman"/>
          <w:b/>
          <w:sz w:val="24"/>
          <w:szCs w:val="24"/>
        </w:rPr>
      </w:pPr>
      <w:r w:rsidRPr="00432C10">
        <w:rPr>
          <w:rFonts w:ascii="Times New Roman" w:hAnsi="Times New Roman" w:cs="Times New Roman"/>
          <w:b/>
          <w:sz w:val="24"/>
          <w:szCs w:val="24"/>
        </w:rPr>
        <w:t>Railway Offences</w:t>
      </w:r>
    </w:p>
    <w:p w14:paraId="74FEE4E5" w14:textId="77777777" w:rsidR="009662D6" w:rsidRDefault="009662D6"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offences are provided for in sections 32 to 34 of the 1865 Act. </w:t>
      </w:r>
      <w:r w:rsidR="00BE0CA7">
        <w:rPr>
          <w:rFonts w:ascii="Times New Roman" w:hAnsi="Times New Roman" w:cs="Times New Roman"/>
          <w:sz w:val="24"/>
          <w:szCs w:val="24"/>
        </w:rPr>
        <w:t xml:space="preserve">They include: placing things on the railway with the </w:t>
      </w:r>
      <w:r w:rsidR="00583F58">
        <w:rPr>
          <w:rFonts w:ascii="Times New Roman" w:hAnsi="Times New Roman" w:cs="Times New Roman"/>
          <w:sz w:val="24"/>
          <w:szCs w:val="24"/>
        </w:rPr>
        <w:t xml:space="preserve">intention of  </w:t>
      </w:r>
      <w:r w:rsidR="00BE0CA7">
        <w:rPr>
          <w:rFonts w:ascii="Times New Roman" w:hAnsi="Times New Roman" w:cs="Times New Roman"/>
          <w:sz w:val="24"/>
          <w:szCs w:val="24"/>
        </w:rPr>
        <w:t xml:space="preserve"> endanger</w:t>
      </w:r>
      <w:r w:rsidR="00583F58">
        <w:rPr>
          <w:rFonts w:ascii="Times New Roman" w:hAnsi="Times New Roman" w:cs="Times New Roman"/>
          <w:sz w:val="24"/>
          <w:szCs w:val="24"/>
        </w:rPr>
        <w:t>ing</w:t>
      </w:r>
      <w:r w:rsidR="00BE0CA7">
        <w:rPr>
          <w:rFonts w:ascii="Times New Roman" w:hAnsi="Times New Roman" w:cs="Times New Roman"/>
          <w:sz w:val="24"/>
          <w:szCs w:val="24"/>
        </w:rPr>
        <w:t xml:space="preserve"> life</w:t>
      </w:r>
      <w:r w:rsidR="00583F58">
        <w:rPr>
          <w:rFonts w:ascii="Times New Roman" w:hAnsi="Times New Roman" w:cs="Times New Roman"/>
          <w:sz w:val="24"/>
          <w:szCs w:val="24"/>
        </w:rPr>
        <w:t>,</w:t>
      </w:r>
      <w:r w:rsidR="00BE0CA7">
        <w:rPr>
          <w:rFonts w:ascii="Times New Roman" w:hAnsi="Times New Roman" w:cs="Times New Roman"/>
          <w:sz w:val="24"/>
          <w:szCs w:val="24"/>
        </w:rPr>
        <w:t xml:space="preserve"> </w:t>
      </w:r>
      <w:r w:rsidR="00583F58">
        <w:rPr>
          <w:rFonts w:ascii="Times New Roman" w:hAnsi="Times New Roman" w:cs="Times New Roman"/>
          <w:sz w:val="24"/>
          <w:szCs w:val="24"/>
        </w:rPr>
        <w:t>throwing objects</w:t>
      </w:r>
      <w:r w:rsidR="00BE0CA7">
        <w:rPr>
          <w:rFonts w:ascii="Times New Roman" w:hAnsi="Times New Roman" w:cs="Times New Roman"/>
          <w:sz w:val="24"/>
          <w:szCs w:val="24"/>
        </w:rPr>
        <w:t xml:space="preserve"> at a railway carriage wit</w:t>
      </w:r>
      <w:r w:rsidR="00583F58">
        <w:rPr>
          <w:rFonts w:ascii="Times New Roman" w:hAnsi="Times New Roman" w:cs="Times New Roman"/>
          <w:sz w:val="24"/>
          <w:szCs w:val="24"/>
        </w:rPr>
        <w:t>h similar intent</w:t>
      </w:r>
      <w:r w:rsidR="00BE0CA7">
        <w:rPr>
          <w:rFonts w:ascii="Times New Roman" w:hAnsi="Times New Roman" w:cs="Times New Roman"/>
          <w:sz w:val="24"/>
          <w:szCs w:val="24"/>
        </w:rPr>
        <w:t xml:space="preserve"> and endangering the safety of any person travelling by rail through an unlawful act or omission. </w:t>
      </w:r>
    </w:p>
    <w:p w14:paraId="71A00D1D" w14:textId="77777777" w:rsidR="00BE0CA7" w:rsidRDefault="00BE0CA7" w:rsidP="00504F6E">
      <w:pPr>
        <w:spacing w:line="360" w:lineRule="auto"/>
        <w:jc w:val="both"/>
        <w:rPr>
          <w:rFonts w:ascii="Times New Roman" w:hAnsi="Times New Roman" w:cs="Times New Roman"/>
          <w:sz w:val="24"/>
          <w:szCs w:val="24"/>
        </w:rPr>
      </w:pPr>
      <w:r w:rsidRPr="00432C10">
        <w:rPr>
          <w:rFonts w:ascii="Times New Roman" w:hAnsi="Times New Roman" w:cs="Times New Roman"/>
          <w:b/>
          <w:sz w:val="24"/>
          <w:szCs w:val="24"/>
        </w:rPr>
        <w:lastRenderedPageBreak/>
        <w:t>Recommend</w:t>
      </w:r>
      <w:r w:rsidR="00A04E43" w:rsidRPr="00432C10">
        <w:rPr>
          <w:rFonts w:ascii="Times New Roman" w:hAnsi="Times New Roman" w:cs="Times New Roman"/>
          <w:b/>
          <w:sz w:val="24"/>
          <w:szCs w:val="24"/>
        </w:rPr>
        <w:t>ation</w:t>
      </w:r>
      <w:r w:rsidR="00A04E43">
        <w:rPr>
          <w:rFonts w:ascii="Times New Roman" w:hAnsi="Times New Roman" w:cs="Times New Roman"/>
          <w:sz w:val="24"/>
          <w:szCs w:val="24"/>
        </w:rPr>
        <w:t xml:space="preserve">: Like in the case of </w:t>
      </w:r>
      <w:r w:rsidR="00AA5980">
        <w:rPr>
          <w:rFonts w:ascii="Times New Roman" w:hAnsi="Times New Roman" w:cs="Times New Roman"/>
          <w:sz w:val="24"/>
          <w:szCs w:val="24"/>
        </w:rPr>
        <w:t>explosions</w:t>
      </w:r>
      <w:r w:rsidR="00A04E43">
        <w:rPr>
          <w:rFonts w:ascii="Times New Roman" w:hAnsi="Times New Roman" w:cs="Times New Roman"/>
          <w:sz w:val="24"/>
          <w:szCs w:val="24"/>
        </w:rPr>
        <w:t xml:space="preserve"> and poisons, t</w:t>
      </w:r>
      <w:r w:rsidR="00583F58">
        <w:rPr>
          <w:rFonts w:ascii="Times New Roman" w:hAnsi="Times New Roman" w:cs="Times New Roman"/>
          <w:sz w:val="24"/>
          <w:szCs w:val="24"/>
        </w:rPr>
        <w:t xml:space="preserve">he reformed Act should </w:t>
      </w:r>
      <w:r w:rsidR="004E3DC3">
        <w:rPr>
          <w:rFonts w:ascii="Times New Roman" w:hAnsi="Times New Roman" w:cs="Times New Roman"/>
          <w:sz w:val="24"/>
          <w:szCs w:val="24"/>
        </w:rPr>
        <w:t>provide only</w:t>
      </w:r>
      <w:r w:rsidR="00583F58">
        <w:rPr>
          <w:rFonts w:ascii="Times New Roman" w:hAnsi="Times New Roman" w:cs="Times New Roman"/>
          <w:sz w:val="24"/>
          <w:szCs w:val="24"/>
        </w:rPr>
        <w:t xml:space="preserve"> for the offence </w:t>
      </w:r>
      <w:r>
        <w:rPr>
          <w:rFonts w:ascii="Times New Roman" w:hAnsi="Times New Roman" w:cs="Times New Roman"/>
          <w:sz w:val="24"/>
          <w:szCs w:val="24"/>
        </w:rPr>
        <w:t>of causing danger on railways</w:t>
      </w:r>
      <w:r w:rsidR="00A04E43">
        <w:rPr>
          <w:rFonts w:ascii="Times New Roman" w:hAnsi="Times New Roman" w:cs="Times New Roman"/>
          <w:sz w:val="24"/>
          <w:szCs w:val="24"/>
        </w:rPr>
        <w:t>.</w:t>
      </w:r>
    </w:p>
    <w:p w14:paraId="24240F57" w14:textId="77777777" w:rsidR="00C709CD" w:rsidRDefault="00C709CD" w:rsidP="00504F6E">
      <w:pPr>
        <w:spacing w:line="360" w:lineRule="auto"/>
        <w:jc w:val="both"/>
        <w:rPr>
          <w:rFonts w:ascii="Times New Roman" w:hAnsi="Times New Roman" w:cs="Times New Roman"/>
          <w:b/>
          <w:sz w:val="24"/>
          <w:szCs w:val="24"/>
        </w:rPr>
      </w:pPr>
    </w:p>
    <w:p w14:paraId="166D558C" w14:textId="77777777" w:rsidR="00C709CD" w:rsidRDefault="00C709CD" w:rsidP="00504F6E">
      <w:pPr>
        <w:spacing w:line="360" w:lineRule="auto"/>
        <w:jc w:val="both"/>
        <w:rPr>
          <w:rFonts w:ascii="Times New Roman" w:hAnsi="Times New Roman" w:cs="Times New Roman"/>
          <w:b/>
          <w:sz w:val="24"/>
          <w:szCs w:val="24"/>
        </w:rPr>
      </w:pPr>
    </w:p>
    <w:p w14:paraId="7B77A6A2" w14:textId="77777777" w:rsidR="00C709CD" w:rsidRDefault="00C709CD" w:rsidP="00504F6E">
      <w:pPr>
        <w:spacing w:line="360" w:lineRule="auto"/>
        <w:jc w:val="both"/>
        <w:rPr>
          <w:rFonts w:ascii="Times New Roman" w:hAnsi="Times New Roman" w:cs="Times New Roman"/>
          <w:b/>
          <w:sz w:val="24"/>
          <w:szCs w:val="24"/>
        </w:rPr>
      </w:pPr>
    </w:p>
    <w:p w14:paraId="38409FB2" w14:textId="77777777" w:rsidR="00C709CD" w:rsidRDefault="00C709CD" w:rsidP="00504F6E">
      <w:pPr>
        <w:spacing w:line="360" w:lineRule="auto"/>
        <w:jc w:val="both"/>
        <w:rPr>
          <w:rFonts w:ascii="Times New Roman" w:hAnsi="Times New Roman" w:cs="Times New Roman"/>
          <w:b/>
          <w:sz w:val="24"/>
          <w:szCs w:val="24"/>
        </w:rPr>
      </w:pPr>
    </w:p>
    <w:p w14:paraId="223B3978" w14:textId="77777777" w:rsidR="00C709CD" w:rsidRDefault="00C709CD" w:rsidP="00504F6E">
      <w:pPr>
        <w:spacing w:line="360" w:lineRule="auto"/>
        <w:jc w:val="both"/>
        <w:rPr>
          <w:rFonts w:ascii="Times New Roman" w:hAnsi="Times New Roman" w:cs="Times New Roman"/>
          <w:b/>
          <w:sz w:val="24"/>
          <w:szCs w:val="24"/>
        </w:rPr>
      </w:pPr>
    </w:p>
    <w:p w14:paraId="55188736" w14:textId="77777777" w:rsidR="00C709CD" w:rsidRDefault="00C709CD" w:rsidP="00504F6E">
      <w:pPr>
        <w:spacing w:line="360" w:lineRule="auto"/>
        <w:jc w:val="both"/>
        <w:rPr>
          <w:rFonts w:ascii="Times New Roman" w:hAnsi="Times New Roman" w:cs="Times New Roman"/>
          <w:b/>
          <w:sz w:val="24"/>
          <w:szCs w:val="24"/>
        </w:rPr>
      </w:pPr>
    </w:p>
    <w:p w14:paraId="2907FB8F" w14:textId="77777777" w:rsidR="00C709CD" w:rsidRDefault="00C709CD" w:rsidP="00504F6E">
      <w:pPr>
        <w:spacing w:line="360" w:lineRule="auto"/>
        <w:jc w:val="both"/>
        <w:rPr>
          <w:rFonts w:ascii="Times New Roman" w:hAnsi="Times New Roman" w:cs="Times New Roman"/>
          <w:b/>
          <w:sz w:val="24"/>
          <w:szCs w:val="24"/>
        </w:rPr>
      </w:pPr>
    </w:p>
    <w:p w14:paraId="324A67BB" w14:textId="77777777" w:rsidR="00C709CD" w:rsidRDefault="00C709CD" w:rsidP="00504F6E">
      <w:pPr>
        <w:spacing w:line="360" w:lineRule="auto"/>
        <w:jc w:val="both"/>
        <w:rPr>
          <w:rFonts w:ascii="Times New Roman" w:hAnsi="Times New Roman" w:cs="Times New Roman"/>
          <w:b/>
          <w:sz w:val="24"/>
          <w:szCs w:val="24"/>
        </w:rPr>
      </w:pPr>
    </w:p>
    <w:p w14:paraId="6B7A2F0C" w14:textId="77777777" w:rsidR="00C709CD" w:rsidRDefault="00C709CD" w:rsidP="00504F6E">
      <w:pPr>
        <w:spacing w:line="360" w:lineRule="auto"/>
        <w:jc w:val="both"/>
        <w:rPr>
          <w:rFonts w:ascii="Times New Roman" w:hAnsi="Times New Roman" w:cs="Times New Roman"/>
          <w:b/>
          <w:sz w:val="24"/>
          <w:szCs w:val="24"/>
        </w:rPr>
      </w:pPr>
    </w:p>
    <w:p w14:paraId="496BCF74" w14:textId="77777777" w:rsidR="00C709CD" w:rsidRDefault="00C709CD" w:rsidP="00504F6E">
      <w:pPr>
        <w:spacing w:line="360" w:lineRule="auto"/>
        <w:jc w:val="both"/>
        <w:rPr>
          <w:rFonts w:ascii="Times New Roman" w:hAnsi="Times New Roman" w:cs="Times New Roman"/>
          <w:b/>
          <w:sz w:val="24"/>
          <w:szCs w:val="24"/>
        </w:rPr>
      </w:pPr>
    </w:p>
    <w:p w14:paraId="480264CA" w14:textId="77777777" w:rsidR="00C709CD" w:rsidRDefault="00C709CD" w:rsidP="00504F6E">
      <w:pPr>
        <w:spacing w:line="360" w:lineRule="auto"/>
        <w:jc w:val="both"/>
        <w:rPr>
          <w:rFonts w:ascii="Times New Roman" w:hAnsi="Times New Roman" w:cs="Times New Roman"/>
          <w:b/>
          <w:sz w:val="24"/>
          <w:szCs w:val="24"/>
        </w:rPr>
      </w:pPr>
    </w:p>
    <w:p w14:paraId="1EE17672" w14:textId="77777777" w:rsidR="00C709CD" w:rsidRDefault="00C709CD" w:rsidP="00504F6E">
      <w:pPr>
        <w:spacing w:line="360" w:lineRule="auto"/>
        <w:jc w:val="both"/>
        <w:rPr>
          <w:rFonts w:ascii="Times New Roman" w:hAnsi="Times New Roman" w:cs="Times New Roman"/>
          <w:b/>
          <w:sz w:val="24"/>
          <w:szCs w:val="24"/>
        </w:rPr>
      </w:pPr>
    </w:p>
    <w:p w14:paraId="4A89BDD1" w14:textId="77777777" w:rsidR="00C2605D" w:rsidRDefault="00C2605D" w:rsidP="00504F6E">
      <w:pPr>
        <w:spacing w:line="360" w:lineRule="auto"/>
        <w:jc w:val="both"/>
        <w:rPr>
          <w:rFonts w:ascii="Times New Roman" w:hAnsi="Times New Roman" w:cs="Times New Roman"/>
          <w:b/>
          <w:sz w:val="24"/>
          <w:szCs w:val="24"/>
        </w:rPr>
      </w:pPr>
      <w:r w:rsidRPr="00C709CD">
        <w:rPr>
          <w:rFonts w:ascii="Times New Roman" w:hAnsi="Times New Roman" w:cs="Times New Roman"/>
          <w:b/>
          <w:sz w:val="24"/>
          <w:szCs w:val="24"/>
        </w:rPr>
        <w:t>References</w:t>
      </w:r>
    </w:p>
    <w:p w14:paraId="2143E2EE" w14:textId="77777777" w:rsidR="00BC51D7" w:rsidRPr="00397C33" w:rsidRDefault="00397C33"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Bharati, T.V. (2020). Constructive Liability-A Comparative Study in Different Jurisdictions. </w:t>
      </w:r>
      <w:r w:rsidRPr="00397C33">
        <w:rPr>
          <w:rFonts w:ascii="Times New Roman" w:hAnsi="Times New Roman" w:cs="Times New Roman"/>
          <w:i/>
          <w:sz w:val="24"/>
          <w:szCs w:val="24"/>
        </w:rPr>
        <w:t>Law Times Journal</w:t>
      </w:r>
      <w:r>
        <w:rPr>
          <w:rFonts w:ascii="Times New Roman" w:hAnsi="Times New Roman" w:cs="Times New Roman"/>
          <w:sz w:val="24"/>
          <w:szCs w:val="24"/>
        </w:rPr>
        <w:t xml:space="preserve">. Available at: </w:t>
      </w:r>
      <w:hyperlink r:id="rId7" w:history="1">
        <w:r w:rsidRPr="0057206A">
          <w:rPr>
            <w:rStyle w:val="Hyperlink"/>
            <w:rFonts w:ascii="Times New Roman" w:hAnsi="Times New Roman" w:cs="Times New Roman"/>
            <w:sz w:val="24"/>
            <w:szCs w:val="24"/>
          </w:rPr>
          <w:t>http://lawtimesjournal.in/constructive-liability-a-comparative-study-in-different-jurisdictions/</w:t>
        </w:r>
      </w:hyperlink>
      <w:r>
        <w:rPr>
          <w:rFonts w:ascii="Times New Roman" w:hAnsi="Times New Roman" w:cs="Times New Roman"/>
          <w:sz w:val="24"/>
          <w:szCs w:val="24"/>
        </w:rPr>
        <w:t xml:space="preserve"> (Accessed on 22 February 2021), </w:t>
      </w:r>
    </w:p>
    <w:p w14:paraId="44657C6F" w14:textId="77777777" w:rsidR="0000423B" w:rsidRDefault="0000423B"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Comford, Andrew (2014). The Architecture of Homicide, </w:t>
      </w:r>
      <w:r w:rsidRPr="00397C33">
        <w:rPr>
          <w:rFonts w:ascii="Times New Roman" w:hAnsi="Times New Roman" w:cs="Times New Roman"/>
          <w:i/>
          <w:sz w:val="24"/>
          <w:szCs w:val="24"/>
        </w:rPr>
        <w:t>Oxford Journal of Legal Studies</w:t>
      </w:r>
      <w:r>
        <w:rPr>
          <w:rFonts w:ascii="Times New Roman" w:hAnsi="Times New Roman" w:cs="Times New Roman"/>
          <w:sz w:val="24"/>
          <w:szCs w:val="24"/>
        </w:rPr>
        <w:t>, vol.34</w:t>
      </w:r>
      <w:r w:rsidR="00AA5980">
        <w:rPr>
          <w:rFonts w:ascii="Times New Roman" w:hAnsi="Times New Roman" w:cs="Times New Roman"/>
          <w:sz w:val="24"/>
          <w:szCs w:val="24"/>
        </w:rPr>
        <w:t>, no.4</w:t>
      </w:r>
      <w:r>
        <w:rPr>
          <w:rFonts w:ascii="Times New Roman" w:hAnsi="Times New Roman" w:cs="Times New Roman"/>
          <w:sz w:val="24"/>
          <w:szCs w:val="24"/>
        </w:rPr>
        <w:t xml:space="preserve">, pp.819-839. Available at: </w:t>
      </w:r>
      <w:hyperlink r:id="rId8" w:history="1">
        <w:r w:rsidRPr="00283750">
          <w:rPr>
            <w:rStyle w:val="Hyperlink"/>
            <w:rFonts w:ascii="Times New Roman" w:hAnsi="Times New Roman" w:cs="Times New Roman"/>
            <w:sz w:val="24"/>
            <w:szCs w:val="24"/>
          </w:rPr>
          <w:t>https://doi.org/10.1003/ojls/gqu022</w:t>
        </w:r>
      </w:hyperlink>
      <w:r>
        <w:rPr>
          <w:rFonts w:ascii="Times New Roman" w:hAnsi="Times New Roman" w:cs="Times New Roman"/>
          <w:sz w:val="24"/>
          <w:szCs w:val="24"/>
        </w:rPr>
        <w:t xml:space="preserve"> (Accesses on 22 February 2021).</w:t>
      </w:r>
    </w:p>
    <w:p w14:paraId="04637C1B" w14:textId="77777777" w:rsidR="00303A77" w:rsidRDefault="00303A77"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DPP v Smith [1961] AC 290</w:t>
      </w:r>
    </w:p>
    <w:p w14:paraId="779CB9C0" w14:textId="77777777" w:rsidR="00B26F4E" w:rsidRDefault="00B26F4E"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El Faisal [2004] EWCA Crim</w:t>
      </w:r>
      <w:r w:rsidR="00AA5980">
        <w:rPr>
          <w:rFonts w:ascii="Times New Roman" w:hAnsi="Times New Roman" w:cs="Times New Roman"/>
          <w:sz w:val="24"/>
          <w:szCs w:val="24"/>
        </w:rPr>
        <w:t>.</w:t>
      </w:r>
      <w:r>
        <w:rPr>
          <w:rFonts w:ascii="Times New Roman" w:hAnsi="Times New Roman" w:cs="Times New Roman"/>
          <w:sz w:val="24"/>
          <w:szCs w:val="24"/>
        </w:rPr>
        <w:t xml:space="preserve"> 343.</w:t>
      </w:r>
    </w:p>
    <w:p w14:paraId="528EDF74" w14:textId="77777777" w:rsidR="005F331A" w:rsidRDefault="005F331A"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Law Commission (2014). Reform of Offences </w:t>
      </w:r>
      <w:r w:rsidR="00AA5980">
        <w:rPr>
          <w:rFonts w:ascii="Times New Roman" w:hAnsi="Times New Roman" w:cs="Times New Roman"/>
          <w:sz w:val="24"/>
          <w:szCs w:val="24"/>
        </w:rPr>
        <w:t>against</w:t>
      </w:r>
      <w:r>
        <w:rPr>
          <w:rFonts w:ascii="Times New Roman" w:hAnsi="Times New Roman" w:cs="Times New Roman"/>
          <w:sz w:val="24"/>
          <w:szCs w:val="24"/>
        </w:rPr>
        <w:t xml:space="preserve"> the </w:t>
      </w:r>
      <w:r w:rsidR="00AA5980">
        <w:rPr>
          <w:rFonts w:ascii="Times New Roman" w:hAnsi="Times New Roman" w:cs="Times New Roman"/>
          <w:sz w:val="24"/>
          <w:szCs w:val="24"/>
        </w:rPr>
        <w:t>Person:</w:t>
      </w:r>
      <w:r>
        <w:rPr>
          <w:rFonts w:ascii="Times New Roman" w:hAnsi="Times New Roman" w:cs="Times New Roman"/>
          <w:sz w:val="24"/>
          <w:szCs w:val="24"/>
        </w:rPr>
        <w:t xml:space="preserve"> A Scoping Consultation Paper. Available at: </w:t>
      </w:r>
      <w:r w:rsidR="00C709CD">
        <w:rPr>
          <w:rFonts w:ascii="Times New Roman" w:hAnsi="Times New Roman" w:cs="Times New Roman"/>
          <w:sz w:val="24"/>
          <w:szCs w:val="24"/>
        </w:rPr>
        <w:t xml:space="preserve"> </w:t>
      </w:r>
    </w:p>
    <w:p w14:paraId="4E1F43C6" w14:textId="77777777" w:rsidR="00C709CD" w:rsidRDefault="00676270" w:rsidP="00504F6E">
      <w:pPr>
        <w:spacing w:line="360" w:lineRule="auto"/>
        <w:jc w:val="both"/>
        <w:rPr>
          <w:rFonts w:ascii="Times New Roman" w:hAnsi="Times New Roman" w:cs="Times New Roman"/>
          <w:sz w:val="24"/>
          <w:szCs w:val="24"/>
        </w:rPr>
      </w:pPr>
      <w:hyperlink r:id="rId9" w:history="1">
        <w:r w:rsidR="00C709CD" w:rsidRPr="0057206A">
          <w:rPr>
            <w:rStyle w:val="Hyperlink"/>
            <w:rFonts w:ascii="Times New Roman" w:hAnsi="Times New Roman" w:cs="Times New Roman"/>
            <w:sz w:val="24"/>
            <w:szCs w:val="24"/>
          </w:rPr>
          <w:t>https://www.google.com/url?q=https://s3-eu-west-2.amazonaws.com/lawcom-prod-storage-11jsxou24uy7q/uploads/2015/06/cp217_offences_against_the_person_summary.pdf&amp;sa=U&amp;ved=2ahUKEwiSsozT9_zuAhWCD-wKHWnkAgcQFjACegQICRAB&amp;usg=AOvVaw1jj09iKHGOXWV9Vz6C4anJ</w:t>
        </w:r>
      </w:hyperlink>
      <w:r w:rsidR="00C709CD">
        <w:rPr>
          <w:rFonts w:ascii="Times New Roman" w:hAnsi="Times New Roman" w:cs="Times New Roman"/>
          <w:sz w:val="24"/>
          <w:szCs w:val="24"/>
        </w:rPr>
        <w:t xml:space="preserve"> </w:t>
      </w:r>
    </w:p>
    <w:p w14:paraId="2077EC95" w14:textId="77777777" w:rsidR="00C709CD" w:rsidRDefault="005F331A"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Offences </w:t>
      </w:r>
      <w:r w:rsidR="00AA5980">
        <w:rPr>
          <w:rFonts w:ascii="Times New Roman" w:hAnsi="Times New Roman" w:cs="Times New Roman"/>
          <w:sz w:val="24"/>
          <w:szCs w:val="24"/>
        </w:rPr>
        <w:t>against</w:t>
      </w:r>
      <w:r>
        <w:rPr>
          <w:rFonts w:ascii="Times New Roman" w:hAnsi="Times New Roman" w:cs="Times New Roman"/>
          <w:sz w:val="24"/>
          <w:szCs w:val="24"/>
        </w:rPr>
        <w:t xml:space="preserve"> the Person Act 1861. Available at:</w:t>
      </w:r>
      <w:r w:rsidR="00C709CD">
        <w:rPr>
          <w:rFonts w:ascii="Times New Roman" w:hAnsi="Times New Roman" w:cs="Times New Roman"/>
          <w:sz w:val="24"/>
          <w:szCs w:val="24"/>
        </w:rPr>
        <w:t xml:space="preserve"> </w:t>
      </w:r>
    </w:p>
    <w:p w14:paraId="33BBC7F4" w14:textId="77777777" w:rsidR="005F331A" w:rsidRDefault="005F331A"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hyperlink r:id="rId10" w:history="1">
        <w:r w:rsidR="00C709CD" w:rsidRPr="0057206A">
          <w:rPr>
            <w:rStyle w:val="Hyperlink"/>
            <w:rFonts w:ascii="Times New Roman" w:hAnsi="Times New Roman" w:cs="Times New Roman"/>
            <w:sz w:val="24"/>
            <w:szCs w:val="24"/>
          </w:rPr>
          <w:t>https://www.legislation.gov.uk/ukpga/Vict/24-25/100/contents</w:t>
        </w:r>
      </w:hyperlink>
      <w:r w:rsidR="00C709CD">
        <w:rPr>
          <w:rFonts w:ascii="Times New Roman" w:hAnsi="Times New Roman" w:cs="Times New Roman"/>
          <w:sz w:val="24"/>
          <w:szCs w:val="24"/>
        </w:rPr>
        <w:t xml:space="preserve"> (Accessed 22 February</w:t>
      </w:r>
      <w:r w:rsidR="00AA5980">
        <w:rPr>
          <w:rFonts w:ascii="Times New Roman" w:hAnsi="Times New Roman" w:cs="Times New Roman"/>
          <w:sz w:val="24"/>
          <w:szCs w:val="24"/>
        </w:rPr>
        <w:t>, 2021</w:t>
      </w:r>
      <w:r w:rsidR="00C709CD">
        <w:rPr>
          <w:rFonts w:ascii="Times New Roman" w:hAnsi="Times New Roman" w:cs="Times New Roman"/>
          <w:sz w:val="24"/>
          <w:szCs w:val="24"/>
        </w:rPr>
        <w:t>)</w:t>
      </w:r>
    </w:p>
    <w:p w14:paraId="45F29B7B" w14:textId="77777777" w:rsidR="00303A77" w:rsidRDefault="00303A77"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R v Ireland and Burstow [1997] UKHL 34</w:t>
      </w:r>
    </w:p>
    <w:p w14:paraId="07438E3C" w14:textId="77777777" w:rsidR="002A7133" w:rsidRDefault="002A7133"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R v Miller [1954] 2 Q.B. 282</w:t>
      </w:r>
    </w:p>
    <w:p w14:paraId="45B45163" w14:textId="77777777" w:rsidR="00303A77" w:rsidRDefault="00303A77"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 v Saunders </w:t>
      </w:r>
      <w:r w:rsidR="0000423B">
        <w:rPr>
          <w:rFonts w:ascii="Times New Roman" w:hAnsi="Times New Roman" w:cs="Times New Roman"/>
          <w:sz w:val="24"/>
          <w:szCs w:val="24"/>
        </w:rPr>
        <w:t xml:space="preserve">[1985] </w:t>
      </w:r>
    </w:p>
    <w:p w14:paraId="31A328A5" w14:textId="77777777" w:rsidR="002A7133" w:rsidRDefault="002A7133"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R v S</w:t>
      </w:r>
      <w:r w:rsidR="00303A77">
        <w:rPr>
          <w:rFonts w:ascii="Times New Roman" w:hAnsi="Times New Roman" w:cs="Times New Roman"/>
          <w:sz w:val="24"/>
          <w:szCs w:val="24"/>
        </w:rPr>
        <w:t>hephard [1919] 2 KB 125.</w:t>
      </w:r>
    </w:p>
    <w:p w14:paraId="5B5B0813" w14:textId="77777777" w:rsidR="0000423B" w:rsidRDefault="0065795E"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Serious Crime Act 2007. Available at: </w:t>
      </w:r>
    </w:p>
    <w:p w14:paraId="4E519B57" w14:textId="77777777" w:rsidR="00C709CD" w:rsidRPr="009662D6" w:rsidRDefault="00676270" w:rsidP="00504F6E">
      <w:pPr>
        <w:spacing w:line="360" w:lineRule="auto"/>
        <w:jc w:val="both"/>
        <w:rPr>
          <w:rFonts w:ascii="Times New Roman" w:hAnsi="Times New Roman" w:cs="Times New Roman"/>
          <w:sz w:val="24"/>
          <w:szCs w:val="24"/>
        </w:rPr>
      </w:pPr>
      <w:hyperlink r:id="rId11" w:history="1">
        <w:r w:rsidR="00C709CD" w:rsidRPr="0057206A">
          <w:rPr>
            <w:rStyle w:val="Hyperlink"/>
            <w:rFonts w:ascii="Times New Roman" w:hAnsi="Times New Roman" w:cs="Times New Roman"/>
            <w:sz w:val="24"/>
            <w:szCs w:val="24"/>
          </w:rPr>
          <w:t>https://www.legislation.gov.uk/ukpga/2007/27/contents</w:t>
        </w:r>
      </w:hyperlink>
      <w:r w:rsidR="00C709CD">
        <w:rPr>
          <w:rFonts w:ascii="Times New Roman" w:hAnsi="Times New Roman" w:cs="Times New Roman"/>
          <w:sz w:val="24"/>
          <w:szCs w:val="24"/>
        </w:rPr>
        <w:t xml:space="preserve"> (Accessed 22 February 2021).</w:t>
      </w:r>
    </w:p>
    <w:p w14:paraId="2BC13BAA" w14:textId="77777777" w:rsidR="009662D6" w:rsidRDefault="005F331A" w:rsidP="00504F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Law Commission (2015). Reform of Offences </w:t>
      </w:r>
      <w:r w:rsidR="00AA5980">
        <w:rPr>
          <w:rFonts w:ascii="Times New Roman" w:hAnsi="Times New Roman" w:cs="Times New Roman"/>
          <w:sz w:val="24"/>
          <w:szCs w:val="24"/>
        </w:rPr>
        <w:t>against</w:t>
      </w:r>
      <w:r>
        <w:rPr>
          <w:rFonts w:ascii="Times New Roman" w:hAnsi="Times New Roman" w:cs="Times New Roman"/>
          <w:sz w:val="24"/>
          <w:szCs w:val="24"/>
        </w:rPr>
        <w:t xml:space="preserve"> the Person. Available at: </w:t>
      </w:r>
      <w:hyperlink r:id="rId12" w:history="1">
        <w:r w:rsidRPr="00283750">
          <w:rPr>
            <w:rStyle w:val="Hyperlink"/>
            <w:rFonts w:ascii="Times New Roman" w:hAnsi="Times New Roman" w:cs="Times New Roman"/>
            <w:sz w:val="24"/>
            <w:szCs w:val="24"/>
          </w:rPr>
          <w:t>www.gov.uk/government/publications</w:t>
        </w:r>
      </w:hyperlink>
      <w:r>
        <w:rPr>
          <w:rFonts w:ascii="Times New Roman" w:hAnsi="Times New Roman" w:cs="Times New Roman"/>
          <w:sz w:val="24"/>
          <w:szCs w:val="24"/>
        </w:rPr>
        <w:t xml:space="preserve"> (Accessed 22 February 2021).</w:t>
      </w:r>
    </w:p>
    <w:p w14:paraId="2F1AA12E" w14:textId="77777777" w:rsidR="005F331A" w:rsidRPr="00A44562" w:rsidRDefault="005F331A" w:rsidP="00504F6E">
      <w:pPr>
        <w:spacing w:line="360" w:lineRule="auto"/>
        <w:jc w:val="both"/>
        <w:rPr>
          <w:rFonts w:ascii="Times New Roman" w:hAnsi="Times New Roman" w:cs="Times New Roman"/>
          <w:sz w:val="24"/>
          <w:szCs w:val="24"/>
        </w:rPr>
      </w:pPr>
    </w:p>
    <w:p w14:paraId="2BA632EF" w14:textId="77777777" w:rsidR="001E46CF" w:rsidRPr="001E46CF" w:rsidRDefault="001E46CF" w:rsidP="00504F6E">
      <w:pPr>
        <w:spacing w:line="360" w:lineRule="auto"/>
        <w:jc w:val="both"/>
        <w:rPr>
          <w:rFonts w:ascii="Times New Roman" w:hAnsi="Times New Roman" w:cs="Times New Roman"/>
          <w:sz w:val="24"/>
          <w:szCs w:val="24"/>
        </w:rPr>
      </w:pPr>
    </w:p>
    <w:p w14:paraId="21FCD0C5" w14:textId="77777777" w:rsidR="003C53DF" w:rsidRDefault="003C53DF" w:rsidP="006A5536">
      <w:pPr>
        <w:spacing w:line="360" w:lineRule="auto"/>
        <w:jc w:val="both"/>
        <w:rPr>
          <w:rFonts w:ascii="Times New Roman" w:hAnsi="Times New Roman" w:cs="Times New Roman"/>
          <w:sz w:val="24"/>
          <w:szCs w:val="24"/>
        </w:rPr>
      </w:pPr>
    </w:p>
    <w:p w14:paraId="7AE1D627" w14:textId="77777777" w:rsidR="008D7AD0" w:rsidRDefault="008D7AD0" w:rsidP="006A5536">
      <w:pPr>
        <w:spacing w:line="360" w:lineRule="auto"/>
        <w:jc w:val="both"/>
        <w:rPr>
          <w:rFonts w:ascii="Times New Roman" w:hAnsi="Times New Roman" w:cs="Times New Roman"/>
          <w:sz w:val="24"/>
          <w:szCs w:val="24"/>
        </w:rPr>
      </w:pPr>
    </w:p>
    <w:p w14:paraId="44E18609" w14:textId="77777777" w:rsidR="006A5536" w:rsidRPr="00E845DF" w:rsidRDefault="006A5536" w:rsidP="006A5536">
      <w:pPr>
        <w:spacing w:line="360" w:lineRule="auto"/>
        <w:jc w:val="both"/>
        <w:rPr>
          <w:rFonts w:ascii="Times New Roman" w:hAnsi="Times New Roman" w:cs="Times New Roman"/>
          <w:sz w:val="24"/>
          <w:szCs w:val="24"/>
        </w:rPr>
      </w:pPr>
    </w:p>
    <w:p w14:paraId="1ADFE874" w14:textId="77777777" w:rsidR="004B6F44" w:rsidRDefault="004B6F44" w:rsidP="004B6F44">
      <w:pPr>
        <w:spacing w:line="360" w:lineRule="auto"/>
        <w:jc w:val="both"/>
        <w:rPr>
          <w:rFonts w:ascii="Times New Roman" w:hAnsi="Times New Roman" w:cs="Times New Roman"/>
          <w:sz w:val="24"/>
          <w:szCs w:val="24"/>
        </w:rPr>
      </w:pPr>
    </w:p>
    <w:p w14:paraId="1AE5742C" w14:textId="77777777" w:rsidR="00366E86" w:rsidRDefault="00366E86" w:rsidP="004B6F44">
      <w:pPr>
        <w:spacing w:line="360" w:lineRule="auto"/>
        <w:jc w:val="both"/>
        <w:rPr>
          <w:rFonts w:ascii="Times New Roman" w:hAnsi="Times New Roman" w:cs="Times New Roman"/>
          <w:sz w:val="24"/>
          <w:szCs w:val="24"/>
        </w:rPr>
      </w:pPr>
    </w:p>
    <w:p w14:paraId="6FA68124" w14:textId="77777777" w:rsidR="00366E86" w:rsidRPr="00776CEA" w:rsidRDefault="00366E86" w:rsidP="00D71AE5">
      <w:pPr>
        <w:rPr>
          <w:rFonts w:ascii="Times New Roman" w:hAnsi="Times New Roman" w:cs="Times New Roman"/>
          <w:sz w:val="24"/>
          <w:szCs w:val="24"/>
        </w:rPr>
      </w:pPr>
    </w:p>
    <w:p w14:paraId="61B53504" w14:textId="77777777" w:rsidR="00C72A7F" w:rsidRPr="00DC27B1" w:rsidRDefault="00C72A7F" w:rsidP="00776CEA">
      <w:pPr>
        <w:rPr>
          <w:rFonts w:ascii="Times New Roman" w:hAnsi="Times New Roman" w:cs="Times New Roman"/>
          <w:sz w:val="24"/>
          <w:szCs w:val="24"/>
        </w:rPr>
      </w:pPr>
    </w:p>
    <w:p w14:paraId="7FBFCCDD" w14:textId="77777777" w:rsidR="002E1A9C" w:rsidRDefault="002E1A9C" w:rsidP="00AB778D">
      <w:pPr>
        <w:rPr>
          <w:rFonts w:ascii="Times New Roman" w:hAnsi="Times New Roman" w:cs="Times New Roman"/>
          <w:sz w:val="24"/>
          <w:szCs w:val="24"/>
        </w:rPr>
      </w:pPr>
    </w:p>
    <w:p w14:paraId="7C23487F" w14:textId="77777777" w:rsidR="002E1A9C" w:rsidRDefault="002E1A9C" w:rsidP="00AB778D">
      <w:pPr>
        <w:rPr>
          <w:rFonts w:ascii="Times New Roman" w:hAnsi="Times New Roman" w:cs="Times New Roman"/>
          <w:sz w:val="24"/>
          <w:szCs w:val="24"/>
        </w:rPr>
      </w:pPr>
    </w:p>
    <w:p w14:paraId="70A1270C" w14:textId="77777777" w:rsidR="00F00BFC" w:rsidRDefault="00F00BFC" w:rsidP="00AB778D">
      <w:pPr>
        <w:rPr>
          <w:rFonts w:ascii="Times New Roman" w:hAnsi="Times New Roman" w:cs="Times New Roman"/>
          <w:sz w:val="24"/>
          <w:szCs w:val="24"/>
        </w:rPr>
      </w:pPr>
    </w:p>
    <w:p w14:paraId="7163DB63" w14:textId="77777777" w:rsidR="008723FD" w:rsidRPr="00AB778D" w:rsidRDefault="008723FD" w:rsidP="00AB778D">
      <w:pPr>
        <w:rPr>
          <w:rFonts w:ascii="Times New Roman" w:hAnsi="Times New Roman" w:cs="Times New Roman"/>
          <w:sz w:val="24"/>
          <w:szCs w:val="24"/>
        </w:rPr>
      </w:pPr>
    </w:p>
    <w:p w14:paraId="1EE451B0" w14:textId="77777777" w:rsidR="008E0010" w:rsidRPr="008E0010" w:rsidRDefault="008E0010" w:rsidP="008E0010">
      <w:pPr>
        <w:rPr>
          <w:rFonts w:ascii="Times New Roman" w:hAnsi="Times New Roman" w:cs="Times New Roman"/>
          <w:sz w:val="24"/>
          <w:szCs w:val="24"/>
        </w:rPr>
      </w:pPr>
    </w:p>
    <w:p w14:paraId="381E95FE" w14:textId="77777777" w:rsidR="00694543" w:rsidRPr="00BE27D6" w:rsidRDefault="00C44676" w:rsidP="003742CC">
      <w:pPr>
        <w:rPr>
          <w:rFonts w:ascii="Times New Roman" w:hAnsi="Times New Roman" w:cs="Times New Roman"/>
          <w:sz w:val="24"/>
          <w:szCs w:val="24"/>
        </w:rPr>
      </w:pPr>
      <w:r>
        <w:rPr>
          <w:rFonts w:ascii="Times New Roman" w:hAnsi="Times New Roman" w:cs="Times New Roman"/>
          <w:sz w:val="24"/>
          <w:szCs w:val="24"/>
        </w:rPr>
        <w:t xml:space="preserve"> </w:t>
      </w:r>
    </w:p>
    <w:sectPr w:rsidR="00694543" w:rsidRPr="00BE27D6">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5D523" w14:textId="77777777" w:rsidR="00676270" w:rsidRDefault="00676270" w:rsidP="00C96DC2">
      <w:pPr>
        <w:spacing w:after="0" w:line="240" w:lineRule="auto"/>
      </w:pPr>
      <w:r>
        <w:separator/>
      </w:r>
    </w:p>
  </w:endnote>
  <w:endnote w:type="continuationSeparator" w:id="0">
    <w:p w14:paraId="280D646F" w14:textId="77777777" w:rsidR="00676270" w:rsidRDefault="00676270" w:rsidP="00C9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5F7A7" w14:textId="77777777" w:rsidR="00676270" w:rsidRDefault="00676270" w:rsidP="00C96DC2">
      <w:pPr>
        <w:spacing w:after="0" w:line="240" w:lineRule="auto"/>
      </w:pPr>
      <w:r>
        <w:separator/>
      </w:r>
    </w:p>
  </w:footnote>
  <w:footnote w:type="continuationSeparator" w:id="0">
    <w:p w14:paraId="334C9BE6" w14:textId="77777777" w:rsidR="00676270" w:rsidRDefault="00676270" w:rsidP="00C96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2785505"/>
      <w:docPartObj>
        <w:docPartGallery w:val="Page Numbers (Top of Page)"/>
        <w:docPartUnique/>
      </w:docPartObj>
    </w:sdtPr>
    <w:sdtEndPr>
      <w:rPr>
        <w:noProof/>
      </w:rPr>
    </w:sdtEndPr>
    <w:sdtContent>
      <w:p w14:paraId="7696016C" w14:textId="77777777" w:rsidR="00C96DC2" w:rsidRDefault="00C96DC2">
        <w:pPr>
          <w:pStyle w:val="Header"/>
          <w:jc w:val="right"/>
        </w:pPr>
        <w:r>
          <w:fldChar w:fldCharType="begin"/>
        </w:r>
        <w:r>
          <w:instrText xml:space="preserve"> PAGE   \* MERGEFORMAT </w:instrText>
        </w:r>
        <w:r>
          <w:fldChar w:fldCharType="separate"/>
        </w:r>
        <w:r w:rsidR="007A607D">
          <w:rPr>
            <w:noProof/>
          </w:rPr>
          <w:t>2</w:t>
        </w:r>
        <w:r>
          <w:rPr>
            <w:noProof/>
          </w:rPr>
          <w:fldChar w:fldCharType="end"/>
        </w:r>
      </w:p>
    </w:sdtContent>
  </w:sdt>
  <w:p w14:paraId="73C195F3" w14:textId="77777777" w:rsidR="00C96DC2" w:rsidRPr="00C96DC2" w:rsidRDefault="00C96DC2">
    <w:pPr>
      <w:pStyle w:val="Header"/>
      <w:rPr>
        <w:rFonts w:ascii="Times New Roman" w:hAnsi="Times New Roman" w:cs="Times New Roman"/>
        <w:sz w:val="24"/>
        <w:szCs w:val="24"/>
      </w:rPr>
    </w:pPr>
    <w:r>
      <w:t xml:space="preserve">  </w:t>
    </w:r>
    <w:r>
      <w:tab/>
      <w:t xml:space="preserve">                                                                                                                                 </w:t>
    </w:r>
    <w:r>
      <w:rPr>
        <w:rFonts w:ascii="Times New Roman" w:hAnsi="Times New Roman" w:cs="Times New Roman"/>
        <w:sz w:val="24"/>
        <w:szCs w:val="24"/>
      </w:rPr>
      <w:t>REFORMS TO 1861 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113AB"/>
    <w:multiLevelType w:val="hybridMultilevel"/>
    <w:tmpl w:val="71C89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35628"/>
    <w:multiLevelType w:val="hybridMultilevel"/>
    <w:tmpl w:val="F35EFEEA"/>
    <w:lvl w:ilvl="0" w:tplc="BD1C63A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3C1866"/>
    <w:multiLevelType w:val="hybridMultilevel"/>
    <w:tmpl w:val="4A504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D80D46"/>
    <w:multiLevelType w:val="hybridMultilevel"/>
    <w:tmpl w:val="B11E7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27D6"/>
    <w:rsid w:val="0000423B"/>
    <w:rsid w:val="000374D6"/>
    <w:rsid w:val="000A5394"/>
    <w:rsid w:val="00110AE7"/>
    <w:rsid w:val="001B744F"/>
    <w:rsid w:val="001E46CF"/>
    <w:rsid w:val="001E5D12"/>
    <w:rsid w:val="00250473"/>
    <w:rsid w:val="002649C5"/>
    <w:rsid w:val="00285042"/>
    <w:rsid w:val="002A553A"/>
    <w:rsid w:val="002A7133"/>
    <w:rsid w:val="002E1A9C"/>
    <w:rsid w:val="002E27EA"/>
    <w:rsid w:val="002E7F56"/>
    <w:rsid w:val="00300835"/>
    <w:rsid w:val="00303A77"/>
    <w:rsid w:val="003432DA"/>
    <w:rsid w:val="00366E86"/>
    <w:rsid w:val="003742CC"/>
    <w:rsid w:val="00383CA2"/>
    <w:rsid w:val="003912C3"/>
    <w:rsid w:val="00397C33"/>
    <w:rsid w:val="003B1773"/>
    <w:rsid w:val="003C53DF"/>
    <w:rsid w:val="003D548B"/>
    <w:rsid w:val="00432C10"/>
    <w:rsid w:val="00441253"/>
    <w:rsid w:val="004B6F44"/>
    <w:rsid w:val="004E3DC3"/>
    <w:rsid w:val="004F6772"/>
    <w:rsid w:val="00504F6E"/>
    <w:rsid w:val="00530F9E"/>
    <w:rsid w:val="00536512"/>
    <w:rsid w:val="005519B1"/>
    <w:rsid w:val="00583F58"/>
    <w:rsid w:val="005B1A6F"/>
    <w:rsid w:val="005F331A"/>
    <w:rsid w:val="006018B5"/>
    <w:rsid w:val="00615B65"/>
    <w:rsid w:val="00651004"/>
    <w:rsid w:val="0065795E"/>
    <w:rsid w:val="00676270"/>
    <w:rsid w:val="00694543"/>
    <w:rsid w:val="006A5536"/>
    <w:rsid w:val="006B47C0"/>
    <w:rsid w:val="00702900"/>
    <w:rsid w:val="00776CEA"/>
    <w:rsid w:val="007A607D"/>
    <w:rsid w:val="008723FD"/>
    <w:rsid w:val="008738CB"/>
    <w:rsid w:val="0088219E"/>
    <w:rsid w:val="008B49C0"/>
    <w:rsid w:val="008C1E02"/>
    <w:rsid w:val="008D7AD0"/>
    <w:rsid w:val="008E0010"/>
    <w:rsid w:val="0090751D"/>
    <w:rsid w:val="00935747"/>
    <w:rsid w:val="009662D6"/>
    <w:rsid w:val="0099380F"/>
    <w:rsid w:val="009A2240"/>
    <w:rsid w:val="00A04E43"/>
    <w:rsid w:val="00A36A33"/>
    <w:rsid w:val="00A44562"/>
    <w:rsid w:val="00A765A0"/>
    <w:rsid w:val="00AA5980"/>
    <w:rsid w:val="00AB778D"/>
    <w:rsid w:val="00B26F4E"/>
    <w:rsid w:val="00B4134D"/>
    <w:rsid w:val="00BB18D9"/>
    <w:rsid w:val="00BB3466"/>
    <w:rsid w:val="00BC51D7"/>
    <w:rsid w:val="00BC5B80"/>
    <w:rsid w:val="00BE0CA7"/>
    <w:rsid w:val="00BE27D6"/>
    <w:rsid w:val="00BE38C1"/>
    <w:rsid w:val="00C10CF8"/>
    <w:rsid w:val="00C25D53"/>
    <w:rsid w:val="00C2605D"/>
    <w:rsid w:val="00C44676"/>
    <w:rsid w:val="00C709CD"/>
    <w:rsid w:val="00C72A7F"/>
    <w:rsid w:val="00C90818"/>
    <w:rsid w:val="00C96DC2"/>
    <w:rsid w:val="00CE448D"/>
    <w:rsid w:val="00CF1951"/>
    <w:rsid w:val="00D163F8"/>
    <w:rsid w:val="00D63D5B"/>
    <w:rsid w:val="00D71AE5"/>
    <w:rsid w:val="00DC27B1"/>
    <w:rsid w:val="00E845DF"/>
    <w:rsid w:val="00EF4529"/>
    <w:rsid w:val="00F00BFC"/>
    <w:rsid w:val="00F57856"/>
    <w:rsid w:val="00F60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E84C"/>
  <w15:docId w15:val="{F4F68C8F-C74C-48E4-8350-8B46BA7FB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010"/>
    <w:pPr>
      <w:ind w:left="720"/>
      <w:contextualSpacing/>
    </w:pPr>
  </w:style>
  <w:style w:type="character" w:styleId="Hyperlink">
    <w:name w:val="Hyperlink"/>
    <w:basedOn w:val="DefaultParagraphFont"/>
    <w:uiPriority w:val="99"/>
    <w:unhideWhenUsed/>
    <w:rsid w:val="005F331A"/>
    <w:rPr>
      <w:color w:val="0000FF" w:themeColor="hyperlink"/>
      <w:u w:val="single"/>
    </w:rPr>
  </w:style>
  <w:style w:type="paragraph" w:styleId="Header">
    <w:name w:val="header"/>
    <w:basedOn w:val="Normal"/>
    <w:link w:val="HeaderChar"/>
    <w:uiPriority w:val="99"/>
    <w:unhideWhenUsed/>
    <w:rsid w:val="00C96D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DC2"/>
  </w:style>
  <w:style w:type="paragraph" w:styleId="Footer">
    <w:name w:val="footer"/>
    <w:basedOn w:val="Normal"/>
    <w:link w:val="FooterChar"/>
    <w:uiPriority w:val="99"/>
    <w:unhideWhenUsed/>
    <w:rsid w:val="00C96D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158791">
      <w:bodyDiv w:val="1"/>
      <w:marLeft w:val="0"/>
      <w:marRight w:val="0"/>
      <w:marTop w:val="0"/>
      <w:marBottom w:val="0"/>
      <w:divBdr>
        <w:top w:val="none" w:sz="0" w:space="0" w:color="auto"/>
        <w:left w:val="none" w:sz="0" w:space="0" w:color="auto"/>
        <w:bottom w:val="none" w:sz="0" w:space="0" w:color="auto"/>
        <w:right w:val="none" w:sz="0" w:space="0" w:color="auto"/>
      </w:divBdr>
    </w:div>
    <w:div w:id="391848995">
      <w:bodyDiv w:val="1"/>
      <w:marLeft w:val="0"/>
      <w:marRight w:val="0"/>
      <w:marTop w:val="0"/>
      <w:marBottom w:val="0"/>
      <w:divBdr>
        <w:top w:val="none" w:sz="0" w:space="0" w:color="auto"/>
        <w:left w:val="none" w:sz="0" w:space="0" w:color="auto"/>
        <w:bottom w:val="none" w:sz="0" w:space="0" w:color="auto"/>
        <w:right w:val="none" w:sz="0" w:space="0" w:color="auto"/>
      </w:divBdr>
    </w:div>
    <w:div w:id="597181047">
      <w:bodyDiv w:val="1"/>
      <w:marLeft w:val="0"/>
      <w:marRight w:val="0"/>
      <w:marTop w:val="0"/>
      <w:marBottom w:val="0"/>
      <w:divBdr>
        <w:top w:val="none" w:sz="0" w:space="0" w:color="auto"/>
        <w:left w:val="none" w:sz="0" w:space="0" w:color="auto"/>
        <w:bottom w:val="none" w:sz="0" w:space="0" w:color="auto"/>
        <w:right w:val="none" w:sz="0" w:space="0" w:color="auto"/>
      </w:divBdr>
    </w:div>
    <w:div w:id="133938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3/ojls/gqu02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awtimesjournal.in/constructive-liability-a-comparative-study-in-different-jurisdictions/" TargetMode="External"/><Relationship Id="rId12" Type="http://schemas.openxmlformats.org/officeDocument/2006/relationships/hyperlink" Target="http://www.gov.uk/government/publ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7/27/conte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Vict/24-25/100/contents" TargetMode="External"/><Relationship Id="rId4" Type="http://schemas.openxmlformats.org/officeDocument/2006/relationships/webSettings" Target="webSettings.xml"/><Relationship Id="rId9" Type="http://schemas.openxmlformats.org/officeDocument/2006/relationships/hyperlink" Target="https://www.google.com/url?q=https://s3-eu-west-2.amazonaws.com/lawcom-prod-storage-11jsxou24uy7q/uploads/2015/06/cp217_offences_against_the_person_summary.pdf&amp;sa=U&amp;ved=2ahUKEwiSsozT9_zuAhWCD-wKHWnkAgcQFjACegQICRAB&amp;usg=AOvVaw1jj09iKHGOXWV9Vz6C4an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1864</TotalTime>
  <Pages>9</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Ada</cp:lastModifiedBy>
  <cp:revision>58</cp:revision>
  <dcterms:created xsi:type="dcterms:W3CDTF">2021-02-22T09:14:00Z</dcterms:created>
  <dcterms:modified xsi:type="dcterms:W3CDTF">2021-03-05T23:31:00Z</dcterms:modified>
</cp:coreProperties>
</file>