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E9F8F89" w:rsidR="009C337F" w:rsidRDefault="001D2DB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India Kruse</w:t>
            </w:r>
          </w:p>
          <w:p w14:paraId="22E38809" w14:textId="512E3394" w:rsidR="00986B43"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D2DB6">
              <w:t xml:space="preserve"> </w:t>
            </w:r>
            <w:hyperlink r:id="rId11" w:history="1">
              <w:r w:rsidR="001D2DB6" w:rsidRPr="00C27561">
                <w:rPr>
                  <w:rStyle w:val="Hyperlink"/>
                  <w:rFonts w:ascii="Times New Roman" w:hAnsi="Times New Roman" w:cs="Times New Roman"/>
                  <w:b/>
                  <w:sz w:val="48"/>
                </w:rPr>
                <w:t>India.kruse@icloud.com/</w:t>
              </w:r>
            </w:hyperlink>
            <w:r w:rsidR="001D2DB6">
              <w:rPr>
                <w:rFonts w:ascii="Times New Roman" w:hAnsi="Times New Roman" w:cs="Times New Roman"/>
                <w:b/>
                <w:sz w:val="48"/>
              </w:rPr>
              <w:t xml:space="preserve"> 2434707@student.uwtsd.ac.uk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3FAC5463" w:rsidR="0085230E" w:rsidRPr="005D3F07" w:rsidRDefault="001D2DB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2434707</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7A0F9A" w:rsidRDefault="006872A0" w:rsidP="007A0F9A">
            <w:pPr>
              <w:spacing w:line="360" w:lineRule="auto"/>
              <w:jc w:val="both"/>
              <w:rPr>
                <w:bCs/>
                <w:sz w:val="24"/>
                <w:szCs w:val="24"/>
              </w:rPr>
            </w:pPr>
            <w:r w:rsidRPr="007A0F9A">
              <w:rPr>
                <w:bCs/>
                <w:sz w:val="24"/>
                <w:szCs w:val="24"/>
              </w:rPr>
              <w:t>Question</w:t>
            </w:r>
            <w:r w:rsidR="007A628F" w:rsidRPr="007A0F9A">
              <w:rPr>
                <w:bCs/>
                <w:sz w:val="24"/>
                <w:szCs w:val="24"/>
              </w:rPr>
              <w:t>:</w:t>
            </w:r>
          </w:p>
          <w:p w14:paraId="541B485B" w14:textId="4CB44B06" w:rsidR="00C77FA5" w:rsidRPr="007A0F9A" w:rsidRDefault="000A584A" w:rsidP="007A0F9A">
            <w:pPr>
              <w:spacing w:line="360" w:lineRule="auto"/>
              <w:jc w:val="both"/>
              <w:rPr>
                <w:bCs/>
                <w:sz w:val="24"/>
                <w:szCs w:val="24"/>
              </w:rPr>
            </w:pPr>
            <w:r w:rsidRPr="007A0F9A">
              <w:rPr>
                <w:bCs/>
                <w:sz w:val="24"/>
                <w:szCs w:val="24"/>
              </w:rPr>
              <w:t xml:space="preserve">Complete a critically reflective case study </w:t>
            </w:r>
            <w:r w:rsidR="00D0503D" w:rsidRPr="007A0F9A">
              <w:rPr>
                <w:bCs/>
                <w:sz w:val="24"/>
                <w:szCs w:val="24"/>
              </w:rPr>
              <w:t>based</w:t>
            </w:r>
            <w:r w:rsidRPr="007A0F9A">
              <w:rPr>
                <w:bCs/>
                <w:sz w:val="24"/>
                <w:szCs w:val="24"/>
              </w:rPr>
              <w:t xml:space="preserve"> on</w:t>
            </w:r>
            <w:r w:rsidR="00696A88" w:rsidRPr="007A0F9A">
              <w:rPr>
                <w:bCs/>
                <w:sz w:val="24"/>
                <w:szCs w:val="24"/>
              </w:rPr>
              <w:t xml:space="preserve"> </w:t>
            </w:r>
            <w:r w:rsidR="00411EF7" w:rsidRPr="007A0F9A">
              <w:rPr>
                <w:bCs/>
                <w:sz w:val="24"/>
                <w:szCs w:val="24"/>
              </w:rPr>
              <w:t>an assessment</w:t>
            </w:r>
            <w:r w:rsidR="007F312E" w:rsidRPr="007A0F9A">
              <w:rPr>
                <w:bCs/>
                <w:sz w:val="24"/>
                <w:szCs w:val="24"/>
              </w:rPr>
              <w:t xml:space="preserve"> </w:t>
            </w:r>
            <w:r w:rsidR="007C5ABE" w:rsidRPr="007A0F9A">
              <w:rPr>
                <w:bCs/>
                <w:sz w:val="24"/>
                <w:szCs w:val="24"/>
              </w:rPr>
              <w:t xml:space="preserve">that you have </w:t>
            </w:r>
            <w:r w:rsidRPr="007A0F9A">
              <w:rPr>
                <w:bCs/>
                <w:sz w:val="24"/>
                <w:szCs w:val="24"/>
              </w:rPr>
              <w:t xml:space="preserve">undertaken with </w:t>
            </w:r>
            <w:r w:rsidR="00D0503D" w:rsidRPr="007A0F9A">
              <w:rPr>
                <w:bCs/>
                <w:sz w:val="24"/>
                <w:szCs w:val="24"/>
              </w:rPr>
              <w:t>others, in</w:t>
            </w:r>
            <w:r w:rsidR="0002440E" w:rsidRPr="007A0F9A">
              <w:rPr>
                <w:bCs/>
                <w:sz w:val="24"/>
                <w:szCs w:val="24"/>
              </w:rPr>
              <w:t xml:space="preserve"> your own area of work</w:t>
            </w:r>
            <w:r w:rsidR="00D0503D" w:rsidRPr="007A0F9A">
              <w:rPr>
                <w:bCs/>
                <w:sz w:val="24"/>
                <w:szCs w:val="24"/>
              </w:rPr>
              <w:t xml:space="preserve">, </w:t>
            </w:r>
            <w:r w:rsidR="00587923" w:rsidRPr="007A0F9A">
              <w:rPr>
                <w:bCs/>
                <w:sz w:val="24"/>
                <w:szCs w:val="24"/>
              </w:rPr>
              <w:t>c</w:t>
            </w:r>
            <w:r w:rsidR="008B28E7" w:rsidRPr="007A0F9A">
              <w:rPr>
                <w:bCs/>
                <w:sz w:val="24"/>
                <w:szCs w:val="24"/>
              </w:rPr>
              <w:t>oncerning the safeguarding of either an adult or a child</w:t>
            </w:r>
            <w:r w:rsidRPr="007A0F9A">
              <w:rPr>
                <w:bCs/>
                <w:sz w:val="24"/>
                <w:szCs w:val="24"/>
              </w:rPr>
              <w:t xml:space="preserve">. </w:t>
            </w:r>
            <w:r w:rsidR="00216563" w:rsidRPr="007A0F9A">
              <w:rPr>
                <w:bCs/>
                <w:sz w:val="24"/>
                <w:szCs w:val="24"/>
              </w:rPr>
              <w:t xml:space="preserve">You must demonstrate how </w:t>
            </w:r>
            <w:r w:rsidR="00F34C86" w:rsidRPr="007A0F9A">
              <w:rPr>
                <w:bCs/>
                <w:sz w:val="24"/>
                <w:szCs w:val="24"/>
              </w:rPr>
              <w:t xml:space="preserve">the case relates to or could relate to safeguarding </w:t>
            </w:r>
            <w:r w:rsidR="00216563" w:rsidRPr="007A0F9A">
              <w:rPr>
                <w:bCs/>
                <w:sz w:val="24"/>
                <w:szCs w:val="24"/>
              </w:rPr>
              <w:t>legislation, policies</w:t>
            </w:r>
            <w:r w:rsidR="00F34C86" w:rsidRPr="007A0F9A">
              <w:rPr>
                <w:bCs/>
                <w:sz w:val="24"/>
                <w:szCs w:val="24"/>
              </w:rPr>
              <w:t>, strategies and procedures</w:t>
            </w:r>
            <w:r w:rsidR="7AAB400D" w:rsidRPr="007A0F9A">
              <w:rPr>
                <w:bCs/>
                <w:sz w:val="24"/>
                <w:szCs w:val="24"/>
              </w:rPr>
              <w:t xml:space="preserve"> </w:t>
            </w:r>
            <w:r w:rsidR="623F2A43" w:rsidRPr="007A0F9A">
              <w:rPr>
                <w:bCs/>
                <w:sz w:val="24"/>
                <w:szCs w:val="24"/>
              </w:rPr>
              <w:t>(</w:t>
            </w:r>
            <w:r w:rsidR="7AAB400D" w:rsidRPr="007A0F9A">
              <w:rPr>
                <w:bCs/>
                <w:sz w:val="24"/>
                <w:szCs w:val="24"/>
              </w:rPr>
              <w:t>i</w:t>
            </w:r>
            <w:r w:rsidR="623F2A43" w:rsidRPr="007A0F9A">
              <w:rPr>
                <w:bCs/>
                <w:sz w:val="24"/>
                <w:szCs w:val="24"/>
              </w:rPr>
              <w:t xml:space="preserve">ncluding </w:t>
            </w:r>
            <w:r w:rsidR="322513AD" w:rsidRPr="007A0F9A">
              <w:rPr>
                <w:bCs/>
                <w:sz w:val="24"/>
                <w:szCs w:val="24"/>
              </w:rPr>
              <w:t>d</w:t>
            </w:r>
            <w:r w:rsidR="7E97696C" w:rsidRPr="007A0F9A">
              <w:rPr>
                <w:bCs/>
                <w:sz w:val="24"/>
                <w:szCs w:val="24"/>
              </w:rPr>
              <w:t xml:space="preserve">emonstrating an understanding of </w:t>
            </w:r>
            <w:r w:rsidR="623F2A43" w:rsidRPr="007A0F9A">
              <w:rPr>
                <w:bCs/>
                <w:sz w:val="24"/>
                <w:szCs w:val="24"/>
              </w:rPr>
              <w:t>the</w:t>
            </w:r>
            <w:r w:rsidR="350F702B" w:rsidRPr="007A0F9A">
              <w:rPr>
                <w:bCs/>
                <w:sz w:val="24"/>
                <w:szCs w:val="24"/>
              </w:rPr>
              <w:t xml:space="preserve"> </w:t>
            </w:r>
            <w:r w:rsidR="3B2446CA" w:rsidRPr="007A0F9A">
              <w:rPr>
                <w:rFonts w:eastAsia="Arial"/>
                <w:bCs/>
                <w:color w:val="000000" w:themeColor="text1"/>
                <w:sz w:val="24"/>
                <w:szCs w:val="24"/>
              </w:rPr>
              <w:t xml:space="preserve">interface </w:t>
            </w:r>
            <w:r w:rsidR="534A9052" w:rsidRPr="007A0F9A">
              <w:rPr>
                <w:rFonts w:eastAsia="Arial"/>
                <w:bCs/>
                <w:color w:val="000000" w:themeColor="text1"/>
                <w:sz w:val="24"/>
                <w:szCs w:val="24"/>
              </w:rPr>
              <w:t>between social services provision in Wales with the United Kingdom, the European Union</w:t>
            </w:r>
            <w:r w:rsidR="007A628F" w:rsidRPr="007A0F9A">
              <w:rPr>
                <w:rFonts w:eastAsia="Arial"/>
                <w:bCs/>
                <w:color w:val="000000" w:themeColor="text1"/>
                <w:sz w:val="24"/>
                <w:szCs w:val="24"/>
              </w:rPr>
              <w:t xml:space="preserve"> (EU)</w:t>
            </w:r>
            <w:r w:rsidR="534A9052" w:rsidRPr="007A0F9A">
              <w:rPr>
                <w:rFonts w:eastAsia="Arial"/>
                <w:bCs/>
                <w:color w:val="000000" w:themeColor="text1"/>
                <w:sz w:val="24"/>
                <w:szCs w:val="24"/>
              </w:rPr>
              <w:t xml:space="preserve"> and outside the EU</w:t>
            </w:r>
            <w:r w:rsidR="623F2A43" w:rsidRPr="007A0F9A">
              <w:rPr>
                <w:rFonts w:eastAsia="Arial"/>
                <w:bCs/>
                <w:color w:val="000000" w:themeColor="text1"/>
                <w:sz w:val="24"/>
                <w:szCs w:val="24"/>
              </w:rPr>
              <w:t>)</w:t>
            </w:r>
            <w:r w:rsidR="00411EF7" w:rsidRPr="007A0F9A">
              <w:rPr>
                <w:bCs/>
                <w:sz w:val="24"/>
                <w:szCs w:val="24"/>
              </w:rPr>
              <w:t>.</w:t>
            </w:r>
            <w:r w:rsidR="00354B6D" w:rsidRPr="007A0F9A">
              <w:rPr>
                <w:bCs/>
                <w:sz w:val="24"/>
                <w:szCs w:val="24"/>
              </w:rPr>
              <w:t xml:space="preserve"> </w:t>
            </w:r>
            <w:r w:rsidR="102A3950" w:rsidRPr="007A0F9A">
              <w:rPr>
                <w:bCs/>
                <w:sz w:val="24"/>
                <w:szCs w:val="24"/>
              </w:rPr>
              <w:t>You</w:t>
            </w:r>
            <w:r w:rsidR="00354B6D" w:rsidRPr="007A0F9A">
              <w:rPr>
                <w:bCs/>
                <w:sz w:val="24"/>
                <w:szCs w:val="24"/>
              </w:rPr>
              <w:t xml:space="preserve"> must</w:t>
            </w:r>
            <w:r w:rsidR="00411EF7" w:rsidRPr="007A0F9A">
              <w:rPr>
                <w:bCs/>
                <w:sz w:val="24"/>
                <w:szCs w:val="24"/>
              </w:rPr>
              <w:t xml:space="preserve"> </w:t>
            </w:r>
            <w:r w:rsidR="00354B6D" w:rsidRPr="007A0F9A">
              <w:rPr>
                <w:bCs/>
                <w:sz w:val="24"/>
                <w:szCs w:val="24"/>
              </w:rPr>
              <w:t>demonstrate your understanding of</w:t>
            </w:r>
            <w:r w:rsidR="00F34C86" w:rsidRPr="007A0F9A">
              <w:rPr>
                <w:bCs/>
                <w:sz w:val="24"/>
                <w:szCs w:val="24"/>
              </w:rPr>
              <w:t xml:space="preserve"> </w:t>
            </w:r>
            <w:r w:rsidR="00411EF7" w:rsidRPr="007A0F9A">
              <w:rPr>
                <w:bCs/>
                <w:sz w:val="24"/>
                <w:szCs w:val="24"/>
              </w:rPr>
              <w:t xml:space="preserve">the </w:t>
            </w:r>
            <w:r w:rsidR="00216563" w:rsidRPr="007A0F9A">
              <w:rPr>
                <w:bCs/>
                <w:sz w:val="24"/>
                <w:szCs w:val="24"/>
              </w:rPr>
              <w:t xml:space="preserve">integration of </w:t>
            </w:r>
            <w:r w:rsidR="6A854C79" w:rsidRPr="007A0F9A">
              <w:rPr>
                <w:bCs/>
                <w:sz w:val="24"/>
                <w:szCs w:val="24"/>
              </w:rPr>
              <w:t>analysis in asses</w:t>
            </w:r>
            <w:r w:rsidR="0F77E214" w:rsidRPr="007A0F9A">
              <w:rPr>
                <w:bCs/>
                <w:sz w:val="24"/>
                <w:szCs w:val="24"/>
              </w:rPr>
              <w:t>sment, collabo</w:t>
            </w:r>
            <w:r w:rsidR="6A854C79" w:rsidRPr="007A0F9A">
              <w:rPr>
                <w:bCs/>
                <w:sz w:val="24"/>
                <w:szCs w:val="24"/>
              </w:rPr>
              <w:t>rative work</w:t>
            </w:r>
            <w:r w:rsidR="0F77E214" w:rsidRPr="007A0F9A">
              <w:rPr>
                <w:bCs/>
                <w:sz w:val="24"/>
                <w:szCs w:val="24"/>
              </w:rPr>
              <w:t>ing</w:t>
            </w:r>
            <w:r w:rsidR="6A854C79" w:rsidRPr="007A0F9A">
              <w:rPr>
                <w:bCs/>
                <w:sz w:val="24"/>
                <w:szCs w:val="24"/>
              </w:rPr>
              <w:t xml:space="preserve"> a</w:t>
            </w:r>
            <w:r w:rsidR="0F77E214" w:rsidRPr="007A0F9A">
              <w:rPr>
                <w:bCs/>
                <w:sz w:val="24"/>
                <w:szCs w:val="24"/>
              </w:rPr>
              <w:t xml:space="preserve">nd </w:t>
            </w:r>
            <w:r w:rsidR="6A854C79" w:rsidRPr="007A0F9A">
              <w:rPr>
                <w:bCs/>
                <w:sz w:val="24"/>
                <w:szCs w:val="24"/>
              </w:rPr>
              <w:t>professional</w:t>
            </w:r>
            <w:r w:rsidR="00F34C86" w:rsidRPr="007A0F9A">
              <w:rPr>
                <w:bCs/>
                <w:sz w:val="24"/>
                <w:szCs w:val="24"/>
              </w:rPr>
              <w:t xml:space="preserve"> </w:t>
            </w:r>
            <w:r w:rsidR="00216563" w:rsidRPr="007A0F9A">
              <w:rPr>
                <w:bCs/>
                <w:sz w:val="24"/>
                <w:szCs w:val="24"/>
              </w:rPr>
              <w:t>judgements</w:t>
            </w:r>
            <w:r w:rsidR="0F77E214" w:rsidRPr="007A0F9A">
              <w:rPr>
                <w:bCs/>
                <w:sz w:val="24"/>
                <w:szCs w:val="24"/>
              </w:rPr>
              <w:t xml:space="preserve"> in increasingly complex situations </w:t>
            </w:r>
            <w:r w:rsidR="00E5498A" w:rsidRPr="007A0F9A">
              <w:rPr>
                <w:bCs/>
                <w:sz w:val="24"/>
                <w:szCs w:val="24"/>
              </w:rPr>
              <w:t>and</w:t>
            </w:r>
            <w:r w:rsidR="1D6670C0" w:rsidRPr="007A0F9A">
              <w:rPr>
                <w:bCs/>
                <w:sz w:val="24"/>
                <w:szCs w:val="24"/>
              </w:rPr>
              <w:t xml:space="preserve"> </w:t>
            </w:r>
            <w:r w:rsidR="39C47EB7" w:rsidRPr="007A0F9A">
              <w:rPr>
                <w:bCs/>
                <w:sz w:val="24"/>
                <w:szCs w:val="24"/>
              </w:rPr>
              <w:t>the</w:t>
            </w:r>
            <w:r w:rsidR="25F327FB" w:rsidRPr="007A0F9A">
              <w:rPr>
                <w:bCs/>
                <w:sz w:val="24"/>
                <w:szCs w:val="24"/>
              </w:rPr>
              <w:t xml:space="preserve"> </w:t>
            </w:r>
            <w:r w:rsidR="00F34C86" w:rsidRPr="007A0F9A">
              <w:rPr>
                <w:bCs/>
                <w:sz w:val="24"/>
                <w:szCs w:val="24"/>
              </w:rPr>
              <w:t>use of social work theories</w:t>
            </w:r>
            <w:r w:rsidR="756EEE2D" w:rsidRPr="007A0F9A">
              <w:rPr>
                <w:bCs/>
                <w:sz w:val="24"/>
                <w:szCs w:val="24"/>
              </w:rPr>
              <w:t>.</w:t>
            </w:r>
            <w:r w:rsidR="00216563" w:rsidRPr="007A0F9A">
              <w:rPr>
                <w:bCs/>
                <w:sz w:val="24"/>
                <w:szCs w:val="24"/>
              </w:rPr>
              <w:t xml:space="preserve"> </w:t>
            </w:r>
            <w:r w:rsidR="756EEE2D" w:rsidRPr="007A0F9A">
              <w:rPr>
                <w:bCs/>
                <w:sz w:val="24"/>
                <w:szCs w:val="24"/>
              </w:rPr>
              <w:t>You</w:t>
            </w:r>
            <w:r w:rsidR="00216563" w:rsidRPr="007A0F9A">
              <w:rPr>
                <w:bCs/>
                <w:sz w:val="24"/>
                <w:szCs w:val="24"/>
              </w:rPr>
              <w:t xml:space="preserve"> </w:t>
            </w:r>
            <w:r w:rsidR="00E5498A" w:rsidRPr="007A0F9A">
              <w:rPr>
                <w:bCs/>
                <w:sz w:val="24"/>
                <w:szCs w:val="24"/>
              </w:rPr>
              <w:t xml:space="preserve">must </w:t>
            </w:r>
            <w:r w:rsidR="00F030D4" w:rsidRPr="007A0F9A">
              <w:rPr>
                <w:bCs/>
                <w:sz w:val="24"/>
                <w:szCs w:val="24"/>
              </w:rPr>
              <w:t>refer to</w:t>
            </w:r>
            <w:r w:rsidR="00216563" w:rsidRPr="007A0F9A">
              <w:rPr>
                <w:bCs/>
                <w:sz w:val="24"/>
                <w:szCs w:val="24"/>
              </w:rPr>
              <w:t xml:space="preserve"> </w:t>
            </w:r>
            <w:r w:rsidR="00F34C86" w:rsidRPr="007A0F9A">
              <w:rPr>
                <w:bCs/>
                <w:sz w:val="24"/>
                <w:szCs w:val="24"/>
              </w:rPr>
              <w:t>the specific dimensions of working in Wales</w:t>
            </w:r>
            <w:r w:rsidR="00411EF7" w:rsidRPr="007A0F9A">
              <w:rPr>
                <w:bCs/>
                <w:sz w:val="24"/>
                <w:szCs w:val="24"/>
              </w:rPr>
              <w:t xml:space="preserve">. </w:t>
            </w:r>
          </w:p>
          <w:p w14:paraId="2F8A7CA5" w14:textId="6EDC9DFB" w:rsidR="008D5999" w:rsidRPr="007A0F9A" w:rsidRDefault="008D5999" w:rsidP="007A0F9A">
            <w:pPr>
              <w:spacing w:line="360" w:lineRule="auto"/>
              <w:jc w:val="both"/>
              <w:rPr>
                <w:bCs/>
                <w:sz w:val="24"/>
                <w:szCs w:val="24"/>
              </w:rPr>
            </w:pPr>
          </w:p>
          <w:p w14:paraId="20A5906F" w14:textId="77777777" w:rsidR="008D5999" w:rsidRPr="007A0F9A" w:rsidRDefault="008D5999" w:rsidP="007A0F9A">
            <w:pPr>
              <w:spacing w:line="360" w:lineRule="auto"/>
              <w:jc w:val="both"/>
              <w:rPr>
                <w:bCs/>
                <w:sz w:val="24"/>
                <w:szCs w:val="24"/>
              </w:rPr>
            </w:pPr>
          </w:p>
          <w:p w14:paraId="51AF4546" w14:textId="476CB9AF" w:rsidR="00D3203C" w:rsidRPr="007A0F9A" w:rsidRDefault="00045C40" w:rsidP="007A0F9A">
            <w:pPr>
              <w:spacing w:line="360" w:lineRule="auto"/>
              <w:jc w:val="both"/>
              <w:rPr>
                <w:bCs/>
                <w:sz w:val="24"/>
                <w:szCs w:val="24"/>
              </w:rPr>
            </w:pPr>
            <w:r w:rsidRPr="007A0F9A">
              <w:rPr>
                <w:bCs/>
                <w:sz w:val="24"/>
                <w:szCs w:val="24"/>
              </w:rPr>
              <w:t xml:space="preserve">4000 </w:t>
            </w:r>
            <w:r w:rsidR="008B28E7" w:rsidRPr="007A0F9A">
              <w:rPr>
                <w:bCs/>
                <w:sz w:val="24"/>
                <w:szCs w:val="24"/>
              </w:rPr>
              <w:t>words (+/- 10%: include your actual word count at the end of each section)</w:t>
            </w:r>
            <w:r w:rsidR="007A628F" w:rsidRPr="007A0F9A">
              <w:rPr>
                <w:bCs/>
                <w:sz w:val="24"/>
                <w:szCs w:val="24"/>
              </w:rPr>
              <w:t>.</w:t>
            </w:r>
          </w:p>
          <w:p w14:paraId="701D8D4D" w14:textId="38C2B218" w:rsidR="00D3203C" w:rsidRPr="007A0F9A" w:rsidRDefault="00D3203C" w:rsidP="007A0F9A">
            <w:pPr>
              <w:spacing w:line="360" w:lineRule="auto"/>
              <w:jc w:val="both"/>
              <w:rPr>
                <w:bCs/>
                <w:sz w:val="24"/>
                <w:szCs w:val="24"/>
              </w:rPr>
            </w:pPr>
          </w:p>
          <w:p w14:paraId="52034033" w14:textId="77777777" w:rsidR="00A0600E" w:rsidRDefault="00A0600E" w:rsidP="00A0600E">
            <w:pPr>
              <w:spacing w:line="360" w:lineRule="auto"/>
              <w:jc w:val="both"/>
              <w:rPr>
                <w:bCs/>
                <w:sz w:val="24"/>
                <w:szCs w:val="24"/>
              </w:rPr>
            </w:pPr>
            <w:r w:rsidRPr="00A0600E">
              <w:rPr>
                <w:bCs/>
                <w:sz w:val="24"/>
                <w:szCs w:val="24"/>
              </w:rPr>
              <w:t>This case study critically reflects on a complex safeguarding assessment undertaken within statutory children’s services in Wales under the Social Services and Well-being (Wales) Act 2014. The family presented with multiple vulnerabilities including poverty, environmental neglect, neurodevelopmental needs and parental trauma. Although partner agencies recommended escalation to Section 47 Child Protection procedures, my assessment concluded that the threshold for significant harm was not met and that a proportionate, strengths-based response was more appropriate.</w:t>
            </w:r>
          </w:p>
          <w:p w14:paraId="5DCFECFD" w14:textId="77777777" w:rsidR="00A0600E" w:rsidRPr="00A0600E" w:rsidRDefault="00A0600E" w:rsidP="00A0600E">
            <w:pPr>
              <w:spacing w:line="360" w:lineRule="auto"/>
              <w:jc w:val="both"/>
              <w:rPr>
                <w:bCs/>
                <w:sz w:val="24"/>
                <w:szCs w:val="24"/>
              </w:rPr>
            </w:pPr>
          </w:p>
          <w:p w14:paraId="61C2CA21" w14:textId="77777777" w:rsidR="00A0600E" w:rsidRDefault="00A0600E" w:rsidP="00A0600E">
            <w:pPr>
              <w:spacing w:line="360" w:lineRule="auto"/>
              <w:jc w:val="both"/>
              <w:rPr>
                <w:bCs/>
                <w:sz w:val="24"/>
                <w:szCs w:val="24"/>
              </w:rPr>
            </w:pPr>
            <w:r w:rsidRPr="00A0600E">
              <w:rPr>
                <w:bCs/>
                <w:sz w:val="24"/>
                <w:szCs w:val="24"/>
              </w:rPr>
              <w:t xml:space="preserve">A key dilemma in this case was the divergence between Welsh and English safeguarding frameworks, particularly Working Together to Safeguard Children (2023). Initially, I recognised </w:t>
            </w:r>
            <w:r w:rsidRPr="00A0600E">
              <w:rPr>
                <w:bCs/>
                <w:sz w:val="24"/>
                <w:szCs w:val="24"/>
              </w:rPr>
              <w:lastRenderedPageBreak/>
              <w:t>how strongly the concerns from Education and Health aligned with a risk-led, procedural approach. However, reflecting on this, I became aware that an uncritical acceptance of this position risked overlooking the wider social and environmental context. Applying the SSWBA required me to move beyond immediate risk indicators and consider poverty, housing instability and neurodevelopmental need as central explanatory factors rather than secondary issues.</w:t>
            </w:r>
          </w:p>
          <w:p w14:paraId="44FCE3EB" w14:textId="77777777" w:rsidR="00A0600E" w:rsidRPr="00A0600E" w:rsidRDefault="00A0600E" w:rsidP="00A0600E">
            <w:pPr>
              <w:spacing w:line="360" w:lineRule="auto"/>
              <w:jc w:val="both"/>
              <w:rPr>
                <w:bCs/>
                <w:sz w:val="24"/>
                <w:szCs w:val="24"/>
              </w:rPr>
            </w:pPr>
          </w:p>
          <w:p w14:paraId="08D13985" w14:textId="77777777" w:rsidR="00A0600E" w:rsidRDefault="00A0600E" w:rsidP="00A0600E">
            <w:pPr>
              <w:spacing w:line="360" w:lineRule="auto"/>
              <w:jc w:val="both"/>
              <w:rPr>
                <w:bCs/>
                <w:sz w:val="24"/>
                <w:szCs w:val="24"/>
              </w:rPr>
            </w:pPr>
            <w:r w:rsidRPr="00A0600E">
              <w:rPr>
                <w:bCs/>
                <w:sz w:val="24"/>
                <w:szCs w:val="24"/>
              </w:rPr>
              <w:t>This reflection was significant in shaping my professional judgement. It challenged my initial instinct to focus on environmental conditions as evidence of neglect and required me to reframe my thinking towards understanding what the home environment meant in context. I found that adopting a Welsh legislative lens supported a more proportionate response, particularly when balanced against human rights principles under Article 8 of the ECHR and the UNCRC.</w:t>
            </w:r>
          </w:p>
          <w:p w14:paraId="5AEB3DA1" w14:textId="77777777" w:rsidR="00A0600E" w:rsidRPr="00A0600E" w:rsidRDefault="00A0600E" w:rsidP="00A0600E">
            <w:pPr>
              <w:spacing w:line="360" w:lineRule="auto"/>
              <w:jc w:val="both"/>
              <w:rPr>
                <w:bCs/>
                <w:sz w:val="24"/>
                <w:szCs w:val="24"/>
              </w:rPr>
            </w:pPr>
          </w:p>
          <w:p w14:paraId="5D985B83" w14:textId="77777777" w:rsidR="00A0600E" w:rsidRDefault="00A0600E" w:rsidP="00A0600E">
            <w:pPr>
              <w:spacing w:line="360" w:lineRule="auto"/>
              <w:jc w:val="both"/>
              <w:rPr>
                <w:bCs/>
                <w:sz w:val="24"/>
                <w:szCs w:val="24"/>
              </w:rPr>
            </w:pPr>
            <w:r w:rsidRPr="00A0600E">
              <w:rPr>
                <w:bCs/>
                <w:sz w:val="24"/>
                <w:szCs w:val="24"/>
              </w:rPr>
              <w:t>The use of ecological systems theory further supported my analysis by helping me recognise how school expectations, service responses and environmental stressors interacted with family functioning. This shifted my understanding away from individual blame and towards a systemic interpretation of need. In practice, this meant I was less likely to interpret behaviours as neglectful and more likely to consider unmet developmental needs.</w:t>
            </w:r>
          </w:p>
          <w:p w14:paraId="0A2BB37B" w14:textId="77777777" w:rsidR="00A0600E" w:rsidRPr="00A0600E" w:rsidRDefault="00A0600E" w:rsidP="00A0600E">
            <w:pPr>
              <w:spacing w:line="360" w:lineRule="auto"/>
              <w:jc w:val="both"/>
              <w:rPr>
                <w:bCs/>
                <w:sz w:val="24"/>
                <w:szCs w:val="24"/>
              </w:rPr>
            </w:pPr>
          </w:p>
          <w:p w14:paraId="38FB9345" w14:textId="77777777" w:rsidR="00A0600E" w:rsidRDefault="00A0600E" w:rsidP="00A0600E">
            <w:pPr>
              <w:spacing w:line="360" w:lineRule="auto"/>
              <w:jc w:val="both"/>
              <w:rPr>
                <w:bCs/>
                <w:sz w:val="24"/>
                <w:szCs w:val="24"/>
              </w:rPr>
            </w:pPr>
            <w:r w:rsidRPr="00A0600E">
              <w:rPr>
                <w:bCs/>
                <w:sz w:val="24"/>
                <w:szCs w:val="24"/>
              </w:rPr>
              <w:t>Multi-agency working was challenging due to differing thresholds of concern. Reflecting on this, I understood that professional anxiety influenced the push for escalation. Rather than responding defensively, I facilitated a Team Around the Family approach, which helped redistribute responsibility and create a shared understanding of risk. This was important in reducing conflict and ensuring consistency of support.</w:t>
            </w:r>
          </w:p>
          <w:p w14:paraId="5F0D70C6" w14:textId="77777777" w:rsidR="00A0600E" w:rsidRPr="00A0600E" w:rsidRDefault="00A0600E" w:rsidP="00A0600E">
            <w:pPr>
              <w:spacing w:line="360" w:lineRule="auto"/>
              <w:jc w:val="both"/>
              <w:rPr>
                <w:bCs/>
                <w:sz w:val="24"/>
                <w:szCs w:val="24"/>
              </w:rPr>
            </w:pPr>
          </w:p>
          <w:p w14:paraId="264DA060" w14:textId="77777777" w:rsidR="00A0600E" w:rsidRPr="00A0600E" w:rsidRDefault="00A0600E" w:rsidP="00A0600E">
            <w:pPr>
              <w:spacing w:line="360" w:lineRule="auto"/>
              <w:jc w:val="both"/>
              <w:rPr>
                <w:bCs/>
                <w:sz w:val="24"/>
                <w:szCs w:val="24"/>
              </w:rPr>
            </w:pPr>
            <w:r w:rsidRPr="00A0600E">
              <w:rPr>
                <w:bCs/>
                <w:sz w:val="24"/>
                <w:szCs w:val="24"/>
              </w:rPr>
              <w:t>Throughout the case I prioritised reflective practice, using supervision to test my reasoning and ensure defensibility. I became more aware of the importance of distinguishing between poverty and neglect, and the risk of over-intervention where structural inequality is not fully considered.</w:t>
            </w:r>
          </w:p>
          <w:p w14:paraId="0B0E4258" w14:textId="77777777" w:rsidR="00A0600E" w:rsidRPr="00A0600E" w:rsidRDefault="00A0600E" w:rsidP="00A0600E">
            <w:pPr>
              <w:spacing w:line="360" w:lineRule="auto"/>
              <w:jc w:val="both"/>
              <w:rPr>
                <w:bCs/>
                <w:sz w:val="24"/>
                <w:szCs w:val="24"/>
              </w:rPr>
            </w:pPr>
            <w:r w:rsidRPr="00A0600E">
              <w:rPr>
                <w:bCs/>
                <w:sz w:val="24"/>
                <w:szCs w:val="24"/>
              </w:rPr>
              <w:lastRenderedPageBreak/>
              <w:t>In conclusion, this case strengthened my confidence in making proportionate safeguarding decisions within a rights-based framework. It reinforced that effective practice requires not only knowledge of legislation and policy, but the ability to critically interpret and apply</w:t>
            </w:r>
          </w:p>
          <w:p w14:paraId="3D13D7AD" w14:textId="77777777" w:rsidR="00A0600E" w:rsidRPr="00A0600E" w:rsidRDefault="00A0600E" w:rsidP="00A0600E">
            <w:pPr>
              <w:spacing w:line="360" w:lineRule="auto"/>
              <w:jc w:val="both"/>
              <w:rPr>
                <w:bCs/>
                <w:sz w:val="24"/>
                <w:szCs w:val="24"/>
              </w:rPr>
            </w:pPr>
            <w:r w:rsidRPr="00A0600E">
              <w:rPr>
                <w:bCs/>
                <w:sz w:val="24"/>
                <w:szCs w:val="24"/>
              </w:rPr>
              <w:t>them in context. Most importantly, it highlighted the need to remain reflective, analytical and child-focused when working in complex safeguarding situations.</w:t>
            </w:r>
          </w:p>
          <w:p w14:paraId="5AA41336" w14:textId="77777777" w:rsidR="00A0600E" w:rsidRDefault="00A0600E" w:rsidP="007A0F9A">
            <w:pPr>
              <w:spacing w:line="360" w:lineRule="auto"/>
              <w:jc w:val="both"/>
              <w:rPr>
                <w:bCs/>
                <w:sz w:val="24"/>
                <w:szCs w:val="24"/>
              </w:rPr>
            </w:pPr>
          </w:p>
          <w:p w14:paraId="5C8FE674" w14:textId="199094AB" w:rsidR="001C78F1" w:rsidRDefault="001C78F1" w:rsidP="007A0F9A">
            <w:pPr>
              <w:spacing w:line="360" w:lineRule="auto"/>
              <w:jc w:val="both"/>
              <w:rPr>
                <w:bCs/>
                <w:sz w:val="24"/>
                <w:szCs w:val="24"/>
              </w:rPr>
            </w:pPr>
            <w:r w:rsidRPr="001C78F1">
              <w:rPr>
                <w:bCs/>
                <w:sz w:val="24"/>
                <w:szCs w:val="24"/>
              </w:rPr>
              <w:t>The family consisted of two parents and two children, both presenting with emerging neurodevelopmental profiles. The home environment was characterised by overcrowding, chronic clutter, and animal hoarding, alongside inconsistent routines. These conditions triggered significant concern from the Health Visitor and the children’s school.</w:t>
            </w:r>
          </w:p>
          <w:p w14:paraId="2F2AD741" w14:textId="77777777" w:rsidR="00A0600E" w:rsidRPr="001C78F1" w:rsidRDefault="00A0600E" w:rsidP="007A0F9A">
            <w:pPr>
              <w:spacing w:line="360" w:lineRule="auto"/>
              <w:jc w:val="both"/>
              <w:rPr>
                <w:bCs/>
                <w:sz w:val="24"/>
                <w:szCs w:val="24"/>
              </w:rPr>
            </w:pPr>
          </w:p>
          <w:p w14:paraId="1788E39C" w14:textId="77777777" w:rsidR="001C78F1" w:rsidRDefault="001C78F1" w:rsidP="007A0F9A">
            <w:pPr>
              <w:spacing w:line="360" w:lineRule="auto"/>
              <w:jc w:val="both"/>
              <w:rPr>
                <w:bCs/>
                <w:sz w:val="24"/>
                <w:szCs w:val="24"/>
              </w:rPr>
            </w:pPr>
            <w:r w:rsidRPr="001C78F1">
              <w:rPr>
                <w:bCs/>
                <w:sz w:val="24"/>
                <w:szCs w:val="24"/>
              </w:rPr>
              <w:t>Both agencies advocated for a Section 47 Child Protection investigation, citing risk of significant harm. This response reflects alignment with Working Together (2023), which emphasises early identification of neglect through observable environmental indicators and promotes escalation where risk is perceived (HM Government, 2023).</w:t>
            </w:r>
          </w:p>
          <w:p w14:paraId="0135C0F4" w14:textId="77777777" w:rsidR="00A0600E" w:rsidRPr="001C78F1" w:rsidRDefault="00A0600E" w:rsidP="007A0F9A">
            <w:pPr>
              <w:spacing w:line="360" w:lineRule="auto"/>
              <w:jc w:val="both"/>
              <w:rPr>
                <w:bCs/>
                <w:sz w:val="24"/>
                <w:szCs w:val="24"/>
              </w:rPr>
            </w:pPr>
          </w:p>
          <w:p w14:paraId="7990879F" w14:textId="77777777" w:rsidR="001C78F1" w:rsidRDefault="001C78F1" w:rsidP="007A0F9A">
            <w:pPr>
              <w:spacing w:line="360" w:lineRule="auto"/>
              <w:jc w:val="both"/>
              <w:rPr>
                <w:bCs/>
                <w:sz w:val="24"/>
                <w:szCs w:val="24"/>
              </w:rPr>
            </w:pPr>
            <w:r w:rsidRPr="001C78F1">
              <w:rPr>
                <w:bCs/>
                <w:sz w:val="24"/>
                <w:szCs w:val="24"/>
              </w:rPr>
              <w:t>However, early assessment suggested that the environmental conditions were strongly influenced by structural factors, including poverty, inadequate housing, and parental trauma, rather than wilful neglect. This distinction is central within Welsh safeguarding practice. The SSWBA requires practitioners to consider socio-economic determinants and avoid conflating deprivation with neglect (Welsh Government, 2014).</w:t>
            </w:r>
          </w:p>
          <w:p w14:paraId="79E1D045" w14:textId="77777777" w:rsidR="00A0600E" w:rsidRPr="001C78F1" w:rsidRDefault="00A0600E" w:rsidP="007A0F9A">
            <w:pPr>
              <w:spacing w:line="360" w:lineRule="auto"/>
              <w:jc w:val="both"/>
              <w:rPr>
                <w:bCs/>
                <w:sz w:val="24"/>
                <w:szCs w:val="24"/>
              </w:rPr>
            </w:pPr>
          </w:p>
          <w:p w14:paraId="38AFE88E" w14:textId="77777777" w:rsidR="001C78F1" w:rsidRDefault="001C78F1" w:rsidP="007A0F9A">
            <w:pPr>
              <w:spacing w:line="360" w:lineRule="auto"/>
              <w:jc w:val="both"/>
              <w:rPr>
                <w:bCs/>
                <w:sz w:val="24"/>
                <w:szCs w:val="24"/>
              </w:rPr>
            </w:pPr>
            <w:r w:rsidRPr="001C78F1">
              <w:rPr>
                <w:bCs/>
                <w:sz w:val="24"/>
                <w:szCs w:val="24"/>
              </w:rPr>
              <w:t>Research supports this position. Bywaters et al. (2016) demonstrate that families living in poverty are disproportionately subject to child protection intervention due to structural inequalities rather than parental intent. This critique is particularly relevant when compared to English safeguarding systems, where threshold-driven responses may insufficiently account for contextual factors.</w:t>
            </w:r>
          </w:p>
          <w:p w14:paraId="0BC2BA27" w14:textId="77777777" w:rsidR="00A0600E" w:rsidRPr="001C78F1" w:rsidRDefault="00A0600E" w:rsidP="007A0F9A">
            <w:pPr>
              <w:spacing w:line="360" w:lineRule="auto"/>
              <w:jc w:val="both"/>
              <w:rPr>
                <w:bCs/>
                <w:sz w:val="24"/>
                <w:szCs w:val="24"/>
              </w:rPr>
            </w:pPr>
          </w:p>
          <w:p w14:paraId="4F796AEC" w14:textId="77777777" w:rsidR="001C78F1" w:rsidRPr="001C78F1" w:rsidRDefault="001C78F1" w:rsidP="007A0F9A">
            <w:pPr>
              <w:spacing w:line="360" w:lineRule="auto"/>
              <w:jc w:val="both"/>
              <w:rPr>
                <w:bCs/>
                <w:sz w:val="24"/>
                <w:szCs w:val="24"/>
              </w:rPr>
            </w:pPr>
            <w:r w:rsidRPr="001C78F1">
              <w:rPr>
                <w:bCs/>
                <w:sz w:val="24"/>
                <w:szCs w:val="24"/>
              </w:rPr>
              <w:t>Protective factors identified included:</w:t>
            </w:r>
          </w:p>
          <w:p w14:paraId="0007C9B0" w14:textId="77777777" w:rsidR="001C78F1" w:rsidRPr="001C78F1" w:rsidRDefault="001C78F1" w:rsidP="00E844EE">
            <w:pPr>
              <w:numPr>
                <w:ilvl w:val="0"/>
                <w:numId w:val="1"/>
              </w:numPr>
              <w:spacing w:line="360" w:lineRule="auto"/>
              <w:jc w:val="both"/>
              <w:rPr>
                <w:bCs/>
                <w:sz w:val="24"/>
                <w:szCs w:val="24"/>
              </w:rPr>
            </w:pPr>
            <w:r w:rsidRPr="001C78F1">
              <w:rPr>
                <w:bCs/>
                <w:sz w:val="24"/>
                <w:szCs w:val="24"/>
              </w:rPr>
              <w:t>strong emotional attachment between parents and children</w:t>
            </w:r>
          </w:p>
          <w:p w14:paraId="45D11245" w14:textId="77777777" w:rsidR="001C78F1" w:rsidRPr="001C78F1" w:rsidRDefault="001C78F1" w:rsidP="00E844EE">
            <w:pPr>
              <w:numPr>
                <w:ilvl w:val="0"/>
                <w:numId w:val="1"/>
              </w:numPr>
              <w:spacing w:line="360" w:lineRule="auto"/>
              <w:jc w:val="both"/>
              <w:rPr>
                <w:bCs/>
                <w:sz w:val="24"/>
                <w:szCs w:val="24"/>
              </w:rPr>
            </w:pPr>
            <w:r w:rsidRPr="001C78F1">
              <w:rPr>
                <w:bCs/>
                <w:sz w:val="24"/>
                <w:szCs w:val="24"/>
              </w:rPr>
              <w:t>evidence of warmth and responsiveness</w:t>
            </w:r>
          </w:p>
          <w:p w14:paraId="00B6B6CA" w14:textId="77777777" w:rsidR="001C78F1" w:rsidRPr="001C78F1" w:rsidRDefault="001C78F1" w:rsidP="00E844EE">
            <w:pPr>
              <w:numPr>
                <w:ilvl w:val="0"/>
                <w:numId w:val="1"/>
              </w:numPr>
              <w:spacing w:line="360" w:lineRule="auto"/>
              <w:jc w:val="both"/>
              <w:rPr>
                <w:bCs/>
                <w:sz w:val="24"/>
                <w:szCs w:val="24"/>
              </w:rPr>
            </w:pPr>
            <w:r w:rsidRPr="001C78F1">
              <w:rPr>
                <w:bCs/>
                <w:sz w:val="24"/>
                <w:szCs w:val="24"/>
              </w:rPr>
              <w:lastRenderedPageBreak/>
              <w:t>willingness to engage with services</w:t>
            </w:r>
          </w:p>
          <w:p w14:paraId="7C8F1CB3" w14:textId="77777777" w:rsidR="001C78F1" w:rsidRPr="001C78F1" w:rsidRDefault="001C78F1" w:rsidP="00E844EE">
            <w:pPr>
              <w:numPr>
                <w:ilvl w:val="0"/>
                <w:numId w:val="1"/>
              </w:numPr>
              <w:spacing w:line="360" w:lineRule="auto"/>
              <w:jc w:val="both"/>
              <w:rPr>
                <w:bCs/>
                <w:sz w:val="24"/>
                <w:szCs w:val="24"/>
              </w:rPr>
            </w:pPr>
            <w:r w:rsidRPr="001C78F1">
              <w:rPr>
                <w:bCs/>
                <w:sz w:val="24"/>
                <w:szCs w:val="24"/>
              </w:rPr>
              <w:t>consistent school attendance when supported</w:t>
            </w:r>
          </w:p>
          <w:p w14:paraId="194CFD83" w14:textId="77777777" w:rsidR="001C78F1" w:rsidRDefault="001C78F1" w:rsidP="00E844EE">
            <w:pPr>
              <w:numPr>
                <w:ilvl w:val="0"/>
                <w:numId w:val="1"/>
              </w:numPr>
              <w:spacing w:line="360" w:lineRule="auto"/>
              <w:jc w:val="both"/>
              <w:rPr>
                <w:bCs/>
                <w:sz w:val="24"/>
                <w:szCs w:val="24"/>
              </w:rPr>
            </w:pPr>
            <w:r w:rsidRPr="001C78F1">
              <w:rPr>
                <w:bCs/>
                <w:sz w:val="24"/>
                <w:szCs w:val="24"/>
              </w:rPr>
              <w:t>parental recognition of environmental difficulties</w:t>
            </w:r>
          </w:p>
          <w:p w14:paraId="41FB87F6" w14:textId="77777777" w:rsidR="00600BD8" w:rsidRPr="001C78F1" w:rsidRDefault="00600BD8" w:rsidP="00600BD8">
            <w:pPr>
              <w:spacing w:line="360" w:lineRule="auto"/>
              <w:jc w:val="both"/>
              <w:rPr>
                <w:bCs/>
                <w:sz w:val="24"/>
                <w:szCs w:val="24"/>
              </w:rPr>
            </w:pPr>
          </w:p>
          <w:p w14:paraId="39A63A9F" w14:textId="77777777" w:rsidR="001C78F1" w:rsidRPr="001C78F1" w:rsidRDefault="001C78F1" w:rsidP="007A0F9A">
            <w:pPr>
              <w:spacing w:line="360" w:lineRule="auto"/>
              <w:jc w:val="both"/>
              <w:rPr>
                <w:bCs/>
                <w:sz w:val="24"/>
                <w:szCs w:val="24"/>
              </w:rPr>
            </w:pPr>
            <w:r w:rsidRPr="001C78F1">
              <w:rPr>
                <w:bCs/>
                <w:sz w:val="24"/>
                <w:szCs w:val="24"/>
              </w:rPr>
              <w:t>Within a Working Together framework, such strengths may be secondary to risk indicators, particularly where professional anxiety is high. In contrast, Welsh practice requires balancing risk with strengths, ensuring that assessment remains holistic and proportionate.</w:t>
            </w:r>
          </w:p>
          <w:p w14:paraId="3923A9CC" w14:textId="77777777" w:rsidR="001C78F1" w:rsidRDefault="001C78F1" w:rsidP="007A0F9A">
            <w:pPr>
              <w:spacing w:line="360" w:lineRule="auto"/>
              <w:jc w:val="both"/>
              <w:rPr>
                <w:bCs/>
                <w:sz w:val="24"/>
                <w:szCs w:val="24"/>
              </w:rPr>
            </w:pPr>
            <w:r w:rsidRPr="001C78F1">
              <w:rPr>
                <w:bCs/>
                <w:sz w:val="24"/>
                <w:szCs w:val="24"/>
              </w:rPr>
              <w:t>The Wales Safeguarding Procedures (2019) require evidence or reasonable suspicion of significant harm to justify Child Protection intervention (Welsh Government, 2019). In this case, while concerns were legitimate, the threshold was not clearly met.</w:t>
            </w:r>
          </w:p>
          <w:p w14:paraId="2B82540D" w14:textId="77777777" w:rsidR="001F687C" w:rsidRPr="001C78F1" w:rsidRDefault="001F687C" w:rsidP="007A0F9A">
            <w:pPr>
              <w:spacing w:line="360" w:lineRule="auto"/>
              <w:jc w:val="both"/>
              <w:rPr>
                <w:bCs/>
                <w:sz w:val="24"/>
                <w:szCs w:val="24"/>
              </w:rPr>
            </w:pPr>
          </w:p>
          <w:p w14:paraId="2835CE41" w14:textId="77777777" w:rsidR="001C78F1" w:rsidRPr="001C78F1" w:rsidRDefault="001C78F1" w:rsidP="007A0F9A">
            <w:pPr>
              <w:spacing w:line="360" w:lineRule="auto"/>
              <w:jc w:val="both"/>
              <w:rPr>
                <w:bCs/>
                <w:sz w:val="24"/>
                <w:szCs w:val="24"/>
              </w:rPr>
            </w:pPr>
            <w:r w:rsidRPr="001C78F1">
              <w:rPr>
                <w:bCs/>
                <w:sz w:val="24"/>
                <w:szCs w:val="24"/>
              </w:rPr>
              <w:t>This highlights a key divergence:</w:t>
            </w:r>
          </w:p>
          <w:p w14:paraId="3336509B" w14:textId="77777777" w:rsidR="001C78F1" w:rsidRPr="001C78F1" w:rsidRDefault="001C78F1" w:rsidP="00E844EE">
            <w:pPr>
              <w:numPr>
                <w:ilvl w:val="0"/>
                <w:numId w:val="2"/>
              </w:numPr>
              <w:spacing w:line="360" w:lineRule="auto"/>
              <w:jc w:val="both"/>
              <w:rPr>
                <w:bCs/>
                <w:sz w:val="24"/>
                <w:szCs w:val="24"/>
              </w:rPr>
            </w:pPr>
            <w:r w:rsidRPr="001C78F1">
              <w:rPr>
                <w:bCs/>
                <w:sz w:val="24"/>
                <w:szCs w:val="24"/>
              </w:rPr>
              <w:t>Working Together (2023): prioritises risk escalation and procedural safeguarding</w:t>
            </w:r>
          </w:p>
          <w:p w14:paraId="45BF1E9A" w14:textId="77777777" w:rsidR="001C78F1" w:rsidRPr="001C78F1" w:rsidRDefault="001C78F1" w:rsidP="00E844EE">
            <w:pPr>
              <w:numPr>
                <w:ilvl w:val="0"/>
                <w:numId w:val="2"/>
              </w:numPr>
              <w:spacing w:line="360" w:lineRule="auto"/>
              <w:jc w:val="both"/>
              <w:rPr>
                <w:bCs/>
                <w:sz w:val="24"/>
                <w:szCs w:val="24"/>
              </w:rPr>
            </w:pPr>
            <w:r w:rsidRPr="001C78F1">
              <w:rPr>
                <w:bCs/>
                <w:sz w:val="24"/>
                <w:szCs w:val="24"/>
              </w:rPr>
              <w:t>SSWBA (2014): prioritises contextual analysis and proportional intervention</w:t>
            </w:r>
          </w:p>
          <w:p w14:paraId="5005E10C" w14:textId="77777777" w:rsidR="001C78F1" w:rsidRDefault="001C78F1" w:rsidP="007A0F9A">
            <w:pPr>
              <w:spacing w:line="360" w:lineRule="auto"/>
              <w:jc w:val="both"/>
              <w:rPr>
                <w:bCs/>
                <w:sz w:val="24"/>
                <w:szCs w:val="24"/>
              </w:rPr>
            </w:pPr>
            <w:r w:rsidRPr="001C78F1">
              <w:rPr>
                <w:bCs/>
                <w:sz w:val="24"/>
                <w:szCs w:val="24"/>
              </w:rPr>
              <w:t>The Welsh framework therefore enabled a more nuanced and defensible interpretation of risk.</w:t>
            </w:r>
          </w:p>
          <w:p w14:paraId="7843968E" w14:textId="77777777" w:rsidR="00600BD8" w:rsidRDefault="00600BD8" w:rsidP="00600BD8">
            <w:pPr>
              <w:spacing w:line="360" w:lineRule="auto"/>
              <w:jc w:val="both"/>
              <w:rPr>
                <w:bCs/>
                <w:sz w:val="24"/>
                <w:szCs w:val="24"/>
              </w:rPr>
            </w:pPr>
          </w:p>
          <w:p w14:paraId="2091F8C1" w14:textId="3752A2FD" w:rsidR="00600BD8" w:rsidRDefault="00600BD8" w:rsidP="00600BD8">
            <w:pPr>
              <w:spacing w:line="360" w:lineRule="auto"/>
              <w:jc w:val="both"/>
              <w:rPr>
                <w:bCs/>
                <w:sz w:val="24"/>
                <w:szCs w:val="24"/>
              </w:rPr>
            </w:pPr>
            <w:r w:rsidRPr="00600BD8">
              <w:rPr>
                <w:bCs/>
                <w:sz w:val="24"/>
                <w:szCs w:val="24"/>
              </w:rPr>
              <w:t>This stage of the assessment challenged my understanding of safeguarding thresholds and highlighted the complexity of distinguishing between indicators of neglect and the impact of structural disadvantage. Initially, I found myself focusing on the visible environmental concerns within the family home, particularly the clutter, overcrowding and animal hoarding. Reflecting on this, I recognised the risk of allowing observable conditions to dominate my analysis without fully considering the factors contributing to them. Through supervision and ongoing assessment, I became increasingly aware that poverty, housing limitations and parental trauma were significantly influencing family functioning.</w:t>
            </w:r>
          </w:p>
          <w:p w14:paraId="463A7345" w14:textId="77777777" w:rsidR="00600BD8" w:rsidRPr="00600BD8" w:rsidRDefault="00600BD8" w:rsidP="00600BD8">
            <w:pPr>
              <w:spacing w:line="360" w:lineRule="auto"/>
              <w:jc w:val="both"/>
              <w:rPr>
                <w:bCs/>
                <w:sz w:val="24"/>
                <w:szCs w:val="24"/>
              </w:rPr>
            </w:pPr>
          </w:p>
          <w:p w14:paraId="1B00D26A" w14:textId="77777777" w:rsidR="00600BD8" w:rsidRDefault="00600BD8" w:rsidP="00600BD8">
            <w:pPr>
              <w:spacing w:line="360" w:lineRule="auto"/>
              <w:jc w:val="both"/>
              <w:rPr>
                <w:bCs/>
                <w:sz w:val="24"/>
                <w:szCs w:val="24"/>
              </w:rPr>
            </w:pPr>
            <w:r w:rsidRPr="00600BD8">
              <w:rPr>
                <w:bCs/>
                <w:sz w:val="24"/>
                <w:szCs w:val="24"/>
              </w:rPr>
              <w:t xml:space="preserve">As my assessment progressed, I also developed a greater understanding of the parents' own experiences and the extent to which these impacted their ability to meet their children's needs. Both parents described growing up in environments where routines, boundaries and life skills had not been consistently modelled or reinforced. Reflecting on this, I recognised that difficulties in establishing routines were not necessarily indicative of a lack of care or </w:t>
            </w:r>
            <w:proofErr w:type="gramStart"/>
            <w:r w:rsidRPr="00600BD8">
              <w:rPr>
                <w:bCs/>
                <w:sz w:val="24"/>
                <w:szCs w:val="24"/>
              </w:rPr>
              <w:t>motivation, but</w:t>
            </w:r>
            <w:proofErr w:type="gramEnd"/>
            <w:r w:rsidRPr="00600BD8">
              <w:rPr>
                <w:bCs/>
                <w:sz w:val="24"/>
                <w:szCs w:val="24"/>
              </w:rPr>
              <w:t xml:space="preserve"> rather reflected a lack of opportunity to learn and experience effective </w:t>
            </w:r>
            <w:r w:rsidRPr="00600BD8">
              <w:rPr>
                <w:bCs/>
                <w:sz w:val="24"/>
                <w:szCs w:val="24"/>
              </w:rPr>
              <w:lastRenderedPageBreak/>
              <w:t>parenting practices themselves. This challenged me to move beyond a simple assessment of what was absent within the family and instead explore why these difficulties existed.</w:t>
            </w:r>
          </w:p>
          <w:p w14:paraId="7C3C68CD" w14:textId="77777777" w:rsidR="00600BD8" w:rsidRPr="00600BD8" w:rsidRDefault="00600BD8" w:rsidP="00600BD8">
            <w:pPr>
              <w:spacing w:line="360" w:lineRule="auto"/>
              <w:jc w:val="both"/>
              <w:rPr>
                <w:bCs/>
                <w:sz w:val="24"/>
                <w:szCs w:val="24"/>
              </w:rPr>
            </w:pPr>
          </w:p>
          <w:p w14:paraId="0994FF3B" w14:textId="77777777" w:rsidR="00600BD8" w:rsidRDefault="00600BD8" w:rsidP="00600BD8">
            <w:pPr>
              <w:spacing w:line="360" w:lineRule="auto"/>
              <w:jc w:val="both"/>
              <w:rPr>
                <w:bCs/>
                <w:sz w:val="24"/>
                <w:szCs w:val="24"/>
              </w:rPr>
            </w:pPr>
            <w:r w:rsidRPr="00600BD8">
              <w:rPr>
                <w:bCs/>
                <w:sz w:val="24"/>
                <w:szCs w:val="24"/>
              </w:rPr>
              <w:t>A further consideration was the emerging neurodevelopmental needs of both children and the significant impact this had on family life. The parents demonstrated limited understanding of neurodivergence and how it affected their children's behaviour, emotional regulation and daily functioning. However, this appeared to stem not from unwillingness to learn, but from a lack of access to appropriate information, guidance and support. Prior to social work involvement, no targeted support had been provided to help the parents understand the children's presentations or to adapt their parenting approaches accordingly.</w:t>
            </w:r>
          </w:p>
          <w:p w14:paraId="34D30FE8" w14:textId="77777777" w:rsidR="00600BD8" w:rsidRPr="00600BD8" w:rsidRDefault="00600BD8" w:rsidP="00600BD8">
            <w:pPr>
              <w:spacing w:line="360" w:lineRule="auto"/>
              <w:jc w:val="both"/>
              <w:rPr>
                <w:bCs/>
                <w:sz w:val="24"/>
                <w:szCs w:val="24"/>
              </w:rPr>
            </w:pPr>
          </w:p>
          <w:p w14:paraId="3410424A" w14:textId="77777777" w:rsidR="00600BD8" w:rsidRDefault="00600BD8" w:rsidP="00600BD8">
            <w:pPr>
              <w:spacing w:line="360" w:lineRule="auto"/>
              <w:jc w:val="both"/>
              <w:rPr>
                <w:bCs/>
                <w:sz w:val="24"/>
                <w:szCs w:val="24"/>
              </w:rPr>
            </w:pPr>
            <w:r w:rsidRPr="00600BD8">
              <w:rPr>
                <w:bCs/>
                <w:sz w:val="24"/>
                <w:szCs w:val="24"/>
              </w:rPr>
              <w:t>Importantly, assessment also suggested that the parents themselves presented with traits associated with neurodivergence, including difficulties with executive functioning, organisation, planning, information processing and maintaining consistent routines. Reflecting on this, I became increasingly aware of how their own unmet needs may have affected their capacity to navigate complex systems, process professional advice and implement changes within the home environment. Tasks that professionals may view as straightforward, such as establishing structured routines, budgeting, meal planning, attending appointments or completing benefit applications, appeared considerably more challenging for the parents due to these difficulties.</w:t>
            </w:r>
          </w:p>
          <w:p w14:paraId="08BE4DE5" w14:textId="77777777" w:rsidR="00600BD8" w:rsidRPr="00600BD8" w:rsidRDefault="00600BD8" w:rsidP="00600BD8">
            <w:pPr>
              <w:spacing w:line="360" w:lineRule="auto"/>
              <w:jc w:val="both"/>
              <w:rPr>
                <w:bCs/>
                <w:sz w:val="24"/>
                <w:szCs w:val="24"/>
              </w:rPr>
            </w:pPr>
          </w:p>
          <w:p w14:paraId="6ECBF223" w14:textId="77777777" w:rsidR="00600BD8" w:rsidRPr="00600BD8" w:rsidRDefault="00600BD8" w:rsidP="00600BD8">
            <w:pPr>
              <w:spacing w:line="360" w:lineRule="auto"/>
              <w:jc w:val="both"/>
              <w:rPr>
                <w:bCs/>
                <w:sz w:val="24"/>
                <w:szCs w:val="24"/>
              </w:rPr>
            </w:pPr>
            <w:r w:rsidRPr="00600BD8">
              <w:rPr>
                <w:bCs/>
                <w:sz w:val="24"/>
                <w:szCs w:val="24"/>
              </w:rPr>
              <w:t>This understanding significantly altered my interpretation of risk. Rather than viewing the family's difficulties solely through a child protection lens, I began to understand them as the result of an interaction between poverty, trauma, unmet neurodevelopmental needs and a lack of supportive intervention. The parents' struggles to establish routines, promote healthy lifestyle choices and access financial entitlements were not simply matters of choice but were influenced by limited knowledge, reduced executive functioning skills and the absence of appropriate support networks. This reinforced the importance of adopting a strengths-based and trauma-informed approach that sought to build parental capacity rather than attribute blame.</w:t>
            </w:r>
          </w:p>
          <w:p w14:paraId="21152014" w14:textId="77777777" w:rsidR="00600BD8" w:rsidRPr="00600BD8" w:rsidRDefault="00600BD8" w:rsidP="00600BD8">
            <w:pPr>
              <w:spacing w:line="360" w:lineRule="auto"/>
              <w:jc w:val="both"/>
              <w:rPr>
                <w:bCs/>
                <w:sz w:val="24"/>
                <w:szCs w:val="24"/>
              </w:rPr>
            </w:pPr>
            <w:r w:rsidRPr="00600BD8">
              <w:rPr>
                <w:bCs/>
                <w:sz w:val="24"/>
                <w:szCs w:val="24"/>
              </w:rPr>
              <w:lastRenderedPageBreak/>
              <w:t xml:space="preserve">Reflecting on this process, I recognised the potential risks of </w:t>
            </w:r>
            <w:proofErr w:type="spellStart"/>
            <w:r w:rsidRPr="00600BD8">
              <w:rPr>
                <w:bCs/>
                <w:sz w:val="24"/>
                <w:szCs w:val="24"/>
              </w:rPr>
              <w:t>pathologising</w:t>
            </w:r>
            <w:proofErr w:type="spellEnd"/>
            <w:r w:rsidRPr="00600BD8">
              <w:rPr>
                <w:bCs/>
                <w:sz w:val="24"/>
                <w:szCs w:val="24"/>
              </w:rPr>
              <w:t xml:space="preserve"> families whose difficulties are rooted in unmet need rather than intentional harm. Had I focused exclusively on the presenting environmental concerns, there was a risk that the wider context would have been overlooked, potentially leading to disproportionate intervention. Applying the principles of the Social Services and Well-being (Wales) Act 2014 enabled a more nuanced understanding of the family's circumstances and highlighted the importance of addressing underlying needs through support, education and partnership working. This ultimately strengthened my confidence in distinguishing between neglect arising from a lack of care and difficulties arising from poverty, trauma and neurodivergence</w:t>
            </w:r>
          </w:p>
          <w:p w14:paraId="7113170A" w14:textId="77777777" w:rsidR="00A0600E" w:rsidRPr="00A0600E" w:rsidRDefault="00A0600E" w:rsidP="00A0600E">
            <w:pPr>
              <w:spacing w:line="360" w:lineRule="auto"/>
              <w:jc w:val="both"/>
              <w:rPr>
                <w:bCs/>
                <w:sz w:val="24"/>
                <w:szCs w:val="24"/>
              </w:rPr>
            </w:pPr>
          </w:p>
          <w:p w14:paraId="57A2B096" w14:textId="77777777" w:rsidR="00A0600E" w:rsidRPr="00A0600E" w:rsidRDefault="00A0600E" w:rsidP="00A0600E">
            <w:pPr>
              <w:spacing w:line="360" w:lineRule="auto"/>
              <w:jc w:val="both"/>
              <w:rPr>
                <w:bCs/>
                <w:sz w:val="24"/>
                <w:szCs w:val="24"/>
              </w:rPr>
            </w:pPr>
          </w:p>
          <w:p w14:paraId="6CCF6438" w14:textId="0D2D55E7" w:rsidR="00580C33" w:rsidRDefault="00A0600E" w:rsidP="007A0F9A">
            <w:pPr>
              <w:spacing w:line="360" w:lineRule="auto"/>
              <w:jc w:val="both"/>
              <w:rPr>
                <w:bCs/>
                <w:sz w:val="24"/>
                <w:szCs w:val="24"/>
              </w:rPr>
            </w:pPr>
            <w:r w:rsidRPr="00A0600E">
              <w:rPr>
                <w:bCs/>
                <w:sz w:val="24"/>
                <w:szCs w:val="24"/>
              </w:rPr>
              <w:t>The assessment process also reinforced the importance of recognising the distinction between poverty and neglect. Research by Bywaters et al. (2016) demonstrates that families living in poverty are disproportionately represented within child protection systems, often due to factors beyond parental control. This evidence challenged me to question my own assumptions and remain alert to the possibility of structural inequality influencing professional judgement.</w:t>
            </w:r>
          </w:p>
          <w:p w14:paraId="3CB97DB8" w14:textId="77777777" w:rsidR="00A0600E" w:rsidRPr="007A0F9A" w:rsidRDefault="00A0600E" w:rsidP="007A0F9A">
            <w:pPr>
              <w:spacing w:line="360" w:lineRule="auto"/>
              <w:jc w:val="both"/>
              <w:rPr>
                <w:bCs/>
                <w:sz w:val="24"/>
                <w:szCs w:val="24"/>
              </w:rPr>
            </w:pPr>
          </w:p>
          <w:p w14:paraId="04F04C58" w14:textId="77777777" w:rsidR="001C78F1" w:rsidRDefault="001C78F1" w:rsidP="007A0F9A">
            <w:pPr>
              <w:spacing w:line="360" w:lineRule="auto"/>
              <w:jc w:val="both"/>
              <w:rPr>
                <w:bCs/>
                <w:sz w:val="24"/>
                <w:szCs w:val="24"/>
              </w:rPr>
            </w:pPr>
            <w:r w:rsidRPr="001C78F1">
              <w:rPr>
                <w:bCs/>
                <w:sz w:val="24"/>
                <w:szCs w:val="24"/>
              </w:rPr>
              <w:t>Safeguarding in Wales is governed primarily by the SSWBA, which establishes duties to safeguard children while promoting well-being, prevention, and participation (Welsh Government, 2014). This contrasts with Working Together (2023), which focuses more explicitly on inter-agency procedures, statutory thresholds, and accountability mechanisms (HM Government, 2023).</w:t>
            </w:r>
          </w:p>
          <w:p w14:paraId="530BF7C6" w14:textId="77777777" w:rsidR="00A0600E" w:rsidRPr="001C78F1" w:rsidRDefault="00A0600E" w:rsidP="007A0F9A">
            <w:pPr>
              <w:spacing w:line="360" w:lineRule="auto"/>
              <w:jc w:val="both"/>
              <w:rPr>
                <w:bCs/>
                <w:sz w:val="24"/>
                <w:szCs w:val="24"/>
              </w:rPr>
            </w:pPr>
          </w:p>
          <w:p w14:paraId="11AD6BF7" w14:textId="77777777" w:rsidR="001C78F1" w:rsidRDefault="001C78F1" w:rsidP="007A0F9A">
            <w:pPr>
              <w:spacing w:line="360" w:lineRule="auto"/>
              <w:jc w:val="both"/>
              <w:rPr>
                <w:bCs/>
                <w:sz w:val="24"/>
                <w:szCs w:val="24"/>
              </w:rPr>
            </w:pPr>
            <w:r w:rsidRPr="001C78F1">
              <w:rPr>
                <w:bCs/>
                <w:sz w:val="24"/>
                <w:szCs w:val="24"/>
              </w:rPr>
              <w:t>Although the Children Act 1989 remains applicable in both jurisdictions, its interpretation differs. In England, Section 47 is often used as a primary safeguarding mechanism once risk is identified. In Wales, its use is moderated by SSWBA principles, requiring that intervention is necessary and proportionate.</w:t>
            </w:r>
          </w:p>
          <w:p w14:paraId="0D0A098C" w14:textId="77777777" w:rsidR="00A0600E" w:rsidRPr="001C78F1" w:rsidRDefault="00A0600E" w:rsidP="007A0F9A">
            <w:pPr>
              <w:spacing w:line="360" w:lineRule="auto"/>
              <w:jc w:val="both"/>
              <w:rPr>
                <w:bCs/>
                <w:sz w:val="24"/>
                <w:szCs w:val="24"/>
              </w:rPr>
            </w:pPr>
          </w:p>
          <w:p w14:paraId="4513ABB6" w14:textId="77777777" w:rsidR="001C78F1" w:rsidRPr="001C78F1" w:rsidRDefault="001C78F1" w:rsidP="007A0F9A">
            <w:pPr>
              <w:spacing w:line="360" w:lineRule="auto"/>
              <w:jc w:val="both"/>
              <w:rPr>
                <w:bCs/>
                <w:sz w:val="24"/>
                <w:szCs w:val="24"/>
              </w:rPr>
            </w:pPr>
            <w:r w:rsidRPr="001C78F1">
              <w:rPr>
                <w:bCs/>
                <w:sz w:val="24"/>
                <w:szCs w:val="24"/>
              </w:rPr>
              <w:t xml:space="preserve">The Rights of Children and Young Persons (Wales) Measure 2011 embeds the UNCRC into Welsh law, requiring due regard to children’s rights. This creates a stronger legal basis for </w:t>
            </w:r>
            <w:r w:rsidRPr="001C78F1">
              <w:rPr>
                <w:bCs/>
                <w:sz w:val="24"/>
                <w:szCs w:val="24"/>
              </w:rPr>
              <w:lastRenderedPageBreak/>
              <w:t>rights-based practice than in England, where the UNCRC informs policy but is not directly incorporated.</w:t>
            </w:r>
          </w:p>
          <w:p w14:paraId="1EAF3BD0" w14:textId="77777777" w:rsidR="001C78F1" w:rsidRPr="001C78F1" w:rsidRDefault="001C78F1" w:rsidP="007A0F9A">
            <w:pPr>
              <w:spacing w:line="360" w:lineRule="auto"/>
              <w:jc w:val="both"/>
              <w:rPr>
                <w:bCs/>
                <w:sz w:val="24"/>
                <w:szCs w:val="24"/>
              </w:rPr>
            </w:pPr>
            <w:r w:rsidRPr="001C78F1">
              <w:rPr>
                <w:bCs/>
                <w:sz w:val="24"/>
                <w:szCs w:val="24"/>
              </w:rPr>
              <w:t>Two key UNCRC rights were central:</w:t>
            </w:r>
          </w:p>
          <w:p w14:paraId="4396541C" w14:textId="77777777" w:rsidR="001C78F1" w:rsidRPr="001C78F1" w:rsidRDefault="001C78F1" w:rsidP="00E844EE">
            <w:pPr>
              <w:numPr>
                <w:ilvl w:val="0"/>
                <w:numId w:val="3"/>
              </w:numPr>
              <w:spacing w:line="360" w:lineRule="auto"/>
              <w:jc w:val="both"/>
              <w:rPr>
                <w:bCs/>
                <w:sz w:val="24"/>
                <w:szCs w:val="24"/>
              </w:rPr>
            </w:pPr>
            <w:r w:rsidRPr="001C78F1">
              <w:rPr>
                <w:bCs/>
                <w:sz w:val="24"/>
                <w:szCs w:val="24"/>
              </w:rPr>
              <w:t>Article 19: protection from harm</w:t>
            </w:r>
          </w:p>
          <w:p w14:paraId="79257CD3" w14:textId="77777777" w:rsidR="001C78F1" w:rsidRPr="001C78F1" w:rsidRDefault="001C78F1" w:rsidP="00E844EE">
            <w:pPr>
              <w:numPr>
                <w:ilvl w:val="0"/>
                <w:numId w:val="3"/>
              </w:numPr>
              <w:spacing w:line="360" w:lineRule="auto"/>
              <w:jc w:val="both"/>
              <w:rPr>
                <w:bCs/>
                <w:sz w:val="24"/>
                <w:szCs w:val="24"/>
              </w:rPr>
            </w:pPr>
            <w:r w:rsidRPr="001C78F1">
              <w:rPr>
                <w:bCs/>
                <w:sz w:val="24"/>
                <w:szCs w:val="24"/>
              </w:rPr>
              <w:t>Article 18: parental right to state support</w:t>
            </w:r>
          </w:p>
          <w:p w14:paraId="2E32B5DF" w14:textId="77777777" w:rsidR="001C78F1" w:rsidRDefault="001C78F1" w:rsidP="007A0F9A">
            <w:pPr>
              <w:spacing w:line="360" w:lineRule="auto"/>
              <w:jc w:val="both"/>
              <w:rPr>
                <w:bCs/>
                <w:sz w:val="24"/>
                <w:szCs w:val="24"/>
              </w:rPr>
            </w:pPr>
            <w:r w:rsidRPr="001C78F1">
              <w:rPr>
                <w:bCs/>
                <w:sz w:val="24"/>
                <w:szCs w:val="24"/>
              </w:rPr>
              <w:t>Balancing these rights required careful analysis of whether harm could be mitigated through support rather than intervention.</w:t>
            </w:r>
          </w:p>
          <w:p w14:paraId="4E4BE631" w14:textId="77777777" w:rsidR="00A0600E" w:rsidRPr="001C78F1" w:rsidRDefault="00A0600E" w:rsidP="007A0F9A">
            <w:pPr>
              <w:spacing w:line="360" w:lineRule="auto"/>
              <w:jc w:val="both"/>
              <w:rPr>
                <w:bCs/>
                <w:sz w:val="24"/>
                <w:szCs w:val="24"/>
              </w:rPr>
            </w:pPr>
          </w:p>
          <w:p w14:paraId="6A77F25E" w14:textId="77777777" w:rsidR="001C78F1" w:rsidRDefault="001C78F1" w:rsidP="007A0F9A">
            <w:pPr>
              <w:spacing w:line="360" w:lineRule="auto"/>
              <w:jc w:val="both"/>
              <w:rPr>
                <w:bCs/>
                <w:sz w:val="24"/>
                <w:szCs w:val="24"/>
              </w:rPr>
            </w:pPr>
            <w:r w:rsidRPr="001C78F1">
              <w:rPr>
                <w:bCs/>
                <w:sz w:val="24"/>
                <w:szCs w:val="24"/>
              </w:rPr>
              <w:t>The Human Rights Act 1998 further reinforces proportionality through Article 8 (right to family life). Any unnecessary Child Protection intervention risks breaching this right (UK Government, 1998).</w:t>
            </w:r>
          </w:p>
          <w:p w14:paraId="37F975CB" w14:textId="77777777" w:rsidR="00A0600E" w:rsidRPr="001C78F1" w:rsidRDefault="00A0600E" w:rsidP="007A0F9A">
            <w:pPr>
              <w:spacing w:line="360" w:lineRule="auto"/>
              <w:jc w:val="both"/>
              <w:rPr>
                <w:bCs/>
                <w:sz w:val="24"/>
                <w:szCs w:val="24"/>
              </w:rPr>
            </w:pPr>
          </w:p>
          <w:p w14:paraId="1699EF7F" w14:textId="77777777" w:rsidR="001C78F1" w:rsidRDefault="001C78F1" w:rsidP="007A0F9A">
            <w:pPr>
              <w:spacing w:line="360" w:lineRule="auto"/>
              <w:jc w:val="both"/>
              <w:rPr>
                <w:bCs/>
                <w:sz w:val="24"/>
                <w:szCs w:val="24"/>
              </w:rPr>
            </w:pPr>
            <w:r w:rsidRPr="001C78F1">
              <w:rPr>
                <w:bCs/>
                <w:sz w:val="24"/>
                <w:szCs w:val="24"/>
              </w:rPr>
              <w:t>Although the UK has exited the EU, European human rights principles remain embedded in safeguarding practice. Welsh policy continues to reflect these values, particularly in its emphasis on dignity, participation, and non-discrimination.</w:t>
            </w:r>
          </w:p>
          <w:p w14:paraId="47B04A7A" w14:textId="77777777" w:rsidR="00A0600E" w:rsidRPr="001C78F1" w:rsidRDefault="00A0600E" w:rsidP="007A0F9A">
            <w:pPr>
              <w:spacing w:line="360" w:lineRule="auto"/>
              <w:jc w:val="both"/>
              <w:rPr>
                <w:bCs/>
                <w:sz w:val="24"/>
                <w:szCs w:val="24"/>
              </w:rPr>
            </w:pPr>
          </w:p>
          <w:p w14:paraId="2A858B78" w14:textId="77777777" w:rsidR="001C78F1" w:rsidRPr="001C78F1" w:rsidRDefault="001C78F1" w:rsidP="007A0F9A">
            <w:pPr>
              <w:spacing w:line="360" w:lineRule="auto"/>
              <w:jc w:val="both"/>
              <w:rPr>
                <w:bCs/>
                <w:sz w:val="24"/>
                <w:szCs w:val="24"/>
              </w:rPr>
            </w:pPr>
            <w:r w:rsidRPr="001C78F1">
              <w:rPr>
                <w:bCs/>
                <w:sz w:val="24"/>
                <w:szCs w:val="24"/>
              </w:rPr>
              <w:t>The Wales Safeguarding Procedures (2019) and All Wales Practice Framework operationalise these principles, emphasising:</w:t>
            </w:r>
          </w:p>
          <w:p w14:paraId="60443423" w14:textId="77777777" w:rsidR="001C78F1" w:rsidRPr="001C78F1" w:rsidRDefault="001C78F1" w:rsidP="00E844EE">
            <w:pPr>
              <w:numPr>
                <w:ilvl w:val="0"/>
                <w:numId w:val="4"/>
              </w:numPr>
              <w:spacing w:line="360" w:lineRule="auto"/>
              <w:jc w:val="both"/>
              <w:rPr>
                <w:bCs/>
                <w:sz w:val="24"/>
                <w:szCs w:val="24"/>
              </w:rPr>
            </w:pPr>
            <w:r w:rsidRPr="001C78F1">
              <w:rPr>
                <w:bCs/>
                <w:sz w:val="24"/>
                <w:szCs w:val="24"/>
              </w:rPr>
              <w:t>strengths-based assessment</w:t>
            </w:r>
          </w:p>
          <w:p w14:paraId="33910FBD" w14:textId="77777777" w:rsidR="001C78F1" w:rsidRPr="001C78F1" w:rsidRDefault="001C78F1" w:rsidP="00E844EE">
            <w:pPr>
              <w:numPr>
                <w:ilvl w:val="0"/>
                <w:numId w:val="4"/>
              </w:numPr>
              <w:spacing w:line="360" w:lineRule="auto"/>
              <w:jc w:val="both"/>
              <w:rPr>
                <w:bCs/>
                <w:sz w:val="24"/>
                <w:szCs w:val="24"/>
              </w:rPr>
            </w:pPr>
            <w:r w:rsidRPr="001C78F1">
              <w:rPr>
                <w:bCs/>
                <w:sz w:val="24"/>
                <w:szCs w:val="24"/>
              </w:rPr>
              <w:t>relational practice</w:t>
            </w:r>
          </w:p>
          <w:p w14:paraId="5F158426" w14:textId="77777777" w:rsidR="001C78F1" w:rsidRPr="001C78F1" w:rsidRDefault="001C78F1" w:rsidP="00E844EE">
            <w:pPr>
              <w:numPr>
                <w:ilvl w:val="0"/>
                <w:numId w:val="4"/>
              </w:numPr>
              <w:spacing w:line="360" w:lineRule="auto"/>
              <w:jc w:val="both"/>
              <w:rPr>
                <w:bCs/>
                <w:sz w:val="24"/>
                <w:szCs w:val="24"/>
              </w:rPr>
            </w:pPr>
            <w:r w:rsidRPr="001C78F1">
              <w:rPr>
                <w:bCs/>
                <w:sz w:val="24"/>
                <w:szCs w:val="24"/>
              </w:rPr>
              <w:t>ecological analysis</w:t>
            </w:r>
          </w:p>
          <w:p w14:paraId="577B9260" w14:textId="77777777" w:rsidR="001C78F1" w:rsidRPr="001C78F1" w:rsidRDefault="001C78F1" w:rsidP="00E844EE">
            <w:pPr>
              <w:numPr>
                <w:ilvl w:val="0"/>
                <w:numId w:val="4"/>
              </w:numPr>
              <w:spacing w:line="360" w:lineRule="auto"/>
              <w:jc w:val="both"/>
              <w:rPr>
                <w:bCs/>
                <w:sz w:val="24"/>
                <w:szCs w:val="24"/>
              </w:rPr>
            </w:pPr>
            <w:r w:rsidRPr="001C78F1">
              <w:rPr>
                <w:bCs/>
                <w:sz w:val="24"/>
                <w:szCs w:val="24"/>
              </w:rPr>
              <w:t>defensible decision-making</w:t>
            </w:r>
          </w:p>
          <w:p w14:paraId="3AAB4E48" w14:textId="77777777" w:rsidR="001C78F1" w:rsidRDefault="001C78F1" w:rsidP="007A0F9A">
            <w:pPr>
              <w:spacing w:line="360" w:lineRule="auto"/>
              <w:jc w:val="both"/>
              <w:rPr>
                <w:bCs/>
                <w:sz w:val="24"/>
                <w:szCs w:val="24"/>
              </w:rPr>
            </w:pPr>
            <w:r w:rsidRPr="001C78F1">
              <w:rPr>
                <w:bCs/>
                <w:sz w:val="24"/>
                <w:szCs w:val="24"/>
              </w:rPr>
              <w:t>In contrast, Working Together (2023) provides more procedural guidance, with less emphasis on social determinants and structural inequality. This can result in differing interpretations of similar cases across jurisdictions.</w:t>
            </w:r>
          </w:p>
          <w:p w14:paraId="60D90261" w14:textId="77777777" w:rsidR="00A0600E" w:rsidRPr="001C78F1" w:rsidRDefault="00A0600E" w:rsidP="007A0F9A">
            <w:pPr>
              <w:spacing w:line="360" w:lineRule="auto"/>
              <w:jc w:val="both"/>
              <w:rPr>
                <w:bCs/>
                <w:sz w:val="24"/>
                <w:szCs w:val="24"/>
              </w:rPr>
            </w:pPr>
          </w:p>
          <w:p w14:paraId="58E6FF17" w14:textId="77777777" w:rsidR="001C78F1" w:rsidRDefault="001C78F1" w:rsidP="007A0F9A">
            <w:pPr>
              <w:spacing w:line="360" w:lineRule="auto"/>
              <w:jc w:val="both"/>
              <w:rPr>
                <w:bCs/>
                <w:sz w:val="24"/>
                <w:szCs w:val="24"/>
              </w:rPr>
            </w:pPr>
            <w:r w:rsidRPr="001C78F1">
              <w:rPr>
                <w:bCs/>
                <w:sz w:val="24"/>
                <w:szCs w:val="24"/>
              </w:rPr>
              <w:t>This case illustrates how Welsh legislation provides a broader analytical framework, enabling practitioners to consider not only risk, but also context, rights, and well-being.</w:t>
            </w:r>
          </w:p>
          <w:p w14:paraId="4286E910" w14:textId="77777777" w:rsidR="00A0600E" w:rsidRDefault="00A0600E" w:rsidP="007A0F9A">
            <w:pPr>
              <w:spacing w:line="360" w:lineRule="auto"/>
              <w:jc w:val="both"/>
              <w:rPr>
                <w:bCs/>
                <w:sz w:val="24"/>
                <w:szCs w:val="24"/>
              </w:rPr>
            </w:pPr>
          </w:p>
          <w:p w14:paraId="374EDC02" w14:textId="77777777" w:rsidR="00A0600E" w:rsidRDefault="00A0600E" w:rsidP="00A0600E">
            <w:pPr>
              <w:spacing w:line="360" w:lineRule="auto"/>
              <w:jc w:val="both"/>
              <w:rPr>
                <w:bCs/>
                <w:sz w:val="24"/>
                <w:szCs w:val="24"/>
              </w:rPr>
            </w:pPr>
            <w:r w:rsidRPr="00A0600E">
              <w:rPr>
                <w:bCs/>
                <w:sz w:val="24"/>
                <w:szCs w:val="24"/>
              </w:rPr>
              <w:t xml:space="preserve">Engaging with legislation throughout this assessment highlighted the importance of legislative literacy in safeguarding practice. Although both England and Wales operate under the </w:t>
            </w:r>
            <w:r w:rsidRPr="00A0600E">
              <w:rPr>
                <w:bCs/>
                <w:sz w:val="24"/>
                <w:szCs w:val="24"/>
              </w:rPr>
              <w:lastRenderedPageBreak/>
              <w:t>Children Act 1989, reflecting on this case enabled me to appreciate how differently safeguarding responsibilities can be interpreted depending on jurisdictional context.</w:t>
            </w:r>
          </w:p>
          <w:p w14:paraId="146205D7" w14:textId="77777777" w:rsidR="00A0600E" w:rsidRPr="00A0600E" w:rsidRDefault="00A0600E" w:rsidP="00A0600E">
            <w:pPr>
              <w:spacing w:line="360" w:lineRule="auto"/>
              <w:jc w:val="both"/>
              <w:rPr>
                <w:bCs/>
                <w:sz w:val="24"/>
                <w:szCs w:val="24"/>
              </w:rPr>
            </w:pPr>
          </w:p>
          <w:p w14:paraId="675B041A" w14:textId="77777777" w:rsidR="00A0600E" w:rsidRDefault="00A0600E" w:rsidP="00A0600E">
            <w:pPr>
              <w:spacing w:line="360" w:lineRule="auto"/>
              <w:jc w:val="both"/>
              <w:rPr>
                <w:bCs/>
                <w:sz w:val="24"/>
                <w:szCs w:val="24"/>
              </w:rPr>
            </w:pPr>
            <w:r w:rsidRPr="00A0600E">
              <w:rPr>
                <w:bCs/>
                <w:sz w:val="24"/>
                <w:szCs w:val="24"/>
              </w:rPr>
              <w:t>I recognised that some partner agencies were drawing primarily upon principles reflected within Working Together to Safeguard Children (2023), which emphasises threshold decision-making and escalation where concerns arise. Whilst such an approach has an important protective function, I reflected that applying it uncritically within a Welsh context could undermine the preventative and strengths-based principles underpinning the SSWBA. This created professional tension as I was required to balance differing interpretations of risk whilst remaining accountable for my decision-making.</w:t>
            </w:r>
          </w:p>
          <w:p w14:paraId="4622AB59" w14:textId="77777777" w:rsidR="00A0600E" w:rsidRPr="00A0600E" w:rsidRDefault="00A0600E" w:rsidP="00A0600E">
            <w:pPr>
              <w:spacing w:line="360" w:lineRule="auto"/>
              <w:jc w:val="both"/>
              <w:rPr>
                <w:bCs/>
                <w:sz w:val="24"/>
                <w:szCs w:val="24"/>
              </w:rPr>
            </w:pPr>
          </w:p>
          <w:p w14:paraId="29B94F4F" w14:textId="77777777" w:rsidR="00A0600E" w:rsidRDefault="00A0600E" w:rsidP="00A0600E">
            <w:pPr>
              <w:spacing w:line="360" w:lineRule="auto"/>
              <w:jc w:val="both"/>
              <w:rPr>
                <w:bCs/>
                <w:sz w:val="24"/>
                <w:szCs w:val="24"/>
              </w:rPr>
            </w:pPr>
            <w:r w:rsidRPr="00A0600E">
              <w:rPr>
                <w:bCs/>
                <w:sz w:val="24"/>
                <w:szCs w:val="24"/>
              </w:rPr>
              <w:t>The case strengthened my confidence in applying Welsh legislation within practice rather than defaulting to broader UK safeguarding assumptions. I became increasingly aware that Welsh social work practice is rooted in social justice, well-being, co-production and rights-based principles. Reflection on this process reinforced that legislation should not simply be cited within assessments but actively applied to support analytical reasoning and defensible decisions.</w:t>
            </w:r>
          </w:p>
          <w:p w14:paraId="40F85DFD" w14:textId="77777777" w:rsidR="00A0600E" w:rsidRPr="00A0600E" w:rsidRDefault="00A0600E" w:rsidP="00A0600E">
            <w:pPr>
              <w:spacing w:line="360" w:lineRule="auto"/>
              <w:jc w:val="both"/>
              <w:rPr>
                <w:bCs/>
                <w:sz w:val="24"/>
                <w:szCs w:val="24"/>
              </w:rPr>
            </w:pPr>
          </w:p>
          <w:p w14:paraId="452458D3" w14:textId="77777777" w:rsidR="00A0600E" w:rsidRPr="00A0600E" w:rsidRDefault="00A0600E" w:rsidP="00A0600E">
            <w:pPr>
              <w:spacing w:line="360" w:lineRule="auto"/>
              <w:jc w:val="both"/>
              <w:rPr>
                <w:bCs/>
                <w:sz w:val="24"/>
                <w:szCs w:val="24"/>
              </w:rPr>
            </w:pPr>
            <w:r w:rsidRPr="00A0600E">
              <w:rPr>
                <w:bCs/>
                <w:sz w:val="24"/>
                <w:szCs w:val="24"/>
              </w:rPr>
              <w:t>The case also enhanced my understanding of how safeguarding within Wales relates to wider legal frameworks, including the United Nations Convention on the Rights of the Child, the Human Rights Act 1998 and broader European human rights principles. Considering these frameworks encouraged me to reflect not only on protecting children from harm but also on protecting families from unnecessary state intervention.</w:t>
            </w:r>
          </w:p>
          <w:p w14:paraId="1EC1A64F" w14:textId="77777777" w:rsidR="001C78F1" w:rsidRPr="007A0F9A" w:rsidRDefault="001C78F1" w:rsidP="007A0F9A">
            <w:pPr>
              <w:spacing w:line="360" w:lineRule="auto"/>
              <w:jc w:val="both"/>
              <w:rPr>
                <w:bCs/>
                <w:sz w:val="24"/>
                <w:szCs w:val="24"/>
              </w:rPr>
            </w:pPr>
          </w:p>
          <w:p w14:paraId="3508E35F" w14:textId="69D13E2A" w:rsidR="00770428" w:rsidRDefault="00770428" w:rsidP="007A0F9A">
            <w:pPr>
              <w:spacing w:line="360" w:lineRule="auto"/>
              <w:jc w:val="both"/>
              <w:rPr>
                <w:bCs/>
                <w:sz w:val="24"/>
                <w:szCs w:val="24"/>
              </w:rPr>
            </w:pPr>
            <w:r w:rsidRPr="00770428">
              <w:rPr>
                <w:bCs/>
                <w:sz w:val="24"/>
                <w:szCs w:val="24"/>
              </w:rPr>
              <w:t>The assessment integrated multiple theoretical frameworks to support critical analysis and professional judgement</w:t>
            </w:r>
            <w:r w:rsidR="00760790">
              <w:rPr>
                <w:bCs/>
                <w:sz w:val="24"/>
                <w:szCs w:val="24"/>
              </w:rPr>
              <w:t xml:space="preserve">. </w:t>
            </w:r>
            <w:r w:rsidRPr="00770428">
              <w:rPr>
                <w:bCs/>
                <w:sz w:val="24"/>
                <w:szCs w:val="24"/>
              </w:rPr>
              <w:t>Bronfenbrenner’s Ecological Systems Theory (1979) enabled analysis across multiple levels. At the microsystem level, strong attachment relationships were observed, characterised by warmth, responsiveness, and co-regulation. These findings were inconsistent with neglect (Howe, 2005).</w:t>
            </w:r>
          </w:p>
          <w:p w14:paraId="5FD122E3" w14:textId="77777777" w:rsidR="00A0600E" w:rsidRPr="00770428" w:rsidRDefault="00A0600E" w:rsidP="007A0F9A">
            <w:pPr>
              <w:spacing w:line="360" w:lineRule="auto"/>
              <w:jc w:val="both"/>
              <w:rPr>
                <w:bCs/>
                <w:sz w:val="24"/>
                <w:szCs w:val="24"/>
              </w:rPr>
            </w:pPr>
          </w:p>
          <w:p w14:paraId="3107918C" w14:textId="77777777" w:rsidR="00770428" w:rsidRDefault="00770428" w:rsidP="007A0F9A">
            <w:pPr>
              <w:spacing w:line="360" w:lineRule="auto"/>
              <w:jc w:val="both"/>
              <w:rPr>
                <w:bCs/>
                <w:sz w:val="24"/>
                <w:szCs w:val="24"/>
              </w:rPr>
            </w:pPr>
            <w:r w:rsidRPr="00770428">
              <w:rPr>
                <w:bCs/>
                <w:sz w:val="24"/>
                <w:szCs w:val="24"/>
              </w:rPr>
              <w:lastRenderedPageBreak/>
              <w:t>At the mesosystem level, difficulties between home and school contributed to behavioural escalation. The school’s rigid behavioural policies failed to accommodate neurodevelopmental needs, highlighting systemic contributors to perceived risk.</w:t>
            </w:r>
          </w:p>
          <w:p w14:paraId="0125AF92" w14:textId="77777777" w:rsidR="00A0600E" w:rsidRPr="00770428" w:rsidRDefault="00A0600E" w:rsidP="007A0F9A">
            <w:pPr>
              <w:spacing w:line="360" w:lineRule="auto"/>
              <w:jc w:val="both"/>
              <w:rPr>
                <w:bCs/>
                <w:sz w:val="24"/>
                <w:szCs w:val="24"/>
              </w:rPr>
            </w:pPr>
          </w:p>
          <w:p w14:paraId="0A678021" w14:textId="77777777" w:rsidR="00770428" w:rsidRDefault="00770428" w:rsidP="007A0F9A">
            <w:pPr>
              <w:spacing w:line="360" w:lineRule="auto"/>
              <w:jc w:val="both"/>
              <w:rPr>
                <w:bCs/>
                <w:sz w:val="24"/>
                <w:szCs w:val="24"/>
              </w:rPr>
            </w:pPr>
            <w:r w:rsidRPr="00770428">
              <w:rPr>
                <w:bCs/>
                <w:sz w:val="24"/>
                <w:szCs w:val="24"/>
              </w:rPr>
              <w:t>Working Together (2023) encourages information-sharing and multi-agency collaboration but offers limited guidance on analysing systemic factors such as school environments. In contrast, Welsh frameworks explicitly promote ecological analysis, ensuring that responsibility is not located solely within the family.</w:t>
            </w:r>
          </w:p>
          <w:p w14:paraId="43325CB6" w14:textId="77777777" w:rsidR="00A0600E" w:rsidRPr="00770428" w:rsidRDefault="00A0600E" w:rsidP="007A0F9A">
            <w:pPr>
              <w:spacing w:line="360" w:lineRule="auto"/>
              <w:jc w:val="both"/>
              <w:rPr>
                <w:bCs/>
                <w:sz w:val="24"/>
                <w:szCs w:val="24"/>
              </w:rPr>
            </w:pPr>
          </w:p>
          <w:p w14:paraId="23A0D9B7" w14:textId="1CD195E4" w:rsidR="00770428" w:rsidRDefault="00770428" w:rsidP="007A0F9A">
            <w:pPr>
              <w:spacing w:line="360" w:lineRule="auto"/>
              <w:jc w:val="both"/>
              <w:rPr>
                <w:bCs/>
                <w:sz w:val="24"/>
                <w:szCs w:val="24"/>
              </w:rPr>
            </w:pPr>
            <w:r w:rsidRPr="00770428">
              <w:rPr>
                <w:bCs/>
                <w:sz w:val="24"/>
                <w:szCs w:val="24"/>
              </w:rPr>
              <w:t>Attachment theory further informed the assessment. Observations suggested secure-ambivalent attachment rather than disorganised attachment associated with maltreatment (Crittenden, 1995).</w:t>
            </w:r>
            <w:r w:rsidR="00760790">
              <w:rPr>
                <w:bCs/>
                <w:sz w:val="24"/>
                <w:szCs w:val="24"/>
              </w:rPr>
              <w:t xml:space="preserve"> </w:t>
            </w:r>
            <w:r w:rsidRPr="00770428">
              <w:rPr>
                <w:bCs/>
                <w:sz w:val="24"/>
                <w:szCs w:val="24"/>
              </w:rPr>
              <w:t>Trauma-informed practice was essential. The parents’ histories of adverse childhood experiences influenced their behaviours, including hoarding, which functioned as a coping strategy (Keegan, 2017). Without this lens, such behaviours could be misinterpreted as neglect.</w:t>
            </w:r>
          </w:p>
          <w:p w14:paraId="2A376F3D" w14:textId="77777777" w:rsidR="00A0600E" w:rsidRPr="00770428" w:rsidRDefault="00A0600E" w:rsidP="007A0F9A">
            <w:pPr>
              <w:spacing w:line="360" w:lineRule="auto"/>
              <w:jc w:val="both"/>
              <w:rPr>
                <w:bCs/>
                <w:sz w:val="24"/>
                <w:szCs w:val="24"/>
              </w:rPr>
            </w:pPr>
          </w:p>
          <w:p w14:paraId="6CCD07D6" w14:textId="77777777" w:rsidR="00770428" w:rsidRPr="00770428" w:rsidRDefault="00770428" w:rsidP="007A0F9A">
            <w:pPr>
              <w:spacing w:line="360" w:lineRule="auto"/>
              <w:jc w:val="both"/>
              <w:rPr>
                <w:bCs/>
                <w:sz w:val="24"/>
                <w:szCs w:val="24"/>
              </w:rPr>
            </w:pPr>
            <w:r w:rsidRPr="00770428">
              <w:rPr>
                <w:bCs/>
                <w:sz w:val="24"/>
                <w:szCs w:val="24"/>
              </w:rPr>
              <w:t>A structured “What If?” analysis supported critical thinking, addressing potential risks such as disguised compliance (Reder and Duncan, 2004). Collaboration with neurodevelopmental services ensured that the children’s behaviours were accurately understood, aligning with the Additional Learning Needs and Education Tribunal (Wales) Act 2018.</w:t>
            </w:r>
          </w:p>
          <w:p w14:paraId="10B28C17" w14:textId="77777777" w:rsidR="00770428" w:rsidRPr="00770428" w:rsidRDefault="00770428" w:rsidP="007A0F9A">
            <w:pPr>
              <w:spacing w:line="360" w:lineRule="auto"/>
              <w:jc w:val="both"/>
              <w:rPr>
                <w:bCs/>
                <w:sz w:val="24"/>
                <w:szCs w:val="24"/>
              </w:rPr>
            </w:pPr>
            <w:r w:rsidRPr="00770428">
              <w:rPr>
                <w:bCs/>
                <w:sz w:val="24"/>
                <w:szCs w:val="24"/>
              </w:rPr>
              <w:t>Professional judgement was further supported by a formal risk/benefit analysis. This balanced:</w:t>
            </w:r>
          </w:p>
          <w:p w14:paraId="2CB4FED6" w14:textId="77777777" w:rsidR="00770428" w:rsidRPr="00770428" w:rsidRDefault="00770428" w:rsidP="00E844EE">
            <w:pPr>
              <w:numPr>
                <w:ilvl w:val="0"/>
                <w:numId w:val="5"/>
              </w:numPr>
              <w:spacing w:line="360" w:lineRule="auto"/>
              <w:jc w:val="both"/>
              <w:rPr>
                <w:bCs/>
                <w:sz w:val="24"/>
                <w:szCs w:val="24"/>
              </w:rPr>
            </w:pPr>
            <w:r w:rsidRPr="00770428">
              <w:rPr>
                <w:bCs/>
                <w:sz w:val="24"/>
                <w:szCs w:val="24"/>
              </w:rPr>
              <w:t>risks of environmental harm</w:t>
            </w:r>
          </w:p>
          <w:p w14:paraId="36A11F3A" w14:textId="77777777" w:rsidR="00770428" w:rsidRPr="00770428" w:rsidRDefault="00770428" w:rsidP="00E844EE">
            <w:pPr>
              <w:numPr>
                <w:ilvl w:val="0"/>
                <w:numId w:val="5"/>
              </w:numPr>
              <w:spacing w:line="360" w:lineRule="auto"/>
              <w:jc w:val="both"/>
              <w:rPr>
                <w:bCs/>
                <w:sz w:val="24"/>
                <w:szCs w:val="24"/>
              </w:rPr>
            </w:pPr>
            <w:r w:rsidRPr="00770428">
              <w:rPr>
                <w:bCs/>
                <w:sz w:val="24"/>
                <w:szCs w:val="24"/>
              </w:rPr>
              <w:t>risks of intervention (trauma, mistrust, mislabelling)</w:t>
            </w:r>
          </w:p>
          <w:p w14:paraId="5E37B27C" w14:textId="77777777" w:rsidR="00770428" w:rsidRPr="00770428" w:rsidRDefault="00770428" w:rsidP="00E844EE">
            <w:pPr>
              <w:numPr>
                <w:ilvl w:val="0"/>
                <w:numId w:val="5"/>
              </w:numPr>
              <w:spacing w:line="360" w:lineRule="auto"/>
              <w:jc w:val="both"/>
              <w:rPr>
                <w:bCs/>
                <w:sz w:val="24"/>
                <w:szCs w:val="24"/>
              </w:rPr>
            </w:pPr>
            <w:r w:rsidRPr="00770428">
              <w:rPr>
                <w:bCs/>
                <w:sz w:val="24"/>
                <w:szCs w:val="24"/>
              </w:rPr>
              <w:t>protective factors</w:t>
            </w:r>
          </w:p>
          <w:p w14:paraId="19C724A7" w14:textId="77777777" w:rsidR="00770428" w:rsidRPr="00770428" w:rsidRDefault="00770428" w:rsidP="00E844EE">
            <w:pPr>
              <w:numPr>
                <w:ilvl w:val="0"/>
                <w:numId w:val="5"/>
              </w:numPr>
              <w:spacing w:line="360" w:lineRule="auto"/>
              <w:jc w:val="both"/>
              <w:rPr>
                <w:bCs/>
                <w:sz w:val="24"/>
                <w:szCs w:val="24"/>
              </w:rPr>
            </w:pPr>
            <w:r w:rsidRPr="00770428">
              <w:rPr>
                <w:bCs/>
                <w:sz w:val="24"/>
                <w:szCs w:val="24"/>
              </w:rPr>
              <w:t>likelihood of harm</w:t>
            </w:r>
          </w:p>
          <w:p w14:paraId="32129EF1" w14:textId="158AAFEB" w:rsidR="00770428" w:rsidRDefault="00770428" w:rsidP="007A0F9A">
            <w:pPr>
              <w:spacing w:line="360" w:lineRule="auto"/>
              <w:jc w:val="both"/>
              <w:rPr>
                <w:bCs/>
                <w:sz w:val="24"/>
                <w:szCs w:val="24"/>
              </w:rPr>
            </w:pPr>
            <w:r w:rsidRPr="00770428">
              <w:rPr>
                <w:bCs/>
                <w:sz w:val="24"/>
                <w:szCs w:val="24"/>
              </w:rPr>
              <w:t>While Working Together (2023) emphasises risk assessment, it provides less explicit guidance on balancing harms of intervention. Welsh practice, informed by human rights principles, requires this balance.</w:t>
            </w:r>
            <w:r w:rsidR="00A0600E">
              <w:rPr>
                <w:bCs/>
                <w:sz w:val="24"/>
                <w:szCs w:val="24"/>
              </w:rPr>
              <w:t xml:space="preserve"> </w:t>
            </w:r>
            <w:r w:rsidRPr="00770428">
              <w:rPr>
                <w:bCs/>
                <w:sz w:val="24"/>
                <w:szCs w:val="24"/>
              </w:rPr>
              <w:t>The decision not to initiate Section 47 intervention required professional confidence and defensible reasoning. It was grounded in legislation, theory, evidence, and the child’s lived experience.</w:t>
            </w:r>
          </w:p>
          <w:p w14:paraId="74FAAFED" w14:textId="77777777" w:rsidR="00A0600E" w:rsidRPr="00770428" w:rsidRDefault="00A0600E" w:rsidP="007A0F9A">
            <w:pPr>
              <w:spacing w:line="360" w:lineRule="auto"/>
              <w:jc w:val="both"/>
              <w:rPr>
                <w:bCs/>
                <w:sz w:val="24"/>
                <w:szCs w:val="24"/>
              </w:rPr>
            </w:pPr>
          </w:p>
          <w:p w14:paraId="72944499" w14:textId="054B40A9" w:rsidR="00A0600E" w:rsidRDefault="00770428" w:rsidP="00A0600E">
            <w:pPr>
              <w:spacing w:line="360" w:lineRule="auto"/>
              <w:jc w:val="both"/>
              <w:rPr>
                <w:bCs/>
                <w:sz w:val="24"/>
                <w:szCs w:val="24"/>
              </w:rPr>
            </w:pPr>
            <w:r w:rsidRPr="00770428">
              <w:rPr>
                <w:bCs/>
                <w:sz w:val="24"/>
                <w:szCs w:val="24"/>
              </w:rPr>
              <w:t>This aligns with Munro’s (2011) assertion that effective safeguarding depends on analytical reasoning rather than procedural compliance.</w:t>
            </w:r>
            <w:r w:rsidR="00A0600E">
              <w:rPr>
                <w:bCs/>
                <w:sz w:val="24"/>
                <w:szCs w:val="24"/>
              </w:rPr>
              <w:t xml:space="preserve"> </w:t>
            </w:r>
            <w:r w:rsidR="00A0600E" w:rsidRPr="00A0600E">
              <w:rPr>
                <w:bCs/>
                <w:sz w:val="24"/>
                <w:szCs w:val="24"/>
              </w:rPr>
              <w:t>Applying theory significantly enhanced my assessment and provided a framework for analysing complex information. Bronfenbrenner's Ecological Systems Theory encouraged me to move beyond individualised explanations of risk and consider the broader systems contributing to the family's circumstances. Reflecting on this process, I recognised that my initial assessment may have focused too narrowly on the home environment rather than considering school expectations, socio-economic disadvantage and service responses.</w:t>
            </w:r>
          </w:p>
          <w:p w14:paraId="387E6F16" w14:textId="77777777" w:rsidR="00A0600E" w:rsidRPr="00A0600E" w:rsidRDefault="00A0600E" w:rsidP="00A0600E">
            <w:pPr>
              <w:spacing w:line="360" w:lineRule="auto"/>
              <w:jc w:val="both"/>
              <w:rPr>
                <w:bCs/>
                <w:sz w:val="24"/>
                <w:szCs w:val="24"/>
              </w:rPr>
            </w:pPr>
          </w:p>
          <w:p w14:paraId="3D189B57" w14:textId="77777777" w:rsidR="00A0600E" w:rsidRDefault="00A0600E" w:rsidP="00A0600E">
            <w:pPr>
              <w:spacing w:line="360" w:lineRule="auto"/>
              <w:jc w:val="both"/>
              <w:rPr>
                <w:bCs/>
                <w:sz w:val="24"/>
                <w:szCs w:val="24"/>
              </w:rPr>
            </w:pPr>
            <w:r w:rsidRPr="00A0600E">
              <w:rPr>
                <w:bCs/>
                <w:sz w:val="24"/>
                <w:szCs w:val="24"/>
              </w:rPr>
              <w:t xml:space="preserve">The ecological perspective encouraged a more balanced analysis and reinforced the need to view safeguarding concerns within the context of </w:t>
            </w:r>
            <w:proofErr w:type="gramStart"/>
            <w:r w:rsidRPr="00A0600E">
              <w:rPr>
                <w:bCs/>
                <w:sz w:val="24"/>
                <w:szCs w:val="24"/>
              </w:rPr>
              <w:t>children's</w:t>
            </w:r>
            <w:proofErr w:type="gramEnd"/>
            <w:r w:rsidRPr="00A0600E">
              <w:rPr>
                <w:bCs/>
                <w:sz w:val="24"/>
                <w:szCs w:val="24"/>
              </w:rPr>
              <w:t xml:space="preserve"> lived experiences. This was particularly important given the emerging neurodevelopmental needs identified within the family. Without this theoretical lens, there was a risk that behaviours associated with neurodiversity could have been misinterpreted as parental failure or behavioural concern.</w:t>
            </w:r>
          </w:p>
          <w:p w14:paraId="30D2433B" w14:textId="77777777" w:rsidR="00A0600E" w:rsidRPr="00A0600E" w:rsidRDefault="00A0600E" w:rsidP="00A0600E">
            <w:pPr>
              <w:spacing w:line="360" w:lineRule="auto"/>
              <w:jc w:val="both"/>
              <w:rPr>
                <w:bCs/>
                <w:sz w:val="24"/>
                <w:szCs w:val="24"/>
              </w:rPr>
            </w:pPr>
          </w:p>
          <w:p w14:paraId="740C38E3" w14:textId="77777777" w:rsidR="00A0600E" w:rsidRDefault="00A0600E" w:rsidP="00A0600E">
            <w:pPr>
              <w:spacing w:line="360" w:lineRule="auto"/>
              <w:jc w:val="both"/>
              <w:rPr>
                <w:bCs/>
                <w:sz w:val="24"/>
                <w:szCs w:val="24"/>
              </w:rPr>
            </w:pPr>
            <w:r w:rsidRPr="00A0600E">
              <w:rPr>
                <w:bCs/>
                <w:sz w:val="24"/>
                <w:szCs w:val="24"/>
              </w:rPr>
              <w:t xml:space="preserve">Attachment theory also challenged my assumptions. Although environmental indicators initially generated concern, observations demonstrated warmth, responsiveness and emotional </w:t>
            </w:r>
            <w:proofErr w:type="spellStart"/>
            <w:r w:rsidRPr="00A0600E">
              <w:rPr>
                <w:bCs/>
                <w:sz w:val="24"/>
                <w:szCs w:val="24"/>
              </w:rPr>
              <w:t>attunement</w:t>
            </w:r>
            <w:proofErr w:type="spellEnd"/>
            <w:r w:rsidRPr="00A0600E">
              <w:rPr>
                <w:bCs/>
                <w:sz w:val="24"/>
                <w:szCs w:val="24"/>
              </w:rPr>
              <w:t xml:space="preserve"> between the parents and children. Reflecting on these observations, I recognised that positive attachment relationships were inconsistent with some of the assumptions underpinning calls for Child Protection intervention.</w:t>
            </w:r>
          </w:p>
          <w:p w14:paraId="54A7FE3C" w14:textId="77777777" w:rsidR="00A0600E" w:rsidRPr="00A0600E" w:rsidRDefault="00A0600E" w:rsidP="00A0600E">
            <w:pPr>
              <w:spacing w:line="360" w:lineRule="auto"/>
              <w:jc w:val="both"/>
              <w:rPr>
                <w:bCs/>
                <w:sz w:val="24"/>
                <w:szCs w:val="24"/>
              </w:rPr>
            </w:pPr>
          </w:p>
          <w:p w14:paraId="13EF45F8" w14:textId="77777777" w:rsidR="00A0600E" w:rsidRPr="00A0600E" w:rsidRDefault="00A0600E" w:rsidP="00A0600E">
            <w:pPr>
              <w:spacing w:line="360" w:lineRule="auto"/>
              <w:jc w:val="both"/>
              <w:rPr>
                <w:bCs/>
                <w:sz w:val="24"/>
                <w:szCs w:val="24"/>
              </w:rPr>
            </w:pPr>
            <w:r w:rsidRPr="00A0600E">
              <w:rPr>
                <w:bCs/>
                <w:sz w:val="24"/>
                <w:szCs w:val="24"/>
              </w:rPr>
              <w:t>The use of trauma-informed theory further deepened my understanding of parental behaviour. Learning more about the impact of adverse childhood experiences enabled me to understand some behaviours as adaptive coping mechanisms rather than evidence of wilful neglect. This strengthened my commitment to maintaining professional curiosity and avoiding simplistic explanations for complex family difficulties.</w:t>
            </w:r>
          </w:p>
          <w:p w14:paraId="56F0739D" w14:textId="77777777" w:rsidR="00770428" w:rsidRPr="007A0F9A" w:rsidRDefault="00770428" w:rsidP="007A0F9A">
            <w:pPr>
              <w:spacing w:line="360" w:lineRule="auto"/>
              <w:jc w:val="both"/>
              <w:rPr>
                <w:bCs/>
                <w:sz w:val="24"/>
                <w:szCs w:val="24"/>
              </w:rPr>
            </w:pPr>
          </w:p>
          <w:p w14:paraId="5A5648BC" w14:textId="77777777" w:rsidR="00770428" w:rsidRPr="00770428" w:rsidRDefault="00770428" w:rsidP="007A0F9A">
            <w:pPr>
              <w:spacing w:line="360" w:lineRule="auto"/>
              <w:jc w:val="both"/>
              <w:rPr>
                <w:bCs/>
                <w:sz w:val="24"/>
                <w:szCs w:val="24"/>
              </w:rPr>
            </w:pPr>
            <w:r w:rsidRPr="00770428">
              <w:rPr>
                <w:bCs/>
                <w:sz w:val="24"/>
                <w:szCs w:val="24"/>
              </w:rPr>
              <w:t>Multi-agency working was central to the case. Partner agencies initially advocated for escalation, reflecting a risk-averse approach consistent with Working Together (2023).</w:t>
            </w:r>
          </w:p>
          <w:p w14:paraId="3B3146F0" w14:textId="77777777" w:rsidR="00770428" w:rsidRDefault="00770428" w:rsidP="007A0F9A">
            <w:pPr>
              <w:spacing w:line="360" w:lineRule="auto"/>
              <w:jc w:val="both"/>
              <w:rPr>
                <w:bCs/>
                <w:sz w:val="24"/>
                <w:szCs w:val="24"/>
              </w:rPr>
            </w:pPr>
            <w:r w:rsidRPr="00770428">
              <w:rPr>
                <w:bCs/>
                <w:sz w:val="24"/>
                <w:szCs w:val="24"/>
              </w:rPr>
              <w:lastRenderedPageBreak/>
              <w:t>Research indicates that such escalation is often driven by professional anxiety rather than objective risk (Laming, 2009). This was evident in the urgency expressed by the school and Health Visitor.</w:t>
            </w:r>
          </w:p>
          <w:p w14:paraId="6748D4C6" w14:textId="77777777" w:rsidR="00A0600E" w:rsidRPr="00770428" w:rsidRDefault="00A0600E" w:rsidP="007A0F9A">
            <w:pPr>
              <w:spacing w:line="360" w:lineRule="auto"/>
              <w:jc w:val="both"/>
              <w:rPr>
                <w:bCs/>
                <w:sz w:val="24"/>
                <w:szCs w:val="24"/>
              </w:rPr>
            </w:pPr>
          </w:p>
          <w:p w14:paraId="6C7B3B94" w14:textId="77777777" w:rsidR="00770428" w:rsidRDefault="00770428" w:rsidP="007A0F9A">
            <w:pPr>
              <w:spacing w:line="360" w:lineRule="auto"/>
              <w:jc w:val="both"/>
              <w:rPr>
                <w:bCs/>
                <w:sz w:val="24"/>
                <w:szCs w:val="24"/>
              </w:rPr>
            </w:pPr>
            <w:r w:rsidRPr="00770428">
              <w:rPr>
                <w:bCs/>
                <w:sz w:val="24"/>
                <w:szCs w:val="24"/>
              </w:rPr>
              <w:t>Social Exchange Theory (Homans, 1958; Blau, 1964) provided a framework for understanding these dynamics. Agencies perceived high “costs” and sought to transfer responsibility through Child Protection processes.</w:t>
            </w:r>
          </w:p>
          <w:p w14:paraId="4FB54FFD" w14:textId="77777777" w:rsidR="00A0600E" w:rsidRPr="00770428" w:rsidRDefault="00A0600E" w:rsidP="007A0F9A">
            <w:pPr>
              <w:spacing w:line="360" w:lineRule="auto"/>
              <w:jc w:val="both"/>
              <w:rPr>
                <w:bCs/>
                <w:sz w:val="24"/>
                <w:szCs w:val="24"/>
              </w:rPr>
            </w:pPr>
          </w:p>
          <w:p w14:paraId="4EA9872A" w14:textId="77777777" w:rsidR="00770428" w:rsidRPr="00770428" w:rsidRDefault="00770428" w:rsidP="007A0F9A">
            <w:pPr>
              <w:spacing w:line="360" w:lineRule="auto"/>
              <w:jc w:val="both"/>
              <w:rPr>
                <w:bCs/>
                <w:sz w:val="24"/>
                <w:szCs w:val="24"/>
              </w:rPr>
            </w:pPr>
            <w:r w:rsidRPr="00770428">
              <w:rPr>
                <w:bCs/>
                <w:sz w:val="24"/>
                <w:szCs w:val="24"/>
              </w:rPr>
              <w:t>The SSWBA promotes collaboration and co-production, contrasting with the more procedural focus of Working Together (2023). A Team Around the Family approach was implemented, including:</w:t>
            </w:r>
          </w:p>
          <w:p w14:paraId="58B32D66" w14:textId="77777777" w:rsidR="00770428" w:rsidRPr="00770428" w:rsidRDefault="00770428" w:rsidP="00E844EE">
            <w:pPr>
              <w:numPr>
                <w:ilvl w:val="0"/>
                <w:numId w:val="6"/>
              </w:numPr>
              <w:spacing w:line="360" w:lineRule="auto"/>
              <w:jc w:val="both"/>
              <w:rPr>
                <w:bCs/>
                <w:sz w:val="24"/>
                <w:szCs w:val="24"/>
              </w:rPr>
            </w:pPr>
            <w:r w:rsidRPr="00770428">
              <w:rPr>
                <w:bCs/>
                <w:sz w:val="24"/>
                <w:szCs w:val="24"/>
              </w:rPr>
              <w:t>clear role allocation</w:t>
            </w:r>
          </w:p>
          <w:p w14:paraId="6CE18568" w14:textId="77777777" w:rsidR="00770428" w:rsidRPr="00770428" w:rsidRDefault="00770428" w:rsidP="00E844EE">
            <w:pPr>
              <w:numPr>
                <w:ilvl w:val="0"/>
                <w:numId w:val="6"/>
              </w:numPr>
              <w:spacing w:line="360" w:lineRule="auto"/>
              <w:jc w:val="both"/>
              <w:rPr>
                <w:bCs/>
                <w:sz w:val="24"/>
                <w:szCs w:val="24"/>
              </w:rPr>
            </w:pPr>
            <w:r w:rsidRPr="00770428">
              <w:rPr>
                <w:bCs/>
                <w:sz w:val="24"/>
                <w:szCs w:val="24"/>
              </w:rPr>
              <w:t>shared responsibility</w:t>
            </w:r>
          </w:p>
          <w:p w14:paraId="22C7E171" w14:textId="77777777" w:rsidR="00770428" w:rsidRPr="00770428" w:rsidRDefault="00770428" w:rsidP="00E844EE">
            <w:pPr>
              <w:numPr>
                <w:ilvl w:val="0"/>
                <w:numId w:val="6"/>
              </w:numPr>
              <w:spacing w:line="360" w:lineRule="auto"/>
              <w:jc w:val="both"/>
              <w:rPr>
                <w:bCs/>
                <w:sz w:val="24"/>
                <w:szCs w:val="24"/>
              </w:rPr>
            </w:pPr>
            <w:r w:rsidRPr="00770428">
              <w:rPr>
                <w:bCs/>
                <w:sz w:val="24"/>
                <w:szCs w:val="24"/>
              </w:rPr>
              <w:t>regular review meetings</w:t>
            </w:r>
          </w:p>
          <w:p w14:paraId="69206CDD" w14:textId="77777777" w:rsidR="00770428" w:rsidRDefault="00770428" w:rsidP="00E844EE">
            <w:pPr>
              <w:numPr>
                <w:ilvl w:val="0"/>
                <w:numId w:val="6"/>
              </w:numPr>
              <w:spacing w:line="360" w:lineRule="auto"/>
              <w:jc w:val="both"/>
              <w:rPr>
                <w:bCs/>
                <w:sz w:val="24"/>
                <w:szCs w:val="24"/>
              </w:rPr>
            </w:pPr>
            <w:r w:rsidRPr="00770428">
              <w:rPr>
                <w:bCs/>
                <w:sz w:val="24"/>
                <w:szCs w:val="24"/>
              </w:rPr>
              <w:t>transparent communication</w:t>
            </w:r>
          </w:p>
          <w:p w14:paraId="69455E9A" w14:textId="77777777" w:rsidR="00A0600E" w:rsidRPr="00770428" w:rsidRDefault="00A0600E" w:rsidP="00A0600E">
            <w:pPr>
              <w:spacing w:line="360" w:lineRule="auto"/>
              <w:jc w:val="both"/>
              <w:rPr>
                <w:bCs/>
                <w:sz w:val="24"/>
                <w:szCs w:val="24"/>
              </w:rPr>
            </w:pPr>
          </w:p>
          <w:p w14:paraId="1BFD38B3" w14:textId="77777777" w:rsidR="00770428" w:rsidRPr="00770428" w:rsidRDefault="00770428" w:rsidP="007A0F9A">
            <w:pPr>
              <w:spacing w:line="360" w:lineRule="auto"/>
              <w:jc w:val="both"/>
              <w:rPr>
                <w:bCs/>
                <w:sz w:val="24"/>
                <w:szCs w:val="24"/>
              </w:rPr>
            </w:pPr>
            <w:r w:rsidRPr="00770428">
              <w:rPr>
                <w:bCs/>
                <w:sz w:val="24"/>
                <w:szCs w:val="24"/>
              </w:rPr>
              <w:t>This reduced professional anxiety and improved collaboration.</w:t>
            </w:r>
          </w:p>
          <w:p w14:paraId="5C74D968" w14:textId="77777777" w:rsidR="00770428" w:rsidRPr="00770428" w:rsidRDefault="00770428" w:rsidP="007A0F9A">
            <w:pPr>
              <w:spacing w:line="360" w:lineRule="auto"/>
              <w:jc w:val="both"/>
              <w:rPr>
                <w:bCs/>
                <w:sz w:val="24"/>
                <w:szCs w:val="24"/>
              </w:rPr>
            </w:pPr>
            <w:r w:rsidRPr="00770428">
              <w:rPr>
                <w:bCs/>
                <w:sz w:val="24"/>
                <w:szCs w:val="24"/>
              </w:rPr>
              <w:t>Parents were actively involved in decision-making, consistent with UNCRC Article 12. In contrast, critiques of English safeguarding highlight that parental participation can be limited within highly procedural systems.</w:t>
            </w:r>
          </w:p>
          <w:p w14:paraId="09C55555" w14:textId="77777777" w:rsidR="00770428" w:rsidRDefault="00770428" w:rsidP="007A0F9A">
            <w:pPr>
              <w:spacing w:line="360" w:lineRule="auto"/>
              <w:jc w:val="both"/>
              <w:rPr>
                <w:bCs/>
                <w:sz w:val="24"/>
                <w:szCs w:val="24"/>
              </w:rPr>
            </w:pPr>
            <w:r w:rsidRPr="00770428">
              <w:rPr>
                <w:bCs/>
                <w:sz w:val="24"/>
                <w:szCs w:val="24"/>
              </w:rPr>
              <w:t>This case demonstrates how Welsh frameworks support relational, collaborative practice, improving outcomes and reducing conflict.</w:t>
            </w:r>
          </w:p>
          <w:p w14:paraId="750DF35B" w14:textId="77777777" w:rsidR="00A0600E" w:rsidRPr="00770428" w:rsidRDefault="00A0600E" w:rsidP="007A0F9A">
            <w:pPr>
              <w:spacing w:line="360" w:lineRule="auto"/>
              <w:jc w:val="both"/>
              <w:rPr>
                <w:bCs/>
                <w:sz w:val="24"/>
                <w:szCs w:val="24"/>
              </w:rPr>
            </w:pPr>
          </w:p>
          <w:p w14:paraId="1917B1C3" w14:textId="77777777" w:rsidR="00A0600E" w:rsidRDefault="00A0600E" w:rsidP="00A0600E">
            <w:pPr>
              <w:spacing w:line="360" w:lineRule="auto"/>
              <w:jc w:val="both"/>
              <w:rPr>
                <w:bCs/>
                <w:sz w:val="24"/>
                <w:szCs w:val="24"/>
              </w:rPr>
            </w:pPr>
            <w:r w:rsidRPr="00A0600E">
              <w:rPr>
                <w:bCs/>
                <w:sz w:val="24"/>
                <w:szCs w:val="24"/>
              </w:rPr>
              <w:t>Multi-agency collaboration was one of the most challenging aspects of this case. Education and Health colleagues expressed strong concerns regarding the children's welfare and advocated for escalation to Child Protection procedures. Initially, I experienced anxiety regarding whether my assessment underestimated risk. Reflecting on this experience, I became aware of how professional confidence can be tested when there is disagreement between practitioners.</w:t>
            </w:r>
          </w:p>
          <w:p w14:paraId="4388A3E3" w14:textId="77777777" w:rsidR="00A0600E" w:rsidRPr="00A0600E" w:rsidRDefault="00A0600E" w:rsidP="00A0600E">
            <w:pPr>
              <w:spacing w:line="360" w:lineRule="auto"/>
              <w:jc w:val="both"/>
              <w:rPr>
                <w:bCs/>
                <w:sz w:val="24"/>
                <w:szCs w:val="24"/>
              </w:rPr>
            </w:pPr>
          </w:p>
          <w:p w14:paraId="3D0B3259" w14:textId="77777777" w:rsidR="00A0600E" w:rsidRPr="00A0600E" w:rsidRDefault="00A0600E" w:rsidP="00A0600E">
            <w:pPr>
              <w:spacing w:line="360" w:lineRule="auto"/>
              <w:jc w:val="both"/>
              <w:rPr>
                <w:bCs/>
                <w:sz w:val="24"/>
                <w:szCs w:val="24"/>
              </w:rPr>
            </w:pPr>
            <w:r w:rsidRPr="00A0600E">
              <w:rPr>
                <w:bCs/>
                <w:sz w:val="24"/>
                <w:szCs w:val="24"/>
              </w:rPr>
              <w:lastRenderedPageBreak/>
              <w:t>This created an ethical and professional dilemma. On one hand, I needed to remain open to challenge and ensure that concerns raised by partner agencies were fully considered. On the other hand, I had a responsibility to make an independent assessment based on the evidence available. The experience highlighted the importance of analytical reasoning rather than simply adopting the views of the most risk-averse professional.</w:t>
            </w:r>
          </w:p>
          <w:p w14:paraId="7197561F" w14:textId="77777777" w:rsidR="00A0600E" w:rsidRPr="00A0600E" w:rsidRDefault="00A0600E" w:rsidP="00A0600E">
            <w:pPr>
              <w:spacing w:line="360" w:lineRule="auto"/>
              <w:jc w:val="both"/>
              <w:rPr>
                <w:bCs/>
                <w:sz w:val="24"/>
                <w:szCs w:val="24"/>
              </w:rPr>
            </w:pPr>
            <w:r w:rsidRPr="00A0600E">
              <w:rPr>
                <w:bCs/>
                <w:sz w:val="24"/>
                <w:szCs w:val="24"/>
              </w:rPr>
              <w:t>The Team Around the Family process enabled constructive discussion and facilitated shared ownership of the support plan. Reflecting on this process, I learned that effective collaboration is not achieved through agreement alone but through respectful challenge and transparent communication. This experience strengthened my confidence in leading professional discussions and managing conflict within a safeguarding context.</w:t>
            </w:r>
          </w:p>
          <w:p w14:paraId="55CFE2A4" w14:textId="77777777" w:rsidR="00A0600E" w:rsidRPr="00A0600E" w:rsidRDefault="00A0600E" w:rsidP="00A0600E">
            <w:pPr>
              <w:spacing w:line="360" w:lineRule="auto"/>
              <w:jc w:val="both"/>
              <w:rPr>
                <w:bCs/>
                <w:sz w:val="24"/>
                <w:szCs w:val="24"/>
              </w:rPr>
            </w:pPr>
            <w:r w:rsidRPr="00A0600E">
              <w:rPr>
                <w:bCs/>
                <w:sz w:val="24"/>
                <w:szCs w:val="24"/>
              </w:rPr>
              <w:t>From a Social Care Wales perspective, this aspect of the case demonstrated competency in collaborative working, information sharing and maintaining professional accountability. It also highlighted the importance of understanding how anxiety can influence professional judgement across agencies.</w:t>
            </w:r>
          </w:p>
          <w:p w14:paraId="215CE616" w14:textId="77777777" w:rsidR="00770428" w:rsidRPr="007A0F9A" w:rsidRDefault="00770428" w:rsidP="007A0F9A">
            <w:pPr>
              <w:spacing w:line="360" w:lineRule="auto"/>
              <w:jc w:val="both"/>
              <w:rPr>
                <w:bCs/>
                <w:sz w:val="24"/>
                <w:szCs w:val="24"/>
              </w:rPr>
            </w:pPr>
          </w:p>
          <w:p w14:paraId="69523F46" w14:textId="77777777" w:rsidR="00E25D8C" w:rsidRDefault="00E25D8C" w:rsidP="007A0F9A">
            <w:pPr>
              <w:spacing w:line="360" w:lineRule="auto"/>
              <w:jc w:val="both"/>
              <w:rPr>
                <w:bCs/>
                <w:sz w:val="24"/>
                <w:szCs w:val="24"/>
              </w:rPr>
            </w:pPr>
            <w:r w:rsidRPr="00E25D8C">
              <w:rPr>
                <w:bCs/>
                <w:sz w:val="24"/>
                <w:szCs w:val="24"/>
              </w:rPr>
              <w:t>The case progressed under a Part 4 Care and Support Plan, avoiding escalation to Child Protection processes. Over three months, significant improvements were observed in the home environment, parenting capacity, and child well-being.</w:t>
            </w:r>
          </w:p>
          <w:p w14:paraId="13525459" w14:textId="77777777" w:rsidR="00E25D8C" w:rsidRPr="00E25D8C" w:rsidRDefault="00E25D8C" w:rsidP="007A0F9A">
            <w:pPr>
              <w:spacing w:line="360" w:lineRule="auto"/>
              <w:jc w:val="both"/>
              <w:rPr>
                <w:bCs/>
                <w:sz w:val="24"/>
                <w:szCs w:val="24"/>
              </w:rPr>
            </w:pPr>
            <w:r w:rsidRPr="00E25D8C">
              <w:rPr>
                <w:bCs/>
                <w:sz w:val="24"/>
                <w:szCs w:val="24"/>
              </w:rPr>
              <w:t>This outcome demonstrates the effectiveness of proportionate, strengths-based intervention. It also highlights the risks associated with defensive practice.</w:t>
            </w:r>
          </w:p>
          <w:p w14:paraId="587A8DBB" w14:textId="77777777" w:rsidR="00E25D8C" w:rsidRDefault="00E25D8C" w:rsidP="007A0F9A">
            <w:pPr>
              <w:spacing w:line="360" w:lineRule="auto"/>
              <w:jc w:val="both"/>
              <w:rPr>
                <w:bCs/>
                <w:sz w:val="24"/>
                <w:szCs w:val="24"/>
              </w:rPr>
            </w:pPr>
            <w:r w:rsidRPr="00E25D8C">
              <w:rPr>
                <w:bCs/>
                <w:sz w:val="24"/>
                <w:szCs w:val="24"/>
              </w:rPr>
              <w:t>From a critical perspective, the case illustrates how applying a Working Together approach may have resulted in premature escalation, potentially causing harm through unnecessary statutory intervention.</w:t>
            </w:r>
          </w:p>
          <w:p w14:paraId="7987C3A3" w14:textId="77777777" w:rsidR="00760790" w:rsidRPr="00E25D8C" w:rsidRDefault="00760790" w:rsidP="007A0F9A">
            <w:pPr>
              <w:spacing w:line="360" w:lineRule="auto"/>
              <w:jc w:val="both"/>
              <w:rPr>
                <w:bCs/>
                <w:sz w:val="24"/>
                <w:szCs w:val="24"/>
              </w:rPr>
            </w:pPr>
          </w:p>
          <w:p w14:paraId="55F827E4" w14:textId="6040ED63" w:rsidR="00A0600E" w:rsidRPr="00E25D8C" w:rsidRDefault="00760790" w:rsidP="00A0600E">
            <w:pPr>
              <w:spacing w:line="360" w:lineRule="auto"/>
              <w:jc w:val="both"/>
              <w:rPr>
                <w:bCs/>
                <w:sz w:val="24"/>
                <w:szCs w:val="24"/>
              </w:rPr>
            </w:pPr>
            <w:r w:rsidRPr="00760790">
              <w:rPr>
                <w:bCs/>
                <w:sz w:val="24"/>
                <w:szCs w:val="24"/>
              </w:rPr>
              <w:t xml:space="preserve">Reflecting on this case, several key learning points emerged for my future practice. Most significantly, I developed a greater appreciation of the importance of distinguishing poverty from neglect and recognising the influence of structural disadvantage on family functioning (Bywaters et al., 2016). The case also reinforced the value of theory-informed practice, demonstrating how ecological, attachment and trauma-informed perspectives can support more nuanced assessment and analysis. In addition, I became increasingly aware of the impact that professional anxiety can have on safeguarding decision-making and the </w:t>
            </w:r>
            <w:r w:rsidRPr="00760790">
              <w:rPr>
                <w:bCs/>
                <w:sz w:val="24"/>
                <w:szCs w:val="24"/>
              </w:rPr>
              <w:lastRenderedPageBreak/>
              <w:t>importance of critically evaluating concerns rather than responding solely to perceived risk. Finally, the experience strengthened my understanding of the importance of legislative literacy, highlighting how a sound knowledge of Welsh safeguarding legislation is fundamental to ensuring that interventions remain lawful, proportionate and consistent with rights-based practice.</w:t>
            </w:r>
          </w:p>
          <w:p w14:paraId="0879514F" w14:textId="77777777" w:rsidR="00E25D8C" w:rsidRPr="00E25D8C" w:rsidRDefault="00E25D8C" w:rsidP="007A0F9A">
            <w:pPr>
              <w:spacing w:line="360" w:lineRule="auto"/>
              <w:jc w:val="both"/>
              <w:rPr>
                <w:bCs/>
                <w:sz w:val="24"/>
                <w:szCs w:val="24"/>
              </w:rPr>
            </w:pPr>
            <w:r w:rsidRPr="00E25D8C">
              <w:rPr>
                <w:bCs/>
                <w:sz w:val="24"/>
                <w:szCs w:val="24"/>
              </w:rPr>
              <w:t>The case reinforced that safeguarding requires balancing protection with rights and well-being. Article 8 of the ECHR serves as an ethical and legal safeguard against disproportionate intervention.</w:t>
            </w:r>
          </w:p>
          <w:p w14:paraId="3355D172" w14:textId="77777777" w:rsidR="00770428" w:rsidRPr="007A0F9A" w:rsidRDefault="00770428" w:rsidP="007A0F9A">
            <w:pPr>
              <w:spacing w:line="360" w:lineRule="auto"/>
              <w:jc w:val="both"/>
              <w:rPr>
                <w:bCs/>
                <w:sz w:val="24"/>
                <w:szCs w:val="24"/>
              </w:rPr>
            </w:pPr>
          </w:p>
          <w:p w14:paraId="7B2CD6DC" w14:textId="77777777" w:rsidR="00E25D8C" w:rsidRDefault="00E25D8C" w:rsidP="007A0F9A">
            <w:pPr>
              <w:spacing w:line="360" w:lineRule="auto"/>
              <w:jc w:val="both"/>
              <w:rPr>
                <w:bCs/>
                <w:sz w:val="24"/>
                <w:szCs w:val="24"/>
              </w:rPr>
            </w:pPr>
            <w:r w:rsidRPr="00E25D8C">
              <w:rPr>
                <w:bCs/>
                <w:sz w:val="24"/>
                <w:szCs w:val="24"/>
              </w:rPr>
              <w:t>A critical element of this case study is the explicit alignment of practice with the professional standards set by the Social Care Wales Code of Professional Practice for Social Care Workers. The Code establishes core expectations including promoting well-being, safeguarding individuals, respecting rights, working collaboratively, and maintaining accountability  . The following mapping demonstrates how these competencies were enacted in practice.</w:t>
            </w:r>
          </w:p>
          <w:p w14:paraId="390951D3" w14:textId="77777777" w:rsidR="00A0600E" w:rsidRPr="00E25D8C" w:rsidRDefault="00A0600E" w:rsidP="007A0F9A">
            <w:pPr>
              <w:spacing w:line="360" w:lineRule="auto"/>
              <w:jc w:val="both"/>
              <w:rPr>
                <w:bCs/>
                <w:sz w:val="24"/>
                <w:szCs w:val="24"/>
              </w:rPr>
            </w:pPr>
          </w:p>
          <w:p w14:paraId="023BA0B3" w14:textId="77777777" w:rsidR="00E25D8C" w:rsidRPr="00E25D8C" w:rsidRDefault="00E25D8C" w:rsidP="007A0F9A">
            <w:pPr>
              <w:spacing w:line="360" w:lineRule="auto"/>
              <w:jc w:val="both"/>
              <w:rPr>
                <w:bCs/>
                <w:sz w:val="24"/>
                <w:szCs w:val="24"/>
              </w:rPr>
            </w:pPr>
            <w:r w:rsidRPr="00E25D8C">
              <w:rPr>
                <w:bCs/>
                <w:sz w:val="24"/>
                <w:szCs w:val="24"/>
              </w:rPr>
              <w:t>Promoting Well-being and Safeguarding (Code Section 3)</w:t>
            </w:r>
          </w:p>
          <w:p w14:paraId="4490A05C" w14:textId="77777777" w:rsidR="00E25D8C" w:rsidRDefault="00E25D8C" w:rsidP="007A0F9A">
            <w:pPr>
              <w:spacing w:line="360" w:lineRule="auto"/>
              <w:jc w:val="both"/>
              <w:rPr>
                <w:bCs/>
                <w:sz w:val="24"/>
                <w:szCs w:val="24"/>
              </w:rPr>
            </w:pPr>
            <w:r w:rsidRPr="00E25D8C">
              <w:rPr>
                <w:bCs/>
                <w:sz w:val="24"/>
                <w:szCs w:val="24"/>
              </w:rPr>
              <w:t>The Code requires practitioners to “promote the well-being, voice and control of individuals… while supporting them to stay safe”  . In this case, safeguarding was not approached solely through risk elimination but through enhancing the children’s overall well-being. The decision to avoid Section 47 intervention, and instead implement a Part 4 Care and Support Plan under the Social Services and Well-being (Wales) Act 2014, reflects this dual focus. This demonstrates advanced competence in balancing protection with well-being, consistent with Welsh legislative principles.</w:t>
            </w:r>
          </w:p>
          <w:p w14:paraId="5C1C579C" w14:textId="77777777" w:rsidR="007A6A78" w:rsidRPr="00E25D8C" w:rsidRDefault="007A6A78" w:rsidP="007A0F9A">
            <w:pPr>
              <w:spacing w:line="360" w:lineRule="auto"/>
              <w:jc w:val="both"/>
              <w:rPr>
                <w:bCs/>
                <w:sz w:val="24"/>
                <w:szCs w:val="24"/>
              </w:rPr>
            </w:pPr>
          </w:p>
          <w:p w14:paraId="7B64BF24" w14:textId="77777777" w:rsidR="00E25D8C" w:rsidRPr="00E25D8C" w:rsidRDefault="00E25D8C" w:rsidP="007A0F9A">
            <w:pPr>
              <w:spacing w:line="360" w:lineRule="auto"/>
              <w:jc w:val="both"/>
              <w:rPr>
                <w:bCs/>
                <w:sz w:val="24"/>
                <w:szCs w:val="24"/>
              </w:rPr>
            </w:pPr>
            <w:r w:rsidRPr="00E25D8C">
              <w:rPr>
                <w:bCs/>
                <w:sz w:val="24"/>
                <w:szCs w:val="24"/>
              </w:rPr>
              <w:t>Respecting Rights, Voice and Person-Centred Practice (Code Section 1)</w:t>
            </w:r>
          </w:p>
          <w:p w14:paraId="6305B120" w14:textId="77777777" w:rsidR="00E25D8C" w:rsidRDefault="00E25D8C" w:rsidP="007A0F9A">
            <w:pPr>
              <w:spacing w:line="360" w:lineRule="auto"/>
              <w:jc w:val="both"/>
              <w:rPr>
                <w:bCs/>
                <w:sz w:val="24"/>
                <w:szCs w:val="24"/>
              </w:rPr>
            </w:pPr>
            <w:r w:rsidRPr="00E25D8C">
              <w:rPr>
                <w:bCs/>
                <w:sz w:val="24"/>
                <w:szCs w:val="24"/>
              </w:rPr>
              <w:t>The Code emphasises respect for individuals’ rights, dignity and participation  . Practice in this case was explicitly rights-based, grounded in the United Nations Convention on the Rights of the Child and Article 8 of the European Convention on Human Rights. Parents were actively involved in decision-making, and the children’s lived experiences were central to analysis. This reflects high-level competence in co-production and anti-oppressive practice.</w:t>
            </w:r>
          </w:p>
          <w:p w14:paraId="011E6038" w14:textId="77777777" w:rsidR="007A6A78" w:rsidRPr="00E25D8C" w:rsidRDefault="007A6A78" w:rsidP="007A0F9A">
            <w:pPr>
              <w:spacing w:line="360" w:lineRule="auto"/>
              <w:jc w:val="both"/>
              <w:rPr>
                <w:bCs/>
                <w:sz w:val="24"/>
                <w:szCs w:val="24"/>
              </w:rPr>
            </w:pPr>
          </w:p>
          <w:p w14:paraId="6C690BF0" w14:textId="77777777" w:rsidR="00E25D8C" w:rsidRPr="00E25D8C" w:rsidRDefault="00E25D8C" w:rsidP="007A0F9A">
            <w:pPr>
              <w:spacing w:line="360" w:lineRule="auto"/>
              <w:jc w:val="both"/>
              <w:rPr>
                <w:bCs/>
                <w:sz w:val="24"/>
                <w:szCs w:val="24"/>
              </w:rPr>
            </w:pPr>
            <w:r w:rsidRPr="00E25D8C">
              <w:rPr>
                <w:bCs/>
                <w:sz w:val="24"/>
                <w:szCs w:val="24"/>
              </w:rPr>
              <w:t>Managing Risk and Supporting Positive Risk-Taking (Code Section 4)</w:t>
            </w:r>
          </w:p>
          <w:p w14:paraId="14FBE4EF" w14:textId="77777777" w:rsidR="00E25D8C" w:rsidRDefault="00E25D8C" w:rsidP="007A0F9A">
            <w:pPr>
              <w:spacing w:line="360" w:lineRule="auto"/>
              <w:jc w:val="both"/>
              <w:rPr>
                <w:bCs/>
                <w:sz w:val="24"/>
                <w:szCs w:val="24"/>
              </w:rPr>
            </w:pPr>
            <w:r w:rsidRPr="00E25D8C">
              <w:rPr>
                <w:bCs/>
                <w:sz w:val="24"/>
                <w:szCs w:val="24"/>
              </w:rPr>
              <w:t>The Code recognises that individuals have the right to take risks, requiring practitioners to balance autonomy with safety  . The decision not to escalate to Child Protection demonstrates professional confidence in managing risk proportionately. Rather than eliminating all risk, the approach focused on risk mitigation through support, reflecting advanced critical judgement.</w:t>
            </w:r>
          </w:p>
          <w:p w14:paraId="02EA4E98" w14:textId="77777777" w:rsidR="007A6A78" w:rsidRPr="00E25D8C" w:rsidRDefault="007A6A78" w:rsidP="007A0F9A">
            <w:pPr>
              <w:spacing w:line="360" w:lineRule="auto"/>
              <w:jc w:val="both"/>
              <w:rPr>
                <w:bCs/>
                <w:sz w:val="24"/>
                <w:szCs w:val="24"/>
              </w:rPr>
            </w:pPr>
          </w:p>
          <w:p w14:paraId="1E8A6A49" w14:textId="77777777" w:rsidR="00E25D8C" w:rsidRPr="00E25D8C" w:rsidRDefault="00E25D8C" w:rsidP="007A0F9A">
            <w:pPr>
              <w:spacing w:line="360" w:lineRule="auto"/>
              <w:jc w:val="both"/>
              <w:rPr>
                <w:bCs/>
                <w:sz w:val="24"/>
                <w:szCs w:val="24"/>
              </w:rPr>
            </w:pPr>
            <w:r w:rsidRPr="00E25D8C">
              <w:rPr>
                <w:bCs/>
                <w:sz w:val="24"/>
                <w:szCs w:val="24"/>
              </w:rPr>
              <w:t>Collaborative Working (Code Section 3.4)</w:t>
            </w:r>
          </w:p>
          <w:p w14:paraId="3F1C349B" w14:textId="77777777" w:rsidR="00E25D8C" w:rsidRDefault="00E25D8C" w:rsidP="007A0F9A">
            <w:pPr>
              <w:spacing w:line="360" w:lineRule="auto"/>
              <w:jc w:val="both"/>
              <w:rPr>
                <w:bCs/>
                <w:sz w:val="24"/>
                <w:szCs w:val="24"/>
              </w:rPr>
            </w:pPr>
            <w:r w:rsidRPr="00E25D8C">
              <w:rPr>
                <w:bCs/>
                <w:sz w:val="24"/>
                <w:szCs w:val="24"/>
              </w:rPr>
              <w:t>The Code requires effective partnership working and information sharing  . The implementation of a Team Around the Family model demonstrated competence in multi-agency collaboration. Importantly, this extended beyond procedural compliance to active leadership in managing professional conflict and anxiety, particularly where English safeguarding perspectives influenced decision-making.</w:t>
            </w:r>
          </w:p>
          <w:p w14:paraId="310063F1" w14:textId="77777777" w:rsidR="007A6A78" w:rsidRPr="00E25D8C" w:rsidRDefault="007A6A78" w:rsidP="007A0F9A">
            <w:pPr>
              <w:spacing w:line="360" w:lineRule="auto"/>
              <w:jc w:val="both"/>
              <w:rPr>
                <w:bCs/>
                <w:sz w:val="24"/>
                <w:szCs w:val="24"/>
              </w:rPr>
            </w:pPr>
          </w:p>
          <w:p w14:paraId="381B0017" w14:textId="77777777" w:rsidR="00E25D8C" w:rsidRPr="00E25D8C" w:rsidRDefault="00E25D8C" w:rsidP="007A0F9A">
            <w:pPr>
              <w:spacing w:line="360" w:lineRule="auto"/>
              <w:jc w:val="both"/>
              <w:rPr>
                <w:bCs/>
                <w:sz w:val="24"/>
                <w:szCs w:val="24"/>
              </w:rPr>
            </w:pPr>
            <w:r w:rsidRPr="00E25D8C">
              <w:rPr>
                <w:bCs/>
                <w:sz w:val="24"/>
                <w:szCs w:val="24"/>
              </w:rPr>
              <w:t>Professional Accountability and Reflective Practice (Code Section 6)</w:t>
            </w:r>
          </w:p>
          <w:p w14:paraId="7EDF4DC4" w14:textId="77777777" w:rsidR="00E25D8C" w:rsidRDefault="00E25D8C" w:rsidP="007A0F9A">
            <w:pPr>
              <w:spacing w:line="360" w:lineRule="auto"/>
              <w:jc w:val="both"/>
              <w:rPr>
                <w:bCs/>
                <w:sz w:val="24"/>
                <w:szCs w:val="24"/>
              </w:rPr>
            </w:pPr>
            <w:r w:rsidRPr="00E25D8C">
              <w:rPr>
                <w:bCs/>
                <w:sz w:val="24"/>
                <w:szCs w:val="24"/>
              </w:rPr>
              <w:t>The Code requires practitioners to be accountable for their decisions and continuously reflect on practice  . This case required defensible decision-making in the face of challenge from partner agencies. The use of formal risk/benefit analysis, theoretical frameworks, and legislative justification demonstrates high-level professional accountability.</w:t>
            </w:r>
          </w:p>
          <w:p w14:paraId="038728C1" w14:textId="77777777" w:rsidR="007A6A78" w:rsidRPr="00E25D8C" w:rsidRDefault="007A6A78" w:rsidP="007A0F9A">
            <w:pPr>
              <w:spacing w:line="360" w:lineRule="auto"/>
              <w:jc w:val="both"/>
              <w:rPr>
                <w:bCs/>
                <w:sz w:val="24"/>
                <w:szCs w:val="24"/>
              </w:rPr>
            </w:pPr>
          </w:p>
          <w:p w14:paraId="57B7491E" w14:textId="77777777" w:rsidR="00E25D8C" w:rsidRPr="00E25D8C" w:rsidRDefault="00E25D8C" w:rsidP="007A0F9A">
            <w:pPr>
              <w:spacing w:line="360" w:lineRule="auto"/>
              <w:jc w:val="both"/>
              <w:rPr>
                <w:bCs/>
                <w:sz w:val="24"/>
                <w:szCs w:val="24"/>
              </w:rPr>
            </w:pPr>
            <w:r w:rsidRPr="00E25D8C">
              <w:rPr>
                <w:bCs/>
                <w:sz w:val="24"/>
                <w:szCs w:val="24"/>
              </w:rPr>
              <w:t>Challenging Poor Practice and Discrimination (Code Section 3.5)</w:t>
            </w:r>
          </w:p>
          <w:p w14:paraId="7F97DC70" w14:textId="408A75A0" w:rsidR="00A0600E" w:rsidRDefault="00E25D8C" w:rsidP="007A0F9A">
            <w:pPr>
              <w:spacing w:line="360" w:lineRule="auto"/>
              <w:jc w:val="both"/>
              <w:rPr>
                <w:bCs/>
                <w:sz w:val="24"/>
                <w:szCs w:val="24"/>
              </w:rPr>
            </w:pPr>
            <w:r w:rsidRPr="00E25D8C">
              <w:rPr>
                <w:bCs/>
                <w:sz w:val="24"/>
                <w:szCs w:val="24"/>
              </w:rPr>
              <w:t>The Code requires practitioners to challenge unsafe or discriminatory practice  . In this case, this involved critically challenging the conflation of poverty with neglect. By applying research (Bywaters et al., 2016) and Welsh legislative principles, the assessment avoided oppressive practice and upheld social justice values.</w:t>
            </w:r>
          </w:p>
          <w:p w14:paraId="1BBC9EC8" w14:textId="77777777" w:rsidR="00A0600E" w:rsidRDefault="00A0600E" w:rsidP="007A0F9A">
            <w:pPr>
              <w:spacing w:line="360" w:lineRule="auto"/>
              <w:jc w:val="both"/>
              <w:rPr>
                <w:bCs/>
                <w:sz w:val="24"/>
                <w:szCs w:val="24"/>
              </w:rPr>
            </w:pPr>
          </w:p>
          <w:p w14:paraId="251337B5" w14:textId="77777777" w:rsidR="00A0600E" w:rsidRDefault="00A0600E" w:rsidP="00A0600E">
            <w:pPr>
              <w:spacing w:line="360" w:lineRule="auto"/>
              <w:jc w:val="both"/>
              <w:rPr>
                <w:bCs/>
                <w:sz w:val="24"/>
                <w:szCs w:val="24"/>
              </w:rPr>
            </w:pPr>
            <w:r w:rsidRPr="00A0600E">
              <w:rPr>
                <w:bCs/>
                <w:sz w:val="24"/>
                <w:szCs w:val="24"/>
              </w:rPr>
              <w:t>A significant learning point from this case was the role of professional judgement within safeguarding practice. The decision not to initiate Section 47 Child Protection procedures was made following careful analysis of risk, protective factors and available evidence. Whilst there were legitimate concerns, I concluded that the threshold for significant harm had not been met.</w:t>
            </w:r>
          </w:p>
          <w:p w14:paraId="2DDE3455" w14:textId="77777777" w:rsidR="00A0600E" w:rsidRPr="00A0600E" w:rsidRDefault="00A0600E" w:rsidP="00A0600E">
            <w:pPr>
              <w:spacing w:line="360" w:lineRule="auto"/>
              <w:jc w:val="both"/>
              <w:rPr>
                <w:bCs/>
                <w:sz w:val="24"/>
                <w:szCs w:val="24"/>
              </w:rPr>
            </w:pPr>
          </w:p>
          <w:p w14:paraId="6D4CE348" w14:textId="77777777" w:rsidR="00A0600E" w:rsidRDefault="00A0600E" w:rsidP="00A0600E">
            <w:pPr>
              <w:spacing w:line="360" w:lineRule="auto"/>
              <w:jc w:val="both"/>
              <w:rPr>
                <w:bCs/>
                <w:sz w:val="24"/>
                <w:szCs w:val="24"/>
              </w:rPr>
            </w:pPr>
            <w:r w:rsidRPr="00A0600E">
              <w:rPr>
                <w:bCs/>
                <w:sz w:val="24"/>
                <w:szCs w:val="24"/>
              </w:rPr>
              <w:t>Reflecting on this decision, I recognise that professional judgement involves accepting a degree of uncertainty. There was no clear or straightforward answer, and making a defensible decision required balancing competing duties, rights and perspectives. This reinforced Munro's (2011) argument that safeguarding cannot be reduced to procedural compliance and requires practitioners to engage in critical thinking.</w:t>
            </w:r>
          </w:p>
          <w:p w14:paraId="41A7157B" w14:textId="77777777" w:rsidR="00A0600E" w:rsidRPr="00A0600E" w:rsidRDefault="00A0600E" w:rsidP="00A0600E">
            <w:pPr>
              <w:spacing w:line="360" w:lineRule="auto"/>
              <w:jc w:val="both"/>
              <w:rPr>
                <w:bCs/>
                <w:sz w:val="24"/>
                <w:szCs w:val="24"/>
              </w:rPr>
            </w:pPr>
          </w:p>
          <w:p w14:paraId="39B83AC4" w14:textId="77777777" w:rsidR="00A0600E" w:rsidRPr="00A0600E" w:rsidRDefault="00A0600E" w:rsidP="00A0600E">
            <w:pPr>
              <w:spacing w:line="360" w:lineRule="auto"/>
              <w:jc w:val="both"/>
              <w:rPr>
                <w:bCs/>
                <w:sz w:val="24"/>
                <w:szCs w:val="24"/>
              </w:rPr>
            </w:pPr>
            <w:r w:rsidRPr="00A0600E">
              <w:rPr>
                <w:bCs/>
                <w:sz w:val="24"/>
                <w:szCs w:val="24"/>
              </w:rPr>
              <w:t xml:space="preserve">The case highlighted the importance of </w:t>
            </w:r>
            <w:proofErr w:type="gramStart"/>
            <w:r w:rsidRPr="00A0600E">
              <w:rPr>
                <w:bCs/>
                <w:sz w:val="24"/>
                <w:szCs w:val="24"/>
              </w:rPr>
              <w:t>positive risk-taking,</w:t>
            </w:r>
            <w:proofErr w:type="gramEnd"/>
            <w:r w:rsidRPr="00A0600E">
              <w:rPr>
                <w:bCs/>
                <w:sz w:val="24"/>
                <w:szCs w:val="24"/>
              </w:rPr>
              <w:t xml:space="preserve"> a principle strongly embedded within Welsh social care legislation and the Social Care Wales Code of Professional Practice. Rather than seeking to eliminate all risk through statutory intervention, the assessment identified how risk could be managed through collaborative support and monitoring. Reflecting on this approach strengthened my understanding that safeguarding practice should empower families where possible whilst ensuring children's safety.</w:t>
            </w:r>
          </w:p>
          <w:p w14:paraId="75A30C4A" w14:textId="77777777" w:rsidR="00E25D8C" w:rsidRPr="007A0F9A" w:rsidRDefault="00E25D8C" w:rsidP="007A0F9A">
            <w:pPr>
              <w:spacing w:line="360" w:lineRule="auto"/>
              <w:jc w:val="both"/>
              <w:rPr>
                <w:bCs/>
                <w:sz w:val="24"/>
                <w:szCs w:val="24"/>
              </w:rPr>
            </w:pPr>
          </w:p>
          <w:p w14:paraId="232F7BE1" w14:textId="77777777" w:rsidR="00A0600E" w:rsidRDefault="00A0600E" w:rsidP="00A0600E">
            <w:pPr>
              <w:spacing w:line="360" w:lineRule="auto"/>
              <w:jc w:val="both"/>
              <w:rPr>
                <w:bCs/>
                <w:sz w:val="24"/>
                <w:szCs w:val="24"/>
              </w:rPr>
            </w:pPr>
            <w:r w:rsidRPr="00A0600E">
              <w:rPr>
                <w:bCs/>
                <w:sz w:val="24"/>
                <w:szCs w:val="24"/>
              </w:rPr>
              <w:t>This case study demonstrates the complexity of contemporary safeguarding practice within Wales and highlights the importance of professional judgement when balancing protection, rights and well-being. Reflecting on the assessment process has enabled me to critically evaluate how legislation, theory, research and values influence safeguarding decision-making.</w:t>
            </w:r>
          </w:p>
          <w:p w14:paraId="4139CDA3" w14:textId="77777777" w:rsidR="00A0600E" w:rsidRPr="00A0600E" w:rsidRDefault="00A0600E" w:rsidP="00A0600E">
            <w:pPr>
              <w:spacing w:line="360" w:lineRule="auto"/>
              <w:jc w:val="both"/>
              <w:rPr>
                <w:bCs/>
                <w:sz w:val="24"/>
                <w:szCs w:val="24"/>
              </w:rPr>
            </w:pPr>
          </w:p>
          <w:p w14:paraId="6FB022FA" w14:textId="77777777" w:rsidR="00A0600E" w:rsidRDefault="00A0600E" w:rsidP="00A0600E">
            <w:pPr>
              <w:spacing w:line="360" w:lineRule="auto"/>
              <w:jc w:val="both"/>
              <w:rPr>
                <w:bCs/>
                <w:sz w:val="24"/>
                <w:szCs w:val="24"/>
              </w:rPr>
            </w:pPr>
            <w:r w:rsidRPr="00A0600E">
              <w:rPr>
                <w:bCs/>
                <w:sz w:val="24"/>
                <w:szCs w:val="24"/>
              </w:rPr>
              <w:t>The case strengthened my understanding of current safeguarding legislation, including the Social Services and Well-being (Wales) Act 2014, Part 7 safeguarding duties, the Wales Safeguarding Procedures and the Children Act 1989. More importantly, it reinforced the need to actively apply legislation rather than simply reference statutory guidance. Throughout the assessment, legislative frameworks provided a structure for analysing risk, identifying proportional responses and protecting the rights of both children and parents.</w:t>
            </w:r>
          </w:p>
          <w:p w14:paraId="57C754C5" w14:textId="77777777" w:rsidR="00A0600E" w:rsidRPr="00A0600E" w:rsidRDefault="00A0600E" w:rsidP="00A0600E">
            <w:pPr>
              <w:spacing w:line="360" w:lineRule="auto"/>
              <w:jc w:val="both"/>
              <w:rPr>
                <w:bCs/>
                <w:sz w:val="24"/>
                <w:szCs w:val="24"/>
              </w:rPr>
            </w:pPr>
          </w:p>
          <w:p w14:paraId="533AD285" w14:textId="77777777" w:rsidR="00A0600E" w:rsidRDefault="00A0600E" w:rsidP="00A0600E">
            <w:pPr>
              <w:spacing w:line="360" w:lineRule="auto"/>
              <w:jc w:val="both"/>
              <w:rPr>
                <w:bCs/>
                <w:sz w:val="24"/>
                <w:szCs w:val="24"/>
              </w:rPr>
            </w:pPr>
            <w:r w:rsidRPr="00A0600E">
              <w:rPr>
                <w:bCs/>
                <w:sz w:val="24"/>
                <w:szCs w:val="24"/>
              </w:rPr>
              <w:t xml:space="preserve">A significant learning outcome was the recognition of how easily poverty can be conflated with neglect. Reflecting on this issue increased my awareness of the impact of structural inequality and strengthened my commitment to anti-oppressive and rights-based practice. The case </w:t>
            </w:r>
            <w:r w:rsidRPr="00A0600E">
              <w:rPr>
                <w:bCs/>
                <w:sz w:val="24"/>
                <w:szCs w:val="24"/>
              </w:rPr>
              <w:lastRenderedPageBreak/>
              <w:t>demonstrated the importance of considering wider environmental and socio-economic influences before reaching conclusions about parenting capacity.</w:t>
            </w:r>
          </w:p>
          <w:p w14:paraId="084D2E59" w14:textId="77777777" w:rsidR="00A0600E" w:rsidRPr="00A0600E" w:rsidRDefault="00A0600E" w:rsidP="00A0600E">
            <w:pPr>
              <w:spacing w:line="360" w:lineRule="auto"/>
              <w:jc w:val="both"/>
              <w:rPr>
                <w:bCs/>
                <w:sz w:val="24"/>
                <w:szCs w:val="24"/>
              </w:rPr>
            </w:pPr>
          </w:p>
          <w:p w14:paraId="12AB2258" w14:textId="77777777" w:rsidR="00A0600E" w:rsidRDefault="00A0600E" w:rsidP="00A0600E">
            <w:pPr>
              <w:spacing w:line="360" w:lineRule="auto"/>
              <w:jc w:val="both"/>
              <w:rPr>
                <w:bCs/>
                <w:sz w:val="24"/>
                <w:szCs w:val="24"/>
              </w:rPr>
            </w:pPr>
            <w:r w:rsidRPr="00A0600E">
              <w:rPr>
                <w:bCs/>
                <w:sz w:val="24"/>
                <w:szCs w:val="24"/>
              </w:rPr>
              <w:t>The assessment also reinforced the value of theory-informed practice. Ecological Systems Theory, Attachment Theory and trauma-informed approaches provided analytical frameworks that enhanced my understanding of family functioning. Rather than viewing concerns in isolation, these perspectives enabled me to understand the interaction between individual, relational and societal factors influencing the family's circumstances.</w:t>
            </w:r>
          </w:p>
          <w:p w14:paraId="22AE7810" w14:textId="77777777" w:rsidR="00A0600E" w:rsidRPr="00A0600E" w:rsidRDefault="00A0600E" w:rsidP="00A0600E">
            <w:pPr>
              <w:spacing w:line="360" w:lineRule="auto"/>
              <w:jc w:val="both"/>
              <w:rPr>
                <w:bCs/>
                <w:sz w:val="24"/>
                <w:szCs w:val="24"/>
              </w:rPr>
            </w:pPr>
          </w:p>
          <w:p w14:paraId="4A513E45" w14:textId="77777777" w:rsidR="00A0600E" w:rsidRPr="00A0600E" w:rsidRDefault="00A0600E" w:rsidP="00A0600E">
            <w:pPr>
              <w:spacing w:line="360" w:lineRule="auto"/>
              <w:jc w:val="both"/>
              <w:rPr>
                <w:bCs/>
                <w:sz w:val="24"/>
                <w:szCs w:val="24"/>
              </w:rPr>
            </w:pPr>
            <w:r w:rsidRPr="00A0600E">
              <w:rPr>
                <w:bCs/>
                <w:sz w:val="24"/>
                <w:szCs w:val="24"/>
              </w:rPr>
              <w:t>Multi-agency working presented both opportunities and challenges. Professional disagreement required me to justify my analysis, challenge assumptions and maintain accountability for my decisions. Through reflection, I recognise that collaborative practice does not eliminate conflict but rather provides opportunities for constructive challenge that can strengthen assessment quality.</w:t>
            </w:r>
          </w:p>
          <w:p w14:paraId="29CEAEAA" w14:textId="77777777" w:rsidR="00A0600E" w:rsidRDefault="00A0600E" w:rsidP="00A0600E">
            <w:pPr>
              <w:spacing w:line="360" w:lineRule="auto"/>
              <w:jc w:val="both"/>
              <w:rPr>
                <w:bCs/>
                <w:sz w:val="24"/>
                <w:szCs w:val="24"/>
              </w:rPr>
            </w:pPr>
            <w:r w:rsidRPr="00A0600E">
              <w:rPr>
                <w:bCs/>
                <w:sz w:val="24"/>
                <w:szCs w:val="24"/>
              </w:rPr>
              <w:t>This case clearly demonstrates achievement of the Social Care Wales learning outcomes through analytical assessment, effective collaboration with partner agencies and the exercise of professional judgement within a complex safeguarding context. Most importantly, it reinforced that safeguarding is not solely concerned with identifying risk but with understanding children within the context of their family, community and wider social environment.</w:t>
            </w:r>
          </w:p>
          <w:p w14:paraId="39BFF746" w14:textId="77777777" w:rsidR="00A0600E" w:rsidRPr="00A0600E" w:rsidRDefault="00A0600E" w:rsidP="00A0600E">
            <w:pPr>
              <w:spacing w:line="360" w:lineRule="auto"/>
              <w:jc w:val="both"/>
              <w:rPr>
                <w:bCs/>
                <w:sz w:val="24"/>
                <w:szCs w:val="24"/>
              </w:rPr>
            </w:pPr>
          </w:p>
          <w:p w14:paraId="790F822D" w14:textId="77777777" w:rsidR="00A0600E" w:rsidRPr="00A0600E" w:rsidRDefault="00A0600E" w:rsidP="00A0600E">
            <w:pPr>
              <w:spacing w:line="360" w:lineRule="auto"/>
              <w:jc w:val="both"/>
              <w:rPr>
                <w:bCs/>
                <w:sz w:val="24"/>
                <w:szCs w:val="24"/>
              </w:rPr>
            </w:pPr>
            <w:r w:rsidRPr="00A0600E">
              <w:rPr>
                <w:bCs/>
                <w:sz w:val="24"/>
                <w:szCs w:val="24"/>
              </w:rPr>
              <w:t>Ultimately, the experience increased my confidence in practising within a Welsh legislative framework and highlighted the importance of remaining reflective, evidence-informed and child-centred. Future practice will continue to be guided by the principles of proportionality, social justice, participation and well-being, ensuring that interventions remain focused on improving outcomes whilst respecting the rights and dignity of families.</w:t>
            </w:r>
          </w:p>
          <w:p w14:paraId="529DEFE8" w14:textId="77777777" w:rsidR="00E25D8C" w:rsidRPr="007A0F9A" w:rsidRDefault="00E25D8C" w:rsidP="007A0F9A">
            <w:pPr>
              <w:spacing w:line="360" w:lineRule="auto"/>
              <w:jc w:val="both"/>
              <w:rPr>
                <w:bCs/>
                <w:sz w:val="24"/>
                <w:szCs w:val="24"/>
              </w:rPr>
            </w:pPr>
          </w:p>
          <w:p w14:paraId="0E7BBCC9" w14:textId="77777777" w:rsidR="00D3203C" w:rsidRPr="007A0F9A" w:rsidRDefault="00D3203C" w:rsidP="007A0F9A">
            <w:pPr>
              <w:spacing w:line="360" w:lineRule="auto"/>
              <w:jc w:val="both"/>
              <w:rPr>
                <w:bCs/>
                <w:sz w:val="24"/>
                <w:szCs w:val="24"/>
              </w:rPr>
            </w:pPr>
          </w:p>
          <w:p w14:paraId="47F21B6A" w14:textId="007FFCCE" w:rsidR="007A628F" w:rsidRPr="007A0F9A" w:rsidRDefault="007A628F" w:rsidP="007A0F9A">
            <w:pPr>
              <w:spacing w:line="360" w:lineRule="auto"/>
              <w:jc w:val="both"/>
              <w:rPr>
                <w:bCs/>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C850D5" w14:textId="77777777" w:rsidR="00E844EE" w:rsidRDefault="00E844EE">
      <w:r>
        <w:separator/>
      </w:r>
    </w:p>
  </w:endnote>
  <w:endnote w:type="continuationSeparator" w:id="0">
    <w:p w14:paraId="5AE522EA" w14:textId="77777777" w:rsidR="00E844EE" w:rsidRDefault="00E844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Latha">
    <w:panose1 w:val="02000400000000000000"/>
    <w:charset w:val="00"/>
    <w:family w:val="swiss"/>
    <w:pitch w:val="variable"/>
    <w:sig w:usb0="001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644C2" w14:textId="77777777" w:rsidR="00E844EE" w:rsidRDefault="00E844EE">
      <w:r>
        <w:separator/>
      </w:r>
    </w:p>
  </w:footnote>
  <w:footnote w:type="continuationSeparator" w:id="0">
    <w:p w14:paraId="2C3F4AE6" w14:textId="77777777" w:rsidR="00E844EE" w:rsidRDefault="00E844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B4BCC"/>
    <w:multiLevelType w:val="multilevel"/>
    <w:tmpl w:val="4A44A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EE7C26"/>
    <w:multiLevelType w:val="multilevel"/>
    <w:tmpl w:val="3364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514848"/>
    <w:multiLevelType w:val="multilevel"/>
    <w:tmpl w:val="67BE6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6248A6"/>
    <w:multiLevelType w:val="multilevel"/>
    <w:tmpl w:val="AA9A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1B4B80"/>
    <w:multiLevelType w:val="multilevel"/>
    <w:tmpl w:val="7CEE3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AE0060"/>
    <w:multiLevelType w:val="multilevel"/>
    <w:tmpl w:val="2AD45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0769558">
    <w:abstractNumId w:val="0"/>
  </w:num>
  <w:num w:numId="2" w16cid:durableId="242833895">
    <w:abstractNumId w:val="4"/>
  </w:num>
  <w:num w:numId="3" w16cid:durableId="1939944696">
    <w:abstractNumId w:val="1"/>
  </w:num>
  <w:num w:numId="4" w16cid:durableId="1698653722">
    <w:abstractNumId w:val="5"/>
  </w:num>
  <w:num w:numId="5" w16cid:durableId="346685572">
    <w:abstractNumId w:val="2"/>
  </w:num>
  <w:num w:numId="6" w16cid:durableId="1172064398">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C78F1"/>
    <w:rsid w:val="001D229F"/>
    <w:rsid w:val="001D2DB6"/>
    <w:rsid w:val="001E2EB6"/>
    <w:rsid w:val="001E7A57"/>
    <w:rsid w:val="001F4552"/>
    <w:rsid w:val="001F687C"/>
    <w:rsid w:val="002019EB"/>
    <w:rsid w:val="00204B58"/>
    <w:rsid w:val="00205051"/>
    <w:rsid w:val="00211F65"/>
    <w:rsid w:val="00214047"/>
    <w:rsid w:val="00216563"/>
    <w:rsid w:val="0021792F"/>
    <w:rsid w:val="00220D06"/>
    <w:rsid w:val="002246A0"/>
    <w:rsid w:val="0022586C"/>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8BF"/>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0C33"/>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0BD8"/>
    <w:rsid w:val="00606E27"/>
    <w:rsid w:val="006108C9"/>
    <w:rsid w:val="00614DF7"/>
    <w:rsid w:val="00615C25"/>
    <w:rsid w:val="006179BB"/>
    <w:rsid w:val="0062158D"/>
    <w:rsid w:val="006223FD"/>
    <w:rsid w:val="006326D1"/>
    <w:rsid w:val="00632E0A"/>
    <w:rsid w:val="00633165"/>
    <w:rsid w:val="006447DE"/>
    <w:rsid w:val="00644889"/>
    <w:rsid w:val="0065276E"/>
    <w:rsid w:val="00654329"/>
    <w:rsid w:val="00654CEC"/>
    <w:rsid w:val="00655507"/>
    <w:rsid w:val="0065758F"/>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3172"/>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790"/>
    <w:rsid w:val="00763B2D"/>
    <w:rsid w:val="00764C84"/>
    <w:rsid w:val="00770428"/>
    <w:rsid w:val="007710AD"/>
    <w:rsid w:val="00772924"/>
    <w:rsid w:val="0078112D"/>
    <w:rsid w:val="007872F2"/>
    <w:rsid w:val="007873F9"/>
    <w:rsid w:val="007908E0"/>
    <w:rsid w:val="00793EB3"/>
    <w:rsid w:val="00794205"/>
    <w:rsid w:val="0079422A"/>
    <w:rsid w:val="007A0F9A"/>
    <w:rsid w:val="007A1F6A"/>
    <w:rsid w:val="007A628F"/>
    <w:rsid w:val="007A6A78"/>
    <w:rsid w:val="007B0DE3"/>
    <w:rsid w:val="007B1BFD"/>
    <w:rsid w:val="007B7191"/>
    <w:rsid w:val="007B71E4"/>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134"/>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00E"/>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57CA"/>
    <w:rsid w:val="00AC1647"/>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7A5F"/>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5754"/>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0D0E"/>
    <w:rsid w:val="00DC1B10"/>
    <w:rsid w:val="00DC2924"/>
    <w:rsid w:val="00DC4729"/>
    <w:rsid w:val="00DD31C5"/>
    <w:rsid w:val="00DD3DF1"/>
    <w:rsid w:val="00DD5020"/>
    <w:rsid w:val="00DD63BE"/>
    <w:rsid w:val="00DE4296"/>
    <w:rsid w:val="00DF2469"/>
    <w:rsid w:val="00DF7899"/>
    <w:rsid w:val="00E0524C"/>
    <w:rsid w:val="00E15751"/>
    <w:rsid w:val="00E17160"/>
    <w:rsid w:val="00E17D41"/>
    <w:rsid w:val="00E231D1"/>
    <w:rsid w:val="00E25D8C"/>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4EE"/>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443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602F"/>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ta-LK"/>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D2DB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1D2DB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India.kruse@icloud.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4250</Words>
  <Characters>28480</Characters>
  <Application>Microsoft Office Word</Application>
  <DocSecurity>4</DocSecurity>
  <Lines>558</Lines>
  <Paragraphs>227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India Kruse</cp:lastModifiedBy>
  <cp:revision>2</cp:revision>
  <cp:lastPrinted>2020-02-11T19:20:00Z</cp:lastPrinted>
  <dcterms:created xsi:type="dcterms:W3CDTF">2026-07-06T13:05:00Z</dcterms:created>
  <dcterms:modified xsi:type="dcterms:W3CDTF">2026-07-06T13:05:00Z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