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tbl>
      <w:tblPr>
        <w:tblW w:w="0" w:type="auto"/>
        <w:shd w:val="clear" w:color="auto" w:fill="FBE4D5" w:themeFill="accent2" w:themeFillTint="33"/>
        <w:tblStyle w:val="TableGrid"/>
        <w:tblLook w:val="4A0"/>
      </w:tblPr>
      <w:tblGrid>
        <w:gridCol w:w="4675"/>
        <w:gridCol w:w="4675"/>
      </w:tblGrid>
      <w:tr w14:paraId="53018870" w14:textId="77777777" w:rsidR="005E4999" w:rsidTr="0045358E">
        <w:tc>
          <w:tcPr>
            <w:shd w:fill="FBE4D5" w:color="auto" w:themeFill="accent2" w:themeFillTint="33" w:val="clear"/>
            <w:vAlign w:val="center"/>
            <w:tcW w:w="4675" w:type="dxa"/>
          </w:tcPr>
          <w:p w:rsidR="005E4999" w:rsidRDefault="005E4999" w14:paraId="378469EC" w14:textId="1DB3AD31" w:rsidP="00F1105B">
            <w:pPr>
              <w:jc w:val="left"/>
            </w:pPr>
            <w:r w:rsidRPr="003D45A1">
              <w:rPr>
                <w:bCs/>
                <w:b/>
              </w:rPr>
              <w:t>Student name:</w:t>
            </w:r>
            <w:r>
              <w:t xml:space="preserve"> </w:t>
            </w:r>
            <w:r w:rsidRPr="005E4999">
              <w:t>Farzana Choudhury</w:t>
            </w:r>
          </w:p>
        </w:tc>
        <w:tc>
          <w:tcPr>
            <w:shd w:fill="FBE4D5" w:color="auto" w:themeFill="accent2" w:themeFillTint="33" w:val="clear"/>
            <w:vAlign w:val="center"/>
            <w:tcW w:w="4675" w:type="dxa"/>
          </w:tcPr>
          <w:p w:rsidR="005E4999" w:rsidRDefault="005E4999" w14:paraId="6DE05A9F" w14:textId="30EEDE56" w:rsidP="00F1105B">
            <w:pPr>
              <w:jc w:val="left"/>
            </w:pPr>
            <w:r w:rsidRPr="003D45A1">
              <w:rPr>
                <w:bCs/>
                <w:b/>
              </w:rPr>
              <w:t>Module:</w:t>
            </w:r>
            <w:r>
              <w:t xml:space="preserve"> </w:t>
            </w:r>
            <w:r w:rsidR="003D45A1">
              <w:t>Food &amp; Beverage Operations</w:t>
            </w:r>
          </w:p>
        </w:tc>
      </w:tr>
      <w:tr w14:paraId="11492845" w14:textId="77777777" w:rsidR="005E4999" w:rsidTr="0045358E">
        <w:tc>
          <w:tcPr>
            <w:shd w:fill="FBE4D5" w:color="auto" w:themeFill="accent2" w:themeFillTint="33" w:val="clear"/>
            <w:vAlign w:val="center"/>
            <w:tcW w:w="4675" w:type="dxa"/>
          </w:tcPr>
          <w:p w:rsidR="005E4999" w:rsidRDefault="005E4999" w14:paraId="7CDC0222" w14:textId="77777777" w:rsidP="00F1105B" w:rsidRPr="003D45A1">
            <w:pPr>
              <w:jc w:val="left"/>
              <w:rPr>
                <w:bCs/>
                <w:b/>
              </w:rPr>
            </w:pPr>
            <w:r w:rsidRPr="003D45A1">
              <w:rPr>
                <w:bCs/>
                <w:b/>
              </w:rPr>
              <w:t>Student number: 2119795</w:t>
            </w:r>
          </w:p>
        </w:tc>
        <w:tc>
          <w:tcPr>
            <w:shd w:fill="FBE4D5" w:color="auto" w:themeFill="accent2" w:themeFillTint="33" w:val="clear"/>
            <w:vAlign w:val="center"/>
            <w:tcW w:w="4675" w:type="dxa"/>
          </w:tcPr>
          <w:p w:rsidR="005E4999" w:rsidRDefault="005E4999" w14:paraId="3A660FDA" w14:textId="63F15CD2" w:rsidP="00F1105B" w:rsidRPr="00863BF2">
            <w:pPr>
              <w:jc w:val="left"/>
              <w:rPr>
                <w:bCs/>
                <w:b/>
              </w:rPr>
            </w:pPr>
            <w:r w:rsidRPr="00863BF2">
              <w:rPr>
                <w:bCs/>
                <w:b/>
              </w:rPr>
              <w:t>Lecturer</w:t>
            </w:r>
            <w:r w:rsidR="00480462" w:rsidRPr="00863BF2">
              <w:rPr>
                <w:bCs/>
                <w:b/>
              </w:rPr>
              <w:t>s</w:t>
            </w:r>
            <w:r w:rsidRPr="00863BF2">
              <w:rPr>
                <w:bCs/>
                <w:b/>
              </w:rPr>
              <w:t xml:space="preserve">: </w:t>
            </w:r>
            <w:r>
              <w:t xml:space="preserve"> </w:t>
            </w:r>
          </w:p>
          <w:p w:rsidR="005E4999" w:rsidRDefault="005E4999" w14:paraId="584ED0C5" w14:textId="77777777" w:rsidP="00F1105B">
            <w:pPr>
              <w:jc w:val="left"/>
            </w:pPr>
            <w:r>
              <w:t xml:space="preserve">Ffion </w:t>
            </w:r>
            <w:proofErr w:type="spellStart"/>
            <w:r>
              <w:t>Cumberpatch</w:t>
            </w:r>
            <w:proofErr w:type="spellEnd"/>
            <w:r>
              <w:t xml:space="preserve"> </w:t>
            </w:r>
          </w:p>
          <w:p w:rsidR="005E4999" w:rsidRDefault="005E4999" w14:paraId="7B9B9CF7" w14:textId="77777777" w:rsidP="00F1105B">
            <w:pPr>
              <w:jc w:val="left"/>
            </w:pPr>
          </w:p>
        </w:tc>
      </w:tr>
    </w:tbl>
    <w:p w:rsidR="005E4999" w:rsidRDefault="005E4999" w14:paraId="323C48D5" w14:textId="77777777" w:rsidP="005E4999">
      <w:pPr>
        <w:jc w:val="left"/>
        <w:spacing w:after="160" w:line="259" w:lineRule="auto"/>
      </w:pPr>
    </w:p>
    <w:tbl>
      <w:tblPr>
        <w:tblW w:w="0" w:type="auto"/>
        <w:tblStyle w:val="TableGrid"/>
        <w:tblLook w:val="4A0"/>
      </w:tblPr>
      <w:tblGrid>
        <w:gridCol w:w="4675"/>
        <w:gridCol w:w="4675"/>
      </w:tblGrid>
      <w:tr w14:paraId="4612A6FC" w14:textId="77777777" w:rsidR="005E4999" w:rsidTr="0045358E">
        <w:tc>
          <w:tcPr>
            <w:shd w:fill="FFE599" w:color="auto" w:themeFill="accent4" w:themeFillTint="66" w:val="clear"/>
            <w:vAlign w:val="center"/>
            <w:tcW w:w="4675" w:type="dxa"/>
          </w:tcPr>
          <w:p w:rsidR="005E4999" w:rsidRDefault="005E4999" w14:paraId="4DC2F349" w14:textId="4B5AC2AD" w:rsidP="005E4999" w:rsidRPr="005E4999">
            <w:pPr>
              <w:spacing w:after="240"/>
              <w:rPr>
                <w:shd w:fill="FFFFFF" w:color="auto" w:val="clear"/>
              </w:rPr>
            </w:pPr>
            <w:r w:rsidRPr="003D45A1">
              <w:rPr>
                <w:bCs/>
                <w:b/>
              </w:rPr>
              <w:t>T</w:t>
            </w:r>
            <w:r w:rsidR="0018417C">
              <w:rPr>
                <w:bCs/>
                <w:b/>
              </w:rPr>
              <w:t>he t</w:t>
            </w:r>
            <w:r w:rsidRPr="003D45A1">
              <w:rPr>
                <w:bCs/>
                <w:b/>
              </w:rPr>
              <w:t>opic of choice:</w:t>
            </w:r>
            <w:r w:rsidR="003D45A1">
              <w:rPr>
                <w:bCs/>
                <w:b/>
              </w:rPr>
              <w:t xml:space="preserve"> </w:t>
            </w:r>
            <w:r>
              <w:t>Allergies and Intolerances and the importance within the industry</w:t>
            </w:r>
          </w:p>
        </w:tc>
        <w:tc>
          <w:tcPr>
            <w:shd w:fill="FFE599" w:color="auto" w:themeFill="accent4" w:themeFillTint="66" w:val="clear"/>
            <w:vAlign w:val="center"/>
            <w:tcW w:w="4675" w:type="dxa"/>
          </w:tcPr>
          <w:p w:rsidR="005E4999" w:rsidRDefault="005E4999" w14:paraId="4AFC248A" w14:textId="77777777" w:rsidP="00F1105B" w:rsidRPr="006E1CE2">
            <w:pPr>
              <w:jc w:val="left"/>
              <w:rPr>
                <w:bCs/>
                <w:b/>
              </w:rPr>
            </w:pPr>
            <w:r w:rsidRPr="006E1CE2">
              <w:rPr>
                <w:bCs/>
                <w:b/>
              </w:rPr>
              <w:t>Date completed: 2/06/2022</w:t>
            </w:r>
          </w:p>
        </w:tc>
      </w:tr>
      <w:tr w14:paraId="1CC7BDA1" w14:textId="77777777" w:rsidR="005E4999" w:rsidTr="00FD6A4A">
        <w:trPr>
          <w:trHeight w:val="1340"/>
        </w:trPr>
        <w:tc>
          <w:tcPr>
            <w:gridSpan w:val="2"/>
            <w:tcW w:w="9350" w:type="dxa"/>
          </w:tcPr>
          <w:p w:rsidR="00D3762C" w:rsidRDefault="00D3762C" w14:paraId="6C487A47" w14:textId="77777777" w:rsidP="00D3762C">
            <w:pPr>
              <w:rPr>
                <w:bCs/>
                <w:b/>
              </w:rPr>
            </w:pPr>
            <w:r w:rsidRPr="006D0845">
              <w:rPr>
                <w:bCs/>
                <w:b/>
              </w:rPr>
              <w:t>Allergies and Intolerances</w:t>
            </w:r>
          </w:p>
          <w:p w:rsidR="00D3762C" w:rsidRDefault="00D3762C" w14:paraId="3387EA3C" w14:textId="07AB72EC" w:rsidP="00D3762C">
            <w:r>
              <w:t>Allergy is an irritating situation for an individual. A person may be very sensitive towards some food and other elements. An individual should face problems while consuming a food item that may seem harmless to others. The immune system of the body reacts with some entirely harmless elements (</w:t>
            </w:r>
            <w:r>
              <w:rPr>
                <w:shd w:fill="FFFFFF" w:color="auto" w:val="clear"/>
              </w:rPr>
              <w:t>Gargano et al, 2021)</w:t>
            </w:r>
            <w:r>
              <w:t xml:space="preserve">. </w:t>
            </w:r>
            <w:r w:rsidR="00527625">
              <w:t>14 types of allergens</w:t>
            </w:r>
            <w:r>
              <w:t xml:space="preserve"> may be harmful to the consumers in a restaurant or hotel. Celery is the first item that can be harmful </w:t>
            </w:r>
            <w:r w:rsidR="00527625">
              <w:t>to</w:t>
            </w:r>
            <w:r>
              <w:t xml:space="preserve"> a person having allergic intolerance. At the same time, peanuts, cereals, </w:t>
            </w:r>
            <w:r w:rsidR="00527625">
              <w:t xml:space="preserve">and </w:t>
            </w:r>
            <w:r>
              <w:t xml:space="preserve">items containing gluten can be also a source of allergens for any customer. Animal products like fish, meat and milk can also be a source. Some people are also flexible </w:t>
            </w:r>
            <w:r w:rsidR="00527625">
              <w:t>about</w:t>
            </w:r>
            <w:r>
              <w:t xml:space="preserve"> </w:t>
            </w:r>
            <w:r w:rsidR="00527625">
              <w:t xml:space="preserve">an </w:t>
            </w:r>
            <w:r>
              <w:t>egg (</w:t>
            </w:r>
            <w:r>
              <w:rPr>
                <w:shd w:fill="FFFFFF" w:color="auto" w:val="clear"/>
              </w:rPr>
              <w:t>Remington et al, 2020)</w:t>
            </w:r>
            <w:r>
              <w:t xml:space="preserve">. All types of tree nuts can also cause </w:t>
            </w:r>
            <w:r w:rsidR="00527625">
              <w:t xml:space="preserve">an </w:t>
            </w:r>
            <w:r>
              <w:t xml:space="preserve">allergy </w:t>
            </w:r>
            <w:r w:rsidR="00527625">
              <w:t>in</w:t>
            </w:r>
            <w:r>
              <w:t xml:space="preserve"> a person. These items are regularly used in the kitchen. </w:t>
            </w:r>
          </w:p>
          <w:p w:rsidR="00D3762C" w:rsidRDefault="00D3762C" w14:paraId="0031BDC4" w14:textId="77777777" w:rsidP="00D3762C" w:rsidRPr="00846214">
            <w:pPr>
              <w:rPr>
                <w:bCs/>
                <w:b/>
              </w:rPr>
            </w:pPr>
            <w:r>
              <w:rPr>
                <w:bCs/>
                <w:b/>
              </w:rPr>
              <w:t xml:space="preserve">Allergens and the Natasha’s law </w:t>
            </w:r>
          </w:p>
          <w:p w:rsidR="00D3762C" w:rsidRDefault="00D3762C" w14:paraId="0F49C400" w14:textId="1A897E82" w:rsidP="00D3762C">
            <w:r>
              <w:t xml:space="preserve">Food allergies </w:t>
            </w:r>
            <w:r w:rsidR="00527625">
              <w:t>are</w:t>
            </w:r>
            <w:r>
              <w:t xml:space="preserve"> one of the ignored incidences within the hospitality industry. Many packaged and non-packaged foods do not have labels. Foods without labels are </w:t>
            </w:r>
            <w:r w:rsidR="00527625">
              <w:t xml:space="preserve">a </w:t>
            </w:r>
            <w:r>
              <w:t>threat to people who has allergic intolerances. Natasha’s law is important in this case. Natasha’s law is a</w:t>
            </w:r>
            <w:r w:rsidR="00527625">
              <w:t>n</w:t>
            </w:r>
            <w:r>
              <w:t xml:space="preserve"> extra layer to the foo</w:t>
            </w:r>
            <w:r w:rsidR="00527625">
              <w:t>d</w:t>
            </w:r>
            <w:r>
              <w:t xml:space="preserve"> safety law. </w:t>
            </w:r>
            <w:r w:rsidR="00527625">
              <w:t>The b</w:t>
            </w:r>
            <w:r>
              <w:t>ackground of Natasha’s law is very strong. Natasha was a</w:t>
            </w:r>
            <w:r w:rsidR="00527625">
              <w:t>n</w:t>
            </w:r>
            <w:r>
              <w:t xml:space="preserve"> airline passenger. She ate a food item, which contained sesame seeds. Natasha was highly allergic </w:t>
            </w:r>
            <w:r w:rsidR="00527625">
              <w:t xml:space="preserve">and </w:t>
            </w:r>
            <w:r>
              <w:t>intolerant. That’s why she became sick and died. The reason behind Natasha’s death was not having any label</w:t>
            </w:r>
            <w:r w:rsidR="00527625">
              <w:t>s</w:t>
            </w:r>
            <w:r>
              <w:t xml:space="preserve"> </w:t>
            </w:r>
            <w:r>
              <w:t xml:space="preserve">on the food </w:t>
              <w:lastRenderedPageBreak/>
            </w:r>
            <w:r w:rsidRPr="00E95B89">
              <w:t>items (www.narf.org.uk, 2022). That’s</w:t>
            </w:r>
            <w:r>
              <w:t xml:space="preserve"> why a research foundation has been developed for Natasha. This research foundation will work on allergies and intolerances. The new law after Natasha’s death has helped to develop some new rules and regulations. According to the new rule, it is visible that all food products should contain the list of ingredients (</w:t>
            </w:r>
            <w:proofErr w:type="spellStart"/>
            <w:r>
              <w:rPr>
                <w:shd w:fill="FFFFFF" w:color="auto" w:val="clear"/>
              </w:rPr>
              <w:t>Finkina</w:t>
            </w:r>
            <w:proofErr w:type="spellEnd"/>
            <w:r>
              <w:rPr>
                <w:shd w:fill="FFFFFF" w:color="auto" w:val="clear"/>
              </w:rPr>
              <w:t xml:space="preserve"> et al, 2017). </w:t>
            </w:r>
            <w:r>
              <w:t xml:space="preserve"> </w:t>
            </w:r>
          </w:p>
          <w:p w:rsidR="00D3762C" w:rsidRDefault="00D3762C" w14:paraId="1BF0E588" w14:textId="77777777" w:rsidP="00D3762C">
            <w:pPr>
              <w:rPr>
                <w:bCs/>
                <w:b/>
              </w:rPr>
            </w:pPr>
            <w:r>
              <w:rPr>
                <w:bCs/>
                <w:b/>
              </w:rPr>
              <w:t>Overview of the selected topic</w:t>
            </w:r>
          </w:p>
          <w:p w:rsidR="00D3762C" w:rsidRDefault="00D3762C" w14:paraId="03A256BA" w14:textId="76677D2A" w:rsidP="00D3762C">
            <w:r>
              <w:t>A group discussion was made to understand the impact of food allergies and intolerances on the hospitality industry. Participating in the discussion was helpful for me. Gained some important industry-related knowledge. To participate in the discussion, I had to conduct a short study. To support my speech, I used the findings of my study. I went through a study conducted by (</w:t>
            </w:r>
            <w:proofErr w:type="spellStart"/>
            <w:r w:rsidRPr="007B7512">
              <w:t>Pratten</w:t>
            </w:r>
            <w:proofErr w:type="spellEnd"/>
            <w:r w:rsidRPr="007B7512">
              <w:t>, Towers</w:t>
            </w:r>
            <w:r>
              <w:t>, and</w:t>
            </w:r>
            <w:r w:rsidRPr="007B7512">
              <w:t xml:space="preserve"> Neil</w:t>
            </w:r>
            <w:r>
              <w:t xml:space="preserve">, </w:t>
            </w:r>
            <w:r w:rsidRPr="007B7512">
              <w:t>2003)</w:t>
            </w:r>
            <w:r>
              <w:t>. This study focused on the causes of allergies in the hospitality industry. In this industry, knowledge of the service providers is highly important. More specifically, persons who serve food in the hospitality and restaurant industry do not have enough knowledge regarding the allergic intolerance of individuals (</w:t>
            </w:r>
            <w:r>
              <w:rPr>
                <w:shd w:fill="FFFFFF" w:color="auto" w:val="clear"/>
              </w:rPr>
              <w:t>Acker et al, 2017)</w:t>
            </w:r>
            <w:r>
              <w:t>. According to this study</w:t>
            </w:r>
            <w:r w:rsidR="00FB2D23">
              <w:t xml:space="preserve"> </w:t>
            </w:r>
            <w:r>
              <w:t>well-trained waiters and chefs can avoid this issue. Proper information needs to be rendered to the waiter so that give a reminder to the kitchen. Another member in the discussion added some words. He referred to a study conducted by (</w:t>
            </w:r>
            <w:r w:rsidRPr="00597732">
              <w:t>Bryan Endres, Endres</w:t>
            </w:r>
            <w:r>
              <w:t>,</w:t>
            </w:r>
            <w:r w:rsidRPr="00597732">
              <w:t xml:space="preserve"> and </w:t>
            </w:r>
            <w:proofErr w:type="spellStart"/>
            <w:r w:rsidRPr="00597732">
              <w:t>Ni</w:t>
            </w:r>
            <w:r>
              <w:t>zic</w:t>
            </w:r>
            <w:proofErr w:type="spellEnd"/>
            <w:r w:rsidRPr="00597732">
              <w:t>,</w:t>
            </w:r>
            <w:r>
              <w:t xml:space="preserve"> </w:t>
            </w:r>
            <w:r w:rsidRPr="00597732">
              <w:t>2021)</w:t>
            </w:r>
            <w:r>
              <w:t xml:space="preserve">. This study marked the packaged food as non-allergic. The reason behind this statement is names of ingredients used in the item are printed on the product packet. On the other hand, the risk of allergies is high in the cooked food in the kitchens. Customers can select food by reading the ingredient list. But it is difficult to read the ingredient list from the cooked food. That’s why a restaurant or hospitality service provider should remain careful while giving food service to a customer. </w:t>
            </w:r>
          </w:p>
          <w:p w:rsidR="00D3762C" w:rsidRDefault="00D3762C" w14:paraId="05E5CBBB" w14:textId="77777777" w:rsidP="00D3762C" w:rsidRPr="0029383D">
            <w:pPr>
              <w:rPr>
                <w:bCs/>
                <w:b/>
              </w:rPr>
            </w:pPr>
          </w:p>
          <w:p w:rsidR="00D3762C" w:rsidRDefault="00D3762C" w14:paraId="5BC57436" w14:textId="0637F2E5" w:rsidP="00D3762C">
            <w:pPr>
              <w:rPr>
                <w:bCs/>
                <w:b/>
              </w:rPr>
            </w:pPr>
            <w:r>
              <w:rPr>
                <w:bCs/>
                <w:b/>
              </w:rPr>
              <w:t xml:space="preserve">Importance of the selected topic </w:t>
            </w:r>
            <w:r w:rsidR="00527625">
              <w:rPr>
                <w:bCs/>
                <w:b/>
              </w:rPr>
              <w:t>i</w:t>
            </w:r>
            <w:r>
              <w:rPr>
                <w:bCs/>
                <w:b/>
              </w:rPr>
              <w:t>n the industry</w:t>
            </w:r>
          </w:p>
          <w:p w:rsidR="00D3762C" w:rsidRDefault="00D3762C" w14:paraId="41082D0F" w14:textId="4A08A72B" w:rsidP="00D3762C">
            <w:r>
              <w:t xml:space="preserve"> A hotel should try to satisfy a customer from all sides so that he can take a revisit decision.</w:t>
            </w:r>
            <w:r w:rsidR="00725658">
              <w:t xml:space="preserve"> </w:t>
            </w:r>
            <w:proofErr w:type="gramStart"/>
            <w:r>
              <w:t>A</w:t>
            </w:r>
            <w:proofErr w:type="gramEnd"/>
            <w:r>
              <w:t xml:space="preserve"> client may take room service from the hotel. If he</w:t>
            </w:r>
            <w:r w:rsidR="00725658">
              <w:t>/she</w:t>
            </w:r>
            <w:r>
              <w:t xml:space="preserve"> gets closed to any allergic element, it will cause a serious health hazard. Sometimes, this hazard may lead to a serious injury to a consumer. That’s why levels should be given to the food items that are served in hotels. The experience of the staff is also required to ensure food </w:t>
            </w:r>
            <w:r>
              <w:t>safety. At the same time, the service providers should be able to ensure collect necessary information regarding the customer’s health hazard so that they can serve food based on the customer’s requirements (</w:t>
              <w:lastRenderedPageBreak/>
            </w:r>
            <w:r>
              <w:rPr>
                <w:shd w:fill="FFFFFF" w:color="auto" w:val="clear"/>
              </w:rPr>
              <w:t>Taylor and Baumert, 2012)</w:t>
            </w:r>
            <w:r>
              <w:t>. A hospitality organisation should always remain prepared to address this issue. That’s why they need to remain connected with any help service provider to give urgent support to the customers. The reputation of a hospitality organisation highly matters. Sometimes, these allergic intolerance issues can be diverted to another issue (</w:t>
            </w:r>
            <w:r>
              <w:rPr>
                <w:shd w:fill="FFFFFF" w:color="auto" w:val="clear"/>
              </w:rPr>
              <w:t>Weber and Lugosi, 2021)</w:t>
            </w:r>
            <w:r>
              <w:t xml:space="preserve">. Such as diverting an allergic intolerance issue to a food poisoning issue. It can be proved whether it was food poisoning or not. But this rumour will be harmful to the reputation of the restaurant. In the hospitality industry, 14 types of allergens need to be used carefully so that </w:t>
            </w:r>
            <w:r w:rsidR="00527625">
              <w:t>the</w:t>
            </w:r>
            <w:r>
              <w:t xml:space="preserve"> quality </w:t>
            </w:r>
            <w:r w:rsidR="00527625">
              <w:t>of</w:t>
            </w:r>
            <w:r>
              <w:t xml:space="preserve"> the foods can be maintained. Ignorance of the food makers is represented through Natasha’s law. Natasha’s law is important evidence </w:t>
            </w:r>
            <w:r w:rsidR="00527625">
              <w:t>of</w:t>
            </w:r>
            <w:r>
              <w:t xml:space="preserve"> allergic intolerance. This incident has termed allergies and intolerances a serious problem.  </w:t>
            </w:r>
          </w:p>
          <w:p w:rsidR="005E4999" w:rsidRDefault="005E4999" w14:paraId="74427F39" w14:textId="77777777" w:rsidP="00F1105B"/>
          <w:p w:rsidR="00725658" w:rsidRDefault="00725658" w14:paraId="06A3C671" w14:textId="77777777" w:rsidP="00F1105B">
            <w:pPr>
              <w:rPr>
                <w:bCs/>
                <w:b/>
              </w:rPr>
            </w:pPr>
          </w:p>
          <w:p w:rsidR="00725658" w:rsidRDefault="00725658" w14:paraId="374D75D6" w14:textId="77777777" w:rsidP="00F1105B">
            <w:pPr>
              <w:rPr>
                <w:bCs/>
                <w:b/>
              </w:rPr>
            </w:pPr>
          </w:p>
          <w:p w:rsidR="005E4999" w:rsidRDefault="005E4999" w14:paraId="3617A1C6" w14:textId="5400A1D6" w:rsidP="00F1105B">
            <w:pPr>
              <w:rPr>
                <w:bCs/>
                <w:b/>
              </w:rPr>
            </w:pPr>
            <w:r>
              <w:rPr>
                <w:bCs/>
                <w:b/>
              </w:rPr>
              <w:t>Reference List</w:t>
            </w:r>
          </w:p>
          <w:p w:rsidR="00D3762C" w:rsidRDefault="00D3762C" w14:paraId="21B2616E" w14:textId="69F64535" w:rsidP="00D3762C">
            <w:pPr>
              <w:spacing w:after="240"/>
              <w:rPr>
                <w:shd w:fill="FFFFFF" w:color="auto" w:val="clear"/>
              </w:rPr>
            </w:pPr>
            <w:r>
              <w:rPr>
                <w:shd w:fill="FFFFFF" w:color="auto" w:val="clear"/>
              </w:rPr>
              <w:t xml:space="preserve">Acker, W.W., </w:t>
            </w:r>
            <w:proofErr w:type="spellStart"/>
            <w:r>
              <w:rPr>
                <w:shd w:fill="FFFFFF" w:color="auto" w:val="clear"/>
              </w:rPr>
              <w:t>Plasek</w:t>
            </w:r>
            <w:proofErr w:type="spellEnd"/>
            <w:r>
              <w:rPr>
                <w:shd w:fill="FFFFFF" w:color="auto" w:val="clear"/>
              </w:rPr>
              <w:t xml:space="preserve">, J.M., Blumenthal, K.G., Lai, K.H., Topaz, M., Seger, D.L., Goss, F.R., Slight, S.P., Bates, D.W. and Zhou, L. </w:t>
            </w:r>
            <w:r w:rsidR="005547CA">
              <w:rPr>
                <w:shd w:fill="FFFFFF" w:color="auto" w:val="clear"/>
              </w:rPr>
              <w:t>(</w:t>
            </w:r>
            <w:r>
              <w:rPr>
                <w:shd w:fill="FFFFFF" w:color="auto" w:val="clear"/>
              </w:rPr>
              <w:t>2017</w:t>
            </w:r>
            <w:r w:rsidR="005547CA">
              <w:rPr>
                <w:shd w:fill="FFFFFF" w:color="auto" w:val="clear"/>
              </w:rPr>
              <w:t>)</w:t>
            </w:r>
            <w:r>
              <w:rPr>
                <w:shd w:fill="FFFFFF" w:color="auto" w:val="clear"/>
              </w:rPr>
              <w:t xml:space="preserve"> Prevalence of food allergies and intolerances documented in electronic health records. </w:t>
            </w:r>
            <w:r>
              <w:rPr>
                <w:iCs/>
                <w:i/>
                <w:shd w:fill="FFFFFF" w:color="auto" w:val="clear"/>
              </w:rPr>
              <w:t>Journal of Allergy and Clinical Immunology</w:t>
            </w:r>
            <w:r>
              <w:rPr>
                <w:shd w:fill="FFFFFF" w:color="auto" w:val="clear"/>
              </w:rPr>
              <w:t>, </w:t>
            </w:r>
            <w:r>
              <w:rPr>
                <w:iCs/>
                <w:i/>
                <w:shd w:fill="FFFFFF" w:color="auto" w:val="clear"/>
              </w:rPr>
              <w:t>140</w:t>
            </w:r>
            <w:r>
              <w:rPr>
                <w:shd w:fill="FFFFFF" w:color="auto" w:val="clear"/>
              </w:rPr>
              <w:t>(6), pp.1587-1591.</w:t>
            </w:r>
          </w:p>
          <w:p w:rsidR="00D3762C" w:rsidRDefault="00D3762C" w14:paraId="53506AA3" w14:textId="77777777" w:rsidP="00D3762C">
            <w:pPr>
              <w:spacing w:after="240"/>
            </w:pPr>
            <w:r w:rsidRPr="00597732">
              <w:t>Bryan Endres, A., Endres, R.</w:t>
            </w:r>
            <w:r>
              <w:t>,</w:t>
            </w:r>
            <w:r w:rsidRPr="00597732">
              <w:t xml:space="preserve"> and </w:t>
            </w:r>
            <w:proofErr w:type="spellStart"/>
            <w:r w:rsidRPr="00597732">
              <w:t>Ni</w:t>
            </w:r>
            <w:r>
              <w:t>zic</w:t>
            </w:r>
            <w:proofErr w:type="spellEnd"/>
            <w:r w:rsidRPr="00597732">
              <w:t xml:space="preserve">, M. K. (2021) ‘Restaurant disclosure of food allergens: Analysis and economic implications’, Tourism and Hospitality Research, 21(2), pp. 202–215. </w:t>
            </w:r>
            <w:proofErr w:type="spellStart"/>
            <w:r w:rsidRPr="00597732">
              <w:t>doi</w:t>
            </w:r>
            <w:proofErr w:type="spellEnd"/>
            <w:r w:rsidRPr="00597732">
              <w:t>: 10.1177/1467358420977576.</w:t>
            </w:r>
          </w:p>
          <w:p w:rsidR="00D3762C" w:rsidRDefault="00D3762C" w14:paraId="4F17D976" w14:textId="1A560876" w:rsidP="00D3762C" w:rsidRPr="00B75101">
            <w:pPr>
              <w:spacing w:after="240"/>
              <w:rPr>
                <w:iCs/>
                <w:i/>
                <w:shd w:fill="FFFFFF" w:color="auto" w:val="clear"/>
              </w:rPr>
            </w:pPr>
            <w:bookmarkStart w:id="0" w:name="_Hlk104657111"/>
            <w:proofErr w:type="spellStart"/>
            <w:r>
              <w:rPr>
                <w:shd w:fill="FFFFFF" w:color="auto" w:val="clear"/>
              </w:rPr>
              <w:t>Finkina</w:t>
            </w:r>
            <w:bookmarkEnd w:id="0"/>
            <w:proofErr w:type="spellEnd"/>
            <w:r>
              <w:rPr>
                <w:shd w:fill="FFFFFF" w:color="auto" w:val="clear"/>
              </w:rPr>
              <w:t xml:space="preserve">, E., N </w:t>
            </w:r>
            <w:proofErr w:type="spellStart"/>
            <w:r>
              <w:rPr>
                <w:shd w:fill="FFFFFF" w:color="auto" w:val="clear"/>
              </w:rPr>
              <w:t>Melnikova</w:t>
            </w:r>
            <w:proofErr w:type="spellEnd"/>
            <w:r>
              <w:rPr>
                <w:shd w:fill="FFFFFF" w:color="auto" w:val="clear"/>
              </w:rPr>
              <w:t xml:space="preserve">, D., V Bogdanov, I. and V </w:t>
            </w:r>
            <w:proofErr w:type="spellStart"/>
            <w:r>
              <w:rPr>
                <w:shd w:fill="FFFFFF" w:color="auto" w:val="clear"/>
              </w:rPr>
              <w:t>Ovchinnikova</w:t>
            </w:r>
            <w:proofErr w:type="spellEnd"/>
            <w:r>
              <w:rPr>
                <w:shd w:fill="FFFFFF" w:color="auto" w:val="clear"/>
              </w:rPr>
              <w:t>, T.</w:t>
            </w:r>
            <w:r w:rsidR="005547CA">
              <w:rPr>
                <w:shd w:fill="FFFFFF" w:color="auto" w:val="clear"/>
              </w:rPr>
              <w:t xml:space="preserve"> (</w:t>
            </w:r>
            <w:r>
              <w:rPr>
                <w:shd w:fill="FFFFFF" w:color="auto" w:val="clear"/>
              </w:rPr>
              <w:t>2017</w:t>
            </w:r>
            <w:r w:rsidR="005547CA">
              <w:rPr>
                <w:shd w:fill="FFFFFF" w:color="auto" w:val="clear"/>
              </w:rPr>
              <w:t>)</w:t>
            </w:r>
            <w:r>
              <w:rPr>
                <w:shd w:fill="FFFFFF" w:color="auto" w:val="clear"/>
              </w:rPr>
              <w:t xml:space="preserve"> Plant pathogenesis-related proteins PR-10 and PR-14 as components of innate immunity system and ubiquitous allergens. </w:t>
            </w:r>
            <w:r>
              <w:rPr>
                <w:iCs/>
                <w:i/>
                <w:shd w:fill="FFFFFF" w:color="auto" w:val="clear"/>
              </w:rPr>
              <w:t>Current Medicinal Chemistry</w:t>
            </w:r>
            <w:r>
              <w:rPr>
                <w:shd w:fill="FFFFFF" w:color="auto" w:val="clear"/>
              </w:rPr>
              <w:t>, </w:t>
            </w:r>
            <w:r>
              <w:rPr>
                <w:iCs/>
                <w:i/>
                <w:shd w:fill="FFFFFF" w:color="auto" w:val="clear"/>
              </w:rPr>
              <w:t>24</w:t>
            </w:r>
            <w:r>
              <w:rPr>
                <w:shd w:fill="FFFFFF" w:color="auto" w:val="clear"/>
              </w:rPr>
              <w:t>(17), pp.1772-1787.</w:t>
            </w:r>
          </w:p>
          <w:p w:rsidR="00D3762C" w:rsidRDefault="00D3762C" w14:paraId="60FE736F" w14:textId="550E586E" w:rsidP="00D3762C">
            <w:pPr>
              <w:spacing w:after="240"/>
              <w:rPr>
                <w:shd w:fill="FFFFFF" w:color="auto" w:val="clear"/>
              </w:rPr>
            </w:pPr>
            <w:r>
              <w:rPr>
                <w:shd w:fill="FFFFFF" w:color="auto" w:val="clear"/>
              </w:rPr>
              <w:t xml:space="preserve">Gargano, D., </w:t>
              <w:lastRenderedPageBreak/>
            </w:r>
            <w:proofErr w:type="spellStart"/>
            <w:r>
              <w:rPr>
                <w:shd w:fill="FFFFFF" w:color="auto" w:val="clear"/>
              </w:rPr>
              <w:t>Appanna</w:t>
            </w:r>
            <w:proofErr w:type="spellEnd"/>
            <w:r>
              <w:rPr>
                <w:shd w:fill="FFFFFF" w:color="auto" w:val="clear"/>
              </w:rPr>
              <w:t xml:space="preserve">, R., </w:t>
            </w:r>
            <w:proofErr w:type="spellStart"/>
            <w:r>
              <w:rPr>
                <w:shd w:fill="FFFFFF" w:color="auto" w:val="clear"/>
              </w:rPr>
              <w:t>Santonicola</w:t>
            </w:r>
            <w:proofErr w:type="spellEnd"/>
            <w:r>
              <w:rPr>
                <w:shd w:fill="FFFFFF" w:color="auto" w:val="clear"/>
              </w:rPr>
              <w:t xml:space="preserve">, A., De </w:t>
            </w:r>
            <w:proofErr w:type="spellStart"/>
            <w:r>
              <w:rPr>
                <w:shd w:fill="FFFFFF" w:color="auto" w:val="clear"/>
              </w:rPr>
              <w:t>Bartolomeis</w:t>
            </w:r>
            <w:proofErr w:type="spellEnd"/>
            <w:r>
              <w:rPr>
                <w:shd w:fill="FFFFFF" w:color="auto" w:val="clear"/>
              </w:rPr>
              <w:t xml:space="preserve">, F., </w:t>
            </w:r>
            <w:proofErr w:type="spellStart"/>
            <w:r>
              <w:rPr>
                <w:shd w:fill="FFFFFF" w:color="auto" w:val="clear"/>
              </w:rPr>
              <w:t>Stellato</w:t>
            </w:r>
            <w:proofErr w:type="spellEnd"/>
            <w:r>
              <w:rPr>
                <w:shd w:fill="FFFFFF" w:color="auto" w:val="clear"/>
              </w:rPr>
              <w:t xml:space="preserve">, C., </w:t>
            </w:r>
            <w:proofErr w:type="spellStart"/>
            <w:r>
              <w:rPr>
                <w:shd w:fill="FFFFFF" w:color="auto" w:val="clear"/>
              </w:rPr>
              <w:t>Cianferoni</w:t>
            </w:r>
            <w:proofErr w:type="spellEnd"/>
            <w:r>
              <w:rPr>
                <w:shd w:fill="FFFFFF" w:color="auto" w:val="clear"/>
              </w:rPr>
              <w:t xml:space="preserve">, A., </w:t>
            </w:r>
            <w:proofErr w:type="spellStart"/>
            <w:r>
              <w:rPr>
                <w:shd w:fill="FFFFFF" w:color="auto" w:val="clear"/>
              </w:rPr>
              <w:t>Casolaro</w:t>
            </w:r>
            <w:proofErr w:type="spellEnd"/>
            <w:r>
              <w:rPr>
                <w:shd w:fill="FFFFFF" w:color="auto" w:val="clear"/>
              </w:rPr>
              <w:t>, V. and Iovino, P.</w:t>
            </w:r>
            <w:r w:rsidR="005547CA">
              <w:rPr>
                <w:shd w:fill="FFFFFF" w:color="auto" w:val="clear"/>
              </w:rPr>
              <w:t xml:space="preserve"> (</w:t>
            </w:r>
            <w:r>
              <w:rPr>
                <w:shd w:fill="FFFFFF" w:color="auto" w:val="clear"/>
              </w:rPr>
              <w:t>2021</w:t>
            </w:r>
            <w:r w:rsidR="005547CA">
              <w:rPr>
                <w:shd w:fill="FFFFFF" w:color="auto" w:val="clear"/>
              </w:rPr>
              <w:t>)</w:t>
            </w:r>
            <w:r>
              <w:rPr>
                <w:shd w:fill="FFFFFF" w:color="auto" w:val="clear"/>
              </w:rPr>
              <w:t xml:space="preserve"> Food allergy and intolerance: A narrative review on nutritional concerns. </w:t>
            </w:r>
            <w:r>
              <w:rPr>
                <w:iCs/>
                <w:i/>
                <w:shd w:fill="FFFFFF" w:color="auto" w:val="clear"/>
              </w:rPr>
              <w:t>Nutrients</w:t>
            </w:r>
            <w:r>
              <w:rPr>
                <w:shd w:fill="FFFFFF" w:color="auto" w:val="clear"/>
              </w:rPr>
              <w:t>, </w:t>
            </w:r>
            <w:r>
              <w:rPr>
                <w:iCs/>
                <w:i/>
                <w:shd w:fill="FFFFFF" w:color="auto" w:val="clear"/>
              </w:rPr>
              <w:t>13</w:t>
            </w:r>
            <w:r>
              <w:rPr>
                <w:shd w:fill="FFFFFF" w:color="auto" w:val="clear"/>
              </w:rPr>
              <w:t>(5), p.1638.</w:t>
            </w:r>
          </w:p>
          <w:p w:rsidR="00D3762C" w:rsidRDefault="00D3762C" w14:paraId="1C9F54EC" w14:textId="226354C5" w:rsidP="00D3762C">
            <w:pPr>
              <w:spacing w:after="240"/>
            </w:pPr>
            <w:proofErr w:type="spellStart"/>
            <w:r w:rsidRPr="007B7512">
              <w:t>Pratten</w:t>
            </w:r>
            <w:proofErr w:type="spellEnd"/>
            <w:r w:rsidRPr="007B7512">
              <w:t>, Towers</w:t>
            </w:r>
            <w:r>
              <w:t xml:space="preserve"> and</w:t>
            </w:r>
            <w:r w:rsidRPr="007B7512">
              <w:t xml:space="preserve"> Neil. (2003) Food allergies: a problem for the catering industry. British Food Journal. 105. 10.1108/00070700310477077.</w:t>
            </w:r>
          </w:p>
          <w:p w:rsidR="00D3762C" w:rsidRDefault="00D3762C" w14:paraId="2789B548" w14:textId="68428B60" w:rsidP="00D3762C">
            <w:pPr>
              <w:spacing w:after="240"/>
              <w:rPr>
                <w:shd w:fill="FFFFFF" w:color="auto" w:val="clear"/>
              </w:rPr>
            </w:pPr>
            <w:bookmarkStart w:id="1" w:name="_Hlk104656965"/>
            <w:r>
              <w:rPr>
                <w:shd w:fill="FFFFFF" w:color="auto" w:val="clear"/>
              </w:rPr>
              <w:t>Remington</w:t>
            </w:r>
            <w:bookmarkEnd w:id="1"/>
            <w:r>
              <w:rPr>
                <w:shd w:fill="FFFFFF" w:color="auto" w:val="clear"/>
              </w:rPr>
              <w:t xml:space="preserve">, B.C., </w:t>
            </w:r>
            <w:proofErr w:type="spellStart"/>
            <w:r>
              <w:rPr>
                <w:shd w:fill="FFFFFF" w:color="auto" w:val="clear"/>
              </w:rPr>
              <w:t>Westerhout</w:t>
            </w:r>
            <w:proofErr w:type="spellEnd"/>
            <w:r>
              <w:rPr>
                <w:shd w:fill="FFFFFF" w:color="auto" w:val="clear"/>
              </w:rPr>
              <w:t xml:space="preserve">, J., </w:t>
            </w:r>
            <w:proofErr w:type="spellStart"/>
            <w:r>
              <w:rPr>
                <w:shd w:fill="FFFFFF" w:color="auto" w:val="clear"/>
              </w:rPr>
              <w:t>Meima</w:t>
            </w:r>
            <w:proofErr w:type="spellEnd"/>
            <w:r>
              <w:rPr>
                <w:shd w:fill="FFFFFF" w:color="auto" w:val="clear"/>
              </w:rPr>
              <w:t xml:space="preserve">, M.Y., </w:t>
            </w:r>
            <w:proofErr w:type="spellStart"/>
            <w:r>
              <w:rPr>
                <w:shd w:fill="FFFFFF" w:color="auto" w:val="clear"/>
              </w:rPr>
              <w:t>Blom</w:t>
            </w:r>
            <w:proofErr w:type="spellEnd"/>
            <w:r>
              <w:rPr>
                <w:shd w:fill="FFFFFF" w:color="auto" w:val="clear"/>
              </w:rPr>
              <w:t xml:space="preserve">, W.M., </w:t>
            </w:r>
            <w:proofErr w:type="spellStart"/>
            <w:r>
              <w:rPr>
                <w:shd w:fill="FFFFFF" w:color="auto" w:val="clear"/>
              </w:rPr>
              <w:t>Kruizinga</w:t>
            </w:r>
            <w:proofErr w:type="spellEnd"/>
            <w:r>
              <w:rPr>
                <w:shd w:fill="FFFFFF" w:color="auto" w:val="clear"/>
              </w:rPr>
              <w:t xml:space="preserve">, A.G., Wheeler, M.W., Taylor, S.L., </w:t>
            </w:r>
            <w:proofErr w:type="spellStart"/>
            <w:r>
              <w:rPr>
                <w:shd w:fill="FFFFFF" w:color="auto" w:val="clear"/>
              </w:rPr>
              <w:t>Houben</w:t>
            </w:r>
            <w:proofErr w:type="spellEnd"/>
            <w:r>
              <w:rPr>
                <w:shd w:fill="FFFFFF" w:color="auto" w:val="clear"/>
              </w:rPr>
              <w:t xml:space="preserve">, G.F. and Baumert, J.L. </w:t>
            </w:r>
            <w:r w:rsidR="005547CA">
              <w:rPr>
                <w:shd w:fill="FFFFFF" w:color="auto" w:val="clear"/>
              </w:rPr>
              <w:t>(</w:t>
            </w:r>
            <w:r>
              <w:rPr>
                <w:shd w:fill="FFFFFF" w:color="auto" w:val="clear"/>
              </w:rPr>
              <w:t>2020</w:t>
            </w:r>
            <w:r w:rsidR="005547CA">
              <w:rPr>
                <w:shd w:fill="FFFFFF" w:color="auto" w:val="clear"/>
              </w:rPr>
              <w:t>)</w:t>
            </w:r>
            <w:r>
              <w:rPr>
                <w:shd w:fill="FFFFFF" w:color="auto" w:val="clear"/>
              </w:rPr>
              <w:t xml:space="preserve"> Updated population minimal eliciting dose distributions for use in risk assessment of 14 priority food allergens. </w:t>
            </w:r>
            <w:r>
              <w:rPr>
                <w:iCs/>
                <w:i/>
                <w:shd w:fill="FFFFFF" w:color="auto" w:val="clear"/>
              </w:rPr>
              <w:t>Food and Chemical Toxicology</w:t>
            </w:r>
            <w:r>
              <w:rPr>
                <w:shd w:fill="FFFFFF" w:color="auto" w:val="clear"/>
              </w:rPr>
              <w:t>, </w:t>
            </w:r>
            <w:r>
              <w:rPr>
                <w:iCs/>
                <w:i/>
                <w:shd w:fill="FFFFFF" w:color="auto" w:val="clear"/>
              </w:rPr>
              <w:t>139</w:t>
            </w:r>
            <w:r>
              <w:rPr>
                <w:shd w:fill="FFFFFF" w:color="auto" w:val="clear"/>
              </w:rPr>
              <w:t>, p.111259.</w:t>
            </w:r>
          </w:p>
          <w:p w:rsidR="00D3762C" w:rsidRDefault="00D3762C" w14:paraId="68FC52EF" w14:textId="1128258D" w:rsidP="00D3762C">
            <w:pPr>
              <w:spacing w:after="240"/>
              <w:rPr>
                <w:shd w:fill="FFFFFF" w:color="auto" w:val="clear"/>
              </w:rPr>
            </w:pPr>
            <w:r>
              <w:rPr>
                <w:shd w:fill="FFFFFF" w:color="auto" w:val="clear"/>
              </w:rPr>
              <w:t xml:space="preserve">Taylor, </w:t>
            </w:r>
            <w:proofErr w:type="gramStart"/>
            <w:r>
              <w:rPr>
                <w:shd w:fill="FFFFFF" w:color="auto" w:val="clear"/>
              </w:rPr>
              <w:t>S.L.</w:t>
            </w:r>
            <w:proofErr w:type="gramEnd"/>
            <w:r>
              <w:rPr>
                <w:shd w:fill="FFFFFF" w:color="auto" w:val="clear"/>
              </w:rPr>
              <w:t xml:space="preserve"> and Baumert, J.L. </w:t>
            </w:r>
            <w:r w:rsidR="005547CA">
              <w:rPr>
                <w:shd w:fill="FFFFFF" w:color="auto" w:val="clear"/>
              </w:rPr>
              <w:t>(</w:t>
            </w:r>
            <w:r>
              <w:rPr>
                <w:shd w:fill="FFFFFF" w:color="auto" w:val="clear"/>
              </w:rPr>
              <w:t>2012</w:t>
            </w:r>
            <w:r w:rsidR="005547CA">
              <w:rPr>
                <w:shd w:fill="FFFFFF" w:color="auto" w:val="clear"/>
              </w:rPr>
              <w:t>)</w:t>
            </w:r>
            <w:r>
              <w:rPr>
                <w:shd w:fill="FFFFFF" w:color="auto" w:val="clear"/>
              </w:rPr>
              <w:t xml:space="preserve"> Food allergies and intolerances. In </w:t>
            </w:r>
            <w:r>
              <w:rPr>
                <w:iCs/>
                <w:i/>
                <w:shd w:fill="FFFFFF" w:color="auto" w:val="clear"/>
              </w:rPr>
              <w:t>Present Knowledge in Nutrition: Tenth Edition</w:t>
            </w:r>
            <w:r>
              <w:rPr>
                <w:shd w:fill="FFFFFF" w:color="auto" w:val="clear"/>
              </w:rPr>
              <w:t> (pp. 1222-1235). Wiley-Blackwell.</w:t>
            </w:r>
          </w:p>
          <w:p w:rsidR="00A96AD7" w:rsidRDefault="00D3762C" w14:paraId="68479263" w14:textId="3E09CC60" w:rsidP="00D3762C" w:rsidRPr="00B75101">
            <w:pPr>
              <w:spacing w:after="240"/>
              <w:rPr>
                <w:iCs/>
                <w:i/>
                <w:shd w:fill="FFFFFF" w:color="auto" w:val="clear"/>
              </w:rPr>
            </w:pPr>
            <w:r>
              <w:rPr>
                <w:shd w:fill="FFFFFF" w:color="auto" w:val="clear"/>
              </w:rPr>
              <w:t xml:space="preserve">Weber, L. and Lugosi, P. </w:t>
            </w:r>
            <w:r w:rsidR="005547CA">
              <w:rPr>
                <w:shd w:fill="FFFFFF" w:color="auto" w:val="clear"/>
              </w:rPr>
              <w:t>(</w:t>
            </w:r>
            <w:r>
              <w:rPr>
                <w:shd w:fill="FFFFFF" w:color="auto" w:val="clear"/>
              </w:rPr>
              <w:t>2021</w:t>
            </w:r>
            <w:r w:rsidR="005547CA">
              <w:rPr>
                <w:shd w:fill="FFFFFF" w:color="auto" w:val="clear"/>
              </w:rPr>
              <w:t xml:space="preserve">) </w:t>
            </w:r>
            <w:r>
              <w:rPr>
                <w:shd w:fill="FFFFFF" w:color="auto" w:val="clear"/>
              </w:rPr>
              <w:t xml:space="preserve">The event experiences of attendees with food allergies, </w:t>
            </w:r>
            <w:proofErr w:type="gramStart"/>
            <w:r>
              <w:rPr>
                <w:shd w:fill="FFFFFF" w:color="auto" w:val="clear"/>
              </w:rPr>
              <w:t>intolerances</w:t>
            </w:r>
            <w:proofErr w:type="gramEnd"/>
            <w:r>
              <w:rPr>
                <w:shd w:fill="FFFFFF" w:color="auto" w:val="clear"/>
              </w:rPr>
              <w:t xml:space="preserve"> and coeliac disease: risk loaded value-creation/destruction. </w:t>
            </w:r>
            <w:r>
              <w:rPr>
                <w:iCs/>
                <w:i/>
                <w:shd w:fill="FFFFFF" w:color="auto" w:val="clear"/>
              </w:rPr>
              <w:t>International Journal of Event and Festival Management.</w:t>
            </w:r>
          </w:p>
        </w:tc>
      </w:tr>
    </w:tbl>
    <w:p w:rsidR="005E4999" w:rsidRDefault="005E4999" w14:paraId="750A1763" w14:textId="23955074" w:rsidP="005E4999">
      <w:pPr>
        <w:jc w:val="left"/>
        <w:spacing w:after="160" w:line="259" w:lineRule="auto"/>
      </w:pPr>
      <w:r>
        <w:br w:type="page"/>
      </w:r>
    </w:p>
    <w:p w:rsidR="005E4999" w:rsidRDefault="005E4999" w14:paraId="15804487" w14:textId="77777777" w:rsidP="005E4999"/>
    <w:p w:rsidR="005E4999" w:rsidRDefault="005E4999" w14:paraId="02E668E1" w14:textId="77777777" w:rsidP="005E4999"/>
    <w:p w:rsidR="00452282" w:rsidRDefault="00452282" w14:paraId="6C4952D9" w14:textId="77777777" w:rsidP="005E4999" w:rsidRPr="005E4999"/>
    <w:sectPr w:rsidR="00452282" w:rsidRPr="005E4999" w:rsidSect="00027BE9">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3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0sDA1MDM1tTA0MTVW0lEKTi0uzszPAykwqwUAWXzyWiwAAAA="/>
  </w:docVar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FFA0"/>
  <w15:chartTrackingRefBased/>
  <w15:docId w15:val="{BD4BAC04-39B3-4832-A2C2-6E181BE1E329}"/>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289"/>
    <w:pPr>
      <w:jc w:val="both"/>
      <w:spacing w:after="0" w:line="360" w:lineRule="auto"/>
    </w:pPr>
    <w:rPr>
      <w:rFonts w:ascii="Arial" w:hAnsi="Arial"/>
      <w:sz w:val="24"/>
    </w:rPr>
  </w:style>
  <w:style w:type="paragraph" w:styleId="Heading1">
    <w:name w:val="Heading 1"/>
    <w:qFormat/>
    <w:basedOn w:val="Normal"/>
    <w:next w:val="Normal"/>
    <w:link w:val="Heading1Char"/>
    <w:uiPriority w:val="9"/>
    <w:rsid w:val="00027BE9"/>
    <w:pPr>
      <w:keepNext/>
      <w:keepLines/>
      <w:outlineLvl w:val="0"/>
      <w:spacing w:before="120" w:after="120"/>
    </w:pPr>
    <w:rPr>
      <w:b/>
      <w:color w:val="2F5496"/>
      <w:rFonts w:eastAsiaTheme="majorEastAsia" w:cstheme="majorBidi"/>
      <w:sz w:val="32"/>
      <w:szCs w:val="32"/>
    </w:rPr>
  </w:style>
  <w:style w:type="paragraph" w:styleId="Heading2">
    <w:name w:val="Heading 2"/>
    <w:qFormat/>
    <w:basedOn w:val="Normal"/>
    <w:next w:val="Normal"/>
    <w:link w:val="Heading2Char"/>
    <w:uiPriority w:val="9"/>
    <w:unhideWhenUsed/>
    <w:rsid w:val="00027BE9"/>
    <w:pPr>
      <w:keepNext/>
      <w:keepLines/>
      <w:outlineLvl w:val="1"/>
      <w:spacing w:before="120" w:after="120"/>
    </w:pPr>
    <w:rPr>
      <w:b/>
      <w:color w:val="2F5496"/>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027BE9"/>
    <w:rPr>
      <w:b/>
      <w:color w:val="2F5496"/>
      <w:rFonts w:ascii="Times New Roman" w:hAnsi="Times New Roman" w:eastAsiaTheme="majorEastAsia" w:cstheme="majorBidi"/>
      <w:sz w:val="32"/>
      <w:szCs w:val="32"/>
    </w:rPr>
  </w:style>
  <w:style w:type="character" w:styleId="Heading2Char">
    <w:name w:val="Heading 2 Char"/>
    <w:basedOn w:val="DefaultParagraphFont"/>
    <w:link w:val="Heading2"/>
    <w:uiPriority w:val="9"/>
    <w:rsid w:val="00027BE9"/>
    <w:rPr>
      <w:b/>
      <w:color w:val="2F5496"/>
      <w:rFonts w:ascii="Times New Roman" w:hAnsi="Times New Roman" w:eastAsiaTheme="majorEastAsia" w:cstheme="majorBidi"/>
      <w:sz w:val="28"/>
      <w:szCs w:val="26"/>
    </w:r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CD17D8"/>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1067</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hp;Farzana Choudhury</dc:creator>
  <cp:keywords/>
  <dc:description/>
  <cp:lastModifiedBy>Mohammad Arifur Rahman Khan (2022401)</cp:lastModifiedBy>
  <cp:revision>3</cp:revision>
  <dcterms:created xsi:type="dcterms:W3CDTF">2022-05-30T21:37:00Z</dcterms:created>
  <dcterms:modified xsi:type="dcterms:W3CDTF">2022-05-30T21:37:00Z</dcterms:modified>
</cp:coreProperties>
</file>