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A5168"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3D346DE9" wp14:editId="2400A8F8">
            <wp:simplePos x="0" y="0"/>
            <wp:positionH relativeFrom="column">
              <wp:posOffset>0</wp:posOffset>
            </wp:positionH>
            <wp:positionV relativeFrom="paragraph">
              <wp:posOffset>77625</wp:posOffset>
            </wp:positionV>
            <wp:extent cx="5492041" cy="210484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59001" cy="2130508"/>
                    </a:xfrm>
                    <a:prstGeom prst="rect">
                      <a:avLst/>
                    </a:prstGeom>
                  </pic:spPr>
                </pic:pic>
              </a:graphicData>
            </a:graphic>
            <wp14:sizeRelH relativeFrom="page">
              <wp14:pctWidth>0</wp14:pctWidth>
            </wp14:sizeRelH>
            <wp14:sizeRelV relativeFrom="page">
              <wp14:pctHeight>0</wp14:pctHeight>
            </wp14:sizeRelV>
          </wp:anchor>
        </w:drawing>
      </w:r>
    </w:p>
    <w:p w14:paraId="3691E99F"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16BC4B1C"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66035E7A" w14:textId="77777777" w:rsidR="00B22C16" w:rsidRDefault="00B22C16" w:rsidP="0065412B">
      <w:pPr>
        <w:spacing w:line="360" w:lineRule="auto"/>
        <w:jc w:val="center"/>
        <w:rPr>
          <w:rFonts w:ascii="Times New Roman" w:eastAsia="Times New Roman" w:hAnsi="Times New Roman" w:cs="Times New Roman"/>
          <w:b/>
          <w:bCs/>
          <w:sz w:val="28"/>
          <w:szCs w:val="24"/>
        </w:rPr>
      </w:pPr>
    </w:p>
    <w:p w14:paraId="4E813BA6" w14:textId="77777777" w:rsidR="00B22C16" w:rsidRDefault="00B22C16" w:rsidP="0065412B">
      <w:pPr>
        <w:spacing w:line="360" w:lineRule="auto"/>
        <w:jc w:val="center"/>
        <w:rPr>
          <w:rFonts w:ascii="Times New Roman" w:eastAsia="Times New Roman" w:hAnsi="Times New Roman" w:cs="Times New Roman"/>
          <w:b/>
          <w:bCs/>
          <w:sz w:val="28"/>
          <w:szCs w:val="24"/>
        </w:rPr>
      </w:pPr>
    </w:p>
    <w:p w14:paraId="22524326" w14:textId="77777777" w:rsidR="00B22C16" w:rsidRDefault="00B22C16" w:rsidP="0065412B">
      <w:pPr>
        <w:spacing w:line="360" w:lineRule="auto"/>
        <w:jc w:val="center"/>
        <w:rPr>
          <w:rFonts w:ascii="Times New Roman" w:eastAsia="Times New Roman" w:hAnsi="Times New Roman" w:cs="Times New Roman"/>
          <w:b/>
          <w:bCs/>
          <w:sz w:val="28"/>
          <w:szCs w:val="24"/>
        </w:rPr>
      </w:pPr>
    </w:p>
    <w:p w14:paraId="509A3C8D" w14:textId="4EDA288B" w:rsidR="0065412B" w:rsidRPr="009225E6" w:rsidRDefault="0065412B" w:rsidP="0065412B">
      <w:pPr>
        <w:spacing w:line="360" w:lineRule="auto"/>
        <w:jc w:val="center"/>
        <w:rPr>
          <w:rFonts w:ascii="Times New Roman" w:eastAsia="Times New Roman" w:hAnsi="Times New Roman" w:cs="Times New Roman"/>
          <w:b/>
          <w:bCs/>
          <w:sz w:val="28"/>
          <w:szCs w:val="24"/>
        </w:rPr>
      </w:pPr>
      <w:r w:rsidRPr="009225E6">
        <w:rPr>
          <w:rFonts w:ascii="Times New Roman" w:eastAsia="Times New Roman" w:hAnsi="Times New Roman" w:cs="Times New Roman"/>
          <w:b/>
          <w:bCs/>
          <w:sz w:val="28"/>
          <w:szCs w:val="24"/>
        </w:rPr>
        <w:t xml:space="preserve">Title: </w:t>
      </w:r>
      <w:r w:rsidR="006738CC" w:rsidRPr="009225E6">
        <w:rPr>
          <w:rFonts w:ascii="Times New Roman" w:hAnsi="Times New Roman" w:cs="Times New Roman"/>
          <w:b/>
          <w:sz w:val="28"/>
          <w:szCs w:val="24"/>
        </w:rPr>
        <w:t>Assessment component: Financial performance and management</w:t>
      </w:r>
    </w:p>
    <w:tbl>
      <w:tblPr>
        <w:tblStyle w:val="TableGrid"/>
        <w:tblW w:w="9367" w:type="dxa"/>
        <w:tblLook w:val="04A0" w:firstRow="1" w:lastRow="0" w:firstColumn="1" w:lastColumn="0" w:noHBand="0" w:noVBand="1"/>
      </w:tblPr>
      <w:tblGrid>
        <w:gridCol w:w="3638"/>
        <w:gridCol w:w="5729"/>
      </w:tblGrid>
      <w:tr w:rsidR="00A3264A" w:rsidRPr="009225E6" w14:paraId="6EBB9386" w14:textId="77777777" w:rsidTr="006738CC">
        <w:trPr>
          <w:trHeight w:val="395"/>
        </w:trPr>
        <w:tc>
          <w:tcPr>
            <w:tcW w:w="3638" w:type="dxa"/>
            <w:shd w:val="clear" w:color="auto" w:fill="A5A5A5" w:themeFill="accent3"/>
          </w:tcPr>
          <w:p w14:paraId="4811BCB9"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5729" w:type="dxa"/>
            <w:shd w:val="clear" w:color="auto" w:fill="A5A5A5" w:themeFill="accent3"/>
          </w:tcPr>
          <w:p w14:paraId="6B81D454"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680A377D" w14:textId="77777777" w:rsidTr="0047085A">
        <w:trPr>
          <w:trHeight w:hRule="exact" w:val="460"/>
        </w:trPr>
        <w:tc>
          <w:tcPr>
            <w:tcW w:w="3638" w:type="dxa"/>
            <w:shd w:val="clear" w:color="auto" w:fill="E2EFD9" w:themeFill="accent6" w:themeFillTint="33"/>
          </w:tcPr>
          <w:p w14:paraId="2D176302"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5729" w:type="dxa"/>
            <w:shd w:val="clear" w:color="auto" w:fill="E2EFD9" w:themeFill="accent6" w:themeFillTint="33"/>
          </w:tcPr>
          <w:p w14:paraId="753E09C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w:t>
            </w:r>
            <w:proofErr w:type="spellStart"/>
            <w:r w:rsidRPr="009225E6">
              <w:rPr>
                <w:rFonts w:ascii="Times New Roman" w:eastAsia="Times New Roman" w:hAnsi="Times New Roman" w:cs="Times New Roman"/>
                <w:b/>
                <w:bCs/>
                <w:sz w:val="28"/>
                <w:szCs w:val="28"/>
              </w:rPr>
              <w:t>Mheidean</w:t>
            </w:r>
            <w:proofErr w:type="spellEnd"/>
            <w:r w:rsidRPr="009225E6">
              <w:rPr>
                <w:rFonts w:ascii="Times New Roman" w:eastAsia="Times New Roman" w:hAnsi="Times New Roman" w:cs="Times New Roman"/>
                <w:b/>
                <w:bCs/>
                <w:sz w:val="28"/>
                <w:szCs w:val="28"/>
              </w:rPr>
              <w:t xml:space="preserve"> </w:t>
            </w:r>
          </w:p>
        </w:tc>
      </w:tr>
      <w:tr w:rsidR="00A3264A" w:rsidRPr="009225E6" w14:paraId="6F3E8397" w14:textId="77777777" w:rsidTr="0047085A">
        <w:trPr>
          <w:trHeight w:hRule="exact" w:val="468"/>
        </w:trPr>
        <w:tc>
          <w:tcPr>
            <w:tcW w:w="3638" w:type="dxa"/>
            <w:shd w:val="clear" w:color="auto" w:fill="E2EFD9" w:themeFill="accent6" w:themeFillTint="33"/>
          </w:tcPr>
          <w:p w14:paraId="6AFF9DBC"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5729" w:type="dxa"/>
            <w:shd w:val="clear" w:color="auto" w:fill="E2EFD9" w:themeFill="accent6" w:themeFillTint="33"/>
          </w:tcPr>
          <w:p w14:paraId="6B5321A4"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422C7595" w14:textId="77777777" w:rsidTr="0047085A">
        <w:trPr>
          <w:trHeight w:hRule="exact" w:val="538"/>
        </w:trPr>
        <w:tc>
          <w:tcPr>
            <w:tcW w:w="3638" w:type="dxa"/>
            <w:shd w:val="clear" w:color="auto" w:fill="E2EFD9" w:themeFill="accent6" w:themeFillTint="33"/>
          </w:tcPr>
          <w:p w14:paraId="4C4B312A"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5729" w:type="dxa"/>
            <w:shd w:val="clear" w:color="auto" w:fill="E2EFD9" w:themeFill="accent6" w:themeFillTint="33"/>
          </w:tcPr>
          <w:p w14:paraId="7BA9F517" w14:textId="77777777" w:rsidR="00A3264A" w:rsidRPr="009225E6" w:rsidRDefault="0047085A" w:rsidP="0047085A">
            <w:pPr>
              <w:spacing w:line="480" w:lineRule="auto"/>
              <w:rPr>
                <w:rFonts w:ascii="Times New Roman" w:eastAsia="Times New Roman" w:hAnsi="Times New Roman" w:cs="Times New Roman"/>
                <w:b/>
                <w:bCs/>
                <w:sz w:val="28"/>
                <w:szCs w:val="28"/>
              </w:rPr>
            </w:pPr>
            <w:r w:rsidRPr="009225E6">
              <w:rPr>
                <w:rFonts w:ascii="Times New Roman" w:hAnsi="Times New Roman" w:cs="Times New Roman"/>
                <w:b/>
                <w:sz w:val="28"/>
                <w:szCs w:val="28"/>
              </w:rPr>
              <w:t>Financial Management</w:t>
            </w:r>
          </w:p>
        </w:tc>
      </w:tr>
      <w:tr w:rsidR="00A3264A" w:rsidRPr="009225E6" w14:paraId="03C97EA7" w14:textId="77777777" w:rsidTr="0047085A">
        <w:trPr>
          <w:trHeight w:hRule="exact" w:val="538"/>
        </w:trPr>
        <w:tc>
          <w:tcPr>
            <w:tcW w:w="3638" w:type="dxa"/>
            <w:shd w:val="clear" w:color="auto" w:fill="E2EFD9" w:themeFill="accent6" w:themeFillTint="33"/>
          </w:tcPr>
          <w:p w14:paraId="3EA7A34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5729" w:type="dxa"/>
            <w:shd w:val="clear" w:color="auto" w:fill="E2EFD9" w:themeFill="accent6" w:themeFillTint="33"/>
          </w:tcPr>
          <w:p w14:paraId="402FC5F1" w14:textId="77777777" w:rsidR="00A3264A" w:rsidRPr="009225E6" w:rsidRDefault="0047085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LCLM7002</w:t>
            </w:r>
          </w:p>
        </w:tc>
      </w:tr>
      <w:tr w:rsidR="00A3264A" w:rsidRPr="009225E6" w14:paraId="49564B32" w14:textId="77777777" w:rsidTr="0047085A">
        <w:trPr>
          <w:trHeight w:hRule="exact" w:val="546"/>
        </w:trPr>
        <w:tc>
          <w:tcPr>
            <w:tcW w:w="3638" w:type="dxa"/>
            <w:shd w:val="clear" w:color="auto" w:fill="E2EFD9" w:themeFill="accent6" w:themeFillTint="33"/>
          </w:tcPr>
          <w:p w14:paraId="640C86C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5729" w:type="dxa"/>
            <w:shd w:val="clear" w:color="auto" w:fill="E2EFD9" w:themeFill="accent6" w:themeFillTint="33"/>
          </w:tcPr>
          <w:p w14:paraId="4F9CB19A" w14:textId="24F47FF4" w:rsidR="00A3264A" w:rsidRPr="009225E6" w:rsidRDefault="0047085A" w:rsidP="000E3733">
            <w:pPr>
              <w:spacing w:line="480" w:lineRule="auto"/>
              <w:rPr>
                <w:rFonts w:ascii="Times New Roman" w:eastAsia="Times New Roman" w:hAnsi="Times New Roman" w:cs="Times New Roman"/>
                <w:b/>
                <w:bCs/>
                <w:sz w:val="28"/>
                <w:szCs w:val="28"/>
              </w:rPr>
            </w:pPr>
            <w:r w:rsidRPr="009225E6">
              <w:rPr>
                <w:rFonts w:ascii="Times New Roman" w:hAnsi="Times New Roman" w:cs="Times New Roman"/>
                <w:b/>
                <w:sz w:val="28"/>
                <w:szCs w:val="28"/>
              </w:rPr>
              <w:t xml:space="preserve">Patrick Yeboah </w:t>
            </w:r>
          </w:p>
        </w:tc>
      </w:tr>
      <w:tr w:rsidR="00A3264A" w:rsidRPr="009225E6" w14:paraId="54BD05EE" w14:textId="77777777" w:rsidTr="0047085A">
        <w:trPr>
          <w:trHeight w:hRule="exact" w:val="452"/>
        </w:trPr>
        <w:tc>
          <w:tcPr>
            <w:tcW w:w="3638" w:type="dxa"/>
            <w:shd w:val="clear" w:color="auto" w:fill="E2EFD9" w:themeFill="accent6" w:themeFillTint="33"/>
          </w:tcPr>
          <w:p w14:paraId="0E8F865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Internal Verifier: </w:t>
            </w:r>
          </w:p>
        </w:tc>
        <w:tc>
          <w:tcPr>
            <w:tcW w:w="5729" w:type="dxa"/>
            <w:shd w:val="clear" w:color="auto" w:fill="E2EFD9" w:themeFill="accent6" w:themeFillTint="33"/>
          </w:tcPr>
          <w:p w14:paraId="3322AFBF" w14:textId="77777777" w:rsidR="00A3264A" w:rsidRPr="009225E6" w:rsidRDefault="0047085A" w:rsidP="000E3733">
            <w:pPr>
              <w:spacing w:line="480" w:lineRule="auto"/>
              <w:rPr>
                <w:rFonts w:ascii="Times New Roman" w:eastAsia="Times New Roman" w:hAnsi="Times New Roman" w:cs="Times New Roman"/>
                <w:b/>
                <w:bCs/>
                <w:sz w:val="28"/>
                <w:szCs w:val="28"/>
              </w:rPr>
            </w:pPr>
            <w:r w:rsidRPr="009225E6">
              <w:rPr>
                <w:rFonts w:ascii="Times New Roman" w:hAnsi="Times New Roman" w:cs="Times New Roman"/>
                <w:b/>
                <w:sz w:val="28"/>
                <w:szCs w:val="28"/>
              </w:rPr>
              <w:t>Vasilios Tavlaridis and Hoang Nguyen</w:t>
            </w:r>
          </w:p>
        </w:tc>
      </w:tr>
    </w:tbl>
    <w:p w14:paraId="2F252A6D" w14:textId="77777777" w:rsidR="00216B03" w:rsidRPr="009225E6" w:rsidRDefault="00FD0388">
      <w:pPr>
        <w:rPr>
          <w:rFonts w:ascii="Times New Roman" w:hAnsi="Times New Roman" w:cs="Times New Roman"/>
          <w:b/>
          <w:sz w:val="24"/>
        </w:rPr>
      </w:pPr>
      <w:r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3FD96F0A" w14:textId="77777777" w:rsidR="00FD0388" w:rsidRPr="009225E6" w:rsidRDefault="00FD0388" w:rsidP="00135C1B">
          <w:pPr>
            <w:pStyle w:val="TOCHeading"/>
            <w:jc w:val="both"/>
            <w:rPr>
              <w:rFonts w:ascii="Times New Roman" w:hAnsi="Times New Roman" w:cs="Times New Roman"/>
            </w:rPr>
          </w:pPr>
          <w:r w:rsidRPr="009225E6">
            <w:rPr>
              <w:rFonts w:ascii="Times New Roman" w:hAnsi="Times New Roman" w:cs="Times New Roman"/>
            </w:rPr>
            <w:t>Contents</w:t>
          </w:r>
        </w:p>
        <w:p w14:paraId="1385AB80" w14:textId="77777777" w:rsidR="00D20FA4"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10237833" w:history="1">
            <w:r w:rsidR="00D20FA4" w:rsidRPr="007D7068">
              <w:rPr>
                <w:rStyle w:val="Hyperlink"/>
                <w:rFonts w:ascii="Times New Roman" w:hAnsi="Times New Roman" w:cs="Times New Roman"/>
                <w:noProof/>
              </w:rPr>
              <w:t>Executive Summary</w:t>
            </w:r>
            <w:r w:rsidR="00D20FA4">
              <w:rPr>
                <w:noProof/>
                <w:webHidden/>
              </w:rPr>
              <w:tab/>
            </w:r>
            <w:r w:rsidR="00D20FA4">
              <w:rPr>
                <w:noProof/>
                <w:webHidden/>
              </w:rPr>
              <w:fldChar w:fldCharType="begin"/>
            </w:r>
            <w:r w:rsidR="00D20FA4">
              <w:rPr>
                <w:noProof/>
                <w:webHidden/>
              </w:rPr>
              <w:instrText xml:space="preserve"> PAGEREF _Toc210237833 \h </w:instrText>
            </w:r>
            <w:r w:rsidR="00D20FA4">
              <w:rPr>
                <w:noProof/>
                <w:webHidden/>
              </w:rPr>
            </w:r>
            <w:r w:rsidR="00D20FA4">
              <w:rPr>
                <w:noProof/>
                <w:webHidden/>
              </w:rPr>
              <w:fldChar w:fldCharType="separate"/>
            </w:r>
            <w:r w:rsidR="00D20FA4">
              <w:rPr>
                <w:noProof/>
                <w:webHidden/>
              </w:rPr>
              <w:t>1</w:t>
            </w:r>
            <w:r w:rsidR="00D20FA4">
              <w:rPr>
                <w:noProof/>
                <w:webHidden/>
              </w:rPr>
              <w:fldChar w:fldCharType="end"/>
            </w:r>
          </w:hyperlink>
        </w:p>
        <w:p w14:paraId="0A111150" w14:textId="77777777" w:rsidR="00D20FA4" w:rsidRDefault="00D20FA4">
          <w:pPr>
            <w:pStyle w:val="TOC1"/>
            <w:tabs>
              <w:tab w:val="right" w:leader="dot" w:pos="9016"/>
            </w:tabs>
            <w:rPr>
              <w:rFonts w:eastAsiaTheme="minorEastAsia"/>
              <w:noProof/>
              <w:lang w:val="en-US"/>
            </w:rPr>
          </w:pPr>
          <w:hyperlink w:anchor="_Toc210237834" w:history="1">
            <w:r w:rsidRPr="007D706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_Toc210237834 \h </w:instrText>
            </w:r>
            <w:r>
              <w:rPr>
                <w:noProof/>
                <w:webHidden/>
              </w:rPr>
            </w:r>
            <w:r>
              <w:rPr>
                <w:noProof/>
                <w:webHidden/>
              </w:rPr>
              <w:fldChar w:fldCharType="separate"/>
            </w:r>
            <w:r>
              <w:rPr>
                <w:noProof/>
                <w:webHidden/>
              </w:rPr>
              <w:t>1</w:t>
            </w:r>
            <w:r>
              <w:rPr>
                <w:noProof/>
                <w:webHidden/>
              </w:rPr>
              <w:fldChar w:fldCharType="end"/>
            </w:r>
          </w:hyperlink>
        </w:p>
        <w:p w14:paraId="4BD1EC4C" w14:textId="77777777" w:rsidR="00D20FA4" w:rsidRDefault="00D20FA4">
          <w:pPr>
            <w:pStyle w:val="TOC2"/>
            <w:tabs>
              <w:tab w:val="left" w:pos="660"/>
              <w:tab w:val="right" w:leader="dot" w:pos="9016"/>
            </w:tabs>
            <w:rPr>
              <w:rFonts w:eastAsiaTheme="minorEastAsia"/>
              <w:noProof/>
              <w:lang w:val="en-US"/>
            </w:rPr>
          </w:pPr>
          <w:hyperlink w:anchor="_Toc210237835" w:history="1">
            <w:r w:rsidRPr="007D7068">
              <w:rPr>
                <w:rStyle w:val="Hyperlink"/>
                <w:rFonts w:ascii="Times New Roman" w:hAnsi="Times New Roman" w:cs="Times New Roman"/>
                <w:noProof/>
                <w:lang w:val="en-US"/>
              </w:rPr>
              <w:t>1.</w:t>
            </w:r>
            <w:r>
              <w:rPr>
                <w:rFonts w:eastAsiaTheme="minorEastAsia"/>
                <w:noProof/>
                <w:lang w:val="en-US"/>
              </w:rPr>
              <w:tab/>
            </w:r>
            <w:r w:rsidRPr="007D7068">
              <w:rPr>
                <w:rStyle w:val="Hyperlink"/>
                <w:rFonts w:ascii="Times New Roman" w:hAnsi="Times New Roman" w:cs="Times New Roman"/>
                <w:noProof/>
                <w:lang w:val="en-US"/>
              </w:rPr>
              <w:t>Financial Health Check</w:t>
            </w:r>
            <w:r>
              <w:rPr>
                <w:noProof/>
                <w:webHidden/>
              </w:rPr>
              <w:tab/>
            </w:r>
            <w:r>
              <w:rPr>
                <w:noProof/>
                <w:webHidden/>
              </w:rPr>
              <w:fldChar w:fldCharType="begin"/>
            </w:r>
            <w:r>
              <w:rPr>
                <w:noProof/>
                <w:webHidden/>
              </w:rPr>
              <w:instrText xml:space="preserve"> PAGEREF _Toc210237835 \h </w:instrText>
            </w:r>
            <w:r>
              <w:rPr>
                <w:noProof/>
                <w:webHidden/>
              </w:rPr>
            </w:r>
            <w:r>
              <w:rPr>
                <w:noProof/>
                <w:webHidden/>
              </w:rPr>
              <w:fldChar w:fldCharType="separate"/>
            </w:r>
            <w:r>
              <w:rPr>
                <w:noProof/>
                <w:webHidden/>
              </w:rPr>
              <w:t>1</w:t>
            </w:r>
            <w:r>
              <w:rPr>
                <w:noProof/>
                <w:webHidden/>
              </w:rPr>
              <w:fldChar w:fldCharType="end"/>
            </w:r>
          </w:hyperlink>
        </w:p>
        <w:p w14:paraId="4F630F54" w14:textId="77777777" w:rsidR="00D20FA4" w:rsidRDefault="00D20FA4">
          <w:pPr>
            <w:pStyle w:val="TOC3"/>
            <w:tabs>
              <w:tab w:val="right" w:leader="dot" w:pos="9016"/>
            </w:tabs>
            <w:rPr>
              <w:rFonts w:eastAsiaTheme="minorEastAsia"/>
              <w:noProof/>
              <w:lang w:val="en-US"/>
            </w:rPr>
          </w:pPr>
          <w:hyperlink w:anchor="_Toc210237836" w:history="1">
            <w:r w:rsidRPr="007D7068">
              <w:rPr>
                <w:rStyle w:val="Hyperlink"/>
                <w:rFonts w:ascii="Times New Roman" w:hAnsi="Times New Roman" w:cs="Times New Roman"/>
                <w:noProof/>
              </w:rPr>
              <w:t xml:space="preserve">1.1.1 </w:t>
            </w:r>
            <w:r w:rsidRPr="007D7068">
              <w:rPr>
                <w:rStyle w:val="Hyperlink"/>
                <w:rFonts w:ascii="Times New Roman" w:hAnsi="Times New Roman" w:cs="Times New Roman"/>
                <w:noProof/>
                <w:lang w:val="en-US"/>
              </w:rPr>
              <w:t>Profitability: A Collapse in Value Creation</w:t>
            </w:r>
            <w:r>
              <w:rPr>
                <w:noProof/>
                <w:webHidden/>
              </w:rPr>
              <w:tab/>
            </w:r>
            <w:r>
              <w:rPr>
                <w:noProof/>
                <w:webHidden/>
              </w:rPr>
              <w:fldChar w:fldCharType="begin"/>
            </w:r>
            <w:r>
              <w:rPr>
                <w:noProof/>
                <w:webHidden/>
              </w:rPr>
              <w:instrText xml:space="preserve"> PAGEREF _Toc210237836 \h </w:instrText>
            </w:r>
            <w:r>
              <w:rPr>
                <w:noProof/>
                <w:webHidden/>
              </w:rPr>
            </w:r>
            <w:r>
              <w:rPr>
                <w:noProof/>
                <w:webHidden/>
              </w:rPr>
              <w:fldChar w:fldCharType="separate"/>
            </w:r>
            <w:r>
              <w:rPr>
                <w:noProof/>
                <w:webHidden/>
              </w:rPr>
              <w:t>2</w:t>
            </w:r>
            <w:r>
              <w:rPr>
                <w:noProof/>
                <w:webHidden/>
              </w:rPr>
              <w:fldChar w:fldCharType="end"/>
            </w:r>
          </w:hyperlink>
        </w:p>
        <w:p w14:paraId="264FDCB0" w14:textId="77777777" w:rsidR="00D20FA4" w:rsidRDefault="00D20FA4">
          <w:pPr>
            <w:pStyle w:val="TOC3"/>
            <w:tabs>
              <w:tab w:val="right" w:leader="dot" w:pos="9016"/>
            </w:tabs>
            <w:rPr>
              <w:rFonts w:eastAsiaTheme="minorEastAsia"/>
              <w:noProof/>
              <w:lang w:val="en-US"/>
            </w:rPr>
          </w:pPr>
          <w:hyperlink w:anchor="_Toc210237837" w:history="1">
            <w:r w:rsidRPr="007D7068">
              <w:rPr>
                <w:rStyle w:val="Hyperlink"/>
                <w:rFonts w:ascii="Times New Roman" w:hAnsi="Times New Roman" w:cs="Times New Roman"/>
                <w:noProof/>
                <w:lang w:val="en-US"/>
              </w:rPr>
              <w:t>1.1.2 Liquidity: The Imminent Threat of Insolvency</w:t>
            </w:r>
            <w:r>
              <w:rPr>
                <w:noProof/>
                <w:webHidden/>
              </w:rPr>
              <w:tab/>
            </w:r>
            <w:r>
              <w:rPr>
                <w:noProof/>
                <w:webHidden/>
              </w:rPr>
              <w:fldChar w:fldCharType="begin"/>
            </w:r>
            <w:r>
              <w:rPr>
                <w:noProof/>
                <w:webHidden/>
              </w:rPr>
              <w:instrText xml:space="preserve"> PAGEREF _Toc210237837 \h </w:instrText>
            </w:r>
            <w:r>
              <w:rPr>
                <w:noProof/>
                <w:webHidden/>
              </w:rPr>
            </w:r>
            <w:r>
              <w:rPr>
                <w:noProof/>
                <w:webHidden/>
              </w:rPr>
              <w:fldChar w:fldCharType="separate"/>
            </w:r>
            <w:r>
              <w:rPr>
                <w:noProof/>
                <w:webHidden/>
              </w:rPr>
              <w:t>3</w:t>
            </w:r>
            <w:r>
              <w:rPr>
                <w:noProof/>
                <w:webHidden/>
              </w:rPr>
              <w:fldChar w:fldCharType="end"/>
            </w:r>
          </w:hyperlink>
        </w:p>
        <w:p w14:paraId="60D2173D" w14:textId="77777777" w:rsidR="00D20FA4" w:rsidRDefault="00D20FA4">
          <w:pPr>
            <w:pStyle w:val="TOC3"/>
            <w:tabs>
              <w:tab w:val="right" w:leader="dot" w:pos="9016"/>
            </w:tabs>
            <w:rPr>
              <w:rFonts w:eastAsiaTheme="minorEastAsia"/>
              <w:noProof/>
              <w:lang w:val="en-US"/>
            </w:rPr>
          </w:pPr>
          <w:hyperlink w:anchor="_Toc210237838" w:history="1">
            <w:r w:rsidRPr="007D7068">
              <w:rPr>
                <w:rStyle w:val="Hyperlink"/>
                <w:rFonts w:ascii="Times New Roman" w:hAnsi="Times New Roman" w:cs="Times New Roman"/>
                <w:noProof/>
                <w:lang w:val="en-US"/>
              </w:rPr>
              <w:t>1.1.3 Efficiency: An Ineffective and Bloated Operation</w:t>
            </w:r>
            <w:r>
              <w:rPr>
                <w:noProof/>
                <w:webHidden/>
              </w:rPr>
              <w:tab/>
            </w:r>
            <w:r>
              <w:rPr>
                <w:noProof/>
                <w:webHidden/>
              </w:rPr>
              <w:fldChar w:fldCharType="begin"/>
            </w:r>
            <w:r>
              <w:rPr>
                <w:noProof/>
                <w:webHidden/>
              </w:rPr>
              <w:instrText xml:space="preserve"> PAGEREF _Toc210237838 \h </w:instrText>
            </w:r>
            <w:r>
              <w:rPr>
                <w:noProof/>
                <w:webHidden/>
              </w:rPr>
            </w:r>
            <w:r>
              <w:rPr>
                <w:noProof/>
                <w:webHidden/>
              </w:rPr>
              <w:fldChar w:fldCharType="separate"/>
            </w:r>
            <w:r>
              <w:rPr>
                <w:noProof/>
                <w:webHidden/>
              </w:rPr>
              <w:t>3</w:t>
            </w:r>
            <w:r>
              <w:rPr>
                <w:noProof/>
                <w:webHidden/>
              </w:rPr>
              <w:fldChar w:fldCharType="end"/>
            </w:r>
          </w:hyperlink>
        </w:p>
        <w:p w14:paraId="76D26E0D" w14:textId="77777777" w:rsidR="00D20FA4" w:rsidRDefault="00D20FA4">
          <w:pPr>
            <w:pStyle w:val="TOC3"/>
            <w:tabs>
              <w:tab w:val="right" w:leader="dot" w:pos="9016"/>
            </w:tabs>
            <w:rPr>
              <w:rFonts w:eastAsiaTheme="minorEastAsia"/>
              <w:noProof/>
              <w:lang w:val="en-US"/>
            </w:rPr>
          </w:pPr>
          <w:hyperlink w:anchor="_Toc210237839" w:history="1">
            <w:r w:rsidRPr="007D7068">
              <w:rPr>
                <w:rStyle w:val="Hyperlink"/>
                <w:rFonts w:ascii="Times New Roman" w:hAnsi="Times New Roman" w:cs="Times New Roman"/>
                <w:noProof/>
                <w:lang w:val="en-US"/>
              </w:rPr>
              <w:t>1.1.4 Gearing and Investment: The Market’s Verdict</w:t>
            </w:r>
            <w:r>
              <w:rPr>
                <w:noProof/>
                <w:webHidden/>
              </w:rPr>
              <w:tab/>
            </w:r>
            <w:r>
              <w:rPr>
                <w:noProof/>
                <w:webHidden/>
              </w:rPr>
              <w:fldChar w:fldCharType="begin"/>
            </w:r>
            <w:r>
              <w:rPr>
                <w:noProof/>
                <w:webHidden/>
              </w:rPr>
              <w:instrText xml:space="preserve"> PAGEREF _Toc210237839 \h </w:instrText>
            </w:r>
            <w:r>
              <w:rPr>
                <w:noProof/>
                <w:webHidden/>
              </w:rPr>
            </w:r>
            <w:r>
              <w:rPr>
                <w:noProof/>
                <w:webHidden/>
              </w:rPr>
              <w:fldChar w:fldCharType="separate"/>
            </w:r>
            <w:r>
              <w:rPr>
                <w:noProof/>
                <w:webHidden/>
              </w:rPr>
              <w:t>3</w:t>
            </w:r>
            <w:r>
              <w:rPr>
                <w:noProof/>
                <w:webHidden/>
              </w:rPr>
              <w:fldChar w:fldCharType="end"/>
            </w:r>
          </w:hyperlink>
        </w:p>
        <w:p w14:paraId="01D4E256" w14:textId="77777777" w:rsidR="00D20FA4" w:rsidRDefault="00D20FA4">
          <w:pPr>
            <w:pStyle w:val="TOC3"/>
            <w:tabs>
              <w:tab w:val="right" w:leader="dot" w:pos="9016"/>
            </w:tabs>
            <w:rPr>
              <w:rFonts w:eastAsiaTheme="minorEastAsia"/>
              <w:noProof/>
              <w:lang w:val="en-US"/>
            </w:rPr>
          </w:pPr>
          <w:hyperlink w:anchor="_Toc210237840" w:history="1">
            <w:r w:rsidRPr="007D7068">
              <w:rPr>
                <w:rStyle w:val="Hyperlink"/>
                <w:rFonts w:ascii="Times New Roman" w:hAnsi="Times New Roman" w:cs="Times New Roman"/>
                <w:noProof/>
                <w:lang w:val="en-US"/>
              </w:rPr>
              <w:t>1.1.5 Trend analysis</w:t>
            </w:r>
            <w:r>
              <w:rPr>
                <w:noProof/>
                <w:webHidden/>
              </w:rPr>
              <w:tab/>
            </w:r>
            <w:r>
              <w:rPr>
                <w:noProof/>
                <w:webHidden/>
              </w:rPr>
              <w:fldChar w:fldCharType="begin"/>
            </w:r>
            <w:r>
              <w:rPr>
                <w:noProof/>
                <w:webHidden/>
              </w:rPr>
              <w:instrText xml:space="preserve"> PAGEREF _Toc210237840 \h </w:instrText>
            </w:r>
            <w:r>
              <w:rPr>
                <w:noProof/>
                <w:webHidden/>
              </w:rPr>
            </w:r>
            <w:r>
              <w:rPr>
                <w:noProof/>
                <w:webHidden/>
              </w:rPr>
              <w:fldChar w:fldCharType="separate"/>
            </w:r>
            <w:r>
              <w:rPr>
                <w:noProof/>
                <w:webHidden/>
              </w:rPr>
              <w:t>4</w:t>
            </w:r>
            <w:r>
              <w:rPr>
                <w:noProof/>
                <w:webHidden/>
              </w:rPr>
              <w:fldChar w:fldCharType="end"/>
            </w:r>
          </w:hyperlink>
        </w:p>
        <w:p w14:paraId="5EFBA939" w14:textId="77777777" w:rsidR="00D20FA4" w:rsidRDefault="00D20FA4">
          <w:pPr>
            <w:pStyle w:val="TOC3"/>
            <w:tabs>
              <w:tab w:val="right" w:leader="dot" w:pos="9016"/>
            </w:tabs>
            <w:rPr>
              <w:rFonts w:eastAsiaTheme="minorEastAsia"/>
              <w:noProof/>
              <w:lang w:val="en-US"/>
            </w:rPr>
          </w:pPr>
          <w:hyperlink w:anchor="_Toc210237841" w:history="1">
            <w:r w:rsidRPr="007D7068">
              <w:rPr>
                <w:rStyle w:val="Hyperlink"/>
                <w:rFonts w:ascii="Times New Roman" w:hAnsi="Times New Roman" w:cs="Times New Roman"/>
                <w:noProof/>
                <w:lang w:val="en-US"/>
              </w:rPr>
              <w:t>1.1.6 Corporate Failure Prediction Model- Altman Z-Score model</w:t>
            </w:r>
            <w:r>
              <w:rPr>
                <w:noProof/>
                <w:webHidden/>
              </w:rPr>
              <w:tab/>
            </w:r>
            <w:r>
              <w:rPr>
                <w:noProof/>
                <w:webHidden/>
              </w:rPr>
              <w:fldChar w:fldCharType="begin"/>
            </w:r>
            <w:r>
              <w:rPr>
                <w:noProof/>
                <w:webHidden/>
              </w:rPr>
              <w:instrText xml:space="preserve"> PAGEREF _Toc210237841 \h </w:instrText>
            </w:r>
            <w:r>
              <w:rPr>
                <w:noProof/>
                <w:webHidden/>
              </w:rPr>
            </w:r>
            <w:r>
              <w:rPr>
                <w:noProof/>
                <w:webHidden/>
              </w:rPr>
              <w:fldChar w:fldCharType="separate"/>
            </w:r>
            <w:r>
              <w:rPr>
                <w:noProof/>
                <w:webHidden/>
              </w:rPr>
              <w:t>5</w:t>
            </w:r>
            <w:r>
              <w:rPr>
                <w:noProof/>
                <w:webHidden/>
              </w:rPr>
              <w:fldChar w:fldCharType="end"/>
            </w:r>
          </w:hyperlink>
        </w:p>
        <w:p w14:paraId="7797E173" w14:textId="77777777" w:rsidR="00D20FA4" w:rsidRDefault="00D20FA4">
          <w:pPr>
            <w:pStyle w:val="TOC2"/>
            <w:tabs>
              <w:tab w:val="left" w:pos="660"/>
              <w:tab w:val="right" w:leader="dot" w:pos="9016"/>
            </w:tabs>
            <w:rPr>
              <w:rFonts w:eastAsiaTheme="minorEastAsia"/>
              <w:noProof/>
              <w:lang w:val="en-US"/>
            </w:rPr>
          </w:pPr>
          <w:hyperlink w:anchor="_Toc210237842" w:history="1">
            <w:r w:rsidRPr="007D7068">
              <w:rPr>
                <w:rStyle w:val="Hyperlink"/>
                <w:rFonts w:ascii="Times New Roman" w:hAnsi="Times New Roman" w:cs="Times New Roman"/>
                <w:noProof/>
                <w:lang w:val="en-US"/>
              </w:rPr>
              <w:t>2.</w:t>
            </w:r>
            <w:r>
              <w:rPr>
                <w:rFonts w:eastAsiaTheme="minorEastAsia"/>
                <w:noProof/>
                <w:lang w:val="en-US"/>
              </w:rPr>
              <w:tab/>
            </w:r>
            <w:r w:rsidRPr="007D7068">
              <w:rPr>
                <w:rStyle w:val="Hyperlink"/>
                <w:rFonts w:ascii="Times New Roman" w:hAnsi="Times New Roman" w:cs="Times New Roman"/>
                <w:noProof/>
                <w:lang w:val="en-US"/>
              </w:rPr>
              <w:t>Working Capital Management</w:t>
            </w:r>
            <w:r>
              <w:rPr>
                <w:noProof/>
                <w:webHidden/>
              </w:rPr>
              <w:tab/>
            </w:r>
            <w:r>
              <w:rPr>
                <w:noProof/>
                <w:webHidden/>
              </w:rPr>
              <w:fldChar w:fldCharType="begin"/>
            </w:r>
            <w:r>
              <w:rPr>
                <w:noProof/>
                <w:webHidden/>
              </w:rPr>
              <w:instrText xml:space="preserve"> PAGEREF _Toc210237842 \h </w:instrText>
            </w:r>
            <w:r>
              <w:rPr>
                <w:noProof/>
                <w:webHidden/>
              </w:rPr>
            </w:r>
            <w:r>
              <w:rPr>
                <w:noProof/>
                <w:webHidden/>
              </w:rPr>
              <w:fldChar w:fldCharType="separate"/>
            </w:r>
            <w:r>
              <w:rPr>
                <w:noProof/>
                <w:webHidden/>
              </w:rPr>
              <w:t>1</w:t>
            </w:r>
            <w:r>
              <w:rPr>
                <w:noProof/>
                <w:webHidden/>
              </w:rPr>
              <w:fldChar w:fldCharType="end"/>
            </w:r>
          </w:hyperlink>
        </w:p>
        <w:p w14:paraId="18B0DF48" w14:textId="77777777" w:rsidR="00D20FA4" w:rsidRDefault="00D20FA4">
          <w:pPr>
            <w:pStyle w:val="TOC3"/>
            <w:tabs>
              <w:tab w:val="right" w:leader="dot" w:pos="9016"/>
            </w:tabs>
            <w:rPr>
              <w:rFonts w:eastAsiaTheme="minorEastAsia"/>
              <w:noProof/>
              <w:lang w:val="en-US"/>
            </w:rPr>
          </w:pPr>
          <w:hyperlink w:anchor="_Toc210237843" w:history="1">
            <w:r w:rsidRPr="007D7068">
              <w:rPr>
                <w:rStyle w:val="Hyperlink"/>
                <w:rFonts w:ascii="Times New Roman" w:hAnsi="Times New Roman" w:cs="Times New Roman"/>
                <w:noProof/>
                <w:lang w:val="en-US"/>
              </w:rPr>
              <w:t>3.1 Strategies to Improve Liquidity Through Working Capital Reforms</w:t>
            </w:r>
            <w:r>
              <w:rPr>
                <w:noProof/>
                <w:webHidden/>
              </w:rPr>
              <w:tab/>
            </w:r>
            <w:r>
              <w:rPr>
                <w:noProof/>
                <w:webHidden/>
              </w:rPr>
              <w:fldChar w:fldCharType="begin"/>
            </w:r>
            <w:r>
              <w:rPr>
                <w:noProof/>
                <w:webHidden/>
              </w:rPr>
              <w:instrText xml:space="preserve"> PAGEREF _Toc210237843 \h </w:instrText>
            </w:r>
            <w:r>
              <w:rPr>
                <w:noProof/>
                <w:webHidden/>
              </w:rPr>
            </w:r>
            <w:r>
              <w:rPr>
                <w:noProof/>
                <w:webHidden/>
              </w:rPr>
              <w:fldChar w:fldCharType="separate"/>
            </w:r>
            <w:r>
              <w:rPr>
                <w:noProof/>
                <w:webHidden/>
              </w:rPr>
              <w:t>1</w:t>
            </w:r>
            <w:r>
              <w:rPr>
                <w:noProof/>
                <w:webHidden/>
              </w:rPr>
              <w:fldChar w:fldCharType="end"/>
            </w:r>
          </w:hyperlink>
        </w:p>
        <w:p w14:paraId="54729337" w14:textId="77777777" w:rsidR="00D20FA4" w:rsidRDefault="00D20FA4">
          <w:pPr>
            <w:pStyle w:val="TOC3"/>
            <w:tabs>
              <w:tab w:val="right" w:leader="dot" w:pos="9016"/>
            </w:tabs>
            <w:rPr>
              <w:rFonts w:eastAsiaTheme="minorEastAsia"/>
              <w:noProof/>
              <w:lang w:val="en-US"/>
            </w:rPr>
          </w:pPr>
          <w:hyperlink w:anchor="_Toc210237844" w:history="1">
            <w:r w:rsidRPr="007D7068">
              <w:rPr>
                <w:rStyle w:val="Hyperlink"/>
                <w:rFonts w:ascii="Times New Roman" w:hAnsi="Times New Roman" w:cs="Times New Roman"/>
                <w:noProof/>
                <w:lang w:val="en-US"/>
              </w:rPr>
              <w:t>3.2 Comparison of Short-term vs Long-term Financing Options</w:t>
            </w:r>
            <w:r>
              <w:rPr>
                <w:noProof/>
                <w:webHidden/>
              </w:rPr>
              <w:tab/>
            </w:r>
            <w:r>
              <w:rPr>
                <w:noProof/>
                <w:webHidden/>
              </w:rPr>
              <w:fldChar w:fldCharType="begin"/>
            </w:r>
            <w:r>
              <w:rPr>
                <w:noProof/>
                <w:webHidden/>
              </w:rPr>
              <w:instrText xml:space="preserve"> PAGEREF _Toc210237844 \h </w:instrText>
            </w:r>
            <w:r>
              <w:rPr>
                <w:noProof/>
                <w:webHidden/>
              </w:rPr>
            </w:r>
            <w:r>
              <w:rPr>
                <w:noProof/>
                <w:webHidden/>
              </w:rPr>
              <w:fldChar w:fldCharType="separate"/>
            </w:r>
            <w:r>
              <w:rPr>
                <w:noProof/>
                <w:webHidden/>
              </w:rPr>
              <w:t>2</w:t>
            </w:r>
            <w:r>
              <w:rPr>
                <w:noProof/>
                <w:webHidden/>
              </w:rPr>
              <w:fldChar w:fldCharType="end"/>
            </w:r>
          </w:hyperlink>
        </w:p>
        <w:p w14:paraId="4A867873" w14:textId="77777777" w:rsidR="00D20FA4" w:rsidRDefault="00D20FA4">
          <w:pPr>
            <w:pStyle w:val="TOC2"/>
            <w:tabs>
              <w:tab w:val="right" w:leader="dot" w:pos="9016"/>
            </w:tabs>
            <w:rPr>
              <w:rFonts w:eastAsiaTheme="minorEastAsia"/>
              <w:noProof/>
              <w:lang w:val="en-US"/>
            </w:rPr>
          </w:pPr>
          <w:hyperlink w:anchor="_Toc210237845" w:history="1">
            <w:r w:rsidRPr="007D7068">
              <w:rPr>
                <w:rStyle w:val="Hyperlink"/>
                <w:rFonts w:ascii="Times New Roman" w:hAnsi="Times New Roman" w:cs="Times New Roman"/>
                <w:noProof/>
              </w:rPr>
              <w:t>3. Strategic Financial Restructuring Plan</w:t>
            </w:r>
            <w:r>
              <w:rPr>
                <w:noProof/>
                <w:webHidden/>
              </w:rPr>
              <w:tab/>
            </w:r>
            <w:r>
              <w:rPr>
                <w:noProof/>
                <w:webHidden/>
              </w:rPr>
              <w:fldChar w:fldCharType="begin"/>
            </w:r>
            <w:r>
              <w:rPr>
                <w:noProof/>
                <w:webHidden/>
              </w:rPr>
              <w:instrText xml:space="preserve"> PAGEREF _Toc210237845 \h </w:instrText>
            </w:r>
            <w:r>
              <w:rPr>
                <w:noProof/>
                <w:webHidden/>
              </w:rPr>
            </w:r>
            <w:r>
              <w:rPr>
                <w:noProof/>
                <w:webHidden/>
              </w:rPr>
              <w:fldChar w:fldCharType="separate"/>
            </w:r>
            <w:r>
              <w:rPr>
                <w:noProof/>
                <w:webHidden/>
              </w:rPr>
              <w:t>3</w:t>
            </w:r>
            <w:r>
              <w:rPr>
                <w:noProof/>
                <w:webHidden/>
              </w:rPr>
              <w:fldChar w:fldCharType="end"/>
            </w:r>
          </w:hyperlink>
        </w:p>
        <w:p w14:paraId="23C7BAF5" w14:textId="77777777" w:rsidR="00D20FA4" w:rsidRDefault="00D20FA4">
          <w:pPr>
            <w:pStyle w:val="TOC3"/>
            <w:tabs>
              <w:tab w:val="right" w:leader="dot" w:pos="9016"/>
            </w:tabs>
            <w:rPr>
              <w:rFonts w:eastAsiaTheme="minorEastAsia"/>
              <w:noProof/>
              <w:lang w:val="en-US"/>
            </w:rPr>
          </w:pPr>
          <w:hyperlink w:anchor="_Toc210237846" w:history="1">
            <w:r w:rsidRPr="007D7068">
              <w:rPr>
                <w:rStyle w:val="Hyperlink"/>
                <w:rFonts w:ascii="Times New Roman" w:hAnsi="Times New Roman" w:cs="Times New Roman"/>
                <w:noProof/>
                <w:lang w:val="en-US"/>
              </w:rPr>
              <w:t>3.1 Introduction: The Imperative for Restructuring</w:t>
            </w:r>
            <w:r>
              <w:rPr>
                <w:noProof/>
                <w:webHidden/>
              </w:rPr>
              <w:tab/>
            </w:r>
            <w:r>
              <w:rPr>
                <w:noProof/>
                <w:webHidden/>
              </w:rPr>
              <w:fldChar w:fldCharType="begin"/>
            </w:r>
            <w:r>
              <w:rPr>
                <w:noProof/>
                <w:webHidden/>
              </w:rPr>
              <w:instrText xml:space="preserve"> PAGEREF _Toc210237846 \h </w:instrText>
            </w:r>
            <w:r>
              <w:rPr>
                <w:noProof/>
                <w:webHidden/>
              </w:rPr>
            </w:r>
            <w:r>
              <w:rPr>
                <w:noProof/>
                <w:webHidden/>
              </w:rPr>
              <w:fldChar w:fldCharType="separate"/>
            </w:r>
            <w:r>
              <w:rPr>
                <w:noProof/>
                <w:webHidden/>
              </w:rPr>
              <w:t>3</w:t>
            </w:r>
            <w:r>
              <w:rPr>
                <w:noProof/>
                <w:webHidden/>
              </w:rPr>
              <w:fldChar w:fldCharType="end"/>
            </w:r>
          </w:hyperlink>
        </w:p>
        <w:p w14:paraId="405C010D" w14:textId="77777777" w:rsidR="00D20FA4" w:rsidRDefault="00D20FA4">
          <w:pPr>
            <w:pStyle w:val="TOC3"/>
            <w:tabs>
              <w:tab w:val="right" w:leader="dot" w:pos="9016"/>
            </w:tabs>
            <w:rPr>
              <w:rFonts w:eastAsiaTheme="minorEastAsia"/>
              <w:noProof/>
              <w:lang w:val="en-US"/>
            </w:rPr>
          </w:pPr>
          <w:hyperlink w:anchor="_Toc210237847" w:history="1">
            <w:r w:rsidRPr="007D7068">
              <w:rPr>
                <w:rStyle w:val="Hyperlink"/>
                <w:rFonts w:ascii="Times New Roman" w:hAnsi="Times New Roman" w:cs="Times New Roman"/>
                <w:noProof/>
                <w:lang w:val="en-US"/>
              </w:rPr>
              <w:t>3.2 Evaluation of Financial Restructuring Options</w:t>
            </w:r>
            <w:r>
              <w:rPr>
                <w:noProof/>
                <w:webHidden/>
              </w:rPr>
              <w:tab/>
            </w:r>
            <w:r>
              <w:rPr>
                <w:noProof/>
                <w:webHidden/>
              </w:rPr>
              <w:fldChar w:fldCharType="begin"/>
            </w:r>
            <w:r>
              <w:rPr>
                <w:noProof/>
                <w:webHidden/>
              </w:rPr>
              <w:instrText xml:space="preserve"> PAGEREF _Toc210237847 \h </w:instrText>
            </w:r>
            <w:r>
              <w:rPr>
                <w:noProof/>
                <w:webHidden/>
              </w:rPr>
            </w:r>
            <w:r>
              <w:rPr>
                <w:noProof/>
                <w:webHidden/>
              </w:rPr>
              <w:fldChar w:fldCharType="separate"/>
            </w:r>
            <w:r>
              <w:rPr>
                <w:noProof/>
                <w:webHidden/>
              </w:rPr>
              <w:t>3</w:t>
            </w:r>
            <w:r>
              <w:rPr>
                <w:noProof/>
                <w:webHidden/>
              </w:rPr>
              <w:fldChar w:fldCharType="end"/>
            </w:r>
          </w:hyperlink>
        </w:p>
        <w:p w14:paraId="24A12478" w14:textId="77777777" w:rsidR="00D20FA4" w:rsidRDefault="00D20FA4">
          <w:pPr>
            <w:pStyle w:val="TOC3"/>
            <w:tabs>
              <w:tab w:val="right" w:leader="dot" w:pos="9016"/>
            </w:tabs>
            <w:rPr>
              <w:rFonts w:eastAsiaTheme="minorEastAsia"/>
              <w:noProof/>
              <w:lang w:val="en-US"/>
            </w:rPr>
          </w:pPr>
          <w:hyperlink w:anchor="_Toc210237848" w:history="1">
            <w:r w:rsidRPr="007D7068">
              <w:rPr>
                <w:rStyle w:val="Hyperlink"/>
                <w:rFonts w:ascii="Times New Roman" w:hAnsi="Times New Roman" w:cs="Times New Roman"/>
                <w:noProof/>
                <w:lang w:val="en-US"/>
              </w:rPr>
              <w:t>3.3 International and Ethical Considerations</w:t>
            </w:r>
            <w:r>
              <w:rPr>
                <w:noProof/>
                <w:webHidden/>
              </w:rPr>
              <w:tab/>
            </w:r>
            <w:r>
              <w:rPr>
                <w:noProof/>
                <w:webHidden/>
              </w:rPr>
              <w:fldChar w:fldCharType="begin"/>
            </w:r>
            <w:r>
              <w:rPr>
                <w:noProof/>
                <w:webHidden/>
              </w:rPr>
              <w:instrText xml:space="preserve"> PAGEREF _Toc210237848 \h </w:instrText>
            </w:r>
            <w:r>
              <w:rPr>
                <w:noProof/>
                <w:webHidden/>
              </w:rPr>
            </w:r>
            <w:r>
              <w:rPr>
                <w:noProof/>
                <w:webHidden/>
              </w:rPr>
              <w:fldChar w:fldCharType="separate"/>
            </w:r>
            <w:r>
              <w:rPr>
                <w:noProof/>
                <w:webHidden/>
              </w:rPr>
              <w:t>5</w:t>
            </w:r>
            <w:r>
              <w:rPr>
                <w:noProof/>
                <w:webHidden/>
              </w:rPr>
              <w:fldChar w:fldCharType="end"/>
            </w:r>
          </w:hyperlink>
        </w:p>
        <w:p w14:paraId="5500D3C7" w14:textId="77777777" w:rsidR="00D20FA4" w:rsidRDefault="00D20FA4">
          <w:pPr>
            <w:pStyle w:val="TOC2"/>
            <w:tabs>
              <w:tab w:val="left" w:pos="660"/>
              <w:tab w:val="right" w:leader="dot" w:pos="9016"/>
            </w:tabs>
            <w:rPr>
              <w:rFonts w:eastAsiaTheme="minorEastAsia"/>
              <w:noProof/>
              <w:lang w:val="en-US"/>
            </w:rPr>
          </w:pPr>
          <w:hyperlink w:anchor="_Toc210237849" w:history="1">
            <w:r w:rsidRPr="007D7068">
              <w:rPr>
                <w:rStyle w:val="Hyperlink"/>
                <w:rFonts w:ascii="Times New Roman" w:hAnsi="Times New Roman" w:cs="Times New Roman"/>
                <w:noProof/>
                <w:lang w:val="en-US"/>
              </w:rPr>
              <w:t>1.</w:t>
            </w:r>
            <w:r>
              <w:rPr>
                <w:rFonts w:eastAsiaTheme="minorEastAsia"/>
                <w:noProof/>
                <w:lang w:val="en-US"/>
              </w:rPr>
              <w:tab/>
            </w:r>
            <w:r w:rsidRPr="007D7068">
              <w:rPr>
                <w:rStyle w:val="Hyperlink"/>
                <w:rFonts w:ascii="Times New Roman" w:hAnsi="Times New Roman" w:cs="Times New Roman"/>
                <w:noProof/>
                <w:lang w:val="en-US"/>
              </w:rPr>
              <w:t>Investment Appraisal and Capital Budgeting</w:t>
            </w:r>
            <w:r>
              <w:rPr>
                <w:noProof/>
                <w:webHidden/>
              </w:rPr>
              <w:tab/>
            </w:r>
            <w:r>
              <w:rPr>
                <w:noProof/>
                <w:webHidden/>
              </w:rPr>
              <w:fldChar w:fldCharType="begin"/>
            </w:r>
            <w:r>
              <w:rPr>
                <w:noProof/>
                <w:webHidden/>
              </w:rPr>
              <w:instrText xml:space="preserve"> PAGEREF _Toc210237849 \h </w:instrText>
            </w:r>
            <w:r>
              <w:rPr>
                <w:noProof/>
                <w:webHidden/>
              </w:rPr>
            </w:r>
            <w:r>
              <w:rPr>
                <w:noProof/>
                <w:webHidden/>
              </w:rPr>
              <w:fldChar w:fldCharType="separate"/>
            </w:r>
            <w:r>
              <w:rPr>
                <w:noProof/>
                <w:webHidden/>
              </w:rPr>
              <w:t>7</w:t>
            </w:r>
            <w:r>
              <w:rPr>
                <w:noProof/>
                <w:webHidden/>
              </w:rPr>
              <w:fldChar w:fldCharType="end"/>
            </w:r>
          </w:hyperlink>
        </w:p>
        <w:p w14:paraId="1BC95E60" w14:textId="77777777" w:rsidR="00D20FA4" w:rsidRDefault="00D20FA4">
          <w:pPr>
            <w:pStyle w:val="TOC3"/>
            <w:tabs>
              <w:tab w:val="right" w:leader="dot" w:pos="9016"/>
            </w:tabs>
            <w:rPr>
              <w:rFonts w:eastAsiaTheme="minorEastAsia"/>
              <w:noProof/>
              <w:lang w:val="en-US"/>
            </w:rPr>
          </w:pPr>
          <w:hyperlink w:anchor="_Toc210237850" w:history="1">
            <w:r w:rsidRPr="007D7068">
              <w:rPr>
                <w:rStyle w:val="Hyperlink"/>
                <w:rFonts w:ascii="Times New Roman" w:hAnsi="Times New Roman" w:cs="Times New Roman"/>
                <w:noProof/>
                <w:lang w:val="en-US"/>
              </w:rPr>
              <w:t>4.1 Payback Period</w:t>
            </w:r>
            <w:r>
              <w:rPr>
                <w:noProof/>
                <w:webHidden/>
              </w:rPr>
              <w:tab/>
            </w:r>
            <w:r>
              <w:rPr>
                <w:noProof/>
                <w:webHidden/>
              </w:rPr>
              <w:fldChar w:fldCharType="begin"/>
            </w:r>
            <w:r>
              <w:rPr>
                <w:noProof/>
                <w:webHidden/>
              </w:rPr>
              <w:instrText xml:space="preserve"> PAGEREF _Toc210237850 \h </w:instrText>
            </w:r>
            <w:r>
              <w:rPr>
                <w:noProof/>
                <w:webHidden/>
              </w:rPr>
            </w:r>
            <w:r>
              <w:rPr>
                <w:noProof/>
                <w:webHidden/>
              </w:rPr>
              <w:fldChar w:fldCharType="separate"/>
            </w:r>
            <w:r>
              <w:rPr>
                <w:noProof/>
                <w:webHidden/>
              </w:rPr>
              <w:t>7</w:t>
            </w:r>
            <w:r>
              <w:rPr>
                <w:noProof/>
                <w:webHidden/>
              </w:rPr>
              <w:fldChar w:fldCharType="end"/>
            </w:r>
          </w:hyperlink>
        </w:p>
        <w:p w14:paraId="17363DA1" w14:textId="77777777" w:rsidR="00D20FA4" w:rsidRDefault="00D20FA4">
          <w:pPr>
            <w:pStyle w:val="TOC3"/>
            <w:tabs>
              <w:tab w:val="right" w:leader="dot" w:pos="9016"/>
            </w:tabs>
            <w:rPr>
              <w:rFonts w:eastAsiaTheme="minorEastAsia"/>
              <w:noProof/>
              <w:lang w:val="en-US"/>
            </w:rPr>
          </w:pPr>
          <w:hyperlink w:anchor="_Toc210237851" w:history="1">
            <w:r w:rsidRPr="007D7068">
              <w:rPr>
                <w:rStyle w:val="Hyperlink"/>
                <w:rFonts w:ascii="Times New Roman" w:hAnsi="Times New Roman" w:cs="Times New Roman"/>
                <w:noProof/>
                <w:lang w:val="en-US"/>
              </w:rPr>
              <w:t>4.2 Accounting Rate of Return</w:t>
            </w:r>
            <w:r>
              <w:rPr>
                <w:noProof/>
                <w:webHidden/>
              </w:rPr>
              <w:tab/>
            </w:r>
            <w:r>
              <w:rPr>
                <w:noProof/>
                <w:webHidden/>
              </w:rPr>
              <w:fldChar w:fldCharType="begin"/>
            </w:r>
            <w:r>
              <w:rPr>
                <w:noProof/>
                <w:webHidden/>
              </w:rPr>
              <w:instrText xml:space="preserve"> PAGEREF _Toc210237851 \h </w:instrText>
            </w:r>
            <w:r>
              <w:rPr>
                <w:noProof/>
                <w:webHidden/>
              </w:rPr>
            </w:r>
            <w:r>
              <w:rPr>
                <w:noProof/>
                <w:webHidden/>
              </w:rPr>
              <w:fldChar w:fldCharType="separate"/>
            </w:r>
            <w:r>
              <w:rPr>
                <w:noProof/>
                <w:webHidden/>
              </w:rPr>
              <w:t>7</w:t>
            </w:r>
            <w:r>
              <w:rPr>
                <w:noProof/>
                <w:webHidden/>
              </w:rPr>
              <w:fldChar w:fldCharType="end"/>
            </w:r>
          </w:hyperlink>
        </w:p>
        <w:p w14:paraId="16E6F82C" w14:textId="77777777" w:rsidR="00D20FA4" w:rsidRDefault="00D20FA4">
          <w:pPr>
            <w:pStyle w:val="TOC3"/>
            <w:tabs>
              <w:tab w:val="right" w:leader="dot" w:pos="9016"/>
            </w:tabs>
            <w:rPr>
              <w:rFonts w:eastAsiaTheme="minorEastAsia"/>
              <w:noProof/>
              <w:lang w:val="en-US"/>
            </w:rPr>
          </w:pPr>
          <w:hyperlink w:anchor="_Toc210237852" w:history="1">
            <w:r w:rsidRPr="007D7068">
              <w:rPr>
                <w:rStyle w:val="Hyperlink"/>
                <w:rFonts w:ascii="Times New Roman" w:hAnsi="Times New Roman" w:cs="Times New Roman"/>
                <w:noProof/>
                <w:lang w:val="en-US"/>
              </w:rPr>
              <w:t>4.3 Net Present Value</w:t>
            </w:r>
            <w:r>
              <w:rPr>
                <w:noProof/>
                <w:webHidden/>
              </w:rPr>
              <w:tab/>
            </w:r>
            <w:r>
              <w:rPr>
                <w:noProof/>
                <w:webHidden/>
              </w:rPr>
              <w:fldChar w:fldCharType="begin"/>
            </w:r>
            <w:r>
              <w:rPr>
                <w:noProof/>
                <w:webHidden/>
              </w:rPr>
              <w:instrText xml:space="preserve"> PAGEREF _Toc210237852 \h </w:instrText>
            </w:r>
            <w:r>
              <w:rPr>
                <w:noProof/>
                <w:webHidden/>
              </w:rPr>
            </w:r>
            <w:r>
              <w:rPr>
                <w:noProof/>
                <w:webHidden/>
              </w:rPr>
              <w:fldChar w:fldCharType="separate"/>
            </w:r>
            <w:r>
              <w:rPr>
                <w:noProof/>
                <w:webHidden/>
              </w:rPr>
              <w:t>8</w:t>
            </w:r>
            <w:r>
              <w:rPr>
                <w:noProof/>
                <w:webHidden/>
              </w:rPr>
              <w:fldChar w:fldCharType="end"/>
            </w:r>
          </w:hyperlink>
        </w:p>
        <w:p w14:paraId="35CB69AE" w14:textId="77777777" w:rsidR="00D20FA4" w:rsidRDefault="00D20FA4">
          <w:pPr>
            <w:pStyle w:val="TOC3"/>
            <w:tabs>
              <w:tab w:val="right" w:leader="dot" w:pos="9016"/>
            </w:tabs>
            <w:rPr>
              <w:rFonts w:eastAsiaTheme="minorEastAsia"/>
              <w:noProof/>
              <w:lang w:val="en-US"/>
            </w:rPr>
          </w:pPr>
          <w:hyperlink w:anchor="_Toc210237853" w:history="1">
            <w:r w:rsidRPr="007D7068">
              <w:rPr>
                <w:rStyle w:val="Hyperlink"/>
                <w:rFonts w:ascii="Times New Roman" w:hAnsi="Times New Roman" w:cs="Times New Roman"/>
                <w:noProof/>
              </w:rPr>
              <w:t>4.4 Profitability Index</w:t>
            </w:r>
            <w:r>
              <w:rPr>
                <w:noProof/>
                <w:webHidden/>
              </w:rPr>
              <w:tab/>
            </w:r>
            <w:r>
              <w:rPr>
                <w:noProof/>
                <w:webHidden/>
              </w:rPr>
              <w:fldChar w:fldCharType="begin"/>
            </w:r>
            <w:r>
              <w:rPr>
                <w:noProof/>
                <w:webHidden/>
              </w:rPr>
              <w:instrText xml:space="preserve"> PAGEREF _Toc210237853 \h </w:instrText>
            </w:r>
            <w:r>
              <w:rPr>
                <w:noProof/>
                <w:webHidden/>
              </w:rPr>
            </w:r>
            <w:r>
              <w:rPr>
                <w:noProof/>
                <w:webHidden/>
              </w:rPr>
              <w:fldChar w:fldCharType="separate"/>
            </w:r>
            <w:r>
              <w:rPr>
                <w:noProof/>
                <w:webHidden/>
              </w:rPr>
              <w:t>9</w:t>
            </w:r>
            <w:r>
              <w:rPr>
                <w:noProof/>
                <w:webHidden/>
              </w:rPr>
              <w:fldChar w:fldCharType="end"/>
            </w:r>
          </w:hyperlink>
        </w:p>
        <w:p w14:paraId="57A20CCE" w14:textId="77777777" w:rsidR="00D20FA4" w:rsidRDefault="00D20FA4">
          <w:pPr>
            <w:pStyle w:val="TOC3"/>
            <w:tabs>
              <w:tab w:val="right" w:leader="dot" w:pos="9016"/>
            </w:tabs>
            <w:rPr>
              <w:rFonts w:eastAsiaTheme="minorEastAsia"/>
              <w:noProof/>
              <w:lang w:val="en-US"/>
            </w:rPr>
          </w:pPr>
          <w:hyperlink w:anchor="_Toc210237854" w:history="1">
            <w:r w:rsidRPr="007D7068">
              <w:rPr>
                <w:rStyle w:val="Hyperlink"/>
                <w:rFonts w:ascii="Times New Roman" w:hAnsi="Times New Roman" w:cs="Times New Roman"/>
                <w:noProof/>
              </w:rPr>
              <w:t>4.5 Internal Rate of Return-IRR</w:t>
            </w:r>
            <w:r>
              <w:rPr>
                <w:noProof/>
                <w:webHidden/>
              </w:rPr>
              <w:tab/>
            </w:r>
            <w:r>
              <w:rPr>
                <w:noProof/>
                <w:webHidden/>
              </w:rPr>
              <w:fldChar w:fldCharType="begin"/>
            </w:r>
            <w:r>
              <w:rPr>
                <w:noProof/>
                <w:webHidden/>
              </w:rPr>
              <w:instrText xml:space="preserve"> PAGEREF _Toc210237854 \h </w:instrText>
            </w:r>
            <w:r>
              <w:rPr>
                <w:noProof/>
                <w:webHidden/>
              </w:rPr>
            </w:r>
            <w:r>
              <w:rPr>
                <w:noProof/>
                <w:webHidden/>
              </w:rPr>
              <w:fldChar w:fldCharType="separate"/>
            </w:r>
            <w:r>
              <w:rPr>
                <w:noProof/>
                <w:webHidden/>
              </w:rPr>
              <w:t>9</w:t>
            </w:r>
            <w:r>
              <w:rPr>
                <w:noProof/>
                <w:webHidden/>
              </w:rPr>
              <w:fldChar w:fldCharType="end"/>
            </w:r>
          </w:hyperlink>
        </w:p>
        <w:p w14:paraId="7ED21772" w14:textId="77777777" w:rsidR="00D20FA4" w:rsidRDefault="00D20FA4">
          <w:pPr>
            <w:pStyle w:val="TOC3"/>
            <w:tabs>
              <w:tab w:val="right" w:leader="dot" w:pos="9016"/>
            </w:tabs>
            <w:rPr>
              <w:rFonts w:eastAsiaTheme="minorEastAsia"/>
              <w:noProof/>
              <w:lang w:val="en-US"/>
            </w:rPr>
          </w:pPr>
          <w:hyperlink w:anchor="_Toc210237855" w:history="1">
            <w:r w:rsidRPr="007D7068">
              <w:rPr>
                <w:rStyle w:val="Hyperlink"/>
                <w:rFonts w:ascii="Times New Roman" w:hAnsi="Times New Roman" w:cs="Times New Roman"/>
                <w:noProof/>
              </w:rPr>
              <w:t>4.6 Capital Rationing</w:t>
            </w:r>
            <w:r>
              <w:rPr>
                <w:noProof/>
                <w:webHidden/>
              </w:rPr>
              <w:tab/>
            </w:r>
            <w:r>
              <w:rPr>
                <w:noProof/>
                <w:webHidden/>
              </w:rPr>
              <w:fldChar w:fldCharType="begin"/>
            </w:r>
            <w:r>
              <w:rPr>
                <w:noProof/>
                <w:webHidden/>
              </w:rPr>
              <w:instrText xml:space="preserve"> PAGEREF _Toc210237855 \h </w:instrText>
            </w:r>
            <w:r>
              <w:rPr>
                <w:noProof/>
                <w:webHidden/>
              </w:rPr>
            </w:r>
            <w:r>
              <w:rPr>
                <w:noProof/>
                <w:webHidden/>
              </w:rPr>
              <w:fldChar w:fldCharType="separate"/>
            </w:r>
            <w:r>
              <w:rPr>
                <w:noProof/>
                <w:webHidden/>
              </w:rPr>
              <w:t>10</w:t>
            </w:r>
            <w:r>
              <w:rPr>
                <w:noProof/>
                <w:webHidden/>
              </w:rPr>
              <w:fldChar w:fldCharType="end"/>
            </w:r>
          </w:hyperlink>
        </w:p>
        <w:p w14:paraId="5CDA5DBC" w14:textId="77777777" w:rsidR="00D20FA4" w:rsidRDefault="00D20FA4">
          <w:pPr>
            <w:pStyle w:val="TOC1"/>
            <w:tabs>
              <w:tab w:val="left" w:pos="440"/>
              <w:tab w:val="right" w:leader="dot" w:pos="9016"/>
            </w:tabs>
            <w:rPr>
              <w:rFonts w:eastAsiaTheme="minorEastAsia"/>
              <w:noProof/>
              <w:lang w:val="en-US"/>
            </w:rPr>
          </w:pPr>
          <w:hyperlink w:anchor="_Toc210237856" w:history="1">
            <w:r w:rsidRPr="007D7068">
              <w:rPr>
                <w:rStyle w:val="Hyperlink"/>
                <w:rFonts w:ascii="Times New Roman" w:hAnsi="Times New Roman" w:cs="Times New Roman"/>
                <w:noProof/>
                <w:lang w:val="en-US"/>
              </w:rPr>
              <w:t>2.</w:t>
            </w:r>
            <w:r>
              <w:rPr>
                <w:rFonts w:eastAsiaTheme="minorEastAsia"/>
                <w:noProof/>
                <w:lang w:val="en-US"/>
              </w:rPr>
              <w:tab/>
            </w:r>
            <w:r w:rsidRPr="007D7068">
              <w:rPr>
                <w:rStyle w:val="Hyperlink"/>
                <w:rFonts w:ascii="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_Toc210237856 \h </w:instrText>
            </w:r>
            <w:r>
              <w:rPr>
                <w:noProof/>
                <w:webHidden/>
              </w:rPr>
            </w:r>
            <w:r>
              <w:rPr>
                <w:noProof/>
                <w:webHidden/>
              </w:rPr>
              <w:fldChar w:fldCharType="separate"/>
            </w:r>
            <w:r>
              <w:rPr>
                <w:noProof/>
                <w:webHidden/>
              </w:rPr>
              <w:t>11</w:t>
            </w:r>
            <w:r>
              <w:rPr>
                <w:noProof/>
                <w:webHidden/>
              </w:rPr>
              <w:fldChar w:fldCharType="end"/>
            </w:r>
          </w:hyperlink>
        </w:p>
        <w:p w14:paraId="404ACFBC" w14:textId="77777777" w:rsidR="00D20FA4" w:rsidRDefault="00D20FA4">
          <w:pPr>
            <w:pStyle w:val="TOC1"/>
            <w:tabs>
              <w:tab w:val="right" w:leader="dot" w:pos="9016"/>
            </w:tabs>
            <w:rPr>
              <w:rFonts w:eastAsiaTheme="minorEastAsia"/>
              <w:noProof/>
              <w:lang w:val="en-US"/>
            </w:rPr>
          </w:pPr>
          <w:hyperlink w:anchor="_Toc210237857" w:history="1">
            <w:r w:rsidRPr="007D706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_Toc210237857 \h </w:instrText>
            </w:r>
            <w:r>
              <w:rPr>
                <w:noProof/>
                <w:webHidden/>
              </w:rPr>
            </w:r>
            <w:r>
              <w:rPr>
                <w:noProof/>
                <w:webHidden/>
              </w:rPr>
              <w:fldChar w:fldCharType="separate"/>
            </w:r>
            <w:r>
              <w:rPr>
                <w:noProof/>
                <w:webHidden/>
              </w:rPr>
              <w:t>12</w:t>
            </w:r>
            <w:r>
              <w:rPr>
                <w:noProof/>
                <w:webHidden/>
              </w:rPr>
              <w:fldChar w:fldCharType="end"/>
            </w:r>
          </w:hyperlink>
        </w:p>
        <w:p w14:paraId="1110425B" w14:textId="77777777" w:rsidR="00D20FA4" w:rsidRDefault="00D20FA4">
          <w:pPr>
            <w:pStyle w:val="TOC1"/>
            <w:tabs>
              <w:tab w:val="right" w:leader="dot" w:pos="9016"/>
            </w:tabs>
            <w:rPr>
              <w:rFonts w:eastAsiaTheme="minorEastAsia"/>
              <w:noProof/>
              <w:lang w:val="en-US"/>
            </w:rPr>
          </w:pPr>
          <w:hyperlink w:anchor="_Toc210237858" w:history="1">
            <w:r w:rsidRPr="007D7068">
              <w:rPr>
                <w:rStyle w:val="Hyperlink"/>
                <w:rFonts w:ascii="Times New Roman" w:hAnsi="Times New Roman" w:cs="Times New Roman"/>
                <w:noProof/>
              </w:rPr>
              <w:t>Appendix-I Ratios Table</w:t>
            </w:r>
            <w:r>
              <w:rPr>
                <w:noProof/>
                <w:webHidden/>
              </w:rPr>
              <w:tab/>
            </w:r>
            <w:r>
              <w:rPr>
                <w:noProof/>
                <w:webHidden/>
              </w:rPr>
              <w:fldChar w:fldCharType="begin"/>
            </w:r>
            <w:r>
              <w:rPr>
                <w:noProof/>
                <w:webHidden/>
              </w:rPr>
              <w:instrText xml:space="preserve"> PAGEREF _Toc210237858 \h </w:instrText>
            </w:r>
            <w:r>
              <w:rPr>
                <w:noProof/>
                <w:webHidden/>
              </w:rPr>
            </w:r>
            <w:r>
              <w:rPr>
                <w:noProof/>
                <w:webHidden/>
              </w:rPr>
              <w:fldChar w:fldCharType="separate"/>
            </w:r>
            <w:r>
              <w:rPr>
                <w:noProof/>
                <w:webHidden/>
              </w:rPr>
              <w:t>1</w:t>
            </w:r>
            <w:r>
              <w:rPr>
                <w:noProof/>
                <w:webHidden/>
              </w:rPr>
              <w:fldChar w:fldCharType="end"/>
            </w:r>
          </w:hyperlink>
        </w:p>
        <w:p w14:paraId="37CE557B" w14:textId="77777777" w:rsidR="00D20FA4" w:rsidRDefault="00D20FA4">
          <w:pPr>
            <w:pStyle w:val="TOC2"/>
            <w:tabs>
              <w:tab w:val="right" w:leader="dot" w:pos="9016"/>
            </w:tabs>
            <w:rPr>
              <w:rFonts w:eastAsiaTheme="minorEastAsia"/>
              <w:noProof/>
              <w:lang w:val="en-US"/>
            </w:rPr>
          </w:pPr>
          <w:hyperlink w:anchor="_Toc210237859" w:history="1">
            <w:r w:rsidRPr="007D7068">
              <w:rPr>
                <w:rStyle w:val="Hyperlink"/>
                <w:rFonts w:ascii="Times New Roman" w:hAnsi="Times New Roman" w:cs="Times New Roman"/>
                <w:noProof/>
              </w:rPr>
              <w:t>Ratios Graphs</w:t>
            </w:r>
            <w:r>
              <w:rPr>
                <w:noProof/>
                <w:webHidden/>
              </w:rPr>
              <w:tab/>
            </w:r>
            <w:r>
              <w:rPr>
                <w:noProof/>
                <w:webHidden/>
              </w:rPr>
              <w:fldChar w:fldCharType="begin"/>
            </w:r>
            <w:r>
              <w:rPr>
                <w:noProof/>
                <w:webHidden/>
              </w:rPr>
              <w:instrText xml:space="preserve"> PAGEREF _Toc210237859 \h </w:instrText>
            </w:r>
            <w:r>
              <w:rPr>
                <w:noProof/>
                <w:webHidden/>
              </w:rPr>
            </w:r>
            <w:r>
              <w:rPr>
                <w:noProof/>
                <w:webHidden/>
              </w:rPr>
              <w:fldChar w:fldCharType="separate"/>
            </w:r>
            <w:r>
              <w:rPr>
                <w:noProof/>
                <w:webHidden/>
              </w:rPr>
              <w:t>1</w:t>
            </w:r>
            <w:r>
              <w:rPr>
                <w:noProof/>
                <w:webHidden/>
              </w:rPr>
              <w:fldChar w:fldCharType="end"/>
            </w:r>
          </w:hyperlink>
        </w:p>
        <w:p w14:paraId="01B220E9" w14:textId="77777777" w:rsidR="00D20FA4" w:rsidRDefault="00D20FA4">
          <w:pPr>
            <w:pStyle w:val="TOC3"/>
            <w:tabs>
              <w:tab w:val="right" w:leader="dot" w:pos="9016"/>
            </w:tabs>
            <w:rPr>
              <w:rFonts w:eastAsiaTheme="minorEastAsia"/>
              <w:noProof/>
              <w:lang w:val="en-US"/>
            </w:rPr>
          </w:pPr>
          <w:hyperlink w:anchor="_Toc210237860" w:history="1">
            <w:r w:rsidRPr="007D7068">
              <w:rPr>
                <w:rStyle w:val="Hyperlink"/>
                <w:rFonts w:ascii="Times New Roman" w:hAnsi="Times New Roman" w:cs="Times New Roman"/>
                <w:noProof/>
              </w:rPr>
              <w:t>Profitability Raitos</w:t>
            </w:r>
            <w:r>
              <w:rPr>
                <w:noProof/>
                <w:webHidden/>
              </w:rPr>
              <w:tab/>
            </w:r>
            <w:r>
              <w:rPr>
                <w:noProof/>
                <w:webHidden/>
              </w:rPr>
              <w:fldChar w:fldCharType="begin"/>
            </w:r>
            <w:r>
              <w:rPr>
                <w:noProof/>
                <w:webHidden/>
              </w:rPr>
              <w:instrText xml:space="preserve"> PAGEREF _Toc210237860 \h </w:instrText>
            </w:r>
            <w:r>
              <w:rPr>
                <w:noProof/>
                <w:webHidden/>
              </w:rPr>
            </w:r>
            <w:r>
              <w:rPr>
                <w:noProof/>
                <w:webHidden/>
              </w:rPr>
              <w:fldChar w:fldCharType="separate"/>
            </w:r>
            <w:r>
              <w:rPr>
                <w:noProof/>
                <w:webHidden/>
              </w:rPr>
              <w:t>1</w:t>
            </w:r>
            <w:r>
              <w:rPr>
                <w:noProof/>
                <w:webHidden/>
              </w:rPr>
              <w:fldChar w:fldCharType="end"/>
            </w:r>
          </w:hyperlink>
        </w:p>
        <w:p w14:paraId="29A53A3A" w14:textId="77777777" w:rsidR="00D20FA4" w:rsidRDefault="00D20FA4">
          <w:pPr>
            <w:pStyle w:val="TOC3"/>
            <w:tabs>
              <w:tab w:val="right" w:leader="dot" w:pos="9016"/>
            </w:tabs>
            <w:rPr>
              <w:rFonts w:eastAsiaTheme="minorEastAsia"/>
              <w:noProof/>
              <w:lang w:val="en-US"/>
            </w:rPr>
          </w:pPr>
          <w:hyperlink w:anchor="_Toc210237861" w:history="1">
            <w:r w:rsidRPr="007D7068">
              <w:rPr>
                <w:rStyle w:val="Hyperlink"/>
                <w:rFonts w:ascii="Times New Roman" w:hAnsi="Times New Roman" w:cs="Times New Roman"/>
                <w:noProof/>
              </w:rPr>
              <w:t>Liquidity Ratio</w:t>
            </w:r>
            <w:r>
              <w:rPr>
                <w:noProof/>
                <w:webHidden/>
              </w:rPr>
              <w:tab/>
            </w:r>
            <w:r>
              <w:rPr>
                <w:noProof/>
                <w:webHidden/>
              </w:rPr>
              <w:fldChar w:fldCharType="begin"/>
            </w:r>
            <w:r>
              <w:rPr>
                <w:noProof/>
                <w:webHidden/>
              </w:rPr>
              <w:instrText xml:space="preserve"> PAGEREF _Toc210237861 \h </w:instrText>
            </w:r>
            <w:r>
              <w:rPr>
                <w:noProof/>
                <w:webHidden/>
              </w:rPr>
            </w:r>
            <w:r>
              <w:rPr>
                <w:noProof/>
                <w:webHidden/>
              </w:rPr>
              <w:fldChar w:fldCharType="separate"/>
            </w:r>
            <w:r>
              <w:rPr>
                <w:noProof/>
                <w:webHidden/>
              </w:rPr>
              <w:t>3</w:t>
            </w:r>
            <w:r>
              <w:rPr>
                <w:noProof/>
                <w:webHidden/>
              </w:rPr>
              <w:fldChar w:fldCharType="end"/>
            </w:r>
          </w:hyperlink>
        </w:p>
        <w:p w14:paraId="42B783A9" w14:textId="77777777" w:rsidR="00D20FA4" w:rsidRDefault="00D20FA4">
          <w:pPr>
            <w:pStyle w:val="TOC3"/>
            <w:tabs>
              <w:tab w:val="right" w:leader="dot" w:pos="9016"/>
            </w:tabs>
            <w:rPr>
              <w:rFonts w:eastAsiaTheme="minorEastAsia"/>
              <w:noProof/>
              <w:lang w:val="en-US"/>
            </w:rPr>
          </w:pPr>
          <w:hyperlink w:anchor="_Toc210237862" w:history="1">
            <w:r w:rsidRPr="007D7068">
              <w:rPr>
                <w:rStyle w:val="Hyperlink"/>
                <w:rFonts w:ascii="Times New Roman" w:hAnsi="Times New Roman" w:cs="Times New Roman"/>
                <w:noProof/>
              </w:rPr>
              <w:t>Efficiency Ratios</w:t>
            </w:r>
            <w:r>
              <w:rPr>
                <w:noProof/>
                <w:webHidden/>
              </w:rPr>
              <w:tab/>
            </w:r>
            <w:r>
              <w:rPr>
                <w:noProof/>
                <w:webHidden/>
              </w:rPr>
              <w:fldChar w:fldCharType="begin"/>
            </w:r>
            <w:r>
              <w:rPr>
                <w:noProof/>
                <w:webHidden/>
              </w:rPr>
              <w:instrText xml:space="preserve"> PAGEREF _Toc210237862 \h </w:instrText>
            </w:r>
            <w:r>
              <w:rPr>
                <w:noProof/>
                <w:webHidden/>
              </w:rPr>
            </w:r>
            <w:r>
              <w:rPr>
                <w:noProof/>
                <w:webHidden/>
              </w:rPr>
              <w:fldChar w:fldCharType="separate"/>
            </w:r>
            <w:r>
              <w:rPr>
                <w:noProof/>
                <w:webHidden/>
              </w:rPr>
              <w:t>4</w:t>
            </w:r>
            <w:r>
              <w:rPr>
                <w:noProof/>
                <w:webHidden/>
              </w:rPr>
              <w:fldChar w:fldCharType="end"/>
            </w:r>
          </w:hyperlink>
        </w:p>
        <w:p w14:paraId="1542CAE8" w14:textId="77777777" w:rsidR="00D20FA4" w:rsidRDefault="00D20FA4">
          <w:pPr>
            <w:pStyle w:val="TOC3"/>
            <w:tabs>
              <w:tab w:val="right" w:leader="dot" w:pos="9016"/>
            </w:tabs>
            <w:rPr>
              <w:rFonts w:eastAsiaTheme="minorEastAsia"/>
              <w:noProof/>
              <w:lang w:val="en-US"/>
            </w:rPr>
          </w:pPr>
          <w:hyperlink w:anchor="_Toc210237863" w:history="1">
            <w:r w:rsidRPr="007D7068">
              <w:rPr>
                <w:rStyle w:val="Hyperlink"/>
                <w:rFonts w:ascii="Times New Roman" w:hAnsi="Times New Roman" w:cs="Times New Roman"/>
                <w:noProof/>
              </w:rPr>
              <w:t>Investment Ratio</w:t>
            </w:r>
            <w:r>
              <w:rPr>
                <w:noProof/>
                <w:webHidden/>
              </w:rPr>
              <w:tab/>
            </w:r>
            <w:r>
              <w:rPr>
                <w:noProof/>
                <w:webHidden/>
              </w:rPr>
              <w:fldChar w:fldCharType="begin"/>
            </w:r>
            <w:r>
              <w:rPr>
                <w:noProof/>
                <w:webHidden/>
              </w:rPr>
              <w:instrText xml:space="preserve"> PAGEREF _Toc210237863 \h </w:instrText>
            </w:r>
            <w:r>
              <w:rPr>
                <w:noProof/>
                <w:webHidden/>
              </w:rPr>
            </w:r>
            <w:r>
              <w:rPr>
                <w:noProof/>
                <w:webHidden/>
              </w:rPr>
              <w:fldChar w:fldCharType="separate"/>
            </w:r>
            <w:r>
              <w:rPr>
                <w:noProof/>
                <w:webHidden/>
              </w:rPr>
              <w:t>6</w:t>
            </w:r>
            <w:r>
              <w:rPr>
                <w:noProof/>
                <w:webHidden/>
              </w:rPr>
              <w:fldChar w:fldCharType="end"/>
            </w:r>
          </w:hyperlink>
        </w:p>
        <w:p w14:paraId="3E6ED7F6" w14:textId="77777777" w:rsidR="00D20FA4" w:rsidRDefault="00D20FA4">
          <w:pPr>
            <w:pStyle w:val="TOC2"/>
            <w:tabs>
              <w:tab w:val="right" w:leader="dot" w:pos="9016"/>
            </w:tabs>
            <w:rPr>
              <w:rFonts w:eastAsiaTheme="minorEastAsia"/>
              <w:noProof/>
              <w:lang w:val="en-US"/>
            </w:rPr>
          </w:pPr>
          <w:hyperlink w:anchor="_Toc210237864" w:history="1">
            <w:r w:rsidRPr="007D7068">
              <w:rPr>
                <w:rStyle w:val="Hyperlink"/>
                <w:rFonts w:ascii="Times New Roman" w:hAnsi="Times New Roman" w:cs="Times New Roman"/>
                <w:noProof/>
              </w:rPr>
              <w:t xml:space="preserve">Appendix-II </w:t>
            </w:r>
            <w:r w:rsidRPr="007D7068">
              <w:rPr>
                <w:rStyle w:val="Hyperlink"/>
                <w:rFonts w:ascii="Times New Roman" w:hAnsi="Times New Roman" w:cs="Times New Roman"/>
                <w:noProof/>
                <w:lang w:val="en-US"/>
              </w:rPr>
              <w:t>Corporate failure prediction models (Altman Z-Score)</w:t>
            </w:r>
            <w:r>
              <w:rPr>
                <w:noProof/>
                <w:webHidden/>
              </w:rPr>
              <w:tab/>
            </w:r>
            <w:r>
              <w:rPr>
                <w:noProof/>
                <w:webHidden/>
              </w:rPr>
              <w:fldChar w:fldCharType="begin"/>
            </w:r>
            <w:r>
              <w:rPr>
                <w:noProof/>
                <w:webHidden/>
              </w:rPr>
              <w:instrText xml:space="preserve"> PAGEREF _Toc210237864 \h </w:instrText>
            </w:r>
            <w:r>
              <w:rPr>
                <w:noProof/>
                <w:webHidden/>
              </w:rPr>
            </w:r>
            <w:r>
              <w:rPr>
                <w:noProof/>
                <w:webHidden/>
              </w:rPr>
              <w:fldChar w:fldCharType="separate"/>
            </w:r>
            <w:r>
              <w:rPr>
                <w:noProof/>
                <w:webHidden/>
              </w:rPr>
              <w:t>7</w:t>
            </w:r>
            <w:r>
              <w:rPr>
                <w:noProof/>
                <w:webHidden/>
              </w:rPr>
              <w:fldChar w:fldCharType="end"/>
            </w:r>
          </w:hyperlink>
        </w:p>
        <w:p w14:paraId="3D5FBC41" w14:textId="77777777" w:rsidR="00D20FA4" w:rsidRDefault="00D20FA4">
          <w:pPr>
            <w:pStyle w:val="TOC2"/>
            <w:tabs>
              <w:tab w:val="right" w:leader="dot" w:pos="9016"/>
            </w:tabs>
            <w:rPr>
              <w:rFonts w:eastAsiaTheme="minorEastAsia"/>
              <w:noProof/>
              <w:lang w:val="en-US"/>
            </w:rPr>
          </w:pPr>
          <w:hyperlink w:anchor="_Toc210237865" w:history="1">
            <w:r w:rsidRPr="007D7068">
              <w:rPr>
                <w:rStyle w:val="Hyperlink"/>
                <w:rFonts w:ascii="Times New Roman" w:hAnsi="Times New Roman" w:cs="Times New Roman"/>
                <w:noProof/>
              </w:rPr>
              <w:t>Appendix-III Capital Budgeting and investment appraisal’</w:t>
            </w:r>
            <w:r>
              <w:rPr>
                <w:noProof/>
                <w:webHidden/>
              </w:rPr>
              <w:tab/>
            </w:r>
            <w:r>
              <w:rPr>
                <w:noProof/>
                <w:webHidden/>
              </w:rPr>
              <w:fldChar w:fldCharType="begin"/>
            </w:r>
            <w:r>
              <w:rPr>
                <w:noProof/>
                <w:webHidden/>
              </w:rPr>
              <w:instrText xml:space="preserve"> PAGEREF _Toc210237865 \h </w:instrText>
            </w:r>
            <w:r>
              <w:rPr>
                <w:noProof/>
                <w:webHidden/>
              </w:rPr>
            </w:r>
            <w:r>
              <w:rPr>
                <w:noProof/>
                <w:webHidden/>
              </w:rPr>
              <w:fldChar w:fldCharType="separate"/>
            </w:r>
            <w:r>
              <w:rPr>
                <w:noProof/>
                <w:webHidden/>
              </w:rPr>
              <w:t>1</w:t>
            </w:r>
            <w:r>
              <w:rPr>
                <w:noProof/>
                <w:webHidden/>
              </w:rPr>
              <w:fldChar w:fldCharType="end"/>
            </w:r>
          </w:hyperlink>
        </w:p>
        <w:p w14:paraId="1CC5D2D2"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6C358785" w14:textId="77777777" w:rsidR="00EC03CF" w:rsidRPr="009225E6" w:rsidRDefault="009922AE" w:rsidP="00EC03CF">
      <w:pPr>
        <w:rPr>
          <w:rFonts w:ascii="Times New Roman" w:hAnsi="Times New Roman" w:cs="Times New Roman"/>
          <w:b/>
          <w:bCs/>
          <w:sz w:val="24"/>
        </w:rPr>
      </w:pPr>
      <w:r w:rsidRPr="009225E6">
        <w:rPr>
          <w:rFonts w:ascii="Times New Roman" w:hAnsi="Times New Roman" w:cs="Times New Roman"/>
          <w:b/>
          <w:bCs/>
          <w:sz w:val="24"/>
        </w:rPr>
        <w:br w:type="page"/>
      </w:r>
      <w:r w:rsidRPr="009225E6">
        <w:rPr>
          <w:rFonts w:ascii="Times New Roman" w:hAnsi="Times New Roman" w:cs="Times New Roman"/>
          <w:b/>
          <w:bCs/>
          <w:sz w:val="24"/>
        </w:rPr>
        <w:lastRenderedPageBreak/>
        <w:t>L</w:t>
      </w:r>
      <w:r w:rsidR="009D7A3D" w:rsidRPr="009225E6">
        <w:rPr>
          <w:rFonts w:ascii="Times New Roman" w:hAnsi="Times New Roman" w:cs="Times New Roman"/>
          <w:b/>
          <w:bCs/>
          <w:sz w:val="24"/>
        </w:rPr>
        <w:t>ist of Tables</w:t>
      </w:r>
    </w:p>
    <w:p w14:paraId="5C9CF339" w14:textId="77777777" w:rsidR="00DA4536" w:rsidRDefault="00EC03CF">
      <w:pPr>
        <w:pStyle w:val="TableofFigures"/>
        <w:tabs>
          <w:tab w:val="right" w:leader="dot" w:pos="9016"/>
        </w:tabs>
        <w:rPr>
          <w:rFonts w:eastAsiaTheme="minorEastAsia"/>
          <w:noProof/>
          <w:lang w:val="en-US"/>
        </w:rPr>
      </w:pPr>
      <w:r w:rsidRPr="009225E6">
        <w:rPr>
          <w:rFonts w:ascii="Times New Roman" w:hAnsi="Times New Roman" w:cs="Times New Roman"/>
          <w:b/>
          <w:bCs/>
          <w:sz w:val="24"/>
        </w:rPr>
        <w:fldChar w:fldCharType="begin"/>
      </w:r>
      <w:r w:rsidRPr="009225E6">
        <w:rPr>
          <w:rFonts w:ascii="Times New Roman" w:hAnsi="Times New Roman" w:cs="Times New Roman"/>
          <w:b/>
          <w:bCs/>
          <w:sz w:val="24"/>
        </w:rPr>
        <w:instrText xml:space="preserve"> TOC \h \z \c "Table" </w:instrText>
      </w:r>
      <w:r w:rsidRPr="009225E6">
        <w:rPr>
          <w:rFonts w:ascii="Times New Roman" w:hAnsi="Times New Roman" w:cs="Times New Roman"/>
          <w:b/>
          <w:bCs/>
          <w:sz w:val="24"/>
        </w:rPr>
        <w:fldChar w:fldCharType="separate"/>
      </w:r>
      <w:hyperlink w:anchor="_Toc214385560" w:history="1">
        <w:r w:rsidR="00DA4536" w:rsidRPr="004D6855">
          <w:rPr>
            <w:rStyle w:val="Hyperlink"/>
            <w:rFonts w:ascii="Times New Roman" w:hAnsi="Times New Roman" w:cs="Times New Roman"/>
            <w:noProof/>
          </w:rPr>
          <w:t>Table 1 Calculating Ratios</w:t>
        </w:r>
        <w:r w:rsidR="00DA4536">
          <w:rPr>
            <w:noProof/>
            <w:webHidden/>
          </w:rPr>
          <w:tab/>
        </w:r>
        <w:r w:rsidR="00DA4536">
          <w:rPr>
            <w:noProof/>
            <w:webHidden/>
          </w:rPr>
          <w:fldChar w:fldCharType="begin"/>
        </w:r>
        <w:r w:rsidR="00DA4536">
          <w:rPr>
            <w:noProof/>
            <w:webHidden/>
          </w:rPr>
          <w:instrText xml:space="preserve"> PAGEREF _Toc214385560 \h </w:instrText>
        </w:r>
        <w:r w:rsidR="00DA4536">
          <w:rPr>
            <w:noProof/>
            <w:webHidden/>
          </w:rPr>
        </w:r>
        <w:r w:rsidR="00DA4536">
          <w:rPr>
            <w:noProof/>
            <w:webHidden/>
          </w:rPr>
          <w:fldChar w:fldCharType="separate"/>
        </w:r>
        <w:r w:rsidR="00DA4536">
          <w:rPr>
            <w:noProof/>
            <w:webHidden/>
          </w:rPr>
          <w:t>2</w:t>
        </w:r>
        <w:r w:rsidR="00DA4536">
          <w:rPr>
            <w:noProof/>
            <w:webHidden/>
          </w:rPr>
          <w:fldChar w:fldCharType="end"/>
        </w:r>
      </w:hyperlink>
    </w:p>
    <w:p w14:paraId="0C2BBFEE" w14:textId="77777777" w:rsidR="00DA4536" w:rsidRDefault="00DA4536">
      <w:pPr>
        <w:pStyle w:val="TableofFigures"/>
        <w:tabs>
          <w:tab w:val="right" w:leader="dot" w:pos="9016"/>
        </w:tabs>
        <w:rPr>
          <w:rFonts w:eastAsiaTheme="minorEastAsia"/>
          <w:noProof/>
          <w:lang w:val="en-US"/>
        </w:rPr>
      </w:pPr>
      <w:hyperlink w:anchor="_Toc214385561" w:history="1">
        <w:r w:rsidRPr="004D6855">
          <w:rPr>
            <w:rStyle w:val="Hyperlink"/>
            <w:rFonts w:ascii="Times New Roman" w:hAnsi="Times New Roman" w:cs="Times New Roman"/>
            <w:noProof/>
          </w:rPr>
          <w:t>Table 2 Corporate Failure Prediction Model- Altman Z-Score model</w:t>
        </w:r>
        <w:r>
          <w:rPr>
            <w:noProof/>
            <w:webHidden/>
          </w:rPr>
          <w:tab/>
        </w:r>
        <w:r>
          <w:rPr>
            <w:noProof/>
            <w:webHidden/>
          </w:rPr>
          <w:fldChar w:fldCharType="begin"/>
        </w:r>
        <w:r>
          <w:rPr>
            <w:noProof/>
            <w:webHidden/>
          </w:rPr>
          <w:instrText xml:space="preserve"> PAGEREF _Toc214385561 \h </w:instrText>
        </w:r>
        <w:r>
          <w:rPr>
            <w:noProof/>
            <w:webHidden/>
          </w:rPr>
        </w:r>
        <w:r>
          <w:rPr>
            <w:noProof/>
            <w:webHidden/>
          </w:rPr>
          <w:fldChar w:fldCharType="separate"/>
        </w:r>
        <w:r>
          <w:rPr>
            <w:noProof/>
            <w:webHidden/>
          </w:rPr>
          <w:t>10</w:t>
        </w:r>
        <w:r>
          <w:rPr>
            <w:noProof/>
            <w:webHidden/>
          </w:rPr>
          <w:fldChar w:fldCharType="end"/>
        </w:r>
      </w:hyperlink>
    </w:p>
    <w:p w14:paraId="056EC85C" w14:textId="77777777" w:rsidR="00DA4536" w:rsidRDefault="00DA4536">
      <w:pPr>
        <w:pStyle w:val="TableofFigures"/>
        <w:tabs>
          <w:tab w:val="right" w:leader="dot" w:pos="9016"/>
        </w:tabs>
        <w:rPr>
          <w:rFonts w:eastAsiaTheme="minorEastAsia"/>
          <w:noProof/>
          <w:lang w:val="en-US"/>
        </w:rPr>
      </w:pPr>
      <w:hyperlink w:anchor="_Toc214385562" w:history="1">
        <w:r w:rsidRPr="004D6855">
          <w:rPr>
            <w:rStyle w:val="Hyperlink"/>
            <w:rFonts w:ascii="Times New Roman" w:hAnsi="Times New Roman" w:cs="Times New Roman"/>
            <w:noProof/>
          </w:rPr>
          <w:t>Table 3  Calculating Altman Z-Scores</w:t>
        </w:r>
        <w:r>
          <w:rPr>
            <w:noProof/>
            <w:webHidden/>
          </w:rPr>
          <w:tab/>
        </w:r>
        <w:r>
          <w:rPr>
            <w:noProof/>
            <w:webHidden/>
          </w:rPr>
          <w:fldChar w:fldCharType="begin"/>
        </w:r>
        <w:r>
          <w:rPr>
            <w:noProof/>
            <w:webHidden/>
          </w:rPr>
          <w:instrText xml:space="preserve"> PAGEREF _Toc214385562 \h </w:instrText>
        </w:r>
        <w:r>
          <w:rPr>
            <w:noProof/>
            <w:webHidden/>
          </w:rPr>
        </w:r>
        <w:r>
          <w:rPr>
            <w:noProof/>
            <w:webHidden/>
          </w:rPr>
          <w:fldChar w:fldCharType="separate"/>
        </w:r>
        <w:r>
          <w:rPr>
            <w:noProof/>
            <w:webHidden/>
          </w:rPr>
          <w:t>1</w:t>
        </w:r>
        <w:r>
          <w:rPr>
            <w:noProof/>
            <w:webHidden/>
          </w:rPr>
          <w:fldChar w:fldCharType="end"/>
        </w:r>
      </w:hyperlink>
    </w:p>
    <w:p w14:paraId="06091C0F" w14:textId="77777777" w:rsidR="00DA4536" w:rsidRDefault="00DA4536">
      <w:pPr>
        <w:pStyle w:val="TableofFigures"/>
        <w:tabs>
          <w:tab w:val="right" w:leader="dot" w:pos="9016"/>
        </w:tabs>
        <w:rPr>
          <w:rFonts w:eastAsiaTheme="minorEastAsia"/>
          <w:noProof/>
          <w:lang w:val="en-US"/>
        </w:rPr>
      </w:pPr>
      <w:hyperlink w:anchor="_Toc214385563" w:history="1">
        <w:r w:rsidRPr="004D6855">
          <w:rPr>
            <w:rStyle w:val="Hyperlink"/>
            <w:rFonts w:ascii="Times New Roman" w:hAnsi="Times New Roman" w:cs="Times New Roman"/>
            <w:noProof/>
          </w:rPr>
          <w:t>Table 4 Altman Z-Scores</w:t>
        </w:r>
        <w:r>
          <w:rPr>
            <w:noProof/>
            <w:webHidden/>
          </w:rPr>
          <w:tab/>
        </w:r>
        <w:r>
          <w:rPr>
            <w:noProof/>
            <w:webHidden/>
          </w:rPr>
          <w:fldChar w:fldCharType="begin"/>
        </w:r>
        <w:r>
          <w:rPr>
            <w:noProof/>
            <w:webHidden/>
          </w:rPr>
          <w:instrText xml:space="preserve"> PAGEREF _Toc214385563 \h </w:instrText>
        </w:r>
        <w:r>
          <w:rPr>
            <w:noProof/>
            <w:webHidden/>
          </w:rPr>
        </w:r>
        <w:r>
          <w:rPr>
            <w:noProof/>
            <w:webHidden/>
          </w:rPr>
          <w:fldChar w:fldCharType="separate"/>
        </w:r>
        <w:r>
          <w:rPr>
            <w:noProof/>
            <w:webHidden/>
          </w:rPr>
          <w:t>1</w:t>
        </w:r>
        <w:r>
          <w:rPr>
            <w:noProof/>
            <w:webHidden/>
          </w:rPr>
          <w:fldChar w:fldCharType="end"/>
        </w:r>
      </w:hyperlink>
    </w:p>
    <w:p w14:paraId="26862C7D" w14:textId="77777777" w:rsidR="00DA4536" w:rsidRDefault="00DA4536">
      <w:pPr>
        <w:pStyle w:val="TableofFigures"/>
        <w:tabs>
          <w:tab w:val="right" w:leader="dot" w:pos="9016"/>
        </w:tabs>
        <w:rPr>
          <w:rFonts w:eastAsiaTheme="minorEastAsia"/>
          <w:noProof/>
          <w:lang w:val="en-US"/>
        </w:rPr>
      </w:pPr>
      <w:hyperlink w:anchor="_Toc214385564" w:history="1">
        <w:r w:rsidRPr="004D6855">
          <w:rPr>
            <w:rStyle w:val="Hyperlink"/>
            <w:rFonts w:ascii="Times New Roman" w:hAnsi="Times New Roman" w:cs="Times New Roman"/>
            <w:noProof/>
          </w:rPr>
          <w:t>Table 5 Cash Operating Cycle (COC)</w:t>
        </w:r>
        <w:r>
          <w:rPr>
            <w:noProof/>
            <w:webHidden/>
          </w:rPr>
          <w:tab/>
        </w:r>
        <w:r>
          <w:rPr>
            <w:noProof/>
            <w:webHidden/>
          </w:rPr>
          <w:fldChar w:fldCharType="begin"/>
        </w:r>
        <w:r>
          <w:rPr>
            <w:noProof/>
            <w:webHidden/>
          </w:rPr>
          <w:instrText xml:space="preserve"> PAGEREF _Toc214385564 \h </w:instrText>
        </w:r>
        <w:r>
          <w:rPr>
            <w:noProof/>
            <w:webHidden/>
          </w:rPr>
        </w:r>
        <w:r>
          <w:rPr>
            <w:noProof/>
            <w:webHidden/>
          </w:rPr>
          <w:fldChar w:fldCharType="separate"/>
        </w:r>
        <w:r>
          <w:rPr>
            <w:noProof/>
            <w:webHidden/>
          </w:rPr>
          <w:t>1</w:t>
        </w:r>
        <w:r>
          <w:rPr>
            <w:noProof/>
            <w:webHidden/>
          </w:rPr>
          <w:fldChar w:fldCharType="end"/>
        </w:r>
      </w:hyperlink>
    </w:p>
    <w:p w14:paraId="0465845E" w14:textId="77777777" w:rsidR="00DA4536" w:rsidRDefault="00DA4536">
      <w:pPr>
        <w:pStyle w:val="TableofFigures"/>
        <w:tabs>
          <w:tab w:val="right" w:leader="dot" w:pos="9016"/>
        </w:tabs>
        <w:rPr>
          <w:rFonts w:eastAsiaTheme="minorEastAsia"/>
          <w:noProof/>
          <w:lang w:val="en-US"/>
        </w:rPr>
      </w:pPr>
      <w:hyperlink w:anchor="_Toc214385565" w:history="1">
        <w:r w:rsidRPr="004D6855">
          <w:rPr>
            <w:rStyle w:val="Hyperlink"/>
            <w:rFonts w:ascii="Times New Roman" w:hAnsi="Times New Roman" w:cs="Times New Roman"/>
            <w:noProof/>
          </w:rPr>
          <w:t>Table 6 Payback period of Project A, B and C</w:t>
        </w:r>
        <w:r>
          <w:rPr>
            <w:noProof/>
            <w:webHidden/>
          </w:rPr>
          <w:tab/>
        </w:r>
        <w:r>
          <w:rPr>
            <w:noProof/>
            <w:webHidden/>
          </w:rPr>
          <w:fldChar w:fldCharType="begin"/>
        </w:r>
        <w:r>
          <w:rPr>
            <w:noProof/>
            <w:webHidden/>
          </w:rPr>
          <w:instrText xml:space="preserve"> PAGEREF _Toc214385565 \h </w:instrText>
        </w:r>
        <w:r>
          <w:rPr>
            <w:noProof/>
            <w:webHidden/>
          </w:rPr>
        </w:r>
        <w:r>
          <w:rPr>
            <w:noProof/>
            <w:webHidden/>
          </w:rPr>
          <w:fldChar w:fldCharType="separate"/>
        </w:r>
        <w:r>
          <w:rPr>
            <w:noProof/>
            <w:webHidden/>
          </w:rPr>
          <w:t>7</w:t>
        </w:r>
        <w:r>
          <w:rPr>
            <w:noProof/>
            <w:webHidden/>
          </w:rPr>
          <w:fldChar w:fldCharType="end"/>
        </w:r>
      </w:hyperlink>
    </w:p>
    <w:p w14:paraId="4593AC2A" w14:textId="77777777" w:rsidR="00DA4536" w:rsidRDefault="00DA4536">
      <w:pPr>
        <w:pStyle w:val="TableofFigures"/>
        <w:tabs>
          <w:tab w:val="right" w:leader="dot" w:pos="9016"/>
        </w:tabs>
        <w:rPr>
          <w:rFonts w:eastAsiaTheme="minorEastAsia"/>
          <w:noProof/>
          <w:lang w:val="en-US"/>
        </w:rPr>
      </w:pPr>
      <w:hyperlink w:anchor="_Toc214385566" w:history="1">
        <w:r w:rsidRPr="004D6855">
          <w:rPr>
            <w:rStyle w:val="Hyperlink"/>
            <w:rFonts w:ascii="Times New Roman" w:hAnsi="Times New Roman" w:cs="Times New Roman"/>
            <w:noProof/>
          </w:rPr>
          <w:t>Table 7 ARR of Project A, Project B and Project C</w:t>
        </w:r>
        <w:r>
          <w:rPr>
            <w:noProof/>
            <w:webHidden/>
          </w:rPr>
          <w:tab/>
        </w:r>
        <w:r>
          <w:rPr>
            <w:noProof/>
            <w:webHidden/>
          </w:rPr>
          <w:fldChar w:fldCharType="begin"/>
        </w:r>
        <w:r>
          <w:rPr>
            <w:noProof/>
            <w:webHidden/>
          </w:rPr>
          <w:instrText xml:space="preserve"> PAGEREF _Toc214385566 \h </w:instrText>
        </w:r>
        <w:r>
          <w:rPr>
            <w:noProof/>
            <w:webHidden/>
          </w:rPr>
        </w:r>
        <w:r>
          <w:rPr>
            <w:noProof/>
            <w:webHidden/>
          </w:rPr>
          <w:fldChar w:fldCharType="separate"/>
        </w:r>
        <w:r>
          <w:rPr>
            <w:noProof/>
            <w:webHidden/>
          </w:rPr>
          <w:t>8</w:t>
        </w:r>
        <w:r>
          <w:rPr>
            <w:noProof/>
            <w:webHidden/>
          </w:rPr>
          <w:fldChar w:fldCharType="end"/>
        </w:r>
      </w:hyperlink>
    </w:p>
    <w:p w14:paraId="4D40B2EE" w14:textId="77777777" w:rsidR="00DA4536" w:rsidRDefault="00DA4536">
      <w:pPr>
        <w:pStyle w:val="TableofFigures"/>
        <w:tabs>
          <w:tab w:val="right" w:leader="dot" w:pos="9016"/>
        </w:tabs>
        <w:rPr>
          <w:rFonts w:eastAsiaTheme="minorEastAsia"/>
          <w:noProof/>
          <w:lang w:val="en-US"/>
        </w:rPr>
      </w:pPr>
      <w:hyperlink w:anchor="_Toc214385567" w:history="1">
        <w:r w:rsidRPr="004D6855">
          <w:rPr>
            <w:rStyle w:val="Hyperlink"/>
            <w:rFonts w:ascii="Times New Roman" w:hAnsi="Times New Roman" w:cs="Times New Roman"/>
            <w:noProof/>
          </w:rPr>
          <w:t>Table 8 Net Present Value of Project A, B and C</w:t>
        </w:r>
        <w:r>
          <w:rPr>
            <w:noProof/>
            <w:webHidden/>
          </w:rPr>
          <w:tab/>
        </w:r>
        <w:r>
          <w:rPr>
            <w:noProof/>
            <w:webHidden/>
          </w:rPr>
          <w:fldChar w:fldCharType="begin"/>
        </w:r>
        <w:r>
          <w:rPr>
            <w:noProof/>
            <w:webHidden/>
          </w:rPr>
          <w:instrText xml:space="preserve"> PAGEREF _Toc214385567 \h </w:instrText>
        </w:r>
        <w:r>
          <w:rPr>
            <w:noProof/>
            <w:webHidden/>
          </w:rPr>
        </w:r>
        <w:r>
          <w:rPr>
            <w:noProof/>
            <w:webHidden/>
          </w:rPr>
          <w:fldChar w:fldCharType="separate"/>
        </w:r>
        <w:r>
          <w:rPr>
            <w:noProof/>
            <w:webHidden/>
          </w:rPr>
          <w:t>8</w:t>
        </w:r>
        <w:r>
          <w:rPr>
            <w:noProof/>
            <w:webHidden/>
          </w:rPr>
          <w:fldChar w:fldCharType="end"/>
        </w:r>
      </w:hyperlink>
    </w:p>
    <w:p w14:paraId="461D2EF9" w14:textId="77777777" w:rsidR="00DA4536" w:rsidRDefault="00DA4536">
      <w:pPr>
        <w:pStyle w:val="TableofFigures"/>
        <w:tabs>
          <w:tab w:val="right" w:leader="dot" w:pos="9016"/>
        </w:tabs>
        <w:rPr>
          <w:rFonts w:eastAsiaTheme="minorEastAsia"/>
          <w:noProof/>
          <w:lang w:val="en-US"/>
        </w:rPr>
      </w:pPr>
      <w:hyperlink w:anchor="_Toc214385568" w:history="1">
        <w:r w:rsidRPr="004D6855">
          <w:rPr>
            <w:rStyle w:val="Hyperlink"/>
            <w:rFonts w:ascii="Times New Roman" w:hAnsi="Times New Roman" w:cs="Times New Roman"/>
            <w:noProof/>
          </w:rPr>
          <w:t>Table 9 Profitability Index of Project A, B and C</w:t>
        </w:r>
        <w:r>
          <w:rPr>
            <w:noProof/>
            <w:webHidden/>
          </w:rPr>
          <w:tab/>
        </w:r>
        <w:r>
          <w:rPr>
            <w:noProof/>
            <w:webHidden/>
          </w:rPr>
          <w:fldChar w:fldCharType="begin"/>
        </w:r>
        <w:r>
          <w:rPr>
            <w:noProof/>
            <w:webHidden/>
          </w:rPr>
          <w:instrText xml:space="preserve"> PAGEREF _Toc214385568 \h </w:instrText>
        </w:r>
        <w:r>
          <w:rPr>
            <w:noProof/>
            <w:webHidden/>
          </w:rPr>
        </w:r>
        <w:r>
          <w:rPr>
            <w:noProof/>
            <w:webHidden/>
          </w:rPr>
          <w:fldChar w:fldCharType="separate"/>
        </w:r>
        <w:r>
          <w:rPr>
            <w:noProof/>
            <w:webHidden/>
          </w:rPr>
          <w:t>9</w:t>
        </w:r>
        <w:r>
          <w:rPr>
            <w:noProof/>
            <w:webHidden/>
          </w:rPr>
          <w:fldChar w:fldCharType="end"/>
        </w:r>
      </w:hyperlink>
    </w:p>
    <w:p w14:paraId="689FF07A" w14:textId="77777777" w:rsidR="00DA4536" w:rsidRDefault="00DA4536">
      <w:pPr>
        <w:pStyle w:val="TableofFigures"/>
        <w:tabs>
          <w:tab w:val="right" w:leader="dot" w:pos="9016"/>
        </w:tabs>
        <w:rPr>
          <w:rFonts w:eastAsiaTheme="minorEastAsia"/>
          <w:noProof/>
          <w:lang w:val="en-US"/>
        </w:rPr>
      </w:pPr>
      <w:hyperlink w:anchor="_Toc214385569" w:history="1">
        <w:r w:rsidRPr="004D6855">
          <w:rPr>
            <w:rStyle w:val="Hyperlink"/>
            <w:rFonts w:ascii="Times New Roman" w:hAnsi="Times New Roman" w:cs="Times New Roman"/>
            <w:noProof/>
          </w:rPr>
          <w:t>Table 10 Internal Rate of Return-IRR of Project A, B and C</w:t>
        </w:r>
        <w:r>
          <w:rPr>
            <w:noProof/>
            <w:webHidden/>
          </w:rPr>
          <w:tab/>
        </w:r>
        <w:r>
          <w:rPr>
            <w:noProof/>
            <w:webHidden/>
          </w:rPr>
          <w:fldChar w:fldCharType="begin"/>
        </w:r>
        <w:r>
          <w:rPr>
            <w:noProof/>
            <w:webHidden/>
          </w:rPr>
          <w:instrText xml:space="preserve"> PAGEREF _Toc214385569 \h </w:instrText>
        </w:r>
        <w:r>
          <w:rPr>
            <w:noProof/>
            <w:webHidden/>
          </w:rPr>
        </w:r>
        <w:r>
          <w:rPr>
            <w:noProof/>
            <w:webHidden/>
          </w:rPr>
          <w:fldChar w:fldCharType="separate"/>
        </w:r>
        <w:r>
          <w:rPr>
            <w:noProof/>
            <w:webHidden/>
          </w:rPr>
          <w:t>10</w:t>
        </w:r>
        <w:r>
          <w:rPr>
            <w:noProof/>
            <w:webHidden/>
          </w:rPr>
          <w:fldChar w:fldCharType="end"/>
        </w:r>
      </w:hyperlink>
    </w:p>
    <w:p w14:paraId="5AD97958" w14:textId="77777777" w:rsidR="00EC03CF" w:rsidRPr="009225E6" w:rsidRDefault="00EC03CF" w:rsidP="00EC03CF">
      <w:pPr>
        <w:rPr>
          <w:rFonts w:ascii="Times New Roman" w:hAnsi="Times New Roman" w:cs="Times New Roman"/>
          <w:b/>
          <w:bCs/>
          <w:sz w:val="24"/>
        </w:rPr>
      </w:pPr>
      <w:r w:rsidRPr="009225E6">
        <w:rPr>
          <w:rFonts w:ascii="Times New Roman" w:hAnsi="Times New Roman" w:cs="Times New Roman"/>
          <w:b/>
          <w:bCs/>
          <w:sz w:val="24"/>
        </w:rPr>
        <w:fldChar w:fldCharType="end"/>
      </w:r>
    </w:p>
    <w:p w14:paraId="64111CED" w14:textId="77777777" w:rsidR="008C45E0" w:rsidRPr="009225E6" w:rsidRDefault="008C45E0" w:rsidP="009922AE">
      <w:pPr>
        <w:pStyle w:val="Caption"/>
        <w:rPr>
          <w:rFonts w:ascii="Times New Roman" w:hAnsi="Times New Roman" w:cs="Times New Roman"/>
          <w:b w:val="0"/>
          <w:bCs w:val="0"/>
          <w:sz w:val="24"/>
        </w:rPr>
        <w:sectPr w:rsidR="008C45E0" w:rsidRPr="009225E6" w:rsidSect="008C45E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cols w:space="708"/>
          <w:docGrid w:linePitch="360"/>
        </w:sectPr>
      </w:pPr>
    </w:p>
    <w:p w14:paraId="7F8FA8E1" w14:textId="77777777" w:rsidR="005347DF" w:rsidRPr="009225E6" w:rsidRDefault="005347DF" w:rsidP="005347DF">
      <w:pPr>
        <w:spacing w:line="360" w:lineRule="auto"/>
        <w:rPr>
          <w:rFonts w:ascii="Times New Roman" w:hAnsi="Times New Roman" w:cs="Times New Roman"/>
          <w:b/>
          <w:bCs/>
        </w:rPr>
      </w:pPr>
      <w:r w:rsidRPr="009225E6">
        <w:rPr>
          <w:rFonts w:ascii="Times New Roman" w:hAnsi="Times New Roman" w:cs="Times New Roman"/>
          <w:noProof/>
          <w:lang w:val="en-US"/>
        </w:rPr>
        <w:lastRenderedPageBreak/>
        <mc:AlternateContent>
          <mc:Choice Requires="wps">
            <w:drawing>
              <wp:anchor distT="0" distB="0" distL="114300" distR="114300" simplePos="0" relativeHeight="251662336" behindDoc="0" locked="0" layoutInCell="1" allowOverlap="1" wp14:anchorId="273FDAB7" wp14:editId="57B65687">
                <wp:simplePos x="0" y="0"/>
                <wp:positionH relativeFrom="column">
                  <wp:posOffset>0</wp:posOffset>
                </wp:positionH>
                <wp:positionV relativeFrom="paragraph">
                  <wp:posOffset>-22225</wp:posOffset>
                </wp:positionV>
                <wp:extent cx="5804535" cy="659130"/>
                <wp:effectExtent l="0" t="0" r="5715" b="7620"/>
                <wp:wrapSquare wrapText="bothSides"/>
                <wp:docPr id="14" name="Text Box 14"/>
                <wp:cNvGraphicFramePr/>
                <a:graphic xmlns:a="http://schemas.openxmlformats.org/drawingml/2006/main">
                  <a:graphicData uri="http://schemas.microsoft.com/office/word/2010/wordprocessingShape">
                    <wps:wsp>
                      <wps:cNvSpPr txBox="1"/>
                      <wps:spPr>
                        <a:xfrm>
                          <a:off x="0" y="0"/>
                          <a:ext cx="5804535" cy="659130"/>
                        </a:xfrm>
                        <a:prstGeom prst="rect">
                          <a:avLst/>
                        </a:prstGeom>
                        <a:solidFill>
                          <a:schemeClr val="bg1">
                            <a:lumMod val="95000"/>
                          </a:schemeClr>
                        </a:solidFill>
                        <a:ln>
                          <a:noFill/>
                        </a:ln>
                        <a:effectLst/>
                      </wps:spPr>
                      <wps:txbx>
                        <w:txbxContent>
                          <w:p w14:paraId="01790391" w14:textId="77777777" w:rsidR="00CC6BA8" w:rsidRPr="00C30601" w:rsidRDefault="00CC6BA8"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C30601">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3FDAB7" id="_x0000_t202" coordsize="21600,21600" o:spt="202" path="m,l,21600r21600,l21600,xe">
                <v:stroke joinstyle="miter"/>
                <v:path gradientshapeok="t" o:connecttype="rect"/>
              </v:shapetype>
              <v:shape id="Text Box 14" o:spid="_x0000_s1026" type="#_x0000_t202" style="position:absolute;margin-left:0;margin-top:-1.75pt;width:457.05pt;height:5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" fillcolor="#f2f2f2 [3052]" stroked="f">
                <v:textbox>
                  <w:txbxContent>
                    <w:p w14:paraId="01790391" w14:textId="77777777" w:rsidR="00CC6BA8" w:rsidRPr="00C30601" w:rsidRDefault="00CC6BA8"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C30601">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v:textbox>
                <w10:wrap type="square"/>
              </v:shape>
            </w:pict>
          </mc:Fallback>
        </mc:AlternateContent>
      </w:r>
    </w:p>
    <w:p w14:paraId="454EB873" w14:textId="77777777" w:rsidR="005347DF" w:rsidRPr="009225E6" w:rsidRDefault="005347DF" w:rsidP="005347DF">
      <w:pPr>
        <w:spacing w:line="360" w:lineRule="auto"/>
        <w:rPr>
          <w:rFonts w:ascii="Times New Roman" w:hAnsi="Times New Roman" w:cs="Times New Roman"/>
          <w:sz w:val="24"/>
        </w:rPr>
      </w:pPr>
      <w:r w:rsidRPr="009225E6">
        <w:rPr>
          <w:rFonts w:ascii="Times New Roman" w:hAnsi="Times New Roman" w:cs="Times New Roman"/>
          <w:b/>
          <w:bCs/>
          <w:sz w:val="24"/>
        </w:rPr>
        <w:t>To:</w:t>
      </w:r>
      <w:r w:rsidRPr="009225E6">
        <w:rPr>
          <w:rFonts w:ascii="Times New Roman" w:hAnsi="Times New Roman" w:cs="Times New Roman"/>
          <w:sz w:val="24"/>
        </w:rPr>
        <w:t> </w:t>
      </w:r>
      <w:r w:rsidR="0029431B" w:rsidRPr="009225E6">
        <w:rPr>
          <w:rFonts w:ascii="Times New Roman" w:hAnsi="Times New Roman" w:cs="Times New Roman"/>
          <w:sz w:val="24"/>
        </w:rPr>
        <w:t xml:space="preserve">       </w:t>
      </w:r>
      <w:r w:rsidRPr="009225E6">
        <w:rPr>
          <w:rFonts w:ascii="Times New Roman" w:hAnsi="Times New Roman" w:cs="Times New Roman"/>
          <w:sz w:val="24"/>
        </w:rPr>
        <w:t>The Board of Directors, General Electronics</w:t>
      </w:r>
      <w:r w:rsidRPr="009225E6">
        <w:rPr>
          <w:rFonts w:ascii="Times New Roman" w:hAnsi="Times New Roman" w:cs="Times New Roman"/>
          <w:sz w:val="24"/>
        </w:rPr>
        <w:br/>
      </w:r>
      <w:r w:rsidRPr="009225E6">
        <w:rPr>
          <w:rFonts w:ascii="Times New Roman" w:hAnsi="Times New Roman" w:cs="Times New Roman"/>
          <w:b/>
          <w:bCs/>
          <w:sz w:val="24"/>
        </w:rPr>
        <w:t>From:</w:t>
      </w:r>
      <w:r w:rsidRPr="009225E6">
        <w:rPr>
          <w:rFonts w:ascii="Times New Roman" w:hAnsi="Times New Roman" w:cs="Times New Roman"/>
          <w:sz w:val="24"/>
        </w:rPr>
        <w:t> </w:t>
      </w:r>
      <w:r w:rsidR="0029431B" w:rsidRPr="009225E6">
        <w:rPr>
          <w:rFonts w:ascii="Times New Roman" w:hAnsi="Times New Roman" w:cs="Times New Roman"/>
          <w:sz w:val="24"/>
        </w:rPr>
        <w:t xml:space="preserve">   </w:t>
      </w:r>
      <w:r w:rsidRPr="009225E6">
        <w:rPr>
          <w:rFonts w:ascii="Times New Roman" w:hAnsi="Times New Roman" w:cs="Times New Roman"/>
          <w:sz w:val="24"/>
        </w:rPr>
        <w:t>Chief Financial Officer</w:t>
      </w:r>
      <w:r w:rsidR="006D5224">
        <w:rPr>
          <w:rFonts w:ascii="Times New Roman" w:hAnsi="Times New Roman" w:cs="Times New Roman"/>
          <w:sz w:val="24"/>
        </w:rPr>
        <w:t>-CFO</w:t>
      </w:r>
      <w:r w:rsidRPr="009225E6">
        <w:rPr>
          <w:rFonts w:ascii="Times New Roman" w:hAnsi="Times New Roman" w:cs="Times New Roman"/>
          <w:sz w:val="24"/>
        </w:rPr>
        <w:br/>
      </w:r>
      <w:r w:rsidRPr="009225E6">
        <w:rPr>
          <w:rFonts w:ascii="Times New Roman" w:hAnsi="Times New Roman" w:cs="Times New Roman"/>
          <w:b/>
          <w:bCs/>
          <w:sz w:val="24"/>
        </w:rPr>
        <w:t>Date:</w:t>
      </w:r>
      <w:r w:rsidRPr="009225E6">
        <w:rPr>
          <w:rFonts w:ascii="Times New Roman" w:hAnsi="Times New Roman" w:cs="Times New Roman"/>
          <w:sz w:val="24"/>
        </w:rPr>
        <w:t> </w:t>
      </w:r>
      <w:r w:rsidR="0029431B" w:rsidRPr="009225E6">
        <w:rPr>
          <w:rFonts w:ascii="Times New Roman" w:hAnsi="Times New Roman" w:cs="Times New Roman"/>
          <w:sz w:val="24"/>
        </w:rPr>
        <w:t xml:space="preserve">    </w:t>
      </w:r>
      <w:r w:rsidR="008011DB">
        <w:rPr>
          <w:rFonts w:ascii="Times New Roman" w:hAnsi="Times New Roman" w:cs="Times New Roman"/>
          <w:sz w:val="24"/>
        </w:rPr>
        <w:t>19</w:t>
      </w:r>
      <w:r w:rsidRPr="009225E6">
        <w:rPr>
          <w:rFonts w:ascii="Times New Roman" w:hAnsi="Times New Roman" w:cs="Times New Roman"/>
          <w:sz w:val="24"/>
        </w:rPr>
        <w:t xml:space="preserve"> </w:t>
      </w:r>
      <w:r w:rsidR="008011DB">
        <w:rPr>
          <w:rFonts w:ascii="Times New Roman" w:hAnsi="Times New Roman" w:cs="Times New Roman"/>
          <w:sz w:val="24"/>
        </w:rPr>
        <w:t>November</w:t>
      </w:r>
      <w:r w:rsidRPr="009225E6">
        <w:rPr>
          <w:rFonts w:ascii="Times New Roman" w:hAnsi="Times New Roman" w:cs="Times New Roman"/>
          <w:sz w:val="24"/>
        </w:rPr>
        <w:t xml:space="preserve"> 2025</w:t>
      </w:r>
      <w:r w:rsidRPr="009225E6">
        <w:rPr>
          <w:rFonts w:ascii="Times New Roman" w:hAnsi="Times New Roman" w:cs="Times New Roman"/>
          <w:sz w:val="24"/>
        </w:rPr>
        <w:br/>
      </w:r>
      <w:r w:rsidRPr="009225E6">
        <w:rPr>
          <w:rFonts w:ascii="Times New Roman" w:hAnsi="Times New Roman" w:cs="Times New Roman"/>
          <w:b/>
          <w:bCs/>
          <w:sz w:val="24"/>
        </w:rPr>
        <w:t>Subject:</w:t>
      </w:r>
      <w:r w:rsidRPr="009225E6">
        <w:rPr>
          <w:rFonts w:ascii="Times New Roman" w:hAnsi="Times New Roman" w:cs="Times New Roman"/>
          <w:sz w:val="24"/>
        </w:rPr>
        <w:t> Financial Health Check and Preliminary Turnaround Strategy</w:t>
      </w:r>
    </w:p>
    <w:p w14:paraId="7806DF3A" w14:textId="77777777" w:rsidR="00145784" w:rsidRPr="009225E6" w:rsidRDefault="00145784" w:rsidP="00135C1B">
      <w:pPr>
        <w:pStyle w:val="Heading1"/>
        <w:jc w:val="both"/>
        <w:rPr>
          <w:rFonts w:ascii="Times New Roman" w:hAnsi="Times New Roman" w:cs="Times New Roman"/>
        </w:rPr>
      </w:pPr>
      <w:bookmarkStart w:id="0" w:name="_Toc210237833"/>
      <w:r w:rsidRPr="009225E6">
        <w:rPr>
          <w:rFonts w:ascii="Times New Roman" w:hAnsi="Times New Roman" w:cs="Times New Roman"/>
        </w:rPr>
        <w:t>Executive Summary</w:t>
      </w:r>
      <w:bookmarkEnd w:id="0"/>
      <w:r w:rsidRPr="009225E6">
        <w:rPr>
          <w:rFonts w:ascii="Times New Roman" w:hAnsi="Times New Roman" w:cs="Times New Roman"/>
        </w:rPr>
        <w:t xml:space="preserve"> </w:t>
      </w:r>
    </w:p>
    <w:p w14:paraId="3AAEB0E7" w14:textId="77777777" w:rsidR="00145784" w:rsidRPr="009225E6" w:rsidRDefault="00556320" w:rsidP="00145784">
      <w:pPr>
        <w:spacing w:line="360" w:lineRule="auto"/>
        <w:jc w:val="both"/>
        <w:rPr>
          <w:rFonts w:ascii="Times New Roman" w:hAnsi="Times New Roman" w:cs="Times New Roman"/>
          <w:sz w:val="24"/>
        </w:rPr>
      </w:pPr>
      <w:r w:rsidRPr="00556320">
        <w:rPr>
          <w:rFonts w:ascii="Times New Roman" w:hAnsi="Times New Roman" w:cs="Times New Roman"/>
          <w:sz w:val="24"/>
        </w:rPr>
        <w:t>General Electronics is facing serious liquidity threat and un</w:t>
      </w:r>
      <w:r w:rsidR="009675B1">
        <w:rPr>
          <w:rFonts w:ascii="Times New Roman" w:hAnsi="Times New Roman" w:cs="Times New Roman"/>
          <w:sz w:val="24"/>
        </w:rPr>
        <w:t xml:space="preserve">profitable business. Our </w:t>
      </w:r>
      <w:r w:rsidRPr="00556320">
        <w:rPr>
          <w:rFonts w:ascii="Times New Roman" w:hAnsi="Times New Roman" w:cs="Times New Roman"/>
          <w:sz w:val="24"/>
        </w:rPr>
        <w:t>evaluation</w:t>
      </w:r>
      <w:r w:rsidR="009675B1">
        <w:rPr>
          <w:rFonts w:ascii="Times New Roman" w:hAnsi="Times New Roman" w:cs="Times New Roman"/>
          <w:sz w:val="24"/>
        </w:rPr>
        <w:t xml:space="preserve"> of the company</w:t>
      </w:r>
      <w:r w:rsidRPr="00556320">
        <w:rPr>
          <w:rFonts w:ascii="Times New Roman" w:hAnsi="Times New Roman" w:cs="Times New Roman"/>
          <w:sz w:val="24"/>
        </w:rPr>
        <w:t>, we reveal a critically unfavourable quick ratio and unsustainable operating outlays. The prescribed turnaround triggers working-capital restructuring in real time, by which the strategic asset optimisation is to be carried out. Project C is the required capital under capital rationing, and provides high quality and capital savings to create a viable, scalable and ethical recovery.</w:t>
      </w:r>
    </w:p>
    <w:p w14:paraId="5AC55912" w14:textId="77777777" w:rsidR="00FD0388" w:rsidRPr="009225E6" w:rsidRDefault="00FD0388" w:rsidP="00135C1B">
      <w:pPr>
        <w:pStyle w:val="Heading1"/>
        <w:jc w:val="both"/>
        <w:rPr>
          <w:rFonts w:ascii="Times New Roman" w:hAnsi="Times New Roman" w:cs="Times New Roman"/>
        </w:rPr>
      </w:pPr>
      <w:bookmarkStart w:id="1" w:name="_Toc210237834"/>
      <w:r w:rsidRPr="009225E6">
        <w:rPr>
          <w:rFonts w:ascii="Times New Roman" w:hAnsi="Times New Roman" w:cs="Times New Roman"/>
        </w:rPr>
        <w:t>Introduction</w:t>
      </w:r>
      <w:bookmarkEnd w:id="1"/>
    </w:p>
    <w:p w14:paraId="5FF6E87F" w14:textId="77777777" w:rsidR="009E7F8E" w:rsidRPr="009225E6" w:rsidRDefault="00556320" w:rsidP="00807E6F">
      <w:pPr>
        <w:spacing w:line="360" w:lineRule="auto"/>
        <w:jc w:val="both"/>
        <w:rPr>
          <w:rFonts w:ascii="Times New Roman" w:hAnsi="Times New Roman" w:cs="Times New Roman"/>
          <w:sz w:val="24"/>
          <w:szCs w:val="24"/>
          <w:lang w:val="en-US"/>
        </w:rPr>
      </w:pPr>
      <w:r w:rsidRPr="00556320">
        <w:rPr>
          <w:rFonts w:ascii="Times New Roman" w:hAnsi="Times New Roman" w:cs="Times New Roman"/>
          <w:sz w:val="24"/>
          <w:szCs w:val="24"/>
        </w:rPr>
        <w:t>I work as the new Chief Financial Officer of General Electronics and I deal with the ineffective financial condition of the company. The threats of serious profitability and liquidity facing this international consumer-electronics firm have forced the need to adopt a</w:t>
      </w:r>
      <w:r w:rsidR="00D97D17">
        <w:rPr>
          <w:rFonts w:ascii="Times New Roman" w:hAnsi="Times New Roman" w:cs="Times New Roman"/>
          <w:sz w:val="24"/>
          <w:szCs w:val="24"/>
        </w:rPr>
        <w:t>n urgent and comprehensive turn-</w:t>
      </w:r>
      <w:r w:rsidRPr="00556320">
        <w:rPr>
          <w:rFonts w:ascii="Times New Roman" w:hAnsi="Times New Roman" w:cs="Times New Roman"/>
          <w:sz w:val="24"/>
          <w:szCs w:val="24"/>
        </w:rPr>
        <w:t xml:space="preserve">around plan. This </w:t>
      </w:r>
      <w:r w:rsidR="00F23201">
        <w:rPr>
          <w:rFonts w:ascii="Times New Roman" w:hAnsi="Times New Roman" w:cs="Times New Roman"/>
          <w:sz w:val="24"/>
          <w:szCs w:val="24"/>
        </w:rPr>
        <w:t>study</w:t>
      </w:r>
      <w:r w:rsidRPr="00556320">
        <w:rPr>
          <w:rFonts w:ascii="Times New Roman" w:hAnsi="Times New Roman" w:cs="Times New Roman"/>
          <w:sz w:val="24"/>
          <w:szCs w:val="24"/>
        </w:rPr>
        <w:t xml:space="preserve"> suggests a strategic restructuring strategy and ends with a thorough going concern investment appraisal to provide the company with a financially viable, scalable and ethically-based roadmap to move it out of desperation and into an ethically-driven sustainable profitability.</w:t>
      </w:r>
    </w:p>
    <w:p w14:paraId="1E422BA0" w14:textId="77777777" w:rsidR="009E7F8E" w:rsidRPr="009225E6" w:rsidRDefault="009E7F8E" w:rsidP="00CE2CA0">
      <w:pPr>
        <w:pStyle w:val="Heading2"/>
        <w:numPr>
          <w:ilvl w:val="0"/>
          <w:numId w:val="7"/>
        </w:numPr>
        <w:rPr>
          <w:rFonts w:ascii="Times New Roman" w:hAnsi="Times New Roman" w:cs="Times New Roman"/>
          <w:lang w:val="en-US"/>
        </w:rPr>
      </w:pPr>
      <w:bookmarkStart w:id="2" w:name="_Toc210237835"/>
      <w:r w:rsidRPr="009225E6">
        <w:rPr>
          <w:rFonts w:ascii="Times New Roman" w:hAnsi="Times New Roman" w:cs="Times New Roman"/>
          <w:lang w:val="en-US"/>
        </w:rPr>
        <w:t>Financial Health Check</w:t>
      </w:r>
      <w:bookmarkEnd w:id="2"/>
      <w:r w:rsidRPr="009225E6">
        <w:rPr>
          <w:rFonts w:ascii="Times New Roman" w:hAnsi="Times New Roman" w:cs="Times New Roman"/>
          <w:lang w:val="en-US"/>
        </w:rPr>
        <w:t xml:space="preserve"> </w:t>
      </w:r>
    </w:p>
    <w:p w14:paraId="6B906AA5" w14:textId="77777777" w:rsidR="00BF4D56" w:rsidRPr="009225E6" w:rsidRDefault="00556320" w:rsidP="009E7F8E">
      <w:pPr>
        <w:spacing w:line="360" w:lineRule="auto"/>
        <w:jc w:val="both"/>
        <w:rPr>
          <w:rFonts w:ascii="Times New Roman" w:hAnsi="Times New Roman" w:cs="Times New Roman"/>
          <w:sz w:val="24"/>
          <w:szCs w:val="24"/>
        </w:rPr>
      </w:pPr>
      <w:r w:rsidRPr="00556320">
        <w:rPr>
          <w:rFonts w:ascii="Times New Roman" w:hAnsi="Times New Roman" w:cs="Times New Roman"/>
          <w:sz w:val="24"/>
          <w:szCs w:val="24"/>
        </w:rPr>
        <w:t>This review indicates a financial analysis/forensics of the financial ratios of General Electronics in 2020-24. The patterns recorded in terms of profitability, liquidity, efficiency, gearing and investment ratios paint a picture of a firm which is in deep trouble and is facing a severe liquidity crisis making even its severe profitability issues shadowy. Comprehensive calculations of t</w:t>
      </w:r>
      <w:r>
        <w:rPr>
          <w:rFonts w:ascii="Times New Roman" w:hAnsi="Times New Roman" w:cs="Times New Roman"/>
          <w:sz w:val="24"/>
          <w:szCs w:val="24"/>
        </w:rPr>
        <w:t>he below ratios are presented</w:t>
      </w:r>
      <w:r w:rsidR="002A079B">
        <w:rPr>
          <w:rFonts w:ascii="Times New Roman" w:hAnsi="Times New Roman" w:cs="Times New Roman"/>
          <w:sz w:val="24"/>
          <w:szCs w:val="24"/>
        </w:rPr>
        <w:t xml:space="preserve"> at </w:t>
      </w:r>
      <w:r w:rsidR="002A079B" w:rsidRPr="002A079B">
        <w:rPr>
          <w:rFonts w:ascii="Times New Roman" w:hAnsi="Times New Roman" w:cs="Times New Roman"/>
          <w:b/>
          <w:i/>
          <w:sz w:val="24"/>
          <w:szCs w:val="24"/>
        </w:rPr>
        <w:t>Appendix-I</w:t>
      </w:r>
      <w:r w:rsidR="002A079B">
        <w:rPr>
          <w:rFonts w:ascii="Times New Roman" w:hAnsi="Times New Roman" w:cs="Times New Roman"/>
          <w:sz w:val="24"/>
          <w:szCs w:val="24"/>
        </w:rPr>
        <w:t>.</w:t>
      </w:r>
    </w:p>
    <w:p w14:paraId="1E582DC3" w14:textId="77777777" w:rsidR="00A537DC" w:rsidRPr="009225E6" w:rsidRDefault="00703CAB" w:rsidP="009E7F8E">
      <w:pPr>
        <w:spacing w:line="360" w:lineRule="auto"/>
        <w:jc w:val="both"/>
        <w:rPr>
          <w:rFonts w:ascii="Times New Roman" w:hAnsi="Times New Roman" w:cs="Times New Roman"/>
          <w:sz w:val="24"/>
          <w:szCs w:val="24"/>
        </w:rPr>
      </w:pPr>
      <w:r w:rsidRPr="009225E6">
        <w:rPr>
          <w:rFonts w:ascii="Times New Roman" w:hAnsi="Times New Roman" w:cs="Times New Roman"/>
          <w:noProof/>
          <w:lang w:val="en-US"/>
        </w:rPr>
        <w:lastRenderedPageBreak/>
        <w:drawing>
          <wp:inline distT="0" distB="0" distL="0" distR="0" wp14:anchorId="09224DCA" wp14:editId="040F0292">
            <wp:extent cx="5731510" cy="438137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381373"/>
                    </a:xfrm>
                    <a:prstGeom prst="rect">
                      <a:avLst/>
                    </a:prstGeom>
                    <a:noFill/>
                    <a:ln>
                      <a:noFill/>
                    </a:ln>
                  </pic:spPr>
                </pic:pic>
              </a:graphicData>
            </a:graphic>
          </wp:inline>
        </w:drawing>
      </w:r>
    </w:p>
    <w:p w14:paraId="37E04205" w14:textId="77777777" w:rsidR="00CE2CA0" w:rsidRPr="009225E6" w:rsidRDefault="00FF4535" w:rsidP="00FF4535">
      <w:pPr>
        <w:pStyle w:val="Caption"/>
        <w:jc w:val="center"/>
        <w:rPr>
          <w:rFonts w:ascii="Times New Roman" w:hAnsi="Times New Roman" w:cs="Times New Roman"/>
        </w:rPr>
      </w:pPr>
      <w:bookmarkStart w:id="3" w:name="_Toc214385560"/>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1</w:t>
      </w:r>
      <w:r w:rsidRPr="009225E6">
        <w:rPr>
          <w:rFonts w:ascii="Times New Roman" w:hAnsi="Times New Roman" w:cs="Times New Roman"/>
        </w:rPr>
        <w:fldChar w:fldCharType="end"/>
      </w:r>
      <w:r w:rsidRPr="009225E6">
        <w:rPr>
          <w:rFonts w:ascii="Times New Roman" w:hAnsi="Times New Roman" w:cs="Times New Roman"/>
        </w:rPr>
        <w:t xml:space="preserve"> Calculating Ratios</w:t>
      </w:r>
      <w:bookmarkEnd w:id="3"/>
    </w:p>
    <w:p w14:paraId="31518BCA" w14:textId="77777777" w:rsidR="00DD7F6B" w:rsidRPr="009225E6" w:rsidRDefault="00DD7F6B" w:rsidP="00DD7F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206C9349" w14:textId="77777777" w:rsidR="00807E6F" w:rsidRPr="009225E6" w:rsidRDefault="00BF4D56" w:rsidP="00CE2CA0">
      <w:pPr>
        <w:pStyle w:val="Heading3"/>
        <w:rPr>
          <w:rFonts w:ascii="Times New Roman" w:hAnsi="Times New Roman" w:cs="Times New Roman"/>
          <w:lang w:val="en-US"/>
        </w:rPr>
      </w:pPr>
      <w:r w:rsidRPr="009225E6">
        <w:rPr>
          <w:rFonts w:ascii="Times New Roman" w:hAnsi="Times New Roman" w:cs="Times New Roman"/>
        </w:rPr>
        <w:t xml:space="preserve"> </w:t>
      </w:r>
      <w:bookmarkStart w:id="4" w:name="_Toc210237836"/>
      <w:r w:rsidR="00CE2CA0" w:rsidRPr="009225E6">
        <w:rPr>
          <w:rFonts w:ascii="Times New Roman" w:hAnsi="Times New Roman" w:cs="Times New Roman"/>
        </w:rPr>
        <w:t xml:space="preserve">1.1.1 </w:t>
      </w:r>
      <w:r w:rsidR="00807E6F" w:rsidRPr="009225E6">
        <w:rPr>
          <w:rFonts w:ascii="Times New Roman" w:hAnsi="Times New Roman" w:cs="Times New Roman"/>
          <w:lang w:val="en-US"/>
        </w:rPr>
        <w:t>Profitability: A Collapse in Value Creation</w:t>
      </w:r>
      <w:bookmarkEnd w:id="4"/>
    </w:p>
    <w:p w14:paraId="005B1544" w14:textId="77777777" w:rsidR="0023111D" w:rsidRDefault="0023111D" w:rsidP="00807E6F">
      <w:pPr>
        <w:spacing w:line="360" w:lineRule="auto"/>
        <w:jc w:val="both"/>
        <w:rPr>
          <w:rFonts w:ascii="Times New Roman" w:hAnsi="Times New Roman" w:cs="Times New Roman"/>
          <w:sz w:val="24"/>
          <w:szCs w:val="24"/>
        </w:rPr>
      </w:pPr>
      <w:r>
        <w:rPr>
          <w:rFonts w:ascii="Times New Roman" w:hAnsi="Times New Roman" w:cs="Times New Roman"/>
          <w:sz w:val="24"/>
          <w:szCs w:val="24"/>
        </w:rPr>
        <w:t>Profitability Ratios</w:t>
      </w:r>
    </w:p>
    <w:p w14:paraId="414B7897" w14:textId="77777777" w:rsidR="00F648F9" w:rsidRDefault="00F648F9" w:rsidP="00F648F9">
      <w:pPr>
        <w:spacing w:line="360" w:lineRule="auto"/>
        <w:jc w:val="center"/>
        <w:rPr>
          <w:rFonts w:ascii="Times New Roman" w:hAnsi="Times New Roman" w:cs="Times New Roman"/>
          <w:sz w:val="24"/>
          <w:szCs w:val="24"/>
        </w:rPr>
      </w:pPr>
      <w:r w:rsidRPr="00F648F9">
        <w:rPr>
          <w:noProof/>
          <w:lang w:val="en-US"/>
        </w:rPr>
        <w:drawing>
          <wp:inline distT="0" distB="0" distL="0" distR="0" wp14:anchorId="4EE259C1" wp14:editId="5C9A1C3A">
            <wp:extent cx="5726441" cy="13716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372814"/>
                    </a:xfrm>
                    <a:prstGeom prst="rect">
                      <a:avLst/>
                    </a:prstGeom>
                    <a:noFill/>
                    <a:ln>
                      <a:noFill/>
                    </a:ln>
                  </pic:spPr>
                </pic:pic>
              </a:graphicData>
            </a:graphic>
          </wp:inline>
        </w:drawing>
      </w:r>
    </w:p>
    <w:p w14:paraId="075E1D1D" w14:textId="77777777" w:rsidR="0023111D" w:rsidRPr="00F648F9" w:rsidRDefault="00F648F9" w:rsidP="00F648F9">
      <w:pPr>
        <w:pStyle w:val="Caption"/>
        <w:jc w:val="center"/>
        <w:rPr>
          <w:rFonts w:ascii="Times New Roman" w:hAnsi="Times New Roman" w:cs="Times New Roman"/>
          <w:sz w:val="24"/>
          <w:szCs w:val="24"/>
        </w:rPr>
      </w:pPr>
      <w:r>
        <w:t xml:space="preserve">Figure </w:t>
      </w:r>
      <w:fldSimple w:instr=" SEQ Figure \* ARABIC ">
        <w:r w:rsidR="00E570DE">
          <w:rPr>
            <w:noProof/>
          </w:rPr>
          <w:t>1</w:t>
        </w:r>
      </w:fldSimple>
      <w:r>
        <w:t xml:space="preserve"> </w:t>
      </w:r>
      <w:r w:rsidRPr="00BA2619">
        <w:t>Profitability Ratios</w:t>
      </w:r>
    </w:p>
    <w:p w14:paraId="408FA4BF" w14:textId="77777777" w:rsidR="0023111D" w:rsidRDefault="0023111D" w:rsidP="00F648F9">
      <w:pPr>
        <w:spacing w:line="360" w:lineRule="auto"/>
        <w:jc w:val="center"/>
        <w:rPr>
          <w:rFonts w:ascii="Times New Roman" w:hAnsi="Times New Roman" w:cs="Times New Roman"/>
          <w:sz w:val="24"/>
          <w:szCs w:val="24"/>
        </w:rPr>
      </w:pPr>
      <w:r>
        <w:rPr>
          <w:noProof/>
          <w:lang w:val="en-US"/>
        </w:rPr>
        <w:lastRenderedPageBreak/>
        <w:drawing>
          <wp:inline distT="0" distB="0" distL="0" distR="0" wp14:anchorId="1F39B21E" wp14:editId="0372E299">
            <wp:extent cx="4572000" cy="25527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1B00A9A" w14:textId="77777777" w:rsidR="0023111D" w:rsidRDefault="0023111D" w:rsidP="00F648F9">
      <w:pPr>
        <w:spacing w:line="360" w:lineRule="auto"/>
        <w:jc w:val="center"/>
        <w:rPr>
          <w:rFonts w:ascii="Times New Roman" w:hAnsi="Times New Roman" w:cs="Times New Roman"/>
          <w:sz w:val="24"/>
          <w:szCs w:val="24"/>
        </w:rPr>
      </w:pPr>
      <w:r>
        <w:rPr>
          <w:noProof/>
          <w:lang w:val="en-US"/>
        </w:rPr>
        <w:drawing>
          <wp:inline distT="0" distB="0" distL="0" distR="0" wp14:anchorId="696BB5D0" wp14:editId="642AC92C">
            <wp:extent cx="4572000" cy="25527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93A045" w14:textId="77777777" w:rsidR="0023111D" w:rsidRDefault="0023111D" w:rsidP="00F648F9">
      <w:pPr>
        <w:spacing w:line="360" w:lineRule="auto"/>
        <w:jc w:val="center"/>
        <w:rPr>
          <w:rFonts w:ascii="Times New Roman" w:hAnsi="Times New Roman" w:cs="Times New Roman"/>
          <w:sz w:val="24"/>
          <w:szCs w:val="24"/>
        </w:rPr>
      </w:pPr>
      <w:r>
        <w:rPr>
          <w:noProof/>
          <w:lang w:val="en-US"/>
        </w:rPr>
        <w:drawing>
          <wp:inline distT="0" distB="0" distL="0" distR="0" wp14:anchorId="58748A4E" wp14:editId="09EAACB4">
            <wp:extent cx="4572000" cy="25527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78473D" w14:textId="77777777" w:rsidR="0023111D" w:rsidRDefault="0023111D" w:rsidP="00F648F9">
      <w:pPr>
        <w:spacing w:line="360" w:lineRule="auto"/>
        <w:jc w:val="center"/>
        <w:rPr>
          <w:rFonts w:ascii="Times New Roman" w:hAnsi="Times New Roman" w:cs="Times New Roman"/>
          <w:sz w:val="24"/>
          <w:szCs w:val="24"/>
        </w:rPr>
      </w:pPr>
      <w:r>
        <w:rPr>
          <w:noProof/>
          <w:lang w:val="en-US"/>
        </w:rPr>
        <w:lastRenderedPageBreak/>
        <w:drawing>
          <wp:inline distT="0" distB="0" distL="0" distR="0" wp14:anchorId="0AF02B1E" wp14:editId="3AB2DA71">
            <wp:extent cx="4572000" cy="2552700"/>
            <wp:effectExtent l="0" t="0" r="19050" b="190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51D6A2" w14:textId="77777777" w:rsidR="00F648F9" w:rsidRDefault="00F648F9" w:rsidP="00F648F9">
      <w:pPr>
        <w:pStyle w:val="Caption"/>
        <w:jc w:val="center"/>
        <w:rPr>
          <w:rFonts w:ascii="Times New Roman" w:hAnsi="Times New Roman" w:cs="Times New Roman"/>
          <w:sz w:val="24"/>
          <w:szCs w:val="24"/>
        </w:rPr>
      </w:pPr>
      <w:r>
        <w:t xml:space="preserve">Figure </w:t>
      </w:r>
      <w:fldSimple w:instr=" SEQ Figure \* ARABIC ">
        <w:r w:rsidR="00E570DE">
          <w:rPr>
            <w:noProof/>
          </w:rPr>
          <w:t>2</w:t>
        </w:r>
      </w:fldSimple>
      <w:r>
        <w:t xml:space="preserve"> Charts of </w:t>
      </w:r>
      <w:r w:rsidRPr="0025766E">
        <w:t>Profitability Ratios</w:t>
      </w:r>
      <w:r>
        <w:t>-ROCE, ROA, GPR, OPPR</w:t>
      </w:r>
    </w:p>
    <w:p w14:paraId="02A3FF37" w14:textId="77777777" w:rsidR="00807E6F" w:rsidRPr="009225E6" w:rsidRDefault="00113FB0" w:rsidP="00807E6F">
      <w:pPr>
        <w:spacing w:line="360" w:lineRule="auto"/>
        <w:jc w:val="both"/>
        <w:rPr>
          <w:rFonts w:ascii="Times New Roman" w:hAnsi="Times New Roman" w:cs="Times New Roman"/>
          <w:sz w:val="24"/>
          <w:szCs w:val="24"/>
          <w:lang w:val="en-US"/>
        </w:rPr>
      </w:pPr>
      <w:r w:rsidRPr="00113FB0">
        <w:rPr>
          <w:rFonts w:ascii="Times New Roman" w:hAnsi="Times New Roman" w:cs="Times New Roman"/>
          <w:sz w:val="24"/>
          <w:szCs w:val="24"/>
        </w:rPr>
        <w:t>Profitability ratios show that there is a basic breakdown in the core business model of the company. The Return on Capital Employed (ROCE), an efficiency measure of profit generation through total capital, has an equitably devastating performance of 11 -9 -44 in a progression of 2020 -2022 -2024. It implies that the company is slaughtering instead of building value to its financiers (Penman, 2013). This decline is further seen in Return on Equity (ROE) which declined at a faster rate during the period because the value of shareholder wealth was</w:t>
      </w:r>
      <w:r w:rsidR="003558CF">
        <w:rPr>
          <w:rFonts w:ascii="Times New Roman" w:hAnsi="Times New Roman" w:cs="Times New Roman"/>
          <w:sz w:val="24"/>
          <w:szCs w:val="24"/>
        </w:rPr>
        <w:t xml:space="preserve"> washed away at a rate of 12</w:t>
      </w:r>
      <w:r w:rsidR="003558CF">
        <w:rPr>
          <w:rFonts w:ascii="Algerian" w:hAnsi="Algerian" w:cs="Times New Roman"/>
          <w:sz w:val="24"/>
          <w:szCs w:val="24"/>
        </w:rPr>
        <w:t>%</w:t>
      </w:r>
      <w:r w:rsidR="003558CF">
        <w:rPr>
          <w:rFonts w:ascii="Times New Roman" w:hAnsi="Times New Roman" w:cs="Times New Roman"/>
          <w:sz w:val="24"/>
          <w:szCs w:val="24"/>
        </w:rPr>
        <w:t xml:space="preserve"> to -16</w:t>
      </w:r>
      <w:r w:rsidR="003558CF">
        <w:rPr>
          <w:rFonts w:ascii="Algerian" w:hAnsi="Algerian" w:cs="Times New Roman"/>
          <w:sz w:val="24"/>
          <w:szCs w:val="24"/>
        </w:rPr>
        <w:t>%</w:t>
      </w:r>
      <w:r w:rsidRPr="00113FB0">
        <w:rPr>
          <w:rFonts w:ascii="Times New Roman" w:hAnsi="Times New Roman" w:cs="Times New Roman"/>
          <w:sz w:val="24"/>
          <w:szCs w:val="24"/>
        </w:rPr>
        <w:t>. The cause to this issue is not in the cost of production but in operational control. Gross Profit Ratio has held almost constant that is, the ratio has fluctuated between 29</w:t>
      </w:r>
      <w:r w:rsidR="00C921A5">
        <w:rPr>
          <w:rFonts w:ascii="Algerian" w:hAnsi="Algerian" w:cs="Times New Roman"/>
          <w:sz w:val="24"/>
          <w:szCs w:val="24"/>
        </w:rPr>
        <w:t>%</w:t>
      </w:r>
      <w:r w:rsidRPr="00113FB0">
        <w:rPr>
          <w:rFonts w:ascii="Times New Roman" w:hAnsi="Times New Roman" w:cs="Times New Roman"/>
          <w:sz w:val="24"/>
          <w:szCs w:val="24"/>
        </w:rPr>
        <w:t xml:space="preserve"> to 29.57</w:t>
      </w:r>
      <w:r w:rsidR="00C921A5">
        <w:rPr>
          <w:rFonts w:ascii="Algerian" w:hAnsi="Algerian" w:cs="Times New Roman"/>
          <w:sz w:val="24"/>
          <w:szCs w:val="24"/>
        </w:rPr>
        <w:t>%</w:t>
      </w:r>
      <w:r w:rsidRPr="00113FB0">
        <w:rPr>
          <w:rFonts w:ascii="Times New Roman" w:hAnsi="Times New Roman" w:cs="Times New Roman"/>
          <w:sz w:val="24"/>
          <w:szCs w:val="24"/>
        </w:rPr>
        <w:t xml:space="preserve"> over</w:t>
      </w:r>
      <w:r w:rsidR="00C921A5">
        <w:rPr>
          <w:rFonts w:ascii="Times New Roman" w:hAnsi="Times New Roman" w:cs="Times New Roman"/>
          <w:sz w:val="24"/>
          <w:szCs w:val="24"/>
        </w:rPr>
        <w:t xml:space="preserve"> the five years, which suggest </w:t>
      </w:r>
      <w:r w:rsidRPr="00113FB0">
        <w:rPr>
          <w:rFonts w:ascii="Times New Roman" w:hAnsi="Times New Roman" w:cs="Times New Roman"/>
          <w:sz w:val="24"/>
          <w:szCs w:val="24"/>
        </w:rPr>
        <w:t xml:space="preserve">that the company still possesses a certain degree of pricing power or control over the cost of direct manufacturing. Nevertheless, Operating Profit Ratio paints a storey of a different picture since it is negative since 2020, which means that the operating cost, including R&amp;D profits, marketing, and administration, have fully consumed the gross profit. </w:t>
      </w:r>
      <w:r w:rsidR="002713B0">
        <w:rPr>
          <w:rFonts w:ascii="Times New Roman" w:hAnsi="Times New Roman" w:cs="Times New Roman"/>
          <w:sz w:val="24"/>
          <w:szCs w:val="24"/>
        </w:rPr>
        <w:t>T</w:t>
      </w:r>
      <w:r w:rsidR="00DF02AB" w:rsidRPr="00DF02AB">
        <w:rPr>
          <w:rFonts w:ascii="Times New Roman" w:hAnsi="Times New Roman" w:cs="Times New Roman"/>
          <w:sz w:val="24"/>
          <w:szCs w:val="24"/>
        </w:rPr>
        <w:t>he anomalous spike to 26 % in 2023, followed by a dip to 5 % in 2024, appears suspect and likely stems from a one‑off event, for instance an asset sale or legal settlement, rather than sustainable operational improvement.</w:t>
      </w:r>
      <w:r w:rsidR="00DF02AB">
        <w:rPr>
          <w:rFonts w:ascii="Times New Roman" w:hAnsi="Times New Roman" w:cs="Times New Roman"/>
          <w:sz w:val="24"/>
          <w:szCs w:val="24"/>
        </w:rPr>
        <w:t xml:space="preserve"> </w:t>
      </w:r>
      <w:r w:rsidRPr="00113FB0">
        <w:rPr>
          <w:rFonts w:ascii="Times New Roman" w:hAnsi="Times New Roman" w:cs="Times New Roman"/>
          <w:sz w:val="24"/>
          <w:szCs w:val="24"/>
        </w:rPr>
        <w:t>The essence of the message is that the business is operating inefficiently because of unwieldy operating expenses.</w:t>
      </w:r>
    </w:p>
    <w:p w14:paraId="688285EB" w14:textId="77777777" w:rsidR="00807E6F" w:rsidRPr="009225E6" w:rsidRDefault="00CE2CA0" w:rsidP="00CE2CA0">
      <w:pPr>
        <w:pStyle w:val="Heading3"/>
        <w:rPr>
          <w:rFonts w:ascii="Times New Roman" w:hAnsi="Times New Roman" w:cs="Times New Roman"/>
          <w:lang w:val="en-US"/>
        </w:rPr>
      </w:pPr>
      <w:bookmarkStart w:id="5" w:name="_Toc210237837"/>
      <w:r w:rsidRPr="009225E6">
        <w:rPr>
          <w:rFonts w:ascii="Times New Roman" w:hAnsi="Times New Roman" w:cs="Times New Roman"/>
          <w:lang w:val="en-US"/>
        </w:rPr>
        <w:t xml:space="preserve">1.1.2 </w:t>
      </w:r>
      <w:r w:rsidR="00807E6F" w:rsidRPr="009225E6">
        <w:rPr>
          <w:rFonts w:ascii="Times New Roman" w:hAnsi="Times New Roman" w:cs="Times New Roman"/>
          <w:lang w:val="en-US"/>
        </w:rPr>
        <w:t>Liquidity: The Imminent Threat of Insolvency</w:t>
      </w:r>
      <w:bookmarkEnd w:id="5"/>
    </w:p>
    <w:p w14:paraId="72587744" w14:textId="77777777" w:rsidR="00F648F9" w:rsidRDefault="00F648F9" w:rsidP="00807E6F">
      <w:pPr>
        <w:spacing w:line="360" w:lineRule="auto"/>
        <w:jc w:val="both"/>
        <w:rPr>
          <w:rFonts w:ascii="Times New Roman" w:hAnsi="Times New Roman" w:cs="Times New Roman"/>
          <w:sz w:val="24"/>
          <w:szCs w:val="24"/>
        </w:rPr>
      </w:pPr>
      <w:r w:rsidRPr="00F648F9">
        <w:rPr>
          <w:noProof/>
          <w:lang w:val="en-US"/>
        </w:rPr>
        <w:drawing>
          <wp:anchor distT="0" distB="0" distL="114300" distR="114300" simplePos="0" relativeHeight="251665408" behindDoc="0" locked="0" layoutInCell="1" allowOverlap="1" wp14:anchorId="7A72F1E5" wp14:editId="26B6DE05">
            <wp:simplePos x="0" y="0"/>
            <wp:positionH relativeFrom="column">
              <wp:posOffset>0</wp:posOffset>
            </wp:positionH>
            <wp:positionV relativeFrom="paragraph">
              <wp:posOffset>51435</wp:posOffset>
            </wp:positionV>
            <wp:extent cx="5683885" cy="733425"/>
            <wp:effectExtent l="0" t="0" r="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388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455F4" w14:textId="77777777" w:rsidR="00F648F9" w:rsidRDefault="00F648F9" w:rsidP="00F648F9">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0C23AFF" w14:textId="77777777" w:rsidR="00F648F9" w:rsidRDefault="00F648F9" w:rsidP="00F648F9">
      <w:pPr>
        <w:pStyle w:val="Caption"/>
        <w:jc w:val="center"/>
        <w:rPr>
          <w:rFonts w:ascii="Times New Roman" w:hAnsi="Times New Roman" w:cs="Times New Roman"/>
          <w:sz w:val="24"/>
          <w:szCs w:val="24"/>
        </w:rPr>
      </w:pPr>
      <w:r>
        <w:lastRenderedPageBreak/>
        <w:t xml:space="preserve">Figure </w:t>
      </w:r>
      <w:fldSimple w:instr=" SEQ Figure \* ARABIC ">
        <w:r w:rsidR="00E570DE">
          <w:rPr>
            <w:noProof/>
          </w:rPr>
          <w:t>3</w:t>
        </w:r>
      </w:fldSimple>
      <w:r>
        <w:t xml:space="preserve"> </w:t>
      </w:r>
      <w:r w:rsidRPr="00387FD5">
        <w:t>Liquidity</w:t>
      </w:r>
      <w:r>
        <w:t xml:space="preserve"> Ratios</w:t>
      </w:r>
    </w:p>
    <w:p w14:paraId="765E1BCE" w14:textId="77777777" w:rsidR="00F648F9" w:rsidRDefault="00F648F9" w:rsidP="00807E6F">
      <w:pPr>
        <w:spacing w:line="360" w:lineRule="auto"/>
        <w:jc w:val="both"/>
        <w:rPr>
          <w:rFonts w:ascii="Times New Roman" w:hAnsi="Times New Roman" w:cs="Times New Roman"/>
          <w:sz w:val="24"/>
          <w:szCs w:val="24"/>
        </w:rPr>
      </w:pPr>
    </w:p>
    <w:p w14:paraId="135D9F81" w14:textId="77777777" w:rsidR="00F648F9" w:rsidRDefault="00F648F9" w:rsidP="00F648F9">
      <w:pPr>
        <w:spacing w:line="360" w:lineRule="auto"/>
        <w:jc w:val="center"/>
        <w:rPr>
          <w:rFonts w:ascii="Times New Roman" w:hAnsi="Times New Roman" w:cs="Times New Roman"/>
          <w:sz w:val="24"/>
          <w:szCs w:val="24"/>
        </w:rPr>
      </w:pPr>
      <w:r>
        <w:rPr>
          <w:noProof/>
          <w:lang w:val="en-US"/>
        </w:rPr>
        <w:drawing>
          <wp:inline distT="0" distB="0" distL="0" distR="0" wp14:anchorId="50703B29" wp14:editId="7C9A6976">
            <wp:extent cx="4572000" cy="2600325"/>
            <wp:effectExtent l="0" t="0" r="19050"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9BCE079" w14:textId="77777777" w:rsidR="00F648F9" w:rsidRDefault="00F648F9" w:rsidP="00F648F9">
      <w:pPr>
        <w:spacing w:line="360" w:lineRule="auto"/>
        <w:jc w:val="center"/>
        <w:rPr>
          <w:rFonts w:ascii="Times New Roman" w:hAnsi="Times New Roman" w:cs="Times New Roman"/>
          <w:sz w:val="24"/>
          <w:szCs w:val="24"/>
        </w:rPr>
      </w:pPr>
      <w:r>
        <w:rPr>
          <w:noProof/>
          <w:lang w:val="en-US"/>
        </w:rPr>
        <w:drawing>
          <wp:inline distT="0" distB="0" distL="0" distR="0" wp14:anchorId="4ACCBE57" wp14:editId="2BAEEDCB">
            <wp:extent cx="4572000" cy="27432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DFC35CF" w14:textId="77777777" w:rsidR="00F648F9" w:rsidRDefault="00F648F9" w:rsidP="00F648F9">
      <w:pPr>
        <w:pStyle w:val="Caption"/>
        <w:jc w:val="center"/>
        <w:rPr>
          <w:rFonts w:ascii="Times New Roman" w:hAnsi="Times New Roman" w:cs="Times New Roman"/>
          <w:sz w:val="24"/>
          <w:szCs w:val="24"/>
        </w:rPr>
      </w:pPr>
      <w:r>
        <w:t xml:space="preserve">Figure </w:t>
      </w:r>
      <w:fldSimple w:instr=" SEQ Figure \* ARABIC ">
        <w:r w:rsidR="00E570DE">
          <w:rPr>
            <w:noProof/>
          </w:rPr>
          <w:t>4</w:t>
        </w:r>
      </w:fldSimple>
      <w:r>
        <w:t xml:space="preserve"> Charts of </w:t>
      </w:r>
      <w:r w:rsidRPr="00582381">
        <w:t>Liquidity Ratios</w:t>
      </w:r>
    </w:p>
    <w:p w14:paraId="3FA9145A" w14:textId="77777777" w:rsidR="00A00654" w:rsidRPr="009225E6" w:rsidRDefault="002C15B8" w:rsidP="00807E6F">
      <w:pPr>
        <w:spacing w:line="360" w:lineRule="auto"/>
        <w:jc w:val="both"/>
        <w:rPr>
          <w:rFonts w:ascii="Times New Roman" w:hAnsi="Times New Roman" w:cs="Times New Roman"/>
          <w:sz w:val="24"/>
          <w:szCs w:val="24"/>
          <w:lang w:val="en-US"/>
        </w:rPr>
      </w:pPr>
      <w:r w:rsidRPr="002C15B8">
        <w:rPr>
          <w:rFonts w:ascii="Times New Roman" w:hAnsi="Times New Roman" w:cs="Times New Roman"/>
          <w:sz w:val="24"/>
          <w:szCs w:val="24"/>
        </w:rPr>
        <w:t xml:space="preserve">The liquidity analysis illustrates the most urgent challenge to the survival of the firm. The Current Ratio has decreased to a comfortable one and half in 2024, which was 1.82 in 2020. Although still above the traditional standard of 1.0, this negative trend gives signs that it has a decreasing ability to cover the short-term liabilities. The Quick Ratio, however, gives alarm of a much greater scale: the value has been negative during its five-year span. A negative quick ratio is extremely unusual and it is a matter of life and death. Although the quick ratio does not include inventory in the current assets, when the figure is negative, the current liabilities are stronger than the liquid assets that included cash and receivables to an extent </w:t>
      </w:r>
      <w:r w:rsidRPr="002C15B8">
        <w:rPr>
          <w:rFonts w:ascii="Times New Roman" w:hAnsi="Times New Roman" w:cs="Times New Roman"/>
          <w:sz w:val="24"/>
          <w:szCs w:val="24"/>
        </w:rPr>
        <w:lastRenderedPageBreak/>
        <w:t>that the inclusion of inventory would not make the ratio positive. This means that General Electronics can run the risk of unwind inventory at no profit to simply get cash to cover urgent needs a risky situation that indicates a high probability of bankruptcy (</w:t>
      </w:r>
      <w:r w:rsidRPr="00827A8B">
        <w:rPr>
          <w:rFonts w:ascii="Times New Roman" w:hAnsi="Times New Roman" w:cs="Times New Roman"/>
          <w:sz w:val="24"/>
          <w:szCs w:val="24"/>
        </w:rPr>
        <w:t>Brigham &amp;</w:t>
      </w:r>
      <w:r w:rsidR="00DD391E" w:rsidRPr="00827A8B">
        <w:rPr>
          <w:rFonts w:ascii="Times New Roman" w:hAnsi="Times New Roman" w:cs="Times New Roman"/>
          <w:sz w:val="24"/>
          <w:szCs w:val="24"/>
        </w:rPr>
        <w:t xml:space="preserve"> Ehrhardt</w:t>
      </w:r>
      <w:r w:rsidRPr="00827A8B">
        <w:rPr>
          <w:rFonts w:ascii="Times New Roman" w:hAnsi="Times New Roman" w:cs="Times New Roman"/>
          <w:sz w:val="24"/>
          <w:szCs w:val="24"/>
        </w:rPr>
        <w:t>, 2020</w:t>
      </w:r>
      <w:r w:rsidRPr="002C15B8">
        <w:rPr>
          <w:rFonts w:ascii="Times New Roman" w:hAnsi="Times New Roman" w:cs="Times New Roman"/>
          <w:sz w:val="24"/>
          <w:szCs w:val="24"/>
        </w:rPr>
        <w:t>).</w:t>
      </w:r>
      <w:r w:rsidR="000F4B59">
        <w:rPr>
          <w:rFonts w:ascii="Times New Roman" w:hAnsi="Times New Roman" w:cs="Times New Roman"/>
          <w:sz w:val="24"/>
          <w:szCs w:val="24"/>
        </w:rPr>
        <w:t xml:space="preserve"> According to </w:t>
      </w:r>
      <w:r w:rsidR="000F4B59" w:rsidRPr="000F4B59">
        <w:rPr>
          <w:rFonts w:ascii="Times New Roman" w:hAnsi="Times New Roman" w:cs="Times New Roman"/>
          <w:sz w:val="24"/>
          <w:szCs w:val="24"/>
        </w:rPr>
        <w:t>(Garcia-Teruel and Martínez-Solano, 2007)</w:t>
      </w:r>
      <w:r w:rsidR="000F4B59">
        <w:rPr>
          <w:rFonts w:ascii="Times New Roman" w:hAnsi="Times New Roman" w:cs="Times New Roman"/>
          <w:sz w:val="24"/>
          <w:szCs w:val="24"/>
        </w:rPr>
        <w:t xml:space="preserve"> </w:t>
      </w:r>
      <w:r w:rsidR="000F4B59" w:rsidRPr="000F4B59">
        <w:rPr>
          <w:rFonts w:ascii="Times New Roman" w:hAnsi="Times New Roman" w:cs="Times New Roman"/>
          <w:sz w:val="24"/>
          <w:szCs w:val="24"/>
        </w:rPr>
        <w:t>optimizing working capital management</w:t>
      </w:r>
      <w:r w:rsidR="000F4B59">
        <w:rPr>
          <w:rFonts w:ascii="Times New Roman" w:hAnsi="Times New Roman" w:cs="Times New Roman"/>
          <w:sz w:val="24"/>
          <w:szCs w:val="24"/>
        </w:rPr>
        <w:t xml:space="preserve"> help improve liquidity like r</w:t>
      </w:r>
      <w:r w:rsidR="000F4B59" w:rsidRPr="000F4B59">
        <w:rPr>
          <w:rFonts w:ascii="Times New Roman" w:hAnsi="Times New Roman" w:cs="Times New Roman"/>
          <w:sz w:val="24"/>
          <w:szCs w:val="24"/>
        </w:rPr>
        <w:t>educing the cash conversion cycle through more efficient inventory and accounts receivable practices</w:t>
      </w:r>
      <w:r w:rsidR="00DF2F72">
        <w:rPr>
          <w:rFonts w:ascii="Times New Roman" w:hAnsi="Times New Roman" w:cs="Times New Roman"/>
          <w:sz w:val="24"/>
          <w:szCs w:val="24"/>
        </w:rPr>
        <w:t>.</w:t>
      </w:r>
      <w:r w:rsidR="001A0528">
        <w:rPr>
          <w:rFonts w:ascii="Times New Roman" w:hAnsi="Times New Roman" w:cs="Times New Roman"/>
          <w:sz w:val="24"/>
          <w:szCs w:val="24"/>
        </w:rPr>
        <w:t xml:space="preserve"> Similarly, strong banking relationship also aid in improving liquidity </w:t>
      </w:r>
      <w:r w:rsidR="001A0528" w:rsidRPr="001A0528">
        <w:rPr>
          <w:rFonts w:ascii="Times New Roman" w:hAnsi="Times New Roman" w:cs="Times New Roman"/>
          <w:sz w:val="24"/>
          <w:szCs w:val="24"/>
        </w:rPr>
        <w:t>(Diamond and Rajan, 2001).</w:t>
      </w:r>
      <w:r w:rsidR="000F4B59">
        <w:rPr>
          <w:rFonts w:ascii="Segoe UI" w:hAnsi="Segoe UI" w:cs="Segoe UI"/>
          <w:color w:val="0F1115"/>
          <w:shd w:val="clear" w:color="auto" w:fill="FFFFFF"/>
        </w:rPr>
        <w:t> </w:t>
      </w:r>
    </w:p>
    <w:p w14:paraId="547E857B" w14:textId="77777777" w:rsidR="00807E6F" w:rsidRPr="009225E6" w:rsidRDefault="00CE2CA0" w:rsidP="00CE2CA0">
      <w:pPr>
        <w:pStyle w:val="Heading3"/>
        <w:rPr>
          <w:rFonts w:ascii="Times New Roman" w:hAnsi="Times New Roman" w:cs="Times New Roman"/>
          <w:lang w:val="en-US"/>
        </w:rPr>
      </w:pPr>
      <w:bookmarkStart w:id="6" w:name="_Toc210237838"/>
      <w:r w:rsidRPr="009225E6">
        <w:rPr>
          <w:rFonts w:ascii="Times New Roman" w:hAnsi="Times New Roman" w:cs="Times New Roman"/>
          <w:lang w:val="en-US"/>
        </w:rPr>
        <w:t xml:space="preserve">1.1.3 </w:t>
      </w:r>
      <w:r w:rsidR="00807E6F" w:rsidRPr="009225E6">
        <w:rPr>
          <w:rFonts w:ascii="Times New Roman" w:hAnsi="Times New Roman" w:cs="Times New Roman"/>
          <w:lang w:val="en-US"/>
        </w:rPr>
        <w:t>Efficiency: An Ineffective and Bloated Operation</w:t>
      </w:r>
      <w:bookmarkEnd w:id="6"/>
    </w:p>
    <w:p w14:paraId="14D38FC9" w14:textId="77777777" w:rsidR="00F648F9" w:rsidRDefault="00F648F9" w:rsidP="00807E6F">
      <w:pPr>
        <w:spacing w:line="360" w:lineRule="auto"/>
        <w:jc w:val="both"/>
        <w:rPr>
          <w:rFonts w:ascii="Times New Roman" w:hAnsi="Times New Roman" w:cs="Times New Roman"/>
          <w:sz w:val="24"/>
          <w:szCs w:val="24"/>
        </w:rPr>
      </w:pPr>
    </w:p>
    <w:p w14:paraId="133FCC2B" w14:textId="77777777" w:rsidR="00F648F9" w:rsidRDefault="00F648F9" w:rsidP="00F648F9">
      <w:pPr>
        <w:spacing w:line="360" w:lineRule="auto"/>
        <w:jc w:val="center"/>
        <w:rPr>
          <w:rFonts w:ascii="Times New Roman" w:hAnsi="Times New Roman" w:cs="Times New Roman"/>
          <w:sz w:val="24"/>
          <w:szCs w:val="24"/>
        </w:rPr>
      </w:pPr>
      <w:r w:rsidRPr="00F648F9">
        <w:rPr>
          <w:noProof/>
          <w:lang w:val="en-US"/>
        </w:rPr>
        <w:drawing>
          <wp:inline distT="0" distB="0" distL="0" distR="0" wp14:anchorId="70E54495" wp14:editId="2684FF0B">
            <wp:extent cx="5731510" cy="776864"/>
            <wp:effectExtent l="0" t="0" r="254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76864"/>
                    </a:xfrm>
                    <a:prstGeom prst="rect">
                      <a:avLst/>
                    </a:prstGeom>
                    <a:noFill/>
                    <a:ln>
                      <a:noFill/>
                    </a:ln>
                  </pic:spPr>
                </pic:pic>
              </a:graphicData>
            </a:graphic>
          </wp:inline>
        </w:drawing>
      </w:r>
    </w:p>
    <w:p w14:paraId="11883F4D" w14:textId="77777777" w:rsidR="00F648F9" w:rsidRDefault="00F648F9" w:rsidP="00D42D18">
      <w:pPr>
        <w:pStyle w:val="Caption"/>
        <w:jc w:val="center"/>
        <w:rPr>
          <w:rFonts w:ascii="Times New Roman" w:hAnsi="Times New Roman" w:cs="Times New Roman"/>
          <w:sz w:val="24"/>
          <w:szCs w:val="24"/>
        </w:rPr>
      </w:pPr>
      <w:r>
        <w:t xml:space="preserve">Figure </w:t>
      </w:r>
      <w:fldSimple w:instr=" SEQ Figure \* ARABIC ">
        <w:r w:rsidR="00E570DE">
          <w:rPr>
            <w:noProof/>
          </w:rPr>
          <w:t>5</w:t>
        </w:r>
      </w:fldSimple>
      <w:r>
        <w:t xml:space="preserve"> </w:t>
      </w:r>
      <w:r w:rsidRPr="00E8403C">
        <w:t>Efficiency</w:t>
      </w:r>
      <w:r>
        <w:t xml:space="preserve"> Ratios</w:t>
      </w:r>
    </w:p>
    <w:p w14:paraId="32F130DC" w14:textId="77777777" w:rsidR="00F648F9" w:rsidRDefault="00F648F9" w:rsidP="00F648F9">
      <w:pPr>
        <w:spacing w:line="360" w:lineRule="auto"/>
        <w:jc w:val="center"/>
        <w:rPr>
          <w:rFonts w:ascii="Times New Roman" w:hAnsi="Times New Roman" w:cs="Times New Roman"/>
          <w:sz w:val="24"/>
          <w:szCs w:val="24"/>
        </w:rPr>
      </w:pPr>
      <w:r>
        <w:rPr>
          <w:noProof/>
          <w:lang w:val="en-US"/>
        </w:rPr>
        <w:drawing>
          <wp:inline distT="0" distB="0" distL="0" distR="0" wp14:anchorId="573906A9" wp14:editId="41C16E0A">
            <wp:extent cx="4572000" cy="2477386"/>
            <wp:effectExtent l="0" t="0" r="19050" b="1841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9EC3120" w14:textId="77777777" w:rsidR="00F648F9" w:rsidRDefault="00F648F9" w:rsidP="00F648F9">
      <w:pPr>
        <w:spacing w:line="360" w:lineRule="auto"/>
        <w:jc w:val="center"/>
        <w:rPr>
          <w:rFonts w:ascii="Times New Roman" w:hAnsi="Times New Roman" w:cs="Times New Roman"/>
          <w:sz w:val="24"/>
          <w:szCs w:val="24"/>
        </w:rPr>
      </w:pPr>
      <w:r>
        <w:rPr>
          <w:noProof/>
          <w:lang w:val="en-US"/>
        </w:rPr>
        <w:drawing>
          <wp:inline distT="0" distB="0" distL="0" distR="0" wp14:anchorId="34A75E02" wp14:editId="13CE4D8B">
            <wp:extent cx="4572000" cy="2381693"/>
            <wp:effectExtent l="0" t="0" r="19050"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5258439" w14:textId="77777777" w:rsidR="00F648F9" w:rsidRDefault="00F648F9" w:rsidP="00F648F9">
      <w:pPr>
        <w:spacing w:line="360" w:lineRule="auto"/>
        <w:jc w:val="center"/>
        <w:rPr>
          <w:rFonts w:ascii="Times New Roman" w:hAnsi="Times New Roman" w:cs="Times New Roman"/>
          <w:sz w:val="24"/>
          <w:szCs w:val="24"/>
        </w:rPr>
      </w:pPr>
      <w:r>
        <w:rPr>
          <w:noProof/>
          <w:lang w:val="en-US"/>
        </w:rPr>
        <w:lastRenderedPageBreak/>
        <w:drawing>
          <wp:inline distT="0" distB="0" distL="0" distR="0" wp14:anchorId="6C8186AA" wp14:editId="4018184D">
            <wp:extent cx="4572000" cy="27432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B4E5241" w14:textId="77777777" w:rsidR="00F648F9" w:rsidRDefault="00F648F9" w:rsidP="00F648F9">
      <w:pPr>
        <w:spacing w:line="360" w:lineRule="auto"/>
        <w:jc w:val="center"/>
        <w:rPr>
          <w:rFonts w:ascii="Times New Roman" w:hAnsi="Times New Roman" w:cs="Times New Roman"/>
          <w:sz w:val="24"/>
          <w:szCs w:val="24"/>
        </w:rPr>
      </w:pPr>
    </w:p>
    <w:p w14:paraId="76B64F64" w14:textId="77777777" w:rsidR="00F648F9" w:rsidRDefault="00F648F9" w:rsidP="00F648F9">
      <w:pPr>
        <w:spacing w:line="360" w:lineRule="auto"/>
        <w:jc w:val="center"/>
        <w:rPr>
          <w:rFonts w:ascii="Times New Roman" w:hAnsi="Times New Roman" w:cs="Times New Roman"/>
          <w:sz w:val="24"/>
          <w:szCs w:val="24"/>
        </w:rPr>
      </w:pPr>
      <w:r>
        <w:rPr>
          <w:noProof/>
          <w:lang w:val="en-US"/>
        </w:rPr>
        <w:drawing>
          <wp:inline distT="0" distB="0" distL="0" distR="0" wp14:anchorId="77691537" wp14:editId="155FD79E">
            <wp:extent cx="4572000" cy="2743200"/>
            <wp:effectExtent l="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B10AFFB" w14:textId="77777777" w:rsidR="00F648F9" w:rsidRDefault="00F648F9" w:rsidP="00A10060">
      <w:pPr>
        <w:pStyle w:val="Caption"/>
        <w:jc w:val="center"/>
        <w:rPr>
          <w:rFonts w:ascii="Times New Roman" w:hAnsi="Times New Roman" w:cs="Times New Roman"/>
          <w:sz w:val="24"/>
          <w:szCs w:val="24"/>
        </w:rPr>
      </w:pPr>
      <w:r>
        <w:t xml:space="preserve">Figure </w:t>
      </w:r>
      <w:fldSimple w:instr=" SEQ Figure \* ARABIC ">
        <w:r w:rsidR="00E570DE">
          <w:rPr>
            <w:noProof/>
          </w:rPr>
          <w:t>6</w:t>
        </w:r>
      </w:fldSimple>
      <w:r>
        <w:t xml:space="preserve"> Charts of </w:t>
      </w:r>
      <w:r w:rsidRPr="00DF00F0">
        <w:t>Efficiency Ratios</w:t>
      </w:r>
    </w:p>
    <w:p w14:paraId="5A3C0560" w14:textId="77777777" w:rsidR="00807E6F" w:rsidRPr="009225E6" w:rsidRDefault="00CB7A8A" w:rsidP="00807E6F">
      <w:pPr>
        <w:spacing w:line="360" w:lineRule="auto"/>
        <w:jc w:val="both"/>
        <w:rPr>
          <w:rFonts w:ascii="Times New Roman" w:hAnsi="Times New Roman" w:cs="Times New Roman"/>
          <w:sz w:val="24"/>
          <w:szCs w:val="24"/>
          <w:lang w:val="en-US"/>
        </w:rPr>
      </w:pPr>
      <w:r w:rsidRPr="00CB7A8A">
        <w:rPr>
          <w:rFonts w:ascii="Times New Roman" w:hAnsi="Times New Roman" w:cs="Times New Roman"/>
          <w:sz w:val="24"/>
          <w:szCs w:val="24"/>
        </w:rPr>
        <w:t xml:space="preserve">Widespread operation incompetence is verified by the efficiency ratios. The Sales Revenue per Employee has been steadily decreasing between </w:t>
      </w:r>
      <w:r w:rsidR="0040503C">
        <w:rPr>
          <w:rFonts w:ascii="Times New Roman" w:hAnsi="Times New Roman" w:cs="Times New Roman"/>
          <w:sz w:val="24"/>
          <w:szCs w:val="24"/>
        </w:rPr>
        <w:t>£</w:t>
      </w:r>
      <w:r w:rsidRPr="00CB7A8A">
        <w:rPr>
          <w:rFonts w:ascii="Times New Roman" w:hAnsi="Times New Roman" w:cs="Times New Roman"/>
          <w:sz w:val="24"/>
          <w:szCs w:val="24"/>
        </w:rPr>
        <w:t xml:space="preserve">3.42 being reduced to </w:t>
      </w:r>
      <w:r w:rsidR="0040503C">
        <w:rPr>
          <w:rFonts w:ascii="Times New Roman" w:hAnsi="Times New Roman" w:cs="Times New Roman"/>
          <w:sz w:val="24"/>
          <w:szCs w:val="24"/>
        </w:rPr>
        <w:t>£</w:t>
      </w:r>
      <w:r w:rsidRPr="00CB7A8A">
        <w:rPr>
          <w:rFonts w:ascii="Times New Roman" w:hAnsi="Times New Roman" w:cs="Times New Roman"/>
          <w:sz w:val="24"/>
          <w:szCs w:val="24"/>
        </w:rPr>
        <w:t xml:space="preserve">2.49, and this is a pointer of wasted productivity as well as the workforce being swollen. The consumer-electronics sector experiences an unduly lengthy Stock Holding Period (also referred to as 100 to 131 days); in comparison to an ideal of 60 to 90 days the appropriate inventory management and overstocking is poor, and makes the consumer-electronics business highly vulnerable to obsolescence that tangles the working capital. The Average Settlement Period of Receivables reveals negative days, which, due to normal circumstances should not be possible in any statutory sense, is a great pointer to an error in data or gross accounting </w:t>
      </w:r>
      <w:r w:rsidRPr="00CB7A8A">
        <w:rPr>
          <w:rFonts w:ascii="Times New Roman" w:hAnsi="Times New Roman" w:cs="Times New Roman"/>
          <w:sz w:val="24"/>
          <w:szCs w:val="24"/>
        </w:rPr>
        <w:lastRenderedPageBreak/>
        <w:t>control problems, i.e., receivables being registered as a negative balance. Creditors Payment Period, on the other hand, has also increased by 94 days, which was previously standing at 69 days. Although long payment terms can be effective in the short term to fund finance, it will potentially lead to deterioration of supplier relationships, and usually it will indicate a serious tight situation of cash-flow</w:t>
      </w:r>
      <w:r w:rsidR="0040503C">
        <w:rPr>
          <w:rFonts w:ascii="Times New Roman" w:hAnsi="Times New Roman" w:cs="Times New Roman"/>
          <w:sz w:val="24"/>
          <w:szCs w:val="24"/>
        </w:rPr>
        <w:t xml:space="preserve"> (</w:t>
      </w:r>
      <w:proofErr w:type="spellStart"/>
      <w:r w:rsidR="0040503C">
        <w:rPr>
          <w:rFonts w:ascii="Arial" w:hAnsi="Arial" w:cs="Arial"/>
          <w:color w:val="222222"/>
          <w:sz w:val="20"/>
          <w:szCs w:val="20"/>
          <w:shd w:val="clear" w:color="auto" w:fill="FFFFFF"/>
        </w:rPr>
        <w:t>Olkiewicz</w:t>
      </w:r>
      <w:proofErr w:type="spellEnd"/>
      <w:r w:rsidR="0040503C">
        <w:rPr>
          <w:rFonts w:ascii="Arial" w:hAnsi="Arial" w:cs="Arial"/>
          <w:color w:val="222222"/>
          <w:sz w:val="20"/>
          <w:szCs w:val="20"/>
          <w:shd w:val="clear" w:color="auto" w:fill="FFFFFF"/>
        </w:rPr>
        <w:t>, A., 2025)</w:t>
      </w:r>
      <w:r w:rsidRPr="00CB7A8A">
        <w:rPr>
          <w:rFonts w:ascii="Times New Roman" w:hAnsi="Times New Roman" w:cs="Times New Roman"/>
          <w:sz w:val="24"/>
          <w:szCs w:val="24"/>
        </w:rPr>
        <w:t>.</w:t>
      </w:r>
    </w:p>
    <w:p w14:paraId="4BA721DF" w14:textId="77777777" w:rsidR="00807E6F" w:rsidRPr="009225E6" w:rsidRDefault="00CE2CA0" w:rsidP="00CE2CA0">
      <w:pPr>
        <w:pStyle w:val="Heading3"/>
        <w:rPr>
          <w:rFonts w:ascii="Times New Roman" w:hAnsi="Times New Roman" w:cs="Times New Roman"/>
          <w:lang w:val="en-US"/>
        </w:rPr>
      </w:pPr>
      <w:bookmarkStart w:id="7" w:name="_Toc210237839"/>
      <w:r w:rsidRPr="009225E6">
        <w:rPr>
          <w:rFonts w:ascii="Times New Roman" w:hAnsi="Times New Roman" w:cs="Times New Roman"/>
          <w:lang w:val="en-US"/>
        </w:rPr>
        <w:t xml:space="preserve">1.1.4 </w:t>
      </w:r>
      <w:r w:rsidR="00807E6F" w:rsidRPr="009225E6">
        <w:rPr>
          <w:rFonts w:ascii="Times New Roman" w:hAnsi="Times New Roman" w:cs="Times New Roman"/>
          <w:lang w:val="en-US"/>
        </w:rPr>
        <w:t>Gearing and Investment: The Market’s Verdict</w:t>
      </w:r>
      <w:bookmarkEnd w:id="7"/>
    </w:p>
    <w:p w14:paraId="65CB345D" w14:textId="77777777" w:rsidR="00A10060" w:rsidRDefault="00A10060" w:rsidP="00807E6F">
      <w:pPr>
        <w:spacing w:line="360" w:lineRule="auto"/>
        <w:jc w:val="both"/>
        <w:rPr>
          <w:rFonts w:ascii="Times New Roman" w:hAnsi="Times New Roman" w:cs="Times New Roman"/>
          <w:sz w:val="24"/>
          <w:szCs w:val="24"/>
        </w:rPr>
      </w:pPr>
    </w:p>
    <w:p w14:paraId="3FA4B125" w14:textId="77777777" w:rsidR="00A10060" w:rsidRDefault="00A10060" w:rsidP="00A10060">
      <w:pPr>
        <w:spacing w:line="360" w:lineRule="auto"/>
        <w:jc w:val="center"/>
        <w:rPr>
          <w:rFonts w:ascii="Times New Roman" w:hAnsi="Times New Roman" w:cs="Times New Roman"/>
          <w:sz w:val="24"/>
          <w:szCs w:val="24"/>
        </w:rPr>
      </w:pPr>
      <w:r w:rsidRPr="00A10060">
        <w:rPr>
          <w:noProof/>
          <w:lang w:val="en-US"/>
        </w:rPr>
        <w:drawing>
          <wp:inline distT="0" distB="0" distL="0" distR="0" wp14:anchorId="18DF8CF6" wp14:editId="532F748F">
            <wp:extent cx="5731510" cy="482427"/>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82427"/>
                    </a:xfrm>
                    <a:prstGeom prst="rect">
                      <a:avLst/>
                    </a:prstGeom>
                    <a:noFill/>
                    <a:ln>
                      <a:noFill/>
                    </a:ln>
                  </pic:spPr>
                </pic:pic>
              </a:graphicData>
            </a:graphic>
          </wp:inline>
        </w:drawing>
      </w:r>
    </w:p>
    <w:p w14:paraId="2C2CBEB8" w14:textId="77777777" w:rsidR="00A10060" w:rsidRDefault="00A10060" w:rsidP="00D42D18">
      <w:pPr>
        <w:pStyle w:val="Caption"/>
        <w:jc w:val="center"/>
        <w:rPr>
          <w:rFonts w:ascii="Times New Roman" w:hAnsi="Times New Roman" w:cs="Times New Roman"/>
          <w:sz w:val="24"/>
          <w:szCs w:val="24"/>
        </w:rPr>
      </w:pPr>
      <w:r>
        <w:t xml:space="preserve">Figure </w:t>
      </w:r>
      <w:fldSimple w:instr=" SEQ Figure \* ARABIC ">
        <w:r w:rsidR="00E570DE">
          <w:rPr>
            <w:noProof/>
          </w:rPr>
          <w:t>7</w:t>
        </w:r>
      </w:fldSimple>
      <w:r>
        <w:t xml:space="preserve"> </w:t>
      </w:r>
      <w:r w:rsidRPr="00CD74F9">
        <w:t xml:space="preserve">Gearing </w:t>
      </w:r>
      <w:r>
        <w:t>Ratios</w:t>
      </w:r>
    </w:p>
    <w:p w14:paraId="4B9D705C" w14:textId="77777777" w:rsidR="00A10060" w:rsidRDefault="00A10060" w:rsidP="00A10060">
      <w:pPr>
        <w:spacing w:line="360" w:lineRule="auto"/>
        <w:jc w:val="center"/>
        <w:rPr>
          <w:rFonts w:ascii="Times New Roman" w:hAnsi="Times New Roman" w:cs="Times New Roman"/>
          <w:sz w:val="24"/>
          <w:szCs w:val="24"/>
        </w:rPr>
      </w:pPr>
      <w:r>
        <w:rPr>
          <w:noProof/>
          <w:lang w:val="en-US"/>
        </w:rPr>
        <w:drawing>
          <wp:inline distT="0" distB="0" distL="0" distR="0" wp14:anchorId="5E977ED2" wp14:editId="74E91534">
            <wp:extent cx="4572000" cy="2328531"/>
            <wp:effectExtent l="0" t="0" r="19050" b="1524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1EC5941" w14:textId="77777777" w:rsidR="00A10060" w:rsidRDefault="00A10060" w:rsidP="00A10060">
      <w:pPr>
        <w:spacing w:line="360" w:lineRule="auto"/>
        <w:jc w:val="center"/>
        <w:rPr>
          <w:rFonts w:ascii="Times New Roman" w:hAnsi="Times New Roman" w:cs="Times New Roman"/>
          <w:sz w:val="24"/>
          <w:szCs w:val="24"/>
        </w:rPr>
      </w:pPr>
      <w:r>
        <w:rPr>
          <w:noProof/>
          <w:lang w:val="en-US"/>
        </w:rPr>
        <w:drawing>
          <wp:inline distT="0" distB="0" distL="0" distR="0" wp14:anchorId="2CDF60B5" wp14:editId="108DBA20">
            <wp:extent cx="4572000" cy="2328531"/>
            <wp:effectExtent l="0" t="0" r="19050" b="1524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328F8AB" w14:textId="77777777" w:rsidR="00A10060" w:rsidRDefault="00A10060" w:rsidP="00A10060">
      <w:pPr>
        <w:pStyle w:val="Caption"/>
        <w:jc w:val="center"/>
        <w:rPr>
          <w:rFonts w:ascii="Times New Roman" w:hAnsi="Times New Roman" w:cs="Times New Roman"/>
          <w:sz w:val="24"/>
          <w:szCs w:val="24"/>
        </w:rPr>
      </w:pPr>
      <w:r>
        <w:t xml:space="preserve">Figure </w:t>
      </w:r>
      <w:fldSimple w:instr=" SEQ Figure \* ARABIC ">
        <w:r w:rsidR="00E570DE">
          <w:rPr>
            <w:noProof/>
          </w:rPr>
          <w:t>8</w:t>
        </w:r>
      </w:fldSimple>
      <w:r>
        <w:t xml:space="preserve"> Charts of </w:t>
      </w:r>
      <w:r w:rsidRPr="00C66787">
        <w:t xml:space="preserve">Gearing </w:t>
      </w:r>
      <w:r>
        <w:t>Ratios</w:t>
      </w:r>
    </w:p>
    <w:p w14:paraId="25D87AE2" w14:textId="77777777" w:rsidR="00013BC8" w:rsidRDefault="00013BC8" w:rsidP="00013BC8">
      <w:pPr>
        <w:spacing w:line="360" w:lineRule="auto"/>
        <w:jc w:val="center"/>
        <w:rPr>
          <w:rFonts w:ascii="Times New Roman" w:hAnsi="Times New Roman" w:cs="Times New Roman"/>
          <w:sz w:val="24"/>
          <w:szCs w:val="24"/>
        </w:rPr>
      </w:pPr>
      <w:r>
        <w:rPr>
          <w:noProof/>
          <w:lang w:val="en-US"/>
        </w:rPr>
        <w:lastRenderedPageBreak/>
        <w:drawing>
          <wp:inline distT="0" distB="0" distL="0" distR="0" wp14:anchorId="282A2436" wp14:editId="73BBE323">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CEF03DE" w14:textId="77777777" w:rsidR="00E570DE" w:rsidRDefault="00E570DE" w:rsidP="00E570DE">
      <w:pPr>
        <w:pStyle w:val="Caption"/>
        <w:jc w:val="center"/>
        <w:rPr>
          <w:rFonts w:ascii="Times New Roman" w:hAnsi="Times New Roman" w:cs="Times New Roman"/>
          <w:sz w:val="24"/>
          <w:szCs w:val="24"/>
        </w:rPr>
      </w:pPr>
      <w:r>
        <w:t xml:space="preserve">Figure </w:t>
      </w:r>
      <w:fldSimple w:instr=" SEQ Figure \* ARABIC ">
        <w:r>
          <w:rPr>
            <w:noProof/>
          </w:rPr>
          <w:t>9</w:t>
        </w:r>
      </w:fldSimple>
      <w:r>
        <w:t xml:space="preserve"> Investment Ratio</w:t>
      </w:r>
    </w:p>
    <w:p w14:paraId="78745EB2" w14:textId="77777777" w:rsidR="009E7D78" w:rsidRPr="009225E6" w:rsidRDefault="006D24E1" w:rsidP="00807E6F">
      <w:pPr>
        <w:spacing w:line="360" w:lineRule="auto"/>
        <w:jc w:val="both"/>
        <w:rPr>
          <w:rFonts w:ascii="Times New Roman" w:hAnsi="Times New Roman" w:cs="Times New Roman"/>
          <w:sz w:val="24"/>
          <w:szCs w:val="24"/>
          <w:lang w:val="en-US"/>
        </w:rPr>
      </w:pPr>
      <w:r w:rsidRPr="006D24E1">
        <w:rPr>
          <w:rFonts w:ascii="Times New Roman" w:hAnsi="Times New Roman" w:cs="Times New Roman"/>
          <w:sz w:val="24"/>
          <w:szCs w:val="24"/>
        </w:rPr>
        <w:t>Gearing ratios have unconventional visibility of strategic flexibility. The Gearing Ratio is very low and stable at 3- 4% which means that the company is funding itself solely through equity. This under leverage will minimise financial risk and have possible</w:t>
      </w:r>
      <w:r w:rsidR="001438E9">
        <w:rPr>
          <w:rFonts w:ascii="Times New Roman" w:hAnsi="Times New Roman" w:cs="Times New Roman"/>
          <w:sz w:val="24"/>
          <w:szCs w:val="24"/>
        </w:rPr>
        <w:t xml:space="preserve"> room to brink debt on the turn-</w:t>
      </w:r>
      <w:r w:rsidRPr="006D24E1">
        <w:rPr>
          <w:rFonts w:ascii="Times New Roman" w:hAnsi="Times New Roman" w:cs="Times New Roman"/>
          <w:sz w:val="24"/>
          <w:szCs w:val="24"/>
        </w:rPr>
        <w:t>around</w:t>
      </w:r>
      <w:r w:rsidR="001438E9">
        <w:rPr>
          <w:rFonts w:ascii="Times New Roman" w:hAnsi="Times New Roman" w:cs="Times New Roman"/>
          <w:sz w:val="24"/>
          <w:szCs w:val="24"/>
        </w:rPr>
        <w:t xml:space="preserve"> (</w:t>
      </w:r>
      <w:r w:rsidR="001438E9">
        <w:rPr>
          <w:rFonts w:ascii="Arial" w:hAnsi="Arial" w:cs="Arial"/>
          <w:color w:val="222222"/>
          <w:sz w:val="20"/>
          <w:szCs w:val="20"/>
          <w:shd w:val="clear" w:color="auto" w:fill="FFFFFF"/>
        </w:rPr>
        <w:t>Nazeer, R., Saleem, F. and Amin, M.Y., 2025)</w:t>
      </w:r>
      <w:r w:rsidRPr="006D24E1">
        <w:rPr>
          <w:rFonts w:ascii="Times New Roman" w:hAnsi="Times New Roman" w:cs="Times New Roman"/>
          <w:sz w:val="24"/>
          <w:szCs w:val="24"/>
        </w:rPr>
        <w:t>. Interest Coverage Ratio fluctuates similarly to operating profit, however, having the positive value of 4.55 in 2024, operating profit will be able to pay interest, at least, at the moment, although, with a low safet</w:t>
      </w:r>
      <w:r w:rsidR="009675B1">
        <w:rPr>
          <w:rFonts w:ascii="Times New Roman" w:hAnsi="Times New Roman" w:cs="Times New Roman"/>
          <w:sz w:val="24"/>
          <w:szCs w:val="24"/>
        </w:rPr>
        <w:t>y margin. Finally</w:t>
      </w:r>
      <w:r w:rsidRPr="006D24E1">
        <w:rPr>
          <w:rFonts w:ascii="Times New Roman" w:hAnsi="Times New Roman" w:cs="Times New Roman"/>
          <w:sz w:val="24"/>
          <w:szCs w:val="24"/>
        </w:rPr>
        <w:t xml:space="preserve">, the Earnings Per Share (EPS) ratio sums up the full severity of the situation: EPS had </w:t>
      </w:r>
      <w:r w:rsidR="000B16C8">
        <w:rPr>
          <w:rFonts w:ascii="Times New Roman" w:hAnsi="Times New Roman" w:cs="Times New Roman"/>
          <w:sz w:val="24"/>
          <w:szCs w:val="24"/>
        </w:rPr>
        <w:t xml:space="preserve">gone down COVID-19-decade-low </w:t>
      </w:r>
      <w:r w:rsidR="000B16C8">
        <w:rPr>
          <w:rFonts w:ascii="Times New Roman" w:hAnsi="Times New Roman" w:cs="Times New Roman"/>
          <w:sz w:val="24"/>
        </w:rPr>
        <w:t>£</w:t>
      </w:r>
      <w:r w:rsidRPr="006D24E1">
        <w:rPr>
          <w:rFonts w:ascii="Times New Roman" w:hAnsi="Times New Roman" w:cs="Times New Roman"/>
          <w:sz w:val="24"/>
          <w:szCs w:val="24"/>
        </w:rPr>
        <w:t>-7.64 in 2023,</w:t>
      </w:r>
      <w:r w:rsidR="00D27F7C">
        <w:rPr>
          <w:rFonts w:ascii="Times New Roman" w:hAnsi="Times New Roman" w:cs="Times New Roman"/>
          <w:sz w:val="24"/>
          <w:szCs w:val="24"/>
        </w:rPr>
        <w:t xml:space="preserve"> and then returned in part to </w:t>
      </w:r>
      <w:r w:rsidR="00D27F7C">
        <w:rPr>
          <w:rFonts w:ascii="Times New Roman" w:hAnsi="Times New Roman" w:cs="Times New Roman"/>
          <w:sz w:val="24"/>
        </w:rPr>
        <w:t>£</w:t>
      </w:r>
      <w:r w:rsidRPr="006D24E1">
        <w:rPr>
          <w:rFonts w:ascii="Times New Roman" w:hAnsi="Times New Roman" w:cs="Times New Roman"/>
          <w:sz w:val="24"/>
          <w:szCs w:val="24"/>
        </w:rPr>
        <w:t>-1.85 in 2024, which indicates a devastating decline in shareholder value</w:t>
      </w:r>
      <w:r w:rsidR="001438E9">
        <w:rPr>
          <w:rFonts w:ascii="Times New Roman" w:hAnsi="Times New Roman" w:cs="Times New Roman"/>
          <w:sz w:val="24"/>
          <w:szCs w:val="24"/>
        </w:rPr>
        <w:t xml:space="preserve"> (</w:t>
      </w:r>
      <w:r w:rsidR="001438E9">
        <w:rPr>
          <w:rFonts w:ascii="Arial" w:hAnsi="Arial" w:cs="Arial"/>
          <w:color w:val="222222"/>
          <w:sz w:val="20"/>
          <w:szCs w:val="20"/>
          <w:shd w:val="clear" w:color="auto" w:fill="FFFFFF"/>
        </w:rPr>
        <w:t>Ali, A., Haider, A. and Senturk, I., 2025)</w:t>
      </w:r>
      <w:r w:rsidRPr="006D24E1">
        <w:rPr>
          <w:rFonts w:ascii="Times New Roman" w:hAnsi="Times New Roman" w:cs="Times New Roman"/>
          <w:sz w:val="24"/>
          <w:szCs w:val="24"/>
        </w:rPr>
        <w:t>. This tenden</w:t>
      </w:r>
      <w:r>
        <w:rPr>
          <w:rFonts w:ascii="Times New Roman" w:hAnsi="Times New Roman" w:cs="Times New Roman"/>
          <w:sz w:val="24"/>
          <w:szCs w:val="24"/>
        </w:rPr>
        <w:t xml:space="preserve">cy is the verdict of the market </w:t>
      </w:r>
      <w:r w:rsidR="00807E6F" w:rsidRPr="009225E6">
        <w:rPr>
          <w:rFonts w:ascii="Times New Roman" w:hAnsi="Times New Roman" w:cs="Times New Roman"/>
          <w:sz w:val="24"/>
          <w:szCs w:val="24"/>
          <w:lang w:val="en-US"/>
        </w:rPr>
        <w:t xml:space="preserve">on the company’s </w:t>
      </w:r>
      <w:r w:rsidR="00807E6F" w:rsidRPr="00D97D17">
        <w:rPr>
          <w:rFonts w:ascii="Times New Roman" w:hAnsi="Times New Roman" w:cs="Times New Roman"/>
          <w:sz w:val="24"/>
          <w:szCs w:val="24"/>
          <w:lang w:val="en-US"/>
        </w:rPr>
        <w:t>performance and prospects.</w:t>
      </w:r>
    </w:p>
    <w:p w14:paraId="2361C708" w14:textId="77777777" w:rsidR="00364B06" w:rsidRPr="009225E6" w:rsidRDefault="00CE2CA0" w:rsidP="00CE2CA0">
      <w:pPr>
        <w:pStyle w:val="Heading3"/>
        <w:rPr>
          <w:rFonts w:ascii="Times New Roman" w:hAnsi="Times New Roman" w:cs="Times New Roman"/>
          <w:lang w:val="en-US"/>
        </w:rPr>
      </w:pPr>
      <w:bookmarkStart w:id="8" w:name="_Toc210237840"/>
      <w:r w:rsidRPr="009225E6">
        <w:rPr>
          <w:rFonts w:ascii="Times New Roman" w:hAnsi="Times New Roman" w:cs="Times New Roman"/>
          <w:lang w:val="en-US"/>
        </w:rPr>
        <w:t xml:space="preserve">1.1.5 </w:t>
      </w:r>
      <w:r w:rsidR="009E7D78" w:rsidRPr="009225E6">
        <w:rPr>
          <w:rFonts w:ascii="Times New Roman" w:hAnsi="Times New Roman" w:cs="Times New Roman"/>
          <w:lang w:val="en-US"/>
        </w:rPr>
        <w:t>Trend analysis</w:t>
      </w:r>
      <w:bookmarkEnd w:id="8"/>
    </w:p>
    <w:p w14:paraId="791D34D3" w14:textId="77777777" w:rsidR="009E7D78" w:rsidRPr="009225E6" w:rsidRDefault="00A10060" w:rsidP="009E7D78">
      <w:pPr>
        <w:spacing w:line="360" w:lineRule="auto"/>
        <w:jc w:val="both"/>
        <w:rPr>
          <w:rFonts w:ascii="Times New Roman" w:hAnsi="Times New Roman" w:cs="Times New Roman"/>
          <w:sz w:val="24"/>
          <w:szCs w:val="24"/>
          <w:lang w:val="en-US"/>
        </w:rPr>
      </w:pPr>
      <w:r>
        <w:rPr>
          <w:rFonts w:ascii="Times New Roman" w:hAnsi="Times New Roman" w:cs="Times New Roman"/>
          <w:b/>
          <w:i/>
          <w:sz w:val="24"/>
          <w:szCs w:val="24"/>
        </w:rPr>
        <w:t>The above charts</w:t>
      </w:r>
      <w:r>
        <w:rPr>
          <w:rFonts w:ascii="Times New Roman" w:hAnsi="Times New Roman" w:cs="Times New Roman"/>
          <w:sz w:val="24"/>
          <w:szCs w:val="24"/>
        </w:rPr>
        <w:t xml:space="preserve"> </w:t>
      </w:r>
      <w:r w:rsidR="00DC78A3" w:rsidRPr="00DC78A3">
        <w:rPr>
          <w:rFonts w:ascii="Times New Roman" w:hAnsi="Times New Roman" w:cs="Times New Roman"/>
          <w:sz w:val="24"/>
          <w:szCs w:val="24"/>
        </w:rPr>
        <w:t>represent the trend in each of the ratios mentioned above. A trend analysis of the ratios of the General Electronics over the period of 2020-24 proves that the company is in a severe decline, and the crisis of profitability is an acute problem that is accompanied by an acute threat of liquidity. The most notable decline is seen in profitability indicators</w:t>
      </w:r>
      <w:r w:rsidR="002452FE">
        <w:rPr>
          <w:rFonts w:ascii="Times New Roman" w:hAnsi="Times New Roman" w:cs="Times New Roman"/>
          <w:sz w:val="24"/>
          <w:szCs w:val="24"/>
        </w:rPr>
        <w:t xml:space="preserve"> (</w:t>
      </w:r>
      <w:r w:rsidR="002452FE">
        <w:rPr>
          <w:rFonts w:ascii="Arial" w:hAnsi="Arial" w:cs="Arial"/>
          <w:color w:val="222222"/>
          <w:sz w:val="20"/>
          <w:szCs w:val="20"/>
          <w:shd w:val="clear" w:color="auto" w:fill="FFFFFF"/>
        </w:rPr>
        <w:t>Frida, M., 2025)</w:t>
      </w:r>
      <w:r w:rsidR="00DC78A3" w:rsidRPr="00DC78A3">
        <w:rPr>
          <w:rFonts w:ascii="Times New Roman" w:hAnsi="Times New Roman" w:cs="Times New Roman"/>
          <w:sz w:val="24"/>
          <w:szCs w:val="24"/>
        </w:rPr>
        <w:t xml:space="preserve">, the Return on Capital Employed (ROCE) and the Return on Equity (ROE) have deteriorated since 2020, changing negative values of -9 and -16 respectively to indicate a continued destruction of shareholder value and inefficient use of capital (Laitinen, 2021). This degradation is fuelled by unsustainable operating costs, as demonstrated by unstable, and often negative Operating Profit Ratio, despite a </w:t>
      </w:r>
      <w:proofErr w:type="gramStart"/>
      <w:r w:rsidR="00DC78A3" w:rsidRPr="00DC78A3">
        <w:rPr>
          <w:rFonts w:ascii="Times New Roman" w:hAnsi="Times New Roman" w:cs="Times New Roman"/>
          <w:sz w:val="24"/>
          <w:szCs w:val="24"/>
        </w:rPr>
        <w:t>fairly strong</w:t>
      </w:r>
      <w:proofErr w:type="gramEnd"/>
      <w:r w:rsidR="00DC78A3" w:rsidRPr="00DC78A3">
        <w:rPr>
          <w:rFonts w:ascii="Times New Roman" w:hAnsi="Times New Roman" w:cs="Times New Roman"/>
          <w:sz w:val="24"/>
          <w:szCs w:val="24"/>
        </w:rPr>
        <w:t xml:space="preserve"> Gross Profit Ratio sitting at </w:t>
      </w:r>
      <w:r w:rsidR="00DC78A3" w:rsidRPr="00DC78A3">
        <w:rPr>
          <w:rFonts w:ascii="Times New Roman" w:hAnsi="Times New Roman" w:cs="Times New Roman"/>
          <w:sz w:val="24"/>
          <w:szCs w:val="24"/>
        </w:rPr>
        <w:lastRenderedPageBreak/>
        <w:t>approximately 29. Such observations point to a basic business model that is being undermined outside</w:t>
      </w:r>
      <w:r w:rsidR="00DC78A3">
        <w:rPr>
          <w:rFonts w:ascii="Times New Roman" w:hAnsi="Times New Roman" w:cs="Times New Roman"/>
          <w:sz w:val="24"/>
          <w:szCs w:val="24"/>
        </w:rPr>
        <w:t xml:space="preserve"> of its cost base of production</w:t>
      </w:r>
      <w:r w:rsidR="009E7D78" w:rsidRPr="009225E6">
        <w:rPr>
          <w:rFonts w:ascii="Times New Roman" w:hAnsi="Times New Roman" w:cs="Times New Roman"/>
          <w:sz w:val="24"/>
          <w:szCs w:val="24"/>
          <w:lang w:val="en-US"/>
        </w:rPr>
        <w:t>.</w:t>
      </w:r>
    </w:p>
    <w:p w14:paraId="70808852" w14:textId="77777777" w:rsidR="009E7D78" w:rsidRPr="009225E6" w:rsidRDefault="00DC78A3" w:rsidP="009E7D78">
      <w:pPr>
        <w:spacing w:line="360" w:lineRule="auto"/>
        <w:jc w:val="both"/>
        <w:rPr>
          <w:rFonts w:ascii="Times New Roman" w:hAnsi="Times New Roman" w:cs="Times New Roman"/>
          <w:sz w:val="24"/>
          <w:szCs w:val="24"/>
          <w:lang w:val="en-US"/>
        </w:rPr>
      </w:pPr>
      <w:r w:rsidRPr="00DC78A3">
        <w:rPr>
          <w:rFonts w:ascii="Times New Roman" w:hAnsi="Times New Roman" w:cs="Times New Roman"/>
          <w:sz w:val="24"/>
          <w:szCs w:val="24"/>
        </w:rPr>
        <w:t>One of the strong points lies in the capital structure of the company with extremely low and constant Gearing Ratio of 34 percent. This means poor financial risk profile and has potential to borrow to restructure an effort, a good strategic position in a turnaround situation (</w:t>
      </w:r>
      <w:proofErr w:type="spellStart"/>
      <w:r w:rsidRPr="00DC78A3">
        <w:rPr>
          <w:rFonts w:ascii="Times New Roman" w:hAnsi="Times New Roman" w:cs="Times New Roman"/>
          <w:sz w:val="24"/>
          <w:szCs w:val="24"/>
        </w:rPr>
        <w:t>Serghiescu</w:t>
      </w:r>
      <w:proofErr w:type="spellEnd"/>
      <w:r w:rsidRPr="00DC78A3">
        <w:rPr>
          <w:rFonts w:ascii="Times New Roman" w:hAnsi="Times New Roman" w:cs="Times New Roman"/>
          <w:sz w:val="24"/>
          <w:szCs w:val="24"/>
        </w:rPr>
        <w:t xml:space="preserve"> and </w:t>
      </w:r>
      <w:proofErr w:type="spellStart"/>
      <w:r w:rsidRPr="00DC78A3">
        <w:rPr>
          <w:rFonts w:ascii="Times New Roman" w:hAnsi="Times New Roman" w:cs="Times New Roman"/>
          <w:sz w:val="24"/>
          <w:szCs w:val="24"/>
        </w:rPr>
        <w:t>Vaidean</w:t>
      </w:r>
      <w:proofErr w:type="spellEnd"/>
      <w:r w:rsidRPr="00DC78A3">
        <w:rPr>
          <w:rFonts w:ascii="Times New Roman" w:hAnsi="Times New Roman" w:cs="Times New Roman"/>
          <w:sz w:val="24"/>
          <w:szCs w:val="24"/>
        </w:rPr>
        <w:t>, 2021). However, this benefit is offset by a serious threat. The nearest one is the liquidity crisis, which is indicated by a negative Quick Ratio within five years of succession, indicating an increased risk of insolvency</w:t>
      </w:r>
      <w:r w:rsidR="00EB1D0C">
        <w:rPr>
          <w:rFonts w:ascii="Times New Roman" w:hAnsi="Times New Roman" w:cs="Times New Roman"/>
          <w:sz w:val="24"/>
          <w:szCs w:val="24"/>
        </w:rPr>
        <w:t xml:space="preserve"> </w:t>
      </w:r>
      <w:r w:rsidR="00EB1D0C" w:rsidRPr="00DC78A3">
        <w:rPr>
          <w:rFonts w:ascii="Times New Roman" w:hAnsi="Times New Roman" w:cs="Times New Roman"/>
          <w:sz w:val="24"/>
          <w:szCs w:val="24"/>
        </w:rPr>
        <w:t>(</w:t>
      </w:r>
      <w:r w:rsidR="00EB1D0C">
        <w:rPr>
          <w:rFonts w:ascii="Arial" w:hAnsi="Arial" w:cs="Arial"/>
          <w:color w:val="222222"/>
          <w:sz w:val="20"/>
          <w:szCs w:val="20"/>
          <w:shd w:val="clear" w:color="auto" w:fill="FFFFFF"/>
        </w:rPr>
        <w:t>Bui, T.H., Truong, T.T.D. and Tran, T.P.T., 2025</w:t>
      </w:r>
      <w:r w:rsidR="00EB1D0C" w:rsidRPr="00DC78A3">
        <w:rPr>
          <w:rFonts w:ascii="Times New Roman" w:hAnsi="Times New Roman" w:cs="Times New Roman"/>
          <w:sz w:val="24"/>
          <w:szCs w:val="24"/>
        </w:rPr>
        <w:t>)</w:t>
      </w:r>
      <w:r w:rsidRPr="00DC78A3">
        <w:rPr>
          <w:rFonts w:ascii="Times New Roman" w:hAnsi="Times New Roman" w:cs="Times New Roman"/>
          <w:sz w:val="24"/>
          <w:szCs w:val="24"/>
        </w:rPr>
        <w:t xml:space="preserve"> because the company has no liquid assets to meet short-term commitments without the sale of the current inventory (Altaf and Ahmad, 2019). Other threats are related to operational inefficiencies including a contracting Sales Revenue per Employee and overly long Stock Holding Period, which tie up working capital and increase the risk of obsolescence in inventory associated with the fast-moving electronics industry, which exacerbates the liquidity threat and highlights the fundamental operational vulnerability</w:t>
      </w:r>
      <w:r w:rsidR="009E7D78" w:rsidRPr="009225E6">
        <w:rPr>
          <w:rFonts w:ascii="Times New Roman" w:hAnsi="Times New Roman" w:cs="Times New Roman"/>
          <w:sz w:val="24"/>
          <w:szCs w:val="24"/>
          <w:lang w:val="en-US"/>
        </w:rPr>
        <w:t>.</w:t>
      </w:r>
    </w:p>
    <w:p w14:paraId="0DFAB3CB" w14:textId="77777777" w:rsidR="009E7D78" w:rsidRPr="009225E6" w:rsidRDefault="005915CF" w:rsidP="005915CF">
      <w:pPr>
        <w:pStyle w:val="Heading3"/>
        <w:rPr>
          <w:rFonts w:ascii="Times New Roman" w:hAnsi="Times New Roman" w:cs="Times New Roman"/>
          <w:lang w:val="en-US"/>
        </w:rPr>
      </w:pPr>
      <w:bookmarkStart w:id="9" w:name="_Toc210237841"/>
      <w:r w:rsidRPr="009225E6">
        <w:rPr>
          <w:rFonts w:ascii="Times New Roman" w:hAnsi="Times New Roman" w:cs="Times New Roman"/>
          <w:lang w:val="en-US"/>
        </w:rPr>
        <w:t xml:space="preserve">1.1.6 </w:t>
      </w:r>
      <w:r w:rsidR="00C51641" w:rsidRPr="009225E6">
        <w:rPr>
          <w:rFonts w:ascii="Times New Roman" w:hAnsi="Times New Roman" w:cs="Times New Roman"/>
          <w:lang w:val="en-US"/>
        </w:rPr>
        <w:t xml:space="preserve">Corporate Failure Prediction Model- </w:t>
      </w:r>
      <w:r w:rsidR="00CE2CA0" w:rsidRPr="009225E6">
        <w:rPr>
          <w:rFonts w:ascii="Times New Roman" w:hAnsi="Times New Roman" w:cs="Times New Roman"/>
          <w:sz w:val="24"/>
          <w:szCs w:val="24"/>
          <w:lang w:val="en-US"/>
        </w:rPr>
        <w:t>Altman Z-Score model</w:t>
      </w:r>
      <w:bookmarkEnd w:id="9"/>
    </w:p>
    <w:p w14:paraId="65D02BEA" w14:textId="77777777" w:rsidR="00FF4535" w:rsidRPr="009225E6" w:rsidRDefault="00DC78A3" w:rsidP="00C51641">
      <w:pPr>
        <w:spacing w:line="360" w:lineRule="auto"/>
        <w:jc w:val="both"/>
        <w:rPr>
          <w:rFonts w:ascii="Times New Roman" w:hAnsi="Times New Roman" w:cs="Times New Roman"/>
          <w:sz w:val="24"/>
          <w:szCs w:val="24"/>
          <w:lang w:val="en-US"/>
        </w:rPr>
      </w:pPr>
      <w:r w:rsidRPr="00DC78A3">
        <w:rPr>
          <w:rFonts w:ascii="Times New Roman" w:hAnsi="Times New Roman" w:cs="Times New Roman"/>
          <w:sz w:val="24"/>
          <w:szCs w:val="24"/>
        </w:rPr>
        <w:t xml:space="preserve">According to the provided financial statements of General Electronics, the Altman Z -Score model has been used to assess the risk of default in the company during the years 2020-24. </w:t>
      </w:r>
      <w:r>
        <w:rPr>
          <w:rFonts w:ascii="Times New Roman" w:hAnsi="Times New Roman" w:cs="Times New Roman"/>
          <w:sz w:val="24"/>
          <w:szCs w:val="24"/>
        </w:rPr>
        <w:t>The Altman Z -Score is a well-</w:t>
      </w:r>
      <w:r w:rsidRPr="00DC78A3">
        <w:rPr>
          <w:rFonts w:ascii="Times New Roman" w:hAnsi="Times New Roman" w:cs="Times New Roman"/>
          <w:sz w:val="24"/>
          <w:szCs w:val="24"/>
        </w:rPr>
        <w:t>known quantitative method of predicting corporate failure and the interpretations are the followin</w:t>
      </w:r>
      <w:r>
        <w:rPr>
          <w:rFonts w:ascii="Times New Roman" w:hAnsi="Times New Roman" w:cs="Times New Roman"/>
          <w:sz w:val="24"/>
          <w:szCs w:val="24"/>
        </w:rPr>
        <w:t>g, as indicated in</w:t>
      </w:r>
      <w:r w:rsidR="00413BB3">
        <w:rPr>
          <w:rFonts w:ascii="Times New Roman" w:hAnsi="Times New Roman" w:cs="Times New Roman"/>
          <w:sz w:val="24"/>
          <w:szCs w:val="24"/>
          <w:lang w:val="en-US"/>
        </w:rPr>
        <w:t xml:space="preserve"> </w:t>
      </w:r>
      <w:r w:rsidR="00413BB3" w:rsidRPr="002A079B">
        <w:rPr>
          <w:rFonts w:ascii="Times New Roman" w:hAnsi="Times New Roman" w:cs="Times New Roman"/>
          <w:b/>
          <w:i/>
          <w:sz w:val="24"/>
          <w:szCs w:val="24"/>
        </w:rPr>
        <w:t>Appendix-I</w:t>
      </w:r>
      <w:r w:rsidR="00413BB3">
        <w:rPr>
          <w:rFonts w:ascii="Times New Roman" w:hAnsi="Times New Roman" w:cs="Times New Roman"/>
          <w:b/>
          <w:i/>
          <w:sz w:val="24"/>
          <w:szCs w:val="24"/>
        </w:rPr>
        <w:t>I.</w:t>
      </w:r>
    </w:p>
    <w:tbl>
      <w:tblPr>
        <w:tblW w:w="9500" w:type="dxa"/>
        <w:tblInd w:w="93" w:type="dxa"/>
        <w:tblLook w:val="04A0" w:firstRow="1" w:lastRow="0" w:firstColumn="1" w:lastColumn="0" w:noHBand="0" w:noVBand="1"/>
      </w:tblPr>
      <w:tblGrid>
        <w:gridCol w:w="2320"/>
        <w:gridCol w:w="4380"/>
        <w:gridCol w:w="2800"/>
      </w:tblGrid>
      <w:tr w:rsidR="00AE5C3B" w:rsidRPr="009225E6" w14:paraId="32074226" w14:textId="77777777" w:rsidTr="00AE5C3B">
        <w:trPr>
          <w:trHeight w:val="630"/>
        </w:trPr>
        <w:tc>
          <w:tcPr>
            <w:tcW w:w="2320" w:type="dxa"/>
            <w:tcBorders>
              <w:top w:val="single" w:sz="8" w:space="0" w:color="auto"/>
              <w:left w:val="single" w:sz="8" w:space="0" w:color="auto"/>
              <w:bottom w:val="single" w:sz="4" w:space="0" w:color="auto"/>
              <w:right w:val="single" w:sz="4" w:space="0" w:color="auto"/>
            </w:tcBorders>
            <w:noWrap/>
            <w:vAlign w:val="bottom"/>
            <w:hideMark/>
          </w:tcPr>
          <w:p w14:paraId="7E31A08C" w14:textId="77777777" w:rsidR="00AE5C3B" w:rsidRPr="009225E6" w:rsidRDefault="00AE5C3B" w:rsidP="00AE5C3B">
            <w:pPr>
              <w:spacing w:after="0" w:line="240" w:lineRule="auto"/>
              <w:rPr>
                <w:rFonts w:ascii="Times New Roman" w:eastAsia="Times New Roman" w:hAnsi="Times New Roman" w:cs="Times New Roman"/>
                <w:b/>
                <w:bCs/>
                <w:color w:val="000000"/>
                <w:sz w:val="24"/>
                <w:szCs w:val="24"/>
                <w:lang w:val="en-US"/>
              </w:rPr>
            </w:pPr>
            <w:r w:rsidRPr="009225E6">
              <w:rPr>
                <w:rFonts w:ascii="Times New Roman" w:eastAsia="Times New Roman" w:hAnsi="Times New Roman" w:cs="Times New Roman"/>
                <w:b/>
                <w:bCs/>
                <w:color w:val="000000"/>
                <w:sz w:val="24"/>
                <w:szCs w:val="24"/>
                <w:lang w:val="en-US"/>
              </w:rPr>
              <w:t>Z-Score &gt; 3.0</w:t>
            </w:r>
          </w:p>
        </w:tc>
        <w:tc>
          <w:tcPr>
            <w:tcW w:w="4380" w:type="dxa"/>
            <w:tcBorders>
              <w:top w:val="single" w:sz="8" w:space="0" w:color="auto"/>
              <w:left w:val="nil"/>
              <w:bottom w:val="single" w:sz="4" w:space="0" w:color="auto"/>
              <w:right w:val="single" w:sz="4" w:space="0" w:color="auto"/>
            </w:tcBorders>
            <w:noWrap/>
            <w:vAlign w:val="bottom"/>
            <w:hideMark/>
          </w:tcPr>
          <w:p w14:paraId="50E91451" w14:textId="77777777" w:rsidR="00AE5C3B" w:rsidRPr="009225E6" w:rsidRDefault="00AE5C3B" w:rsidP="00AE5C3B">
            <w:pPr>
              <w:spacing w:after="0" w:line="240" w:lineRule="auto"/>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Safe zone (low risk of bankruptcy)</w:t>
            </w:r>
          </w:p>
        </w:tc>
        <w:tc>
          <w:tcPr>
            <w:tcW w:w="2800" w:type="dxa"/>
            <w:tcBorders>
              <w:top w:val="single" w:sz="8" w:space="0" w:color="auto"/>
              <w:left w:val="nil"/>
              <w:bottom w:val="single" w:sz="4" w:space="0" w:color="auto"/>
              <w:right w:val="single" w:sz="8" w:space="0" w:color="auto"/>
            </w:tcBorders>
            <w:shd w:val="clear" w:color="000000" w:fill="9BBB59"/>
            <w:noWrap/>
            <w:vAlign w:val="bottom"/>
            <w:hideMark/>
          </w:tcPr>
          <w:p w14:paraId="18BD5234" w14:textId="77777777" w:rsidR="00AE5C3B" w:rsidRPr="009225E6" w:rsidRDefault="00AE5C3B" w:rsidP="00AE5C3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AE5C3B" w:rsidRPr="009225E6" w14:paraId="4AFE61D0" w14:textId="77777777" w:rsidTr="00AE5C3B">
        <w:trPr>
          <w:trHeight w:val="315"/>
        </w:trPr>
        <w:tc>
          <w:tcPr>
            <w:tcW w:w="2320" w:type="dxa"/>
            <w:tcBorders>
              <w:top w:val="nil"/>
              <w:left w:val="single" w:sz="8" w:space="0" w:color="auto"/>
              <w:bottom w:val="single" w:sz="4" w:space="0" w:color="auto"/>
              <w:right w:val="single" w:sz="4" w:space="0" w:color="auto"/>
            </w:tcBorders>
            <w:noWrap/>
            <w:vAlign w:val="bottom"/>
            <w:hideMark/>
          </w:tcPr>
          <w:p w14:paraId="5B817A8E" w14:textId="77777777" w:rsidR="00AE5C3B" w:rsidRPr="009225E6" w:rsidRDefault="00AE5C3B" w:rsidP="00AE5C3B">
            <w:pPr>
              <w:spacing w:after="0" w:line="240" w:lineRule="auto"/>
              <w:rPr>
                <w:rFonts w:ascii="Times New Roman" w:eastAsia="Times New Roman" w:hAnsi="Times New Roman" w:cs="Times New Roman"/>
                <w:b/>
                <w:bCs/>
                <w:color w:val="000000"/>
                <w:sz w:val="24"/>
                <w:szCs w:val="24"/>
                <w:lang w:val="en-US"/>
              </w:rPr>
            </w:pPr>
            <w:r w:rsidRPr="009225E6">
              <w:rPr>
                <w:rFonts w:ascii="Times New Roman" w:eastAsia="Times New Roman" w:hAnsi="Times New Roman" w:cs="Times New Roman"/>
                <w:b/>
                <w:bCs/>
                <w:color w:val="000000"/>
                <w:sz w:val="24"/>
                <w:szCs w:val="24"/>
                <w:lang w:val="en-US"/>
              </w:rPr>
              <w:t>Z-Score 1.9 to 2.9</w:t>
            </w:r>
          </w:p>
        </w:tc>
        <w:tc>
          <w:tcPr>
            <w:tcW w:w="4380" w:type="dxa"/>
            <w:tcBorders>
              <w:top w:val="nil"/>
              <w:left w:val="nil"/>
              <w:bottom w:val="single" w:sz="4" w:space="0" w:color="auto"/>
              <w:right w:val="single" w:sz="4" w:space="0" w:color="auto"/>
            </w:tcBorders>
            <w:noWrap/>
            <w:vAlign w:val="center"/>
            <w:hideMark/>
          </w:tcPr>
          <w:p w14:paraId="11476FC2" w14:textId="77777777" w:rsidR="00AE5C3B" w:rsidRPr="009225E6" w:rsidRDefault="00AE5C3B" w:rsidP="00AE5C3B">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Gray zone (moderate risk of bankruptcy)</w:t>
            </w:r>
          </w:p>
        </w:tc>
        <w:tc>
          <w:tcPr>
            <w:tcW w:w="2800" w:type="dxa"/>
            <w:tcBorders>
              <w:top w:val="nil"/>
              <w:left w:val="nil"/>
              <w:bottom w:val="single" w:sz="4" w:space="0" w:color="auto"/>
              <w:right w:val="single" w:sz="8" w:space="0" w:color="auto"/>
            </w:tcBorders>
            <w:shd w:val="clear" w:color="000000" w:fill="808080"/>
            <w:noWrap/>
            <w:vAlign w:val="bottom"/>
            <w:hideMark/>
          </w:tcPr>
          <w:p w14:paraId="7C97149A" w14:textId="77777777" w:rsidR="00AE5C3B" w:rsidRPr="009225E6" w:rsidRDefault="00AE5C3B" w:rsidP="00AE5C3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AE5C3B" w:rsidRPr="009225E6" w14:paraId="2E3E1653" w14:textId="77777777" w:rsidTr="00AE5C3B">
        <w:trPr>
          <w:trHeight w:val="600"/>
        </w:trPr>
        <w:tc>
          <w:tcPr>
            <w:tcW w:w="2320" w:type="dxa"/>
            <w:tcBorders>
              <w:top w:val="nil"/>
              <w:left w:val="single" w:sz="8" w:space="0" w:color="auto"/>
              <w:bottom w:val="single" w:sz="8" w:space="0" w:color="auto"/>
              <w:right w:val="single" w:sz="4" w:space="0" w:color="auto"/>
            </w:tcBorders>
            <w:noWrap/>
            <w:vAlign w:val="bottom"/>
            <w:hideMark/>
          </w:tcPr>
          <w:p w14:paraId="1BFB4ACC" w14:textId="77777777" w:rsidR="00AE5C3B" w:rsidRPr="009225E6" w:rsidRDefault="00AE5C3B" w:rsidP="00AE5C3B">
            <w:pPr>
              <w:spacing w:after="0" w:line="240" w:lineRule="auto"/>
              <w:rPr>
                <w:rFonts w:ascii="Times New Roman" w:eastAsia="Times New Roman" w:hAnsi="Times New Roman" w:cs="Times New Roman"/>
                <w:b/>
                <w:bCs/>
                <w:color w:val="000000"/>
                <w:sz w:val="24"/>
                <w:szCs w:val="24"/>
                <w:lang w:val="en-US"/>
              </w:rPr>
            </w:pPr>
            <w:r w:rsidRPr="009225E6">
              <w:rPr>
                <w:rFonts w:ascii="Times New Roman" w:eastAsia="Times New Roman" w:hAnsi="Times New Roman" w:cs="Times New Roman"/>
                <w:b/>
                <w:bCs/>
                <w:color w:val="000000"/>
                <w:sz w:val="24"/>
                <w:szCs w:val="24"/>
                <w:lang w:val="en-US"/>
              </w:rPr>
              <w:t>Z-Score &lt; 1.8</w:t>
            </w:r>
          </w:p>
        </w:tc>
        <w:tc>
          <w:tcPr>
            <w:tcW w:w="4380" w:type="dxa"/>
            <w:tcBorders>
              <w:top w:val="nil"/>
              <w:left w:val="nil"/>
              <w:bottom w:val="single" w:sz="8" w:space="0" w:color="auto"/>
              <w:right w:val="single" w:sz="4" w:space="0" w:color="auto"/>
            </w:tcBorders>
            <w:noWrap/>
            <w:vAlign w:val="center"/>
            <w:hideMark/>
          </w:tcPr>
          <w:p w14:paraId="12712C9C" w14:textId="77777777" w:rsidR="00AE5C3B" w:rsidRPr="009225E6" w:rsidRDefault="00AE5C3B" w:rsidP="00AE5C3B">
            <w:pPr>
              <w:spacing w:after="0" w:line="240" w:lineRule="auto"/>
              <w:jc w:val="both"/>
              <w:rPr>
                <w:rFonts w:ascii="Times New Roman" w:eastAsia="Times New Roman" w:hAnsi="Times New Roman" w:cs="Times New Roman"/>
                <w:b/>
                <w:bCs/>
                <w:color w:val="000000"/>
                <w:sz w:val="24"/>
                <w:szCs w:val="24"/>
                <w:lang w:val="en-US"/>
              </w:rPr>
            </w:pPr>
            <w:r w:rsidRPr="009225E6">
              <w:rPr>
                <w:rFonts w:ascii="Times New Roman" w:eastAsia="Times New Roman" w:hAnsi="Times New Roman" w:cs="Times New Roman"/>
                <w:b/>
                <w:bCs/>
                <w:color w:val="000000"/>
                <w:sz w:val="24"/>
                <w:szCs w:val="24"/>
                <w:lang w:val="en-US"/>
              </w:rPr>
              <w:t xml:space="preserve"> </w:t>
            </w:r>
            <w:r w:rsidRPr="009225E6">
              <w:rPr>
                <w:rFonts w:ascii="Times New Roman" w:eastAsia="Times New Roman" w:hAnsi="Times New Roman" w:cs="Times New Roman"/>
                <w:color w:val="000000"/>
                <w:sz w:val="24"/>
                <w:szCs w:val="24"/>
                <w:lang w:val="en-US"/>
              </w:rPr>
              <w:t>Distress zone (high risk of bankruptcy)</w:t>
            </w:r>
          </w:p>
        </w:tc>
        <w:tc>
          <w:tcPr>
            <w:tcW w:w="2800" w:type="dxa"/>
            <w:tcBorders>
              <w:top w:val="nil"/>
              <w:left w:val="nil"/>
              <w:bottom w:val="single" w:sz="8" w:space="0" w:color="auto"/>
              <w:right w:val="single" w:sz="8" w:space="0" w:color="auto"/>
            </w:tcBorders>
            <w:shd w:val="clear" w:color="000000" w:fill="FF9900"/>
            <w:noWrap/>
            <w:vAlign w:val="bottom"/>
            <w:hideMark/>
          </w:tcPr>
          <w:p w14:paraId="1AC90E80" w14:textId="77777777" w:rsidR="00AE5C3B" w:rsidRPr="009225E6" w:rsidRDefault="00AE5C3B" w:rsidP="00AE5C3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bl>
    <w:p w14:paraId="1EEB2F1E" w14:textId="77777777" w:rsidR="00AE5C3B" w:rsidRPr="009225E6" w:rsidRDefault="00FF4535" w:rsidP="00FF4535">
      <w:pPr>
        <w:pStyle w:val="Caption"/>
        <w:jc w:val="center"/>
        <w:rPr>
          <w:rFonts w:ascii="Times New Roman" w:hAnsi="Times New Roman" w:cs="Times New Roman"/>
          <w:b w:val="0"/>
          <w:bCs w:val="0"/>
          <w:sz w:val="24"/>
          <w:szCs w:val="24"/>
          <w:lang w:val="en-US"/>
        </w:rPr>
      </w:pPr>
      <w:bookmarkStart w:id="10" w:name="_Toc214385561"/>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2</w:t>
      </w:r>
      <w:r w:rsidRPr="009225E6">
        <w:rPr>
          <w:rFonts w:ascii="Times New Roman" w:hAnsi="Times New Roman" w:cs="Times New Roman"/>
        </w:rPr>
        <w:fldChar w:fldCharType="end"/>
      </w:r>
      <w:r w:rsidR="00E44D02">
        <w:rPr>
          <w:rFonts w:ascii="Times New Roman" w:hAnsi="Times New Roman" w:cs="Times New Roman"/>
        </w:rPr>
        <w:t xml:space="preserve"> </w:t>
      </w:r>
      <w:r w:rsidRPr="009225E6">
        <w:rPr>
          <w:rFonts w:ascii="Times New Roman" w:hAnsi="Times New Roman" w:cs="Times New Roman"/>
        </w:rPr>
        <w:t>Corporate Failure Prediction Model- Altman Z-Score model</w:t>
      </w:r>
      <w:bookmarkEnd w:id="10"/>
    </w:p>
    <w:p w14:paraId="3F7B57E2" w14:textId="77777777" w:rsidR="005D139E" w:rsidRPr="009225E6" w:rsidRDefault="00C51641" w:rsidP="00C51641">
      <w:pPr>
        <w:spacing w:line="36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The formula for the Altman Z-Sc</w:t>
      </w:r>
      <w:r w:rsidR="005D139E" w:rsidRPr="009225E6">
        <w:rPr>
          <w:rFonts w:ascii="Times New Roman" w:hAnsi="Times New Roman" w:cs="Times New Roman"/>
          <w:sz w:val="24"/>
          <w:szCs w:val="24"/>
          <w:lang w:val="en-US"/>
        </w:rPr>
        <w:t>ore for manufacturing firms is:</w:t>
      </w:r>
    </w:p>
    <w:p w14:paraId="79E7459A" w14:textId="77777777" w:rsidR="00C51641" w:rsidRPr="009225E6" w:rsidRDefault="00C51641" w:rsidP="00C51641">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Z-Score = 1.2A + 1.4B + 3.3C + 0.6D + 1.0E</w:t>
      </w:r>
    </w:p>
    <w:p w14:paraId="3866103E" w14:textId="77777777" w:rsidR="00C51641" w:rsidRPr="009225E6" w:rsidRDefault="00C51641" w:rsidP="00C51641">
      <w:pPr>
        <w:spacing w:line="36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Where:</w:t>
      </w:r>
    </w:p>
    <w:p w14:paraId="3E89F88F" w14:textId="77777777" w:rsidR="00AA2744" w:rsidRPr="009225E6" w:rsidRDefault="00C51641" w:rsidP="00FC34E6">
      <w:pPr>
        <w:spacing w:line="24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 xml:space="preserve">A </w:t>
      </w:r>
      <w:r w:rsidR="00AA2744" w:rsidRPr="009225E6">
        <w:rPr>
          <w:rFonts w:ascii="Times New Roman" w:hAnsi="Times New Roman" w:cs="Times New Roman"/>
          <w:sz w:val="24"/>
          <w:szCs w:val="24"/>
          <w:lang w:val="en-US"/>
        </w:rPr>
        <w:t>= Working Capital / Total Assets</w:t>
      </w:r>
    </w:p>
    <w:p w14:paraId="4E115E37" w14:textId="77777777" w:rsidR="00AA2744" w:rsidRPr="009225E6" w:rsidRDefault="00AA2744" w:rsidP="00FC34E6">
      <w:pPr>
        <w:spacing w:line="24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B = Retained Earnings / Total Assets</w:t>
      </w:r>
    </w:p>
    <w:p w14:paraId="0B583CC6" w14:textId="77777777" w:rsidR="00AA2744" w:rsidRPr="009225E6" w:rsidRDefault="00AA2744" w:rsidP="00FC34E6">
      <w:pPr>
        <w:spacing w:line="24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C = Earnings Before Interest and Taxes (EBIT) / Total Assets</w:t>
      </w:r>
    </w:p>
    <w:p w14:paraId="532034C5" w14:textId="77777777" w:rsidR="00AA2744" w:rsidRPr="009225E6" w:rsidRDefault="00AA2744" w:rsidP="00FC34E6">
      <w:pPr>
        <w:spacing w:line="24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D = Market Value of Equity / Total Liabilities (since market value is not available, book value of equity is used as a proxy)</w:t>
      </w:r>
    </w:p>
    <w:p w14:paraId="1595564A" w14:textId="77777777" w:rsidR="00AA2744" w:rsidRPr="009225E6" w:rsidRDefault="00AA2744" w:rsidP="00FC34E6">
      <w:pPr>
        <w:spacing w:line="24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lastRenderedPageBreak/>
        <w:t>E = Sales / Total Assets</w:t>
      </w:r>
    </w:p>
    <w:p w14:paraId="1D1C1DDE" w14:textId="77777777" w:rsidR="00AA2744" w:rsidRPr="009225E6" w:rsidRDefault="00AA2744" w:rsidP="002E7D36">
      <w:pPr>
        <w:rPr>
          <w:rFonts w:ascii="Times New Roman" w:hAnsi="Times New Roman" w:cs="Times New Roman"/>
          <w:sz w:val="24"/>
        </w:rPr>
        <w:sectPr w:rsidR="00AA2744" w:rsidRPr="009225E6" w:rsidSect="009E7D78">
          <w:pgSz w:w="11906" w:h="16838"/>
          <w:pgMar w:top="1440" w:right="1440" w:bottom="1440" w:left="1440" w:header="708" w:footer="708" w:gutter="0"/>
          <w:pgNumType w:start="1"/>
          <w:cols w:space="708"/>
          <w:docGrid w:linePitch="360"/>
        </w:sectPr>
      </w:pPr>
      <w:r w:rsidRPr="009225E6">
        <w:rPr>
          <w:rFonts w:ascii="Times New Roman" w:hAnsi="Times New Roman" w:cs="Times New Roman"/>
          <w:sz w:val="24"/>
        </w:rPr>
        <w:t>The calculations for each component and the resulting Z-Scores are summarized below:</w:t>
      </w:r>
    </w:p>
    <w:p w14:paraId="5AB27DFA" w14:textId="77777777" w:rsidR="00FF4535" w:rsidRPr="009225E6" w:rsidRDefault="00524469" w:rsidP="00EC03CF">
      <w:pPr>
        <w:rPr>
          <w:rFonts w:ascii="Times New Roman" w:hAnsi="Times New Roman" w:cs="Times New Roman"/>
        </w:rPr>
      </w:pPr>
      <w:r w:rsidRPr="009225E6">
        <w:rPr>
          <w:rFonts w:ascii="Times New Roman" w:hAnsi="Times New Roman" w:cs="Times New Roman"/>
          <w:noProof/>
          <w:lang w:val="en-US"/>
        </w:rPr>
        <w:lastRenderedPageBreak/>
        <w:drawing>
          <wp:inline distT="0" distB="0" distL="0" distR="0" wp14:anchorId="0A05A669" wp14:editId="15CDC4D1">
            <wp:extent cx="9344025" cy="20097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344025" cy="2009775"/>
                    </a:xfrm>
                    <a:prstGeom prst="rect">
                      <a:avLst/>
                    </a:prstGeom>
                    <a:noFill/>
                    <a:ln>
                      <a:noFill/>
                    </a:ln>
                  </pic:spPr>
                </pic:pic>
              </a:graphicData>
            </a:graphic>
          </wp:inline>
        </w:drawing>
      </w:r>
    </w:p>
    <w:p w14:paraId="0C97BFBB" w14:textId="77777777" w:rsidR="00EC03CF" w:rsidRPr="009225E6" w:rsidRDefault="00EC03CF" w:rsidP="00EC03CF">
      <w:pPr>
        <w:pStyle w:val="Caption"/>
        <w:jc w:val="center"/>
        <w:rPr>
          <w:rFonts w:ascii="Times New Roman" w:hAnsi="Times New Roman" w:cs="Times New Roman"/>
          <w:b w:val="0"/>
          <w:i/>
        </w:rPr>
      </w:pPr>
      <w:bookmarkStart w:id="11" w:name="_Toc214385562"/>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Pr="009225E6">
        <w:rPr>
          <w:rFonts w:ascii="Times New Roman" w:hAnsi="Times New Roman" w:cs="Times New Roman"/>
          <w:noProof/>
        </w:rPr>
        <w:t>3</w:t>
      </w:r>
      <w:r w:rsidRPr="009225E6">
        <w:rPr>
          <w:rFonts w:ascii="Times New Roman" w:hAnsi="Times New Roman" w:cs="Times New Roman"/>
        </w:rPr>
        <w:fldChar w:fldCharType="end"/>
      </w:r>
      <w:r w:rsidRPr="009225E6">
        <w:rPr>
          <w:rFonts w:ascii="Times New Roman" w:hAnsi="Times New Roman" w:cs="Times New Roman"/>
        </w:rPr>
        <w:t xml:space="preserve">  Calculating Altman Z-Scores</w:t>
      </w:r>
      <w:bookmarkEnd w:id="11"/>
    </w:p>
    <w:p w14:paraId="34A32F98" w14:textId="77777777" w:rsidR="00C51641" w:rsidRPr="009225E6" w:rsidRDefault="004B60DD" w:rsidP="009944F3">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736598B5" w14:textId="77777777" w:rsidR="00C51641" w:rsidRPr="009225E6" w:rsidRDefault="00FF1045" w:rsidP="00C51641">
      <w:pPr>
        <w:spacing w:line="360" w:lineRule="auto"/>
        <w:jc w:val="both"/>
        <w:rPr>
          <w:rFonts w:ascii="Times New Roman" w:hAnsi="Times New Roman" w:cs="Times New Roman"/>
          <w:b/>
          <w:bCs/>
          <w:sz w:val="24"/>
          <w:szCs w:val="24"/>
          <w:lang w:val="en-US"/>
        </w:rPr>
      </w:pPr>
      <w:r w:rsidRPr="009225E6">
        <w:rPr>
          <w:rFonts w:ascii="Times New Roman" w:hAnsi="Times New Roman" w:cs="Times New Roman"/>
          <w:b/>
          <w:bCs/>
          <w:sz w:val="24"/>
          <w:szCs w:val="24"/>
          <w:lang w:val="en-US"/>
        </w:rPr>
        <w:t xml:space="preserve">   </w:t>
      </w:r>
      <w:r w:rsidR="00C51641" w:rsidRPr="009225E6">
        <w:rPr>
          <w:rFonts w:ascii="Times New Roman" w:hAnsi="Times New Roman" w:cs="Times New Roman"/>
          <w:b/>
          <w:bCs/>
          <w:sz w:val="24"/>
          <w:szCs w:val="24"/>
          <w:lang w:val="en-US"/>
        </w:rPr>
        <w:t>Calculated Altman Z-Scores</w:t>
      </w:r>
    </w:p>
    <w:p w14:paraId="1BA04454" w14:textId="77777777" w:rsidR="009944F3" w:rsidRPr="009225E6" w:rsidRDefault="009944F3" w:rsidP="009944F3">
      <w:pPr>
        <w:spacing w:line="360" w:lineRule="auto"/>
        <w:jc w:val="center"/>
        <w:rPr>
          <w:rFonts w:ascii="Times New Roman" w:hAnsi="Times New Roman" w:cs="Times New Roman"/>
          <w:b/>
          <w:bCs/>
          <w:sz w:val="24"/>
          <w:szCs w:val="24"/>
          <w:lang w:val="en-US"/>
        </w:rPr>
      </w:pPr>
      <w:r w:rsidRPr="009225E6">
        <w:rPr>
          <w:rFonts w:ascii="Times New Roman" w:hAnsi="Times New Roman" w:cs="Times New Roman"/>
          <w:noProof/>
          <w:lang w:val="en-US"/>
        </w:rPr>
        <w:drawing>
          <wp:inline distT="0" distB="0" distL="0" distR="0" wp14:anchorId="12044205" wp14:editId="48658738">
            <wp:extent cx="7772400" cy="192449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772400" cy="1924493"/>
                    </a:xfrm>
                    <a:prstGeom prst="rect">
                      <a:avLst/>
                    </a:prstGeom>
                    <a:noFill/>
                    <a:ln>
                      <a:noFill/>
                    </a:ln>
                  </pic:spPr>
                </pic:pic>
              </a:graphicData>
            </a:graphic>
          </wp:inline>
        </w:drawing>
      </w:r>
    </w:p>
    <w:p w14:paraId="6E6A05A2" w14:textId="77777777" w:rsidR="00FB49F4" w:rsidRPr="009225E6" w:rsidRDefault="00FF4535" w:rsidP="004B60DD">
      <w:pPr>
        <w:pStyle w:val="Caption"/>
        <w:jc w:val="center"/>
        <w:rPr>
          <w:rFonts w:ascii="Times New Roman" w:hAnsi="Times New Roman" w:cs="Times New Roman"/>
          <w:b w:val="0"/>
          <w:bCs w:val="0"/>
          <w:sz w:val="24"/>
          <w:szCs w:val="24"/>
          <w:lang w:val="en-US"/>
        </w:rPr>
      </w:pPr>
      <w:bookmarkStart w:id="12" w:name="_Toc214385563"/>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4</w:t>
      </w:r>
      <w:r w:rsidRPr="009225E6">
        <w:rPr>
          <w:rFonts w:ascii="Times New Roman" w:hAnsi="Times New Roman" w:cs="Times New Roman"/>
        </w:rPr>
        <w:fldChar w:fldCharType="end"/>
      </w:r>
      <w:r w:rsidRPr="009225E6">
        <w:rPr>
          <w:rFonts w:ascii="Times New Roman" w:hAnsi="Times New Roman" w:cs="Times New Roman"/>
        </w:rPr>
        <w:t xml:space="preserve"> Altman Z-Scores</w:t>
      </w:r>
      <w:bookmarkEnd w:id="12"/>
    </w:p>
    <w:p w14:paraId="7466FDC0" w14:textId="77777777" w:rsidR="004B60DD" w:rsidRPr="009225E6" w:rsidRDefault="004B60DD" w:rsidP="004B60DD">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2E21B027" w14:textId="77777777" w:rsidR="004B60DD" w:rsidRPr="009225E6" w:rsidRDefault="004B60DD" w:rsidP="00C51641">
      <w:pPr>
        <w:spacing w:line="360" w:lineRule="auto"/>
        <w:jc w:val="both"/>
        <w:rPr>
          <w:rFonts w:ascii="Times New Roman" w:hAnsi="Times New Roman" w:cs="Times New Roman"/>
          <w:b/>
          <w:bCs/>
          <w:sz w:val="24"/>
          <w:szCs w:val="24"/>
          <w:lang w:val="en-US"/>
        </w:rPr>
        <w:sectPr w:rsidR="004B60DD" w:rsidRPr="009225E6" w:rsidSect="00C51641">
          <w:pgSz w:w="16838" w:h="11906" w:orient="landscape"/>
          <w:pgMar w:top="1440" w:right="1440" w:bottom="1440" w:left="1440" w:header="708" w:footer="708" w:gutter="0"/>
          <w:pgNumType w:start="1"/>
          <w:cols w:space="708"/>
          <w:docGrid w:linePitch="360"/>
        </w:sectPr>
      </w:pPr>
    </w:p>
    <w:p w14:paraId="5D6F9651" w14:textId="77777777" w:rsidR="00C51641" w:rsidRPr="009225E6" w:rsidRDefault="00C51641" w:rsidP="00C51641">
      <w:pPr>
        <w:spacing w:line="360" w:lineRule="auto"/>
        <w:jc w:val="both"/>
        <w:rPr>
          <w:rFonts w:ascii="Times New Roman" w:hAnsi="Times New Roman" w:cs="Times New Roman"/>
          <w:b/>
          <w:bCs/>
          <w:sz w:val="24"/>
          <w:szCs w:val="24"/>
          <w:lang w:val="en-US"/>
        </w:rPr>
      </w:pPr>
      <w:r w:rsidRPr="009225E6">
        <w:rPr>
          <w:rFonts w:ascii="Times New Roman" w:hAnsi="Times New Roman" w:cs="Times New Roman"/>
          <w:b/>
          <w:bCs/>
          <w:sz w:val="24"/>
          <w:szCs w:val="24"/>
          <w:lang w:val="en-US"/>
        </w:rPr>
        <w:lastRenderedPageBreak/>
        <w:t>Assessment of Default Risk</w:t>
      </w:r>
    </w:p>
    <w:p w14:paraId="1CE68C93" w14:textId="77777777" w:rsidR="004F23E3" w:rsidRDefault="004F23E3" w:rsidP="00D82788">
      <w:pPr>
        <w:spacing w:line="360" w:lineRule="auto"/>
        <w:jc w:val="both"/>
        <w:rPr>
          <w:rFonts w:ascii="Times New Roman" w:hAnsi="Times New Roman" w:cs="Times New Roman"/>
          <w:b/>
          <w:bCs/>
          <w:sz w:val="24"/>
          <w:szCs w:val="24"/>
        </w:rPr>
      </w:pPr>
      <w:r w:rsidRPr="004F23E3">
        <w:rPr>
          <w:rFonts w:ascii="Times New Roman" w:hAnsi="Times New Roman" w:cs="Times New Roman"/>
          <w:b/>
          <w:bCs/>
          <w:sz w:val="24"/>
          <w:szCs w:val="24"/>
        </w:rPr>
        <w:t xml:space="preserve">2020-2022: </w:t>
      </w:r>
      <w:r w:rsidRPr="004F23E3">
        <w:rPr>
          <w:rFonts w:ascii="Times New Roman" w:hAnsi="Times New Roman" w:cs="Times New Roman"/>
          <w:bCs/>
          <w:sz w:val="24"/>
          <w:szCs w:val="24"/>
        </w:rPr>
        <w:t>The Z-Scores are above 3.0 which means that the chance of default is low; the company took a financially stable stand in this period.</w:t>
      </w:r>
      <w:r w:rsidRPr="004F23E3">
        <w:rPr>
          <w:rFonts w:ascii="Times New Roman" w:hAnsi="Times New Roman" w:cs="Times New Roman"/>
          <w:b/>
          <w:bCs/>
          <w:sz w:val="24"/>
          <w:szCs w:val="24"/>
        </w:rPr>
        <w:t xml:space="preserve"> </w:t>
      </w:r>
    </w:p>
    <w:p w14:paraId="53ABB380" w14:textId="77777777" w:rsidR="00C51641" w:rsidRPr="004F23E3" w:rsidRDefault="004F23E3" w:rsidP="00D82788">
      <w:pPr>
        <w:spacing w:line="360" w:lineRule="auto"/>
        <w:jc w:val="both"/>
        <w:rPr>
          <w:rFonts w:ascii="Times New Roman" w:hAnsi="Times New Roman" w:cs="Times New Roman"/>
          <w:b/>
          <w:bCs/>
          <w:sz w:val="24"/>
          <w:szCs w:val="24"/>
        </w:rPr>
      </w:pPr>
      <w:r w:rsidRPr="004F23E3">
        <w:rPr>
          <w:rFonts w:ascii="Times New Roman" w:hAnsi="Times New Roman" w:cs="Times New Roman"/>
          <w:b/>
          <w:bCs/>
          <w:sz w:val="24"/>
          <w:szCs w:val="24"/>
        </w:rPr>
        <w:t>2023 and 2024:</w:t>
      </w:r>
      <w:r w:rsidRPr="004F23E3">
        <w:rPr>
          <w:rFonts w:ascii="Times New Roman" w:hAnsi="Times New Roman" w:cs="Times New Roman"/>
          <w:bCs/>
          <w:sz w:val="24"/>
          <w:szCs w:val="24"/>
        </w:rPr>
        <w:t xml:space="preserve"> The Z-score has increased to 2.82, indicating that the company is at the grey area. It implies medium level of default risk because the compan</w:t>
      </w:r>
      <w:r w:rsidR="002771FC">
        <w:rPr>
          <w:rFonts w:ascii="Times New Roman" w:hAnsi="Times New Roman" w:cs="Times New Roman"/>
          <w:bCs/>
          <w:sz w:val="24"/>
          <w:szCs w:val="24"/>
        </w:rPr>
        <w:t>y reduced its operating loss (</w:t>
      </w:r>
      <w:r w:rsidR="002771FC">
        <w:rPr>
          <w:rFonts w:ascii="Times New Roman" w:hAnsi="Times New Roman" w:cs="Times New Roman"/>
          <w:sz w:val="24"/>
        </w:rPr>
        <w:t>£</w:t>
      </w:r>
      <w:r w:rsidRPr="004F23E3">
        <w:rPr>
          <w:rFonts w:ascii="Times New Roman" w:hAnsi="Times New Roman" w:cs="Times New Roman"/>
          <w:bCs/>
          <w:sz w:val="24"/>
          <w:szCs w:val="24"/>
        </w:rPr>
        <w:t>15,297</w:t>
      </w:r>
      <w:r w:rsidR="002771FC">
        <w:rPr>
          <w:rFonts w:ascii="Times New Roman" w:hAnsi="Times New Roman" w:cs="Times New Roman"/>
          <w:b/>
          <w:bCs/>
          <w:sz w:val="24"/>
          <w:szCs w:val="24"/>
        </w:rPr>
        <w:t xml:space="preserve"> </w:t>
      </w:r>
      <w:r w:rsidRPr="004F23E3">
        <w:rPr>
          <w:rFonts w:ascii="Times New Roman" w:hAnsi="Times New Roman" w:cs="Times New Roman"/>
          <w:b/>
          <w:bCs/>
          <w:sz w:val="24"/>
          <w:szCs w:val="24"/>
        </w:rPr>
        <w:t>million), maintained sales in proportion to assets, but s</w:t>
      </w:r>
      <w:r>
        <w:rPr>
          <w:rFonts w:ascii="Times New Roman" w:hAnsi="Times New Roman" w:cs="Times New Roman"/>
          <w:b/>
          <w:bCs/>
          <w:sz w:val="24"/>
          <w:szCs w:val="24"/>
        </w:rPr>
        <w:t>till had to face the problems</w:t>
      </w:r>
      <w:r w:rsidR="00C51641" w:rsidRPr="009225E6">
        <w:rPr>
          <w:rFonts w:ascii="Times New Roman" w:hAnsi="Times New Roman" w:cs="Times New Roman"/>
          <w:sz w:val="24"/>
          <w:szCs w:val="24"/>
          <w:lang w:val="en-US"/>
        </w:rPr>
        <w:t>.</w:t>
      </w:r>
    </w:p>
    <w:p w14:paraId="7D121601" w14:textId="77777777" w:rsidR="00807E6F" w:rsidRPr="009225E6" w:rsidRDefault="009E7F8E" w:rsidP="001F7B4F">
      <w:pPr>
        <w:pStyle w:val="Heading2"/>
        <w:numPr>
          <w:ilvl w:val="0"/>
          <w:numId w:val="7"/>
        </w:numPr>
        <w:rPr>
          <w:rFonts w:ascii="Times New Roman" w:hAnsi="Times New Roman" w:cs="Times New Roman"/>
          <w:lang w:val="en-US"/>
        </w:rPr>
      </w:pPr>
      <w:bookmarkStart w:id="13" w:name="_Toc210237842"/>
      <w:r w:rsidRPr="009225E6">
        <w:rPr>
          <w:rFonts w:ascii="Times New Roman" w:hAnsi="Times New Roman" w:cs="Times New Roman"/>
          <w:lang w:val="en-US"/>
        </w:rPr>
        <w:t>Working Capital Management</w:t>
      </w:r>
      <w:bookmarkEnd w:id="13"/>
    </w:p>
    <w:p w14:paraId="39E322C5" w14:textId="77777777" w:rsidR="009E7F8E" w:rsidRPr="009225E6" w:rsidRDefault="009E7F8E" w:rsidP="00807E6F">
      <w:pPr>
        <w:spacing w:line="360" w:lineRule="auto"/>
        <w:jc w:val="both"/>
        <w:rPr>
          <w:rFonts w:ascii="Times New Roman" w:hAnsi="Times New Roman" w:cs="Times New Roman"/>
          <w:sz w:val="24"/>
          <w:szCs w:val="24"/>
          <w:lang w:val="en-US"/>
        </w:rPr>
      </w:pPr>
    </w:p>
    <w:tbl>
      <w:tblPr>
        <w:tblW w:w="7920" w:type="dxa"/>
        <w:jc w:val="center"/>
        <w:tblLook w:val="04A0" w:firstRow="1" w:lastRow="0" w:firstColumn="1" w:lastColumn="0" w:noHBand="0" w:noVBand="1"/>
      </w:tblPr>
      <w:tblGrid>
        <w:gridCol w:w="3120"/>
        <w:gridCol w:w="960"/>
        <w:gridCol w:w="960"/>
        <w:gridCol w:w="960"/>
        <w:gridCol w:w="960"/>
        <w:gridCol w:w="960"/>
      </w:tblGrid>
      <w:tr w:rsidR="009E7F8E" w:rsidRPr="009225E6" w14:paraId="24F7764D" w14:textId="77777777" w:rsidTr="00C37550">
        <w:trPr>
          <w:trHeight w:val="300"/>
          <w:jc w:val="center"/>
        </w:trPr>
        <w:tc>
          <w:tcPr>
            <w:tcW w:w="3120" w:type="dxa"/>
            <w:tcBorders>
              <w:top w:val="nil"/>
              <w:left w:val="nil"/>
              <w:bottom w:val="nil"/>
              <w:right w:val="nil"/>
            </w:tcBorders>
            <w:shd w:val="clear" w:color="000000" w:fill="948A54"/>
            <w:noWrap/>
            <w:vAlign w:val="bottom"/>
            <w:hideMark/>
          </w:tcPr>
          <w:p w14:paraId="59B9A386" w14:textId="77777777" w:rsidR="009E7F8E" w:rsidRPr="009225E6" w:rsidRDefault="009E7F8E" w:rsidP="009E7F8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xml:space="preserve">Items </w:t>
            </w:r>
          </w:p>
        </w:tc>
        <w:tc>
          <w:tcPr>
            <w:tcW w:w="960" w:type="dxa"/>
            <w:tcBorders>
              <w:top w:val="nil"/>
              <w:left w:val="nil"/>
              <w:bottom w:val="nil"/>
              <w:right w:val="nil"/>
            </w:tcBorders>
            <w:shd w:val="clear" w:color="000000" w:fill="948A54"/>
            <w:noWrap/>
            <w:vAlign w:val="bottom"/>
            <w:hideMark/>
          </w:tcPr>
          <w:p w14:paraId="41C34237"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2024</w:t>
            </w:r>
          </w:p>
        </w:tc>
        <w:tc>
          <w:tcPr>
            <w:tcW w:w="960" w:type="dxa"/>
            <w:tcBorders>
              <w:top w:val="nil"/>
              <w:left w:val="nil"/>
              <w:bottom w:val="nil"/>
              <w:right w:val="nil"/>
            </w:tcBorders>
            <w:shd w:val="clear" w:color="000000" w:fill="948A54"/>
            <w:noWrap/>
            <w:vAlign w:val="bottom"/>
            <w:hideMark/>
          </w:tcPr>
          <w:p w14:paraId="7AD01F74"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2023</w:t>
            </w:r>
          </w:p>
        </w:tc>
        <w:tc>
          <w:tcPr>
            <w:tcW w:w="960" w:type="dxa"/>
            <w:tcBorders>
              <w:top w:val="nil"/>
              <w:left w:val="nil"/>
              <w:bottom w:val="nil"/>
              <w:right w:val="nil"/>
            </w:tcBorders>
            <w:shd w:val="clear" w:color="000000" w:fill="948A54"/>
            <w:noWrap/>
            <w:vAlign w:val="bottom"/>
            <w:hideMark/>
          </w:tcPr>
          <w:p w14:paraId="1D539F6D"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2022</w:t>
            </w:r>
          </w:p>
        </w:tc>
        <w:tc>
          <w:tcPr>
            <w:tcW w:w="960" w:type="dxa"/>
            <w:tcBorders>
              <w:top w:val="nil"/>
              <w:left w:val="nil"/>
              <w:bottom w:val="nil"/>
              <w:right w:val="nil"/>
            </w:tcBorders>
            <w:shd w:val="clear" w:color="000000" w:fill="948A54"/>
            <w:noWrap/>
            <w:vAlign w:val="bottom"/>
            <w:hideMark/>
          </w:tcPr>
          <w:p w14:paraId="2C17DCDC"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2021</w:t>
            </w:r>
          </w:p>
        </w:tc>
        <w:tc>
          <w:tcPr>
            <w:tcW w:w="960" w:type="dxa"/>
            <w:tcBorders>
              <w:top w:val="nil"/>
              <w:left w:val="nil"/>
              <w:bottom w:val="nil"/>
              <w:right w:val="nil"/>
            </w:tcBorders>
            <w:shd w:val="clear" w:color="000000" w:fill="948A54"/>
            <w:noWrap/>
            <w:vAlign w:val="bottom"/>
            <w:hideMark/>
          </w:tcPr>
          <w:p w14:paraId="2A80A99B"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2020</w:t>
            </w:r>
          </w:p>
        </w:tc>
      </w:tr>
      <w:tr w:rsidR="009E7F8E" w:rsidRPr="009225E6" w14:paraId="454C2C72" w14:textId="77777777" w:rsidTr="00C37550">
        <w:trPr>
          <w:trHeight w:val="300"/>
          <w:jc w:val="center"/>
        </w:trPr>
        <w:tc>
          <w:tcPr>
            <w:tcW w:w="3120" w:type="dxa"/>
            <w:tcBorders>
              <w:top w:val="single" w:sz="4" w:space="0" w:color="auto"/>
              <w:left w:val="single" w:sz="4" w:space="0" w:color="auto"/>
              <w:bottom w:val="single" w:sz="4" w:space="0" w:color="auto"/>
              <w:right w:val="single" w:sz="4" w:space="0" w:color="auto"/>
            </w:tcBorders>
            <w:noWrap/>
            <w:vAlign w:val="bottom"/>
            <w:hideMark/>
          </w:tcPr>
          <w:p w14:paraId="44823D64" w14:textId="77777777" w:rsidR="009E7F8E" w:rsidRPr="009225E6" w:rsidRDefault="009E7F8E" w:rsidP="009E7F8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Inventory Days</w:t>
            </w:r>
          </w:p>
        </w:tc>
        <w:tc>
          <w:tcPr>
            <w:tcW w:w="960" w:type="dxa"/>
            <w:tcBorders>
              <w:top w:val="single" w:sz="4" w:space="0" w:color="auto"/>
              <w:left w:val="nil"/>
              <w:bottom w:val="single" w:sz="4" w:space="0" w:color="auto"/>
              <w:right w:val="single" w:sz="4" w:space="0" w:color="auto"/>
            </w:tcBorders>
            <w:noWrap/>
            <w:vAlign w:val="bottom"/>
            <w:hideMark/>
          </w:tcPr>
          <w:p w14:paraId="537A01DD"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103</w:t>
            </w:r>
          </w:p>
        </w:tc>
        <w:tc>
          <w:tcPr>
            <w:tcW w:w="960" w:type="dxa"/>
            <w:tcBorders>
              <w:top w:val="single" w:sz="4" w:space="0" w:color="auto"/>
              <w:left w:val="nil"/>
              <w:bottom w:val="single" w:sz="4" w:space="0" w:color="auto"/>
              <w:right w:val="single" w:sz="4" w:space="0" w:color="auto"/>
            </w:tcBorders>
            <w:noWrap/>
            <w:vAlign w:val="bottom"/>
            <w:hideMark/>
          </w:tcPr>
          <w:p w14:paraId="0AA661A4"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w:t>
            </w:r>
          </w:p>
        </w:tc>
        <w:tc>
          <w:tcPr>
            <w:tcW w:w="960" w:type="dxa"/>
            <w:tcBorders>
              <w:top w:val="single" w:sz="4" w:space="0" w:color="auto"/>
              <w:left w:val="nil"/>
              <w:bottom w:val="single" w:sz="4" w:space="0" w:color="auto"/>
              <w:right w:val="single" w:sz="4" w:space="0" w:color="auto"/>
            </w:tcBorders>
            <w:noWrap/>
            <w:vAlign w:val="bottom"/>
            <w:hideMark/>
          </w:tcPr>
          <w:p w14:paraId="2BFC88B3"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131</w:t>
            </w:r>
          </w:p>
        </w:tc>
        <w:tc>
          <w:tcPr>
            <w:tcW w:w="960" w:type="dxa"/>
            <w:tcBorders>
              <w:top w:val="single" w:sz="4" w:space="0" w:color="auto"/>
              <w:left w:val="nil"/>
              <w:bottom w:val="single" w:sz="4" w:space="0" w:color="auto"/>
              <w:right w:val="single" w:sz="4" w:space="0" w:color="auto"/>
            </w:tcBorders>
            <w:noWrap/>
            <w:vAlign w:val="bottom"/>
            <w:hideMark/>
          </w:tcPr>
          <w:p w14:paraId="121516BE"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115</w:t>
            </w:r>
          </w:p>
        </w:tc>
        <w:tc>
          <w:tcPr>
            <w:tcW w:w="960" w:type="dxa"/>
            <w:tcBorders>
              <w:top w:val="single" w:sz="4" w:space="0" w:color="auto"/>
              <w:left w:val="nil"/>
              <w:bottom w:val="single" w:sz="4" w:space="0" w:color="auto"/>
              <w:right w:val="single" w:sz="4" w:space="0" w:color="auto"/>
            </w:tcBorders>
            <w:noWrap/>
            <w:vAlign w:val="bottom"/>
            <w:hideMark/>
          </w:tcPr>
          <w:p w14:paraId="4E163716"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w:t>
            </w:r>
          </w:p>
        </w:tc>
      </w:tr>
      <w:tr w:rsidR="009E7F8E" w:rsidRPr="009225E6" w14:paraId="014E4CF7" w14:textId="77777777" w:rsidTr="00C37550">
        <w:trPr>
          <w:trHeight w:val="300"/>
          <w:jc w:val="center"/>
        </w:trPr>
        <w:tc>
          <w:tcPr>
            <w:tcW w:w="3120" w:type="dxa"/>
            <w:tcBorders>
              <w:top w:val="nil"/>
              <w:left w:val="single" w:sz="4" w:space="0" w:color="auto"/>
              <w:bottom w:val="single" w:sz="4" w:space="0" w:color="auto"/>
              <w:right w:val="single" w:sz="4" w:space="0" w:color="auto"/>
            </w:tcBorders>
            <w:noWrap/>
            <w:vAlign w:val="bottom"/>
            <w:hideMark/>
          </w:tcPr>
          <w:p w14:paraId="1651E902" w14:textId="77777777" w:rsidR="009E7F8E" w:rsidRPr="009225E6" w:rsidRDefault="009E7F8E" w:rsidP="009E7F8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Receivable Days</w:t>
            </w:r>
          </w:p>
        </w:tc>
        <w:tc>
          <w:tcPr>
            <w:tcW w:w="960" w:type="dxa"/>
            <w:tcBorders>
              <w:top w:val="nil"/>
              <w:left w:val="nil"/>
              <w:bottom w:val="single" w:sz="4" w:space="0" w:color="auto"/>
              <w:right w:val="single" w:sz="4" w:space="0" w:color="auto"/>
            </w:tcBorders>
            <w:noWrap/>
            <w:vAlign w:val="bottom"/>
            <w:hideMark/>
          </w:tcPr>
          <w:p w14:paraId="5F64B22A"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106</w:t>
            </w:r>
          </w:p>
        </w:tc>
        <w:tc>
          <w:tcPr>
            <w:tcW w:w="960" w:type="dxa"/>
            <w:tcBorders>
              <w:top w:val="nil"/>
              <w:left w:val="nil"/>
              <w:bottom w:val="single" w:sz="4" w:space="0" w:color="auto"/>
              <w:right w:val="single" w:sz="4" w:space="0" w:color="auto"/>
            </w:tcBorders>
            <w:noWrap/>
            <w:vAlign w:val="bottom"/>
            <w:hideMark/>
          </w:tcPr>
          <w:p w14:paraId="3513D731"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98</w:t>
            </w:r>
          </w:p>
        </w:tc>
        <w:tc>
          <w:tcPr>
            <w:tcW w:w="960" w:type="dxa"/>
            <w:tcBorders>
              <w:top w:val="nil"/>
              <w:left w:val="nil"/>
              <w:bottom w:val="single" w:sz="4" w:space="0" w:color="auto"/>
              <w:right w:val="single" w:sz="4" w:space="0" w:color="auto"/>
            </w:tcBorders>
            <w:noWrap/>
            <w:vAlign w:val="bottom"/>
            <w:hideMark/>
          </w:tcPr>
          <w:p w14:paraId="553335C9"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76</w:t>
            </w:r>
          </w:p>
        </w:tc>
        <w:tc>
          <w:tcPr>
            <w:tcW w:w="960" w:type="dxa"/>
            <w:tcBorders>
              <w:top w:val="nil"/>
              <w:left w:val="nil"/>
              <w:bottom w:val="single" w:sz="4" w:space="0" w:color="auto"/>
              <w:right w:val="single" w:sz="4" w:space="0" w:color="auto"/>
            </w:tcBorders>
            <w:noWrap/>
            <w:vAlign w:val="bottom"/>
            <w:hideMark/>
          </w:tcPr>
          <w:p w14:paraId="28A348B2"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78</w:t>
            </w:r>
          </w:p>
        </w:tc>
        <w:tc>
          <w:tcPr>
            <w:tcW w:w="960" w:type="dxa"/>
            <w:tcBorders>
              <w:top w:val="nil"/>
              <w:left w:val="nil"/>
              <w:bottom w:val="single" w:sz="4" w:space="0" w:color="auto"/>
              <w:right w:val="single" w:sz="4" w:space="0" w:color="auto"/>
            </w:tcBorders>
            <w:noWrap/>
            <w:vAlign w:val="bottom"/>
            <w:hideMark/>
          </w:tcPr>
          <w:p w14:paraId="1B28A4FD"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77</w:t>
            </w:r>
          </w:p>
        </w:tc>
      </w:tr>
      <w:tr w:rsidR="009E7F8E" w:rsidRPr="009225E6" w14:paraId="416B5645" w14:textId="77777777" w:rsidTr="00C37550">
        <w:trPr>
          <w:trHeight w:val="300"/>
          <w:jc w:val="center"/>
        </w:trPr>
        <w:tc>
          <w:tcPr>
            <w:tcW w:w="3120" w:type="dxa"/>
            <w:tcBorders>
              <w:top w:val="nil"/>
              <w:left w:val="single" w:sz="4" w:space="0" w:color="auto"/>
              <w:bottom w:val="single" w:sz="4" w:space="0" w:color="auto"/>
              <w:right w:val="single" w:sz="4" w:space="0" w:color="auto"/>
            </w:tcBorders>
            <w:noWrap/>
            <w:vAlign w:val="bottom"/>
            <w:hideMark/>
          </w:tcPr>
          <w:p w14:paraId="33EB450C" w14:textId="77777777" w:rsidR="009E7F8E" w:rsidRPr="009225E6" w:rsidRDefault="009E7F8E" w:rsidP="009E7F8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Payable Days</w:t>
            </w:r>
          </w:p>
        </w:tc>
        <w:tc>
          <w:tcPr>
            <w:tcW w:w="960" w:type="dxa"/>
            <w:tcBorders>
              <w:top w:val="nil"/>
              <w:left w:val="nil"/>
              <w:bottom w:val="single" w:sz="4" w:space="0" w:color="auto"/>
              <w:right w:val="single" w:sz="4" w:space="0" w:color="auto"/>
            </w:tcBorders>
            <w:noWrap/>
            <w:vAlign w:val="bottom"/>
            <w:hideMark/>
          </w:tcPr>
          <w:p w14:paraId="63C4A25E"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94</w:t>
            </w:r>
          </w:p>
        </w:tc>
        <w:tc>
          <w:tcPr>
            <w:tcW w:w="960" w:type="dxa"/>
            <w:tcBorders>
              <w:top w:val="nil"/>
              <w:left w:val="nil"/>
              <w:bottom w:val="single" w:sz="4" w:space="0" w:color="auto"/>
              <w:right w:val="single" w:sz="4" w:space="0" w:color="auto"/>
            </w:tcBorders>
            <w:noWrap/>
            <w:vAlign w:val="bottom"/>
            <w:hideMark/>
          </w:tcPr>
          <w:p w14:paraId="0995E0A8"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64</w:t>
            </w:r>
          </w:p>
        </w:tc>
        <w:tc>
          <w:tcPr>
            <w:tcW w:w="960" w:type="dxa"/>
            <w:tcBorders>
              <w:top w:val="nil"/>
              <w:left w:val="nil"/>
              <w:bottom w:val="single" w:sz="4" w:space="0" w:color="auto"/>
              <w:right w:val="single" w:sz="4" w:space="0" w:color="auto"/>
            </w:tcBorders>
            <w:noWrap/>
            <w:vAlign w:val="bottom"/>
            <w:hideMark/>
          </w:tcPr>
          <w:p w14:paraId="55D8496C"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67</w:t>
            </w:r>
          </w:p>
        </w:tc>
        <w:tc>
          <w:tcPr>
            <w:tcW w:w="960" w:type="dxa"/>
            <w:tcBorders>
              <w:top w:val="nil"/>
              <w:left w:val="nil"/>
              <w:bottom w:val="single" w:sz="4" w:space="0" w:color="auto"/>
              <w:right w:val="single" w:sz="4" w:space="0" w:color="auto"/>
            </w:tcBorders>
            <w:noWrap/>
            <w:vAlign w:val="bottom"/>
            <w:hideMark/>
          </w:tcPr>
          <w:p w14:paraId="65859D82"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79</w:t>
            </w:r>
          </w:p>
        </w:tc>
        <w:tc>
          <w:tcPr>
            <w:tcW w:w="960" w:type="dxa"/>
            <w:tcBorders>
              <w:top w:val="nil"/>
              <w:left w:val="nil"/>
              <w:bottom w:val="single" w:sz="4" w:space="0" w:color="auto"/>
              <w:right w:val="single" w:sz="4" w:space="0" w:color="auto"/>
            </w:tcBorders>
            <w:noWrap/>
            <w:vAlign w:val="bottom"/>
            <w:hideMark/>
          </w:tcPr>
          <w:p w14:paraId="51F865EF"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69</w:t>
            </w:r>
          </w:p>
        </w:tc>
      </w:tr>
      <w:tr w:rsidR="009E7F8E" w:rsidRPr="009225E6" w14:paraId="4B9F85E3" w14:textId="77777777" w:rsidTr="00C37550">
        <w:trPr>
          <w:trHeight w:val="360"/>
          <w:jc w:val="center"/>
        </w:trPr>
        <w:tc>
          <w:tcPr>
            <w:tcW w:w="3120" w:type="dxa"/>
            <w:tcBorders>
              <w:top w:val="nil"/>
              <w:left w:val="single" w:sz="4" w:space="0" w:color="auto"/>
              <w:bottom w:val="double" w:sz="6" w:space="0" w:color="auto"/>
              <w:right w:val="single" w:sz="4" w:space="0" w:color="auto"/>
            </w:tcBorders>
            <w:noWrap/>
            <w:vAlign w:val="bottom"/>
            <w:hideMark/>
          </w:tcPr>
          <w:p w14:paraId="4DD963BE" w14:textId="77777777" w:rsidR="009E7F8E" w:rsidRPr="009225E6" w:rsidRDefault="009E7F8E" w:rsidP="009E7F8E">
            <w:pPr>
              <w:spacing w:after="0" w:line="240" w:lineRule="auto"/>
              <w:rPr>
                <w:rFonts w:ascii="Times New Roman" w:eastAsia="Times New Roman" w:hAnsi="Times New Roman" w:cs="Times New Roman"/>
                <w:color w:val="0F1115"/>
                <w:sz w:val="24"/>
                <w:szCs w:val="24"/>
                <w:lang w:val="en-US"/>
              </w:rPr>
            </w:pPr>
            <w:r w:rsidRPr="009225E6">
              <w:rPr>
                <w:rFonts w:ascii="Times New Roman" w:eastAsia="Times New Roman" w:hAnsi="Times New Roman" w:cs="Times New Roman"/>
                <w:color w:val="0F1115"/>
                <w:sz w:val="24"/>
                <w:szCs w:val="24"/>
                <w:lang w:val="en-US"/>
              </w:rPr>
              <w:t>Cash Operating Cycle (COC)</w:t>
            </w:r>
          </w:p>
        </w:tc>
        <w:tc>
          <w:tcPr>
            <w:tcW w:w="960" w:type="dxa"/>
            <w:tcBorders>
              <w:top w:val="nil"/>
              <w:left w:val="nil"/>
              <w:bottom w:val="double" w:sz="6" w:space="0" w:color="auto"/>
              <w:right w:val="single" w:sz="4" w:space="0" w:color="auto"/>
            </w:tcBorders>
            <w:noWrap/>
            <w:vAlign w:val="bottom"/>
            <w:hideMark/>
          </w:tcPr>
          <w:p w14:paraId="27D43F39"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115</w:t>
            </w:r>
          </w:p>
        </w:tc>
        <w:tc>
          <w:tcPr>
            <w:tcW w:w="960" w:type="dxa"/>
            <w:tcBorders>
              <w:top w:val="nil"/>
              <w:left w:val="nil"/>
              <w:bottom w:val="double" w:sz="6" w:space="0" w:color="auto"/>
              <w:right w:val="single" w:sz="4" w:space="0" w:color="auto"/>
            </w:tcBorders>
            <w:noWrap/>
            <w:vAlign w:val="bottom"/>
            <w:hideMark/>
          </w:tcPr>
          <w:p w14:paraId="148A4753"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w:t>
            </w:r>
          </w:p>
        </w:tc>
        <w:tc>
          <w:tcPr>
            <w:tcW w:w="960" w:type="dxa"/>
            <w:tcBorders>
              <w:top w:val="nil"/>
              <w:left w:val="nil"/>
              <w:bottom w:val="double" w:sz="6" w:space="0" w:color="auto"/>
              <w:right w:val="single" w:sz="4" w:space="0" w:color="auto"/>
            </w:tcBorders>
            <w:noWrap/>
            <w:vAlign w:val="bottom"/>
            <w:hideMark/>
          </w:tcPr>
          <w:p w14:paraId="17DEF7EC"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140</w:t>
            </w:r>
          </w:p>
        </w:tc>
        <w:tc>
          <w:tcPr>
            <w:tcW w:w="960" w:type="dxa"/>
            <w:tcBorders>
              <w:top w:val="nil"/>
              <w:left w:val="nil"/>
              <w:bottom w:val="double" w:sz="6" w:space="0" w:color="auto"/>
              <w:right w:val="single" w:sz="4" w:space="0" w:color="auto"/>
            </w:tcBorders>
            <w:noWrap/>
            <w:vAlign w:val="bottom"/>
            <w:hideMark/>
          </w:tcPr>
          <w:p w14:paraId="5FD9D81F"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114</w:t>
            </w:r>
          </w:p>
        </w:tc>
        <w:tc>
          <w:tcPr>
            <w:tcW w:w="960" w:type="dxa"/>
            <w:tcBorders>
              <w:top w:val="nil"/>
              <w:left w:val="nil"/>
              <w:bottom w:val="double" w:sz="6" w:space="0" w:color="auto"/>
              <w:right w:val="single" w:sz="4" w:space="0" w:color="auto"/>
            </w:tcBorders>
            <w:noWrap/>
            <w:vAlign w:val="bottom"/>
            <w:hideMark/>
          </w:tcPr>
          <w:p w14:paraId="434510BA" w14:textId="77777777" w:rsidR="009E7F8E" w:rsidRPr="009225E6" w:rsidRDefault="009E7F8E" w:rsidP="009E7F8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108</w:t>
            </w:r>
          </w:p>
        </w:tc>
      </w:tr>
    </w:tbl>
    <w:p w14:paraId="41E038E5" w14:textId="77777777" w:rsidR="0072476B" w:rsidRPr="009225E6" w:rsidRDefault="00C37550" w:rsidP="0072476B">
      <w:pPr>
        <w:pStyle w:val="Caption"/>
        <w:jc w:val="center"/>
        <w:rPr>
          <w:rFonts w:ascii="Times New Roman" w:hAnsi="Times New Roman" w:cs="Times New Roman"/>
        </w:rPr>
      </w:pPr>
      <w:bookmarkStart w:id="14" w:name="_Toc214385564"/>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5</w:t>
      </w:r>
      <w:r w:rsidRPr="009225E6">
        <w:rPr>
          <w:rFonts w:ascii="Times New Roman" w:hAnsi="Times New Roman" w:cs="Times New Roman"/>
        </w:rPr>
        <w:fldChar w:fldCharType="end"/>
      </w:r>
      <w:r w:rsidRPr="009225E6">
        <w:rPr>
          <w:rFonts w:ascii="Times New Roman" w:hAnsi="Times New Roman" w:cs="Times New Roman"/>
        </w:rPr>
        <w:t xml:space="preserve"> Cash Operating Cycle (COC)</w:t>
      </w:r>
      <w:bookmarkEnd w:id="14"/>
    </w:p>
    <w:p w14:paraId="51F38474"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062D3920" w14:textId="77777777" w:rsidR="00CE2CA0" w:rsidRPr="009225E6" w:rsidRDefault="004F23E3" w:rsidP="009E7F8E">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 xml:space="preserve">The table that follows demonstrates a huge extension of the cash operating cycle, reaching the highest point of 140 days in 2022 and staying at high 115 days in 2024, as compared to 108 days in 2020. This refers to an extreme and growing inefficiency of working-capital management. The main cause of this negative trend is the steep rise in the average settlement period of the receivables which has worsened over the years as it was 77 days in 2020 and 106 days in 2024 (Garcia-Teruel, Martinez-Solano and Sanchez-Ballesta, 2023). This direction is either symptomatic of challenges in raising money with customers or over-generosity on the credit terms to give sales a boost this is a risky policy which directly undermines liquidity. At the same time, the inventory holding period has been fluctuating, but high, meaning that capital is held in the stock more than 100 days. The company has managed to </w:t>
      </w:r>
      <w:r w:rsidR="00251ED2" w:rsidRPr="004F23E3">
        <w:rPr>
          <w:rFonts w:ascii="Times New Roman" w:hAnsi="Times New Roman" w:cs="Times New Roman"/>
          <w:sz w:val="24"/>
          <w:szCs w:val="24"/>
        </w:rPr>
        <w:t>rise</w:t>
      </w:r>
      <w:r w:rsidRPr="004F23E3">
        <w:rPr>
          <w:rFonts w:ascii="Times New Roman" w:hAnsi="Times New Roman" w:cs="Times New Roman"/>
          <w:sz w:val="24"/>
          <w:szCs w:val="24"/>
        </w:rPr>
        <w:t xml:space="preserve"> the days of its creditors to 94 days in 2024, which is not a sufficient measure to neutralise the inefficiencies in the receivables and inventory. The negative quick ratios that are already computed, and the fact that there is no inventory sales in the firm further confirms that without the sale of inventory, the firm does not have liquid assets to settle its short-term liabilities, indicating that it is in a state of severe liqu</w:t>
      </w:r>
      <w:r>
        <w:rPr>
          <w:rFonts w:ascii="Times New Roman" w:hAnsi="Times New Roman" w:cs="Times New Roman"/>
          <w:sz w:val="24"/>
          <w:szCs w:val="24"/>
        </w:rPr>
        <w:t>idity constraint (Deloof, 2023)</w:t>
      </w:r>
      <w:r w:rsidR="009E7F8E" w:rsidRPr="009225E6">
        <w:rPr>
          <w:rFonts w:ascii="Times New Roman" w:hAnsi="Times New Roman" w:cs="Times New Roman"/>
          <w:sz w:val="24"/>
          <w:szCs w:val="24"/>
          <w:lang w:val="en-US"/>
        </w:rPr>
        <w:t>.</w:t>
      </w:r>
    </w:p>
    <w:p w14:paraId="0FF53215" w14:textId="77777777" w:rsidR="009E7F8E" w:rsidRPr="009225E6" w:rsidRDefault="001F7B4F" w:rsidP="00CE2CA0">
      <w:pPr>
        <w:pStyle w:val="Heading3"/>
        <w:rPr>
          <w:rFonts w:ascii="Times New Roman" w:hAnsi="Times New Roman" w:cs="Times New Roman"/>
          <w:lang w:val="en-US"/>
        </w:rPr>
      </w:pPr>
      <w:bookmarkStart w:id="15" w:name="_Toc210237843"/>
      <w:r>
        <w:rPr>
          <w:rFonts w:ascii="Times New Roman" w:hAnsi="Times New Roman" w:cs="Times New Roman"/>
          <w:lang w:val="en-US"/>
        </w:rPr>
        <w:lastRenderedPageBreak/>
        <w:t>2</w:t>
      </w:r>
      <w:r w:rsidR="00CE2CA0" w:rsidRPr="009225E6">
        <w:rPr>
          <w:rFonts w:ascii="Times New Roman" w:hAnsi="Times New Roman" w:cs="Times New Roman"/>
          <w:lang w:val="en-US"/>
        </w:rPr>
        <w:t xml:space="preserve">.1 </w:t>
      </w:r>
      <w:r w:rsidR="009E7F8E" w:rsidRPr="009225E6">
        <w:rPr>
          <w:rFonts w:ascii="Times New Roman" w:hAnsi="Times New Roman" w:cs="Times New Roman"/>
          <w:lang w:val="en-US"/>
        </w:rPr>
        <w:t>Strategies to Improve Liquidity Through Working Capital Reforms</w:t>
      </w:r>
      <w:bookmarkEnd w:id="15"/>
    </w:p>
    <w:p w14:paraId="4C8EFE9C" w14:textId="77777777" w:rsidR="009E7F8E" w:rsidRPr="009225E6" w:rsidRDefault="004F23E3" w:rsidP="009E7F8E">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 xml:space="preserve">General Electronics needs to embark on vigorous reforms of its receivables, inventory, and payables to reduce the liquidity risks identified. An immediate focus on minimising the cash conversion cycle will free up the much needed cash and will decrease reliance on </w:t>
      </w:r>
      <w:r>
        <w:rPr>
          <w:rFonts w:ascii="Times New Roman" w:hAnsi="Times New Roman" w:cs="Times New Roman"/>
          <w:sz w:val="24"/>
          <w:szCs w:val="24"/>
        </w:rPr>
        <w:t>the unstable short-term funding</w:t>
      </w:r>
      <w:r w:rsidR="009E7F8E" w:rsidRPr="009225E6">
        <w:rPr>
          <w:rFonts w:ascii="Times New Roman" w:hAnsi="Times New Roman" w:cs="Times New Roman"/>
          <w:sz w:val="24"/>
          <w:szCs w:val="24"/>
          <w:lang w:val="en-US"/>
        </w:rPr>
        <w:t>.</w:t>
      </w:r>
    </w:p>
    <w:p w14:paraId="24CA7C3E" w14:textId="77777777" w:rsidR="009E7F8E" w:rsidRPr="009225E6" w:rsidRDefault="009E7F8E" w:rsidP="009E7F8E">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a) Receivables Management Reforms:</w:t>
      </w:r>
      <w:r w:rsidRPr="009225E6">
        <w:rPr>
          <w:rFonts w:ascii="Times New Roman" w:hAnsi="Times New Roman" w:cs="Times New Roman"/>
          <w:sz w:val="24"/>
          <w:szCs w:val="24"/>
          <w:lang w:val="en-US"/>
        </w:rPr>
        <w:t> </w:t>
      </w:r>
      <w:r w:rsidR="004F23E3" w:rsidRPr="004F23E3">
        <w:rPr>
          <w:rFonts w:ascii="Times New Roman" w:hAnsi="Times New Roman" w:cs="Times New Roman"/>
          <w:sz w:val="24"/>
          <w:szCs w:val="24"/>
        </w:rPr>
        <w:t>The most urgent of them is the expanding period of receivables. To ensure that the credit limits are adjusted based on risk, the firm ought to implement progressive credit evaluation to categorise customers in terms of risk (Tseng, 2024). Stricter terms or pre-payments are to be adopted in the case of high-risk or persistent late customers. Also, automated invoice creation and reminders can reduce delays in the administration area, and slight advance payments can motivate prompt payments and improve the cash flow (Peel, Wilson, and Howorth, 2023). Securitising or factoring a part of the portfolio of receivables may give an immediate cash injection, though at a price, to potentially relieve the liquidity strain in the shor</w:t>
      </w:r>
      <w:r w:rsidR="004F23E3">
        <w:rPr>
          <w:rFonts w:ascii="Times New Roman" w:hAnsi="Times New Roman" w:cs="Times New Roman"/>
          <w:sz w:val="24"/>
          <w:szCs w:val="24"/>
        </w:rPr>
        <w:t>t term (de Almeida &amp; Eid, 2024</w:t>
      </w:r>
      <w:r w:rsidRPr="009225E6">
        <w:rPr>
          <w:rFonts w:ascii="Times New Roman" w:hAnsi="Times New Roman" w:cs="Times New Roman"/>
          <w:sz w:val="24"/>
          <w:szCs w:val="24"/>
          <w:lang w:val="en-US"/>
        </w:rPr>
        <w:t>).</w:t>
      </w:r>
    </w:p>
    <w:p w14:paraId="070D1AA3" w14:textId="77777777" w:rsidR="009E7F8E" w:rsidRPr="009225E6" w:rsidRDefault="009E7F8E" w:rsidP="009E7F8E">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b) Inventory Management Reforms:</w:t>
      </w:r>
      <w:r w:rsidRPr="009225E6">
        <w:rPr>
          <w:rFonts w:ascii="Times New Roman" w:hAnsi="Times New Roman" w:cs="Times New Roman"/>
          <w:sz w:val="24"/>
          <w:szCs w:val="24"/>
          <w:lang w:val="en-US"/>
        </w:rPr>
        <w:t> </w:t>
      </w:r>
      <w:r w:rsidR="004F23E3" w:rsidRPr="004F23E3">
        <w:rPr>
          <w:rFonts w:ascii="Times New Roman" w:hAnsi="Times New Roman" w:cs="Times New Roman"/>
          <w:sz w:val="24"/>
          <w:szCs w:val="24"/>
        </w:rPr>
        <w:t xml:space="preserve">The long time inventory hold is an indication of ineffective inventory control and forecasting. A Just-in-Time (JIT) inventory system in cooperation with the main suppliers will significantly decrease holding costs of raw materials and ready goods (Kumar and Sharma, 2023). The company can also decrease its inventory days (103) to under 85 and increase the company millions of dollars trapped in inventory besides decreasing the storage and obsolescence costs </w:t>
      </w:r>
      <w:r w:rsidR="004F23E3">
        <w:rPr>
          <w:rFonts w:ascii="Times New Roman" w:hAnsi="Times New Roman" w:cs="Times New Roman"/>
          <w:sz w:val="24"/>
          <w:szCs w:val="24"/>
        </w:rPr>
        <w:t>by improving inventory turnover</w:t>
      </w:r>
      <w:r w:rsidRPr="009225E6">
        <w:rPr>
          <w:rFonts w:ascii="Times New Roman" w:hAnsi="Times New Roman" w:cs="Times New Roman"/>
          <w:sz w:val="24"/>
          <w:szCs w:val="24"/>
          <w:lang w:val="en-US"/>
        </w:rPr>
        <w:t>.</w:t>
      </w:r>
    </w:p>
    <w:p w14:paraId="1CC396F7" w14:textId="77777777" w:rsidR="009E7F8E" w:rsidRPr="009225E6" w:rsidRDefault="009E7F8E" w:rsidP="009E7F8E">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c) Payables Management Reforms:</w:t>
      </w:r>
      <w:r w:rsidRPr="009225E6">
        <w:rPr>
          <w:rFonts w:ascii="Times New Roman" w:hAnsi="Times New Roman" w:cs="Times New Roman"/>
          <w:sz w:val="24"/>
          <w:szCs w:val="24"/>
          <w:lang w:val="en-US"/>
        </w:rPr>
        <w:t> </w:t>
      </w:r>
      <w:r w:rsidR="004F23E3" w:rsidRPr="004F23E3">
        <w:rPr>
          <w:rFonts w:ascii="Times New Roman" w:hAnsi="Times New Roman" w:cs="Times New Roman"/>
          <w:sz w:val="24"/>
          <w:szCs w:val="24"/>
        </w:rPr>
        <w:t xml:space="preserve">Although the extension of payables can be a source of finance, the existing approach can ruin the relationship with suppliers. At the same time, a more sustainable way is to use technology to maximise payables timing. It is possible to use electronic payment and schedule the payment runs to make sure that the disbursements are made on the last possible day without receiving penalties (Brealey, Myers, and Allen, 2023). Supply-chain financing (or reverse factoring) programmes should also be considered by the firm. The idea is to continue to have a favourable but sustainable payment period without undermining the benefit of cash-flow and </w:t>
      </w:r>
      <w:r w:rsidR="004F23E3">
        <w:rPr>
          <w:rFonts w:ascii="Times New Roman" w:hAnsi="Times New Roman" w:cs="Times New Roman"/>
          <w:sz w:val="24"/>
          <w:szCs w:val="24"/>
        </w:rPr>
        <w:t>the security of the supply base</w:t>
      </w:r>
      <w:r w:rsidRPr="009225E6">
        <w:rPr>
          <w:rFonts w:ascii="Times New Roman" w:hAnsi="Times New Roman" w:cs="Times New Roman"/>
          <w:sz w:val="24"/>
          <w:szCs w:val="24"/>
          <w:lang w:val="en-US"/>
        </w:rPr>
        <w:t>.</w:t>
      </w:r>
    </w:p>
    <w:p w14:paraId="16833A9B" w14:textId="77777777" w:rsidR="009E7F8E" w:rsidRPr="009225E6" w:rsidRDefault="001F7B4F" w:rsidP="00D16AB1">
      <w:pPr>
        <w:pStyle w:val="Heading3"/>
        <w:rPr>
          <w:rFonts w:ascii="Times New Roman" w:hAnsi="Times New Roman" w:cs="Times New Roman"/>
          <w:lang w:val="en-US"/>
        </w:rPr>
      </w:pPr>
      <w:bookmarkStart w:id="16" w:name="_Toc210237844"/>
      <w:r>
        <w:rPr>
          <w:rFonts w:ascii="Times New Roman" w:hAnsi="Times New Roman" w:cs="Times New Roman"/>
          <w:lang w:val="en-US"/>
        </w:rPr>
        <w:t>2</w:t>
      </w:r>
      <w:r w:rsidR="009E7F8E" w:rsidRPr="009225E6">
        <w:rPr>
          <w:rFonts w:ascii="Times New Roman" w:hAnsi="Times New Roman" w:cs="Times New Roman"/>
          <w:lang w:val="en-US"/>
        </w:rPr>
        <w:t>.</w:t>
      </w:r>
      <w:r w:rsidR="00D16AB1" w:rsidRPr="009225E6">
        <w:rPr>
          <w:rFonts w:ascii="Times New Roman" w:hAnsi="Times New Roman" w:cs="Times New Roman"/>
          <w:lang w:val="en-US"/>
        </w:rPr>
        <w:t>2</w:t>
      </w:r>
      <w:r w:rsidR="009E7F8E" w:rsidRPr="009225E6">
        <w:rPr>
          <w:rFonts w:ascii="Times New Roman" w:hAnsi="Times New Roman" w:cs="Times New Roman"/>
          <w:lang w:val="en-US"/>
        </w:rPr>
        <w:t xml:space="preserve"> Comparison of Short-term vs Long-term Financing Options</w:t>
      </w:r>
      <w:bookmarkEnd w:id="16"/>
    </w:p>
    <w:p w14:paraId="436BFA9D" w14:textId="77777777" w:rsidR="009E7F8E" w:rsidRPr="009225E6" w:rsidRDefault="004F23E3" w:rsidP="009E7F8E">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Due to the liquidity crunch and unstable income streams, the overdependence on short-term funding of General Electronics, which is reflected in its high values of the</w:t>
      </w:r>
      <w:r w:rsidR="002771FC">
        <w:rPr>
          <w:rFonts w:ascii="Times New Roman" w:hAnsi="Times New Roman" w:cs="Times New Roman"/>
          <w:sz w:val="24"/>
          <w:szCs w:val="24"/>
        </w:rPr>
        <w:t xml:space="preserve"> Lines of Credit (</w:t>
      </w:r>
      <w:r w:rsidR="002771FC">
        <w:rPr>
          <w:rFonts w:ascii="Times New Roman" w:hAnsi="Times New Roman" w:cs="Times New Roman"/>
          <w:sz w:val="24"/>
        </w:rPr>
        <w:t>£</w:t>
      </w:r>
      <w:r w:rsidRPr="004F23E3">
        <w:rPr>
          <w:rFonts w:ascii="Times New Roman" w:hAnsi="Times New Roman" w:cs="Times New Roman"/>
          <w:sz w:val="24"/>
          <w:szCs w:val="24"/>
        </w:rPr>
        <w:t>36,960 m 2024) is a major risk fac</w:t>
      </w:r>
      <w:r>
        <w:rPr>
          <w:rFonts w:ascii="Times New Roman" w:hAnsi="Times New Roman" w:cs="Times New Roman"/>
          <w:sz w:val="24"/>
          <w:szCs w:val="24"/>
        </w:rPr>
        <w:t xml:space="preserve">tor that should </w:t>
      </w:r>
      <w:r w:rsidRPr="00A10060">
        <w:rPr>
          <w:rFonts w:ascii="Times New Roman" w:hAnsi="Times New Roman" w:cs="Times New Roman"/>
          <w:sz w:val="24"/>
          <w:szCs w:val="24"/>
        </w:rPr>
        <w:t>be reconsidered</w:t>
      </w:r>
      <w:r w:rsidR="009E7F8E" w:rsidRPr="009225E6">
        <w:rPr>
          <w:rFonts w:ascii="Times New Roman" w:hAnsi="Times New Roman" w:cs="Times New Roman"/>
          <w:sz w:val="24"/>
          <w:szCs w:val="24"/>
          <w:lang w:val="en-US"/>
        </w:rPr>
        <w:t>.</w:t>
      </w:r>
    </w:p>
    <w:p w14:paraId="207A3C9E" w14:textId="77777777" w:rsidR="009E7F8E" w:rsidRPr="009225E6" w:rsidRDefault="009E7F8E" w:rsidP="009E7F8E">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lastRenderedPageBreak/>
        <w:t>Short-term Financing Options</w:t>
      </w:r>
      <w:r w:rsidR="004F23E3" w:rsidRPr="004F23E3">
        <w:rPr>
          <w:rFonts w:ascii="Times New Roman" w:hAnsi="Times New Roman" w:cs="Times New Roman"/>
          <w:sz w:val="24"/>
          <w:szCs w:val="24"/>
        </w:rPr>
        <w:t xml:space="preserve"> are normally used to cover the temporary working capital needs, and these are generally paid within a period of one year. Bank overdrafts and the short-term lines of credit are the main suppliers of General Electronics. The major benefit of short-term debt is that it is relatively cheap because the interest rates are usually lower when compared to those of long-term instruments (Ross, Westerfield, and Jaffe, 2023). It is also flexible which allows the firm to borrow just according to the instant needs. The main drawback, however, is the high refinancing risk; the debt has to be rolled over regularly, and during times of financial stress or credit crunch, the lenders would refuse to offer any additional credit, which would trigger the liquidity crisis (Arslan -</w:t>
      </w:r>
      <w:proofErr w:type="spellStart"/>
      <w:r w:rsidR="004F23E3" w:rsidRPr="004F23E3">
        <w:rPr>
          <w:rFonts w:ascii="Times New Roman" w:hAnsi="Times New Roman" w:cs="Times New Roman"/>
          <w:sz w:val="24"/>
          <w:szCs w:val="24"/>
        </w:rPr>
        <w:t>Ayaydin</w:t>
      </w:r>
      <w:proofErr w:type="spellEnd"/>
      <w:r w:rsidR="004F23E3" w:rsidRPr="004F23E3">
        <w:rPr>
          <w:rFonts w:ascii="Times New Roman" w:hAnsi="Times New Roman" w:cs="Times New Roman"/>
          <w:sz w:val="24"/>
          <w:szCs w:val="24"/>
        </w:rPr>
        <w:t>, 2023). This risk is especially dangerous to the company b</w:t>
      </w:r>
      <w:r w:rsidR="004F23E3">
        <w:rPr>
          <w:rFonts w:ascii="Times New Roman" w:hAnsi="Times New Roman" w:cs="Times New Roman"/>
          <w:sz w:val="24"/>
          <w:szCs w:val="24"/>
        </w:rPr>
        <w:t>ecause of its recent net losses</w:t>
      </w:r>
      <w:r w:rsidRPr="009225E6">
        <w:rPr>
          <w:rFonts w:ascii="Times New Roman" w:hAnsi="Times New Roman" w:cs="Times New Roman"/>
          <w:sz w:val="24"/>
          <w:szCs w:val="24"/>
          <w:lang w:val="en-US"/>
        </w:rPr>
        <w:t>.</w:t>
      </w:r>
    </w:p>
    <w:p w14:paraId="0C743C3D" w14:textId="77777777" w:rsidR="009E7F8E" w:rsidRPr="009225E6" w:rsidRDefault="009E7F8E" w:rsidP="009E7F8E">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Long-term Financing Options</w:t>
      </w:r>
      <w:r w:rsidRPr="009225E6">
        <w:rPr>
          <w:rFonts w:ascii="Times New Roman" w:hAnsi="Times New Roman" w:cs="Times New Roman"/>
          <w:sz w:val="24"/>
          <w:szCs w:val="24"/>
          <w:lang w:val="en-US"/>
        </w:rPr>
        <w:t> </w:t>
      </w:r>
      <w:r w:rsidR="004F23E3" w:rsidRPr="004F23E3">
        <w:rPr>
          <w:rFonts w:ascii="Times New Roman" w:hAnsi="Times New Roman" w:cs="Times New Roman"/>
          <w:sz w:val="24"/>
          <w:szCs w:val="24"/>
        </w:rPr>
        <w:t>Financing options Long-term financing can be either bond issue financing, or acquisition of long-term loans or equity financing, and a maturity beyond one year. Stability is its biggest advantage: it secures funding over a more extended period, thus removing the risk of refinancing and offering a solid basis on strategic planning (Berk and DeMarzo, 2023). This is essential to finance the working-capital restructuring and possible reorganisation that would be needed in case of turn around. The disadvantages are normally the increased interest rates due to the extended maturity and in most cases, more restrictive covenants to the agreements. In the case of a stressed company, the long-term debt can be challenging or even</w:t>
      </w:r>
      <w:r w:rsidR="004F23E3">
        <w:rPr>
          <w:rFonts w:ascii="Times New Roman" w:hAnsi="Times New Roman" w:cs="Times New Roman"/>
          <w:sz w:val="24"/>
          <w:szCs w:val="24"/>
        </w:rPr>
        <w:t xml:space="preserve"> prohibitively costly to access</w:t>
      </w:r>
      <w:r w:rsidRPr="009225E6">
        <w:rPr>
          <w:rFonts w:ascii="Times New Roman" w:hAnsi="Times New Roman" w:cs="Times New Roman"/>
          <w:sz w:val="24"/>
          <w:szCs w:val="24"/>
          <w:lang w:val="en-US"/>
        </w:rPr>
        <w:t>.</w:t>
      </w:r>
    </w:p>
    <w:p w14:paraId="6237A489" w14:textId="77777777" w:rsidR="001F7B4F" w:rsidRDefault="009E7F8E" w:rsidP="001F7B4F">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Recommendation:</w:t>
      </w:r>
      <w:r w:rsidRPr="009225E6">
        <w:rPr>
          <w:rFonts w:ascii="Times New Roman" w:hAnsi="Times New Roman" w:cs="Times New Roman"/>
          <w:sz w:val="24"/>
          <w:szCs w:val="24"/>
          <w:lang w:val="en-US"/>
        </w:rPr>
        <w:t> </w:t>
      </w:r>
      <w:bookmarkStart w:id="17" w:name="_Toc210237845"/>
      <w:r w:rsidR="004F23E3" w:rsidRPr="004F23E3">
        <w:rPr>
          <w:rFonts w:ascii="Times New Roman" w:hAnsi="Times New Roman" w:cs="Times New Roman"/>
          <w:sz w:val="24"/>
          <w:szCs w:val="24"/>
        </w:rPr>
        <w:t>To reduce the financial structure’s riskiness, General Electronics needs to change its financing mix. The company ought to use the cash that is being discharged by the changes to the working-capital to settle a percentage of its volatile short-term lines of credit. At the same time, it ought to consider issuing long-term bonds or taking a term loan to roll all its short-term debt at a relatively higher price (Graham and Leary, 2023). This would create a more consistent liability framework, lower refinancing risk and would act as a signal of financial soundness to the market. It is the most sustainable way forward because a balanced approach is used, which provides short-term financing during seasonal changes and long-term debt to provide the backbone of its working capital (Diamond, 2023).</w:t>
      </w:r>
    </w:p>
    <w:p w14:paraId="0BAFF457" w14:textId="77777777" w:rsidR="00DD115C" w:rsidRPr="001F7B4F" w:rsidRDefault="00DD6FD0" w:rsidP="001F7B4F">
      <w:pPr>
        <w:pStyle w:val="Heading2"/>
        <w:numPr>
          <w:ilvl w:val="0"/>
          <w:numId w:val="7"/>
        </w:numPr>
        <w:rPr>
          <w:rFonts w:ascii="Times New Roman" w:hAnsi="Times New Roman" w:cs="Times New Roman"/>
          <w:sz w:val="24"/>
          <w:szCs w:val="24"/>
          <w:lang w:val="en-US"/>
        </w:rPr>
      </w:pPr>
      <w:r w:rsidRPr="009225E6">
        <w:t>Strategic Financial Restructuring Plan</w:t>
      </w:r>
      <w:bookmarkEnd w:id="17"/>
    </w:p>
    <w:p w14:paraId="783D558A" w14:textId="77777777" w:rsidR="00DD6FD0" w:rsidRPr="009225E6" w:rsidRDefault="00510BE5" w:rsidP="00D16AB1">
      <w:pPr>
        <w:pStyle w:val="Heading3"/>
        <w:rPr>
          <w:rFonts w:ascii="Times New Roman" w:hAnsi="Times New Roman" w:cs="Times New Roman"/>
          <w:lang w:val="en-US"/>
        </w:rPr>
      </w:pPr>
      <w:bookmarkStart w:id="18" w:name="_Toc210237846"/>
      <w:r w:rsidRPr="009225E6">
        <w:rPr>
          <w:rFonts w:ascii="Times New Roman" w:hAnsi="Times New Roman" w:cs="Times New Roman"/>
          <w:lang w:val="en-US"/>
        </w:rPr>
        <w:t>3</w:t>
      </w:r>
      <w:r w:rsidR="00D16AB1" w:rsidRPr="009225E6">
        <w:rPr>
          <w:rFonts w:ascii="Times New Roman" w:hAnsi="Times New Roman" w:cs="Times New Roman"/>
          <w:lang w:val="en-US"/>
        </w:rPr>
        <w:t xml:space="preserve">.1 </w:t>
      </w:r>
      <w:r w:rsidR="00DD6FD0" w:rsidRPr="009225E6">
        <w:rPr>
          <w:rFonts w:ascii="Times New Roman" w:hAnsi="Times New Roman" w:cs="Times New Roman"/>
          <w:lang w:val="en-US"/>
        </w:rPr>
        <w:t>Introduction: The Imperative for Restructuring</w:t>
      </w:r>
      <w:bookmarkEnd w:id="18"/>
    </w:p>
    <w:p w14:paraId="64078837" w14:textId="77777777" w:rsidR="00DD6FD0" w:rsidRPr="009225E6" w:rsidRDefault="004F23E3" w:rsidP="00DD6FD0">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 xml:space="preserve">The decline in the financial condition of General Electronics with catastrophic (PS98,238m) and (PS24,029m) losses in 2023 and 2024, worsening Altman Z-Score into the distress zone, </w:t>
      </w:r>
      <w:r w:rsidRPr="004F23E3">
        <w:rPr>
          <w:rFonts w:ascii="Times New Roman" w:hAnsi="Times New Roman" w:cs="Times New Roman"/>
          <w:sz w:val="24"/>
          <w:szCs w:val="24"/>
        </w:rPr>
        <w:lastRenderedPageBreak/>
        <w:t>the drastically extended cash operating cycle all suggests the need to urgently and strategically reorganise the financial c</w:t>
      </w:r>
      <w:r>
        <w:rPr>
          <w:rFonts w:ascii="Times New Roman" w:hAnsi="Times New Roman" w:cs="Times New Roman"/>
          <w:sz w:val="24"/>
          <w:szCs w:val="24"/>
        </w:rPr>
        <w:t>ondition of General Electronics</w:t>
      </w:r>
      <w:r w:rsidR="00DD6FD0" w:rsidRPr="009225E6">
        <w:rPr>
          <w:rFonts w:ascii="Times New Roman" w:hAnsi="Times New Roman" w:cs="Times New Roman"/>
          <w:sz w:val="24"/>
          <w:szCs w:val="24"/>
          <w:lang w:val="en-US"/>
        </w:rPr>
        <w:t xml:space="preserve">. </w:t>
      </w:r>
    </w:p>
    <w:p w14:paraId="10019434" w14:textId="77777777" w:rsidR="00DD6FD0" w:rsidRPr="009225E6" w:rsidRDefault="00510BE5" w:rsidP="00D16AB1">
      <w:pPr>
        <w:pStyle w:val="Heading3"/>
        <w:rPr>
          <w:rFonts w:ascii="Times New Roman" w:hAnsi="Times New Roman" w:cs="Times New Roman"/>
          <w:lang w:val="en-US"/>
        </w:rPr>
      </w:pPr>
      <w:bookmarkStart w:id="19" w:name="_Toc210237847"/>
      <w:r w:rsidRPr="009225E6">
        <w:rPr>
          <w:rFonts w:ascii="Times New Roman" w:hAnsi="Times New Roman" w:cs="Times New Roman"/>
          <w:lang w:val="en-US"/>
        </w:rPr>
        <w:t>3</w:t>
      </w:r>
      <w:r w:rsidR="00D16AB1" w:rsidRPr="009225E6">
        <w:rPr>
          <w:rFonts w:ascii="Times New Roman" w:hAnsi="Times New Roman" w:cs="Times New Roman"/>
          <w:lang w:val="en-US"/>
        </w:rPr>
        <w:t xml:space="preserve">.2 </w:t>
      </w:r>
      <w:r w:rsidR="00DD6FD0" w:rsidRPr="009225E6">
        <w:rPr>
          <w:rFonts w:ascii="Times New Roman" w:hAnsi="Times New Roman" w:cs="Times New Roman"/>
          <w:lang w:val="en-US"/>
        </w:rPr>
        <w:t>Evaluation of Financial Restructuring Options</w:t>
      </w:r>
      <w:bookmarkEnd w:id="19"/>
    </w:p>
    <w:p w14:paraId="279F49C9"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a) Divestiture and Asset Restructuring</w:t>
      </w:r>
    </w:p>
    <w:p w14:paraId="24DE7505" w14:textId="77777777" w:rsidR="00DD6FD0" w:rsidRPr="009225E6" w:rsidRDefault="004F23E3" w:rsidP="00DD6FD0">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A wholesale divestiture programme is the most feasible and fastest alternative to General Electronics. The balance sheet of the firm indicates that it has significant non-current assets such as Property, Plant, and Eq</w:t>
      </w:r>
      <w:r w:rsidR="00B8090E">
        <w:rPr>
          <w:rFonts w:ascii="Times New Roman" w:hAnsi="Times New Roman" w:cs="Times New Roman"/>
          <w:sz w:val="24"/>
          <w:szCs w:val="24"/>
        </w:rPr>
        <w:t xml:space="preserve">uipment (PPE) of </w:t>
      </w:r>
      <w:r w:rsidR="00B8090E">
        <w:rPr>
          <w:rFonts w:ascii="Times New Roman" w:hAnsi="Times New Roman" w:cs="Times New Roman"/>
          <w:sz w:val="24"/>
        </w:rPr>
        <w:t>£</w:t>
      </w:r>
      <w:r w:rsidRPr="004F23E3">
        <w:rPr>
          <w:rFonts w:ascii="Times New Roman" w:hAnsi="Times New Roman" w:cs="Times New Roman"/>
          <w:sz w:val="24"/>
          <w:szCs w:val="24"/>
        </w:rPr>
        <w:t>34,207m</w:t>
      </w:r>
      <w:r w:rsidR="002771FC">
        <w:rPr>
          <w:rFonts w:ascii="Times New Roman" w:hAnsi="Times New Roman" w:cs="Times New Roman"/>
          <w:sz w:val="24"/>
          <w:szCs w:val="24"/>
        </w:rPr>
        <w:t xml:space="preserve"> and inventories amounting to </w:t>
      </w:r>
      <w:r w:rsidR="002771FC">
        <w:rPr>
          <w:rFonts w:ascii="Times New Roman" w:hAnsi="Times New Roman" w:cs="Times New Roman"/>
          <w:sz w:val="24"/>
        </w:rPr>
        <w:t>£</w:t>
      </w:r>
      <w:r w:rsidRPr="004F23E3">
        <w:rPr>
          <w:rFonts w:ascii="Times New Roman" w:hAnsi="Times New Roman" w:cs="Times New Roman"/>
          <w:sz w:val="24"/>
          <w:szCs w:val="24"/>
        </w:rPr>
        <w:t xml:space="preserve">79,355m in the year 2024. A strategic divestiture would include selling non-core business divisions, underutilised intellectual property, or excessive property resources to produce a high-level cash influx (Kaiser &amp; </w:t>
      </w:r>
      <w:proofErr w:type="spellStart"/>
      <w:r w:rsidRPr="004F23E3">
        <w:rPr>
          <w:rFonts w:ascii="Times New Roman" w:hAnsi="Times New Roman" w:cs="Times New Roman"/>
          <w:sz w:val="24"/>
          <w:szCs w:val="24"/>
        </w:rPr>
        <w:t>Stouraitis</w:t>
      </w:r>
      <w:proofErr w:type="spellEnd"/>
      <w:r w:rsidRPr="004F23E3">
        <w:rPr>
          <w:rFonts w:ascii="Times New Roman" w:hAnsi="Times New Roman" w:cs="Times New Roman"/>
          <w:sz w:val="24"/>
          <w:szCs w:val="24"/>
        </w:rPr>
        <w:t>, 2023). As an example, a 25% decrease in the swollen inv</w:t>
      </w:r>
      <w:r w:rsidR="00B8090E">
        <w:rPr>
          <w:rFonts w:ascii="Times New Roman" w:hAnsi="Times New Roman" w:cs="Times New Roman"/>
          <w:sz w:val="24"/>
          <w:szCs w:val="24"/>
        </w:rPr>
        <w:t xml:space="preserve">entory level could free about </w:t>
      </w:r>
      <w:r w:rsidR="00B8090E">
        <w:rPr>
          <w:rFonts w:ascii="Times New Roman" w:hAnsi="Times New Roman" w:cs="Times New Roman"/>
          <w:sz w:val="24"/>
        </w:rPr>
        <w:t>£</w:t>
      </w:r>
      <w:r w:rsidRPr="004F23E3">
        <w:rPr>
          <w:rFonts w:ascii="Times New Roman" w:hAnsi="Times New Roman" w:cs="Times New Roman"/>
          <w:sz w:val="24"/>
          <w:szCs w:val="24"/>
        </w:rPr>
        <w:t>19,839m in cash and this will directly solve the liquidity crisis highlighted by the negative quick ratios. In addition, the company may sell and lease back certain fixed operational assets, transforming the fixed assets into liquid funds without interfering with operational activities, which is an important strategy when facing a debt overhang (Brealey, Myers, and Allen, 2023). This strategy would have a great influence. The cash flow would help to stabilise the liquidity overnight, and the firm will be able to decrease its short-t</w:t>
      </w:r>
      <w:r w:rsidR="00B8090E">
        <w:rPr>
          <w:rFonts w:ascii="Times New Roman" w:hAnsi="Times New Roman" w:cs="Times New Roman"/>
          <w:sz w:val="24"/>
          <w:szCs w:val="24"/>
        </w:rPr>
        <w:t>erm volatile lines of credit (</w:t>
      </w:r>
      <w:r w:rsidR="00B8090E">
        <w:rPr>
          <w:rFonts w:ascii="Times New Roman" w:hAnsi="Times New Roman" w:cs="Times New Roman"/>
          <w:sz w:val="24"/>
        </w:rPr>
        <w:t>£</w:t>
      </w:r>
      <w:r w:rsidRPr="004F23E3">
        <w:rPr>
          <w:rFonts w:ascii="Times New Roman" w:hAnsi="Times New Roman" w:cs="Times New Roman"/>
          <w:sz w:val="24"/>
          <w:szCs w:val="24"/>
        </w:rPr>
        <w:t>36,960m) and decrease its interests. This deleveraging would also boost the balance sheet and lessen the risk of being in distress. It would operationally force a leaner and more focused corporate structure, which may improve the return on capital employed (ROCE) of the remaining entities. The impact on shareholder value is however subtler, although divestitures may generate value by removing a so-called conglomerate discount, fire sales in a distressed position usually fetch lower prices than intrinsic value, which may result in value destruction in the short term (Bates, 2023). Therefore, the divestiture should be offered in the markets as a strategic refocusing as opposed to a cash-stricken move.</w:t>
      </w:r>
    </w:p>
    <w:p w14:paraId="053C01DC"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b) Merger or Strategic Acquisition</w:t>
      </w:r>
    </w:p>
    <w:p w14:paraId="6A1FFB82" w14:textId="77777777" w:rsidR="00DD6FD0" w:rsidRPr="009225E6" w:rsidRDefault="004F23E3" w:rsidP="00DD6FD0">
      <w:pPr>
        <w:spacing w:line="360" w:lineRule="auto"/>
        <w:jc w:val="both"/>
        <w:rPr>
          <w:rFonts w:ascii="Times New Roman" w:hAnsi="Times New Roman" w:cs="Times New Roman"/>
          <w:sz w:val="24"/>
          <w:szCs w:val="24"/>
          <w:lang w:val="en-US"/>
        </w:rPr>
      </w:pPr>
      <w:r w:rsidRPr="004F23E3">
        <w:rPr>
          <w:rFonts w:ascii="Times New Roman" w:hAnsi="Times New Roman" w:cs="Times New Roman"/>
          <w:sz w:val="24"/>
          <w:szCs w:val="24"/>
        </w:rPr>
        <w:t xml:space="preserve">The second, and more complicated alternative is to engage a strategic merger with a more robust rival or a business in a neighbouring market. The reason would be to achieve high synergies, which might be in a cost-reduction (by means of administrative functions, R&amp;D and supply chains consolidation) and revenue-maximisation (through cross-selling and market expansion) (DePamphilis, 2024). The huge range of patents and worldwide distribution network that General Electronics is holding does not perform well at the moment, </w:t>
      </w:r>
      <w:r w:rsidRPr="004F23E3">
        <w:rPr>
          <w:rFonts w:ascii="Times New Roman" w:hAnsi="Times New Roman" w:cs="Times New Roman"/>
          <w:sz w:val="24"/>
          <w:szCs w:val="24"/>
        </w:rPr>
        <w:lastRenderedPageBreak/>
        <w:t>but would be extremely well appreciated by the most appropriate partner. A merger would allow access to better management capabilities and a stronger balance sheet of the acquiring company and this would bring the much needed stability of a turn around. This may have significant implications to the value of the stockholders; in case of a takeover, shareholders of the acquiring company normally get a 20-30 percent premium on their shares. This may be a vital salvaging of value to the shareholders of General electronics whose shares have been plummeting in the recent past. The debt structure would be sub-optimised into the new entity which would be likely to get the benefit of the increased credit rating and lower cost of debt by the acquirer. Operationally, a merger is highly flexible through the combination of resources and capabilities. The main risk, however, is that it will not integrate at all the conflicting corporate cultures and operation overlaps can kill the synergies justifying the deal (Cartwright &amp; Schoenberg, 2023). In addition to that, the move would most likely be met with a lot of scrutiny by antitrust regulators in various jurisdictions and this may</w:t>
      </w:r>
      <w:r>
        <w:rPr>
          <w:rFonts w:ascii="Times New Roman" w:hAnsi="Times New Roman" w:cs="Times New Roman"/>
          <w:sz w:val="24"/>
          <w:szCs w:val="24"/>
        </w:rPr>
        <w:t xml:space="preserve"> complicate or stop the process</w:t>
      </w:r>
      <w:r w:rsidR="00DD6FD0" w:rsidRPr="009225E6">
        <w:rPr>
          <w:rFonts w:ascii="Times New Roman" w:hAnsi="Times New Roman" w:cs="Times New Roman"/>
          <w:sz w:val="24"/>
          <w:szCs w:val="24"/>
          <w:lang w:val="en-US"/>
        </w:rPr>
        <w:t>.</w:t>
      </w:r>
    </w:p>
    <w:p w14:paraId="680098F8"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c) Equity Injection and Debt-for-Equity Swap</w:t>
      </w:r>
    </w:p>
    <w:p w14:paraId="79F94DC3" w14:textId="77777777" w:rsidR="00DD6FD0" w:rsidRPr="009225E6" w:rsidRDefault="003F170D" w:rsidP="00DD6FD0">
      <w:pPr>
        <w:spacing w:line="360" w:lineRule="auto"/>
        <w:jc w:val="both"/>
        <w:rPr>
          <w:rFonts w:ascii="Times New Roman" w:hAnsi="Times New Roman" w:cs="Times New Roman"/>
          <w:sz w:val="24"/>
          <w:szCs w:val="24"/>
          <w:lang w:val="en-US"/>
        </w:rPr>
      </w:pPr>
      <w:r w:rsidRPr="003F170D">
        <w:rPr>
          <w:rFonts w:ascii="Times New Roman" w:hAnsi="Times New Roman" w:cs="Times New Roman"/>
          <w:sz w:val="24"/>
          <w:szCs w:val="24"/>
        </w:rPr>
        <w:t>Since its equity foundation (s</w:t>
      </w:r>
      <w:r w:rsidR="00090580">
        <w:rPr>
          <w:rFonts w:ascii="Times New Roman" w:hAnsi="Times New Roman" w:cs="Times New Roman"/>
          <w:sz w:val="24"/>
          <w:szCs w:val="24"/>
        </w:rPr>
        <w:t xml:space="preserve">hareholders equity dropped to </w:t>
      </w:r>
      <w:r w:rsidR="00090580">
        <w:rPr>
          <w:rFonts w:ascii="Times New Roman" w:hAnsi="Times New Roman" w:cs="Times New Roman"/>
          <w:sz w:val="24"/>
        </w:rPr>
        <w:t>£</w:t>
      </w:r>
      <w:r w:rsidR="00090580">
        <w:rPr>
          <w:rFonts w:ascii="Times New Roman" w:hAnsi="Times New Roman" w:cs="Times New Roman"/>
          <w:sz w:val="24"/>
          <w:szCs w:val="24"/>
        </w:rPr>
        <w:t xml:space="preserve">313,301m in 2020 and </w:t>
      </w:r>
      <w:r w:rsidR="00090580">
        <w:rPr>
          <w:rFonts w:ascii="Times New Roman" w:hAnsi="Times New Roman" w:cs="Times New Roman"/>
          <w:sz w:val="24"/>
        </w:rPr>
        <w:t>£</w:t>
      </w:r>
      <w:r w:rsidRPr="003F170D">
        <w:rPr>
          <w:rFonts w:ascii="Times New Roman" w:hAnsi="Times New Roman" w:cs="Times New Roman"/>
          <w:sz w:val="24"/>
          <w:szCs w:val="24"/>
        </w:rPr>
        <w:t>153,105m in 2024) is eroding, the third possible solution is to recapitalise the firm directly. This may be in either form; rights issue to current stockholders or a private placement to a strategic investor (i.e. a private equity firm or a sovereign wealth fund). In a more radical case, since the company has a high risk of leverage, it may conclude a debt-to-equity swap with key creditors. In such an arrangement, some of the outstanding debt would be changed to ownership in the company and hence the debt would be less in the balance sheet (</w:t>
      </w:r>
      <w:r w:rsidRPr="00A10060">
        <w:rPr>
          <w:rFonts w:ascii="Times New Roman" w:hAnsi="Times New Roman" w:cs="Times New Roman"/>
          <w:sz w:val="24"/>
          <w:szCs w:val="24"/>
        </w:rPr>
        <w:t>Davydenko, 2023). As an example, the transformation of PS20bn borrowed (debt) into equity would drastically enhance the gearing ratio and will remove interest payments</w:t>
      </w:r>
      <w:r w:rsidR="00DD6FD0" w:rsidRPr="00A10060">
        <w:rPr>
          <w:rFonts w:ascii="Times New Roman" w:hAnsi="Times New Roman" w:cs="Times New Roman"/>
          <w:sz w:val="24"/>
          <w:szCs w:val="24"/>
          <w:lang w:val="en-US"/>
        </w:rPr>
        <w:t>t expenses.</w:t>
      </w:r>
      <w:r w:rsidR="00090580">
        <w:rPr>
          <w:rFonts w:ascii="Times New Roman" w:hAnsi="Times New Roman" w:cs="Times New Roman"/>
          <w:sz w:val="24"/>
          <w:szCs w:val="24"/>
          <w:lang w:val="en-US"/>
        </w:rPr>
        <w:t xml:space="preserve"> </w:t>
      </w:r>
    </w:p>
    <w:p w14:paraId="6C2932B7" w14:textId="77777777" w:rsidR="00DD6FD0" w:rsidRPr="009225E6" w:rsidRDefault="00D97D17" w:rsidP="00DD6FD0">
      <w:pPr>
        <w:spacing w:line="360" w:lineRule="auto"/>
        <w:jc w:val="both"/>
        <w:rPr>
          <w:rFonts w:ascii="Times New Roman" w:hAnsi="Times New Roman" w:cs="Times New Roman"/>
          <w:sz w:val="24"/>
          <w:szCs w:val="24"/>
          <w:lang w:val="en-US"/>
        </w:rPr>
      </w:pPr>
      <w:r w:rsidRPr="00D97D17">
        <w:rPr>
          <w:rFonts w:ascii="Times New Roman" w:hAnsi="Times New Roman" w:cs="Times New Roman"/>
          <w:sz w:val="24"/>
          <w:szCs w:val="24"/>
        </w:rPr>
        <w:t xml:space="preserve">The effect on debt structure would be transformative as the leverage would be significantly decreased and cash-flow liabilities in future as a result of interest payments would be greatly reduced. This would instantly increase financial stability and flexi-time of operation, making cash free to invest in the necessary areas. Nevertheless, the effect to current shareholders is dilutive to a serious degree. Their percentage ownership and earnings per share (EPS) would be to a great extent diminished by a big equity injection or a debt-to-equity swap. This is quite painful; however, it can be better than the complete wipe-out during a bankruptcy </w:t>
      </w:r>
      <w:r w:rsidRPr="00D97D17">
        <w:rPr>
          <w:rFonts w:ascii="Times New Roman" w:hAnsi="Times New Roman" w:cs="Times New Roman"/>
          <w:sz w:val="24"/>
          <w:szCs w:val="24"/>
        </w:rPr>
        <w:lastRenderedPageBreak/>
        <w:t xml:space="preserve">(Hotchkiss, John, and Mooradian, 2023). The key to this strategy will be to make investors believe that the new capital will be utilized in an effective manner to ensure a </w:t>
      </w:r>
      <w:proofErr w:type="spellStart"/>
      <w:r w:rsidRPr="00D97D17">
        <w:rPr>
          <w:rFonts w:ascii="Times New Roman" w:hAnsi="Times New Roman" w:cs="Times New Roman"/>
          <w:sz w:val="24"/>
          <w:szCs w:val="24"/>
        </w:rPr>
        <w:t>turn around</w:t>
      </w:r>
      <w:proofErr w:type="spellEnd"/>
      <w:r w:rsidRPr="00D97D17">
        <w:rPr>
          <w:rFonts w:ascii="Times New Roman" w:hAnsi="Times New Roman" w:cs="Times New Roman"/>
          <w:sz w:val="24"/>
          <w:szCs w:val="24"/>
        </w:rPr>
        <w:t xml:space="preserve"> is made rather than ju</w:t>
      </w:r>
      <w:r>
        <w:rPr>
          <w:rFonts w:ascii="Times New Roman" w:hAnsi="Times New Roman" w:cs="Times New Roman"/>
          <w:sz w:val="24"/>
          <w:szCs w:val="24"/>
        </w:rPr>
        <w:t>st to cover the previous losses</w:t>
      </w:r>
      <w:r w:rsidR="00DD6FD0" w:rsidRPr="009225E6">
        <w:rPr>
          <w:rFonts w:ascii="Times New Roman" w:hAnsi="Times New Roman" w:cs="Times New Roman"/>
          <w:sz w:val="24"/>
          <w:szCs w:val="24"/>
          <w:lang w:val="en-US"/>
        </w:rPr>
        <w:t>.</w:t>
      </w:r>
    </w:p>
    <w:p w14:paraId="038B8082" w14:textId="77777777" w:rsidR="00DD6FD0" w:rsidRPr="009225E6" w:rsidRDefault="00510BE5" w:rsidP="00D16AB1">
      <w:pPr>
        <w:pStyle w:val="Heading3"/>
        <w:rPr>
          <w:rFonts w:ascii="Times New Roman" w:hAnsi="Times New Roman" w:cs="Times New Roman"/>
          <w:lang w:val="en-US"/>
        </w:rPr>
      </w:pPr>
      <w:bookmarkStart w:id="20" w:name="_Toc210237848"/>
      <w:r w:rsidRPr="009225E6">
        <w:rPr>
          <w:rFonts w:ascii="Times New Roman" w:hAnsi="Times New Roman" w:cs="Times New Roman"/>
          <w:lang w:val="en-US"/>
        </w:rPr>
        <w:t>3</w:t>
      </w:r>
      <w:r w:rsidR="00D16AB1" w:rsidRPr="009225E6">
        <w:rPr>
          <w:rFonts w:ascii="Times New Roman" w:hAnsi="Times New Roman" w:cs="Times New Roman"/>
          <w:lang w:val="en-US"/>
        </w:rPr>
        <w:t>.</w:t>
      </w:r>
      <w:r w:rsidR="00DD6FD0" w:rsidRPr="009225E6">
        <w:rPr>
          <w:rFonts w:ascii="Times New Roman" w:hAnsi="Times New Roman" w:cs="Times New Roman"/>
          <w:lang w:val="en-US"/>
        </w:rPr>
        <w:t>3 International and Ethical Considerations</w:t>
      </w:r>
      <w:bookmarkEnd w:id="20"/>
    </w:p>
    <w:p w14:paraId="19CDAF9B" w14:textId="77777777" w:rsidR="00DD6FD0" w:rsidRPr="009225E6" w:rsidRDefault="00D97D17" w:rsidP="00DD6FD0">
      <w:pPr>
        <w:spacing w:line="360" w:lineRule="auto"/>
        <w:jc w:val="both"/>
        <w:rPr>
          <w:rFonts w:ascii="Times New Roman" w:hAnsi="Times New Roman" w:cs="Times New Roman"/>
          <w:sz w:val="24"/>
          <w:szCs w:val="24"/>
          <w:lang w:val="en-US"/>
        </w:rPr>
      </w:pPr>
      <w:r w:rsidRPr="00D97D17">
        <w:rPr>
          <w:rFonts w:ascii="Times New Roman" w:hAnsi="Times New Roman" w:cs="Times New Roman"/>
          <w:sz w:val="24"/>
          <w:szCs w:val="24"/>
        </w:rPr>
        <w:t xml:space="preserve">A restructuring proposal of any global organization such as General Electronics should be implemented with a very sensitive sensitivity to international and ethical issues. The strategies selected have far reaching implications on other than financial measures. </w:t>
      </w:r>
    </w:p>
    <w:p w14:paraId="02D67F84" w14:textId="77777777" w:rsidR="00DD6FD0" w:rsidRPr="009225E6" w:rsidRDefault="00D16AB1"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a) International Considerations</w:t>
      </w:r>
      <w:r w:rsidR="00C37550" w:rsidRPr="009225E6">
        <w:rPr>
          <w:rFonts w:ascii="Times New Roman" w:hAnsi="Times New Roman" w:cs="Times New Roman"/>
          <w:b/>
          <w:bCs/>
          <w:sz w:val="24"/>
          <w:szCs w:val="24"/>
          <w:lang w:val="en-US"/>
        </w:rPr>
        <w:t>-Taxation, Currency Risk and Inflation</w:t>
      </w:r>
    </w:p>
    <w:p w14:paraId="79E692E3" w14:textId="77777777" w:rsidR="00DD6FD0" w:rsidRPr="009225E6" w:rsidRDefault="00D97D17" w:rsidP="00DD6FD0">
      <w:pPr>
        <w:spacing w:line="360" w:lineRule="auto"/>
        <w:jc w:val="both"/>
        <w:rPr>
          <w:rFonts w:ascii="Times New Roman" w:hAnsi="Times New Roman" w:cs="Times New Roman"/>
          <w:sz w:val="24"/>
          <w:szCs w:val="24"/>
          <w:lang w:val="en-US"/>
        </w:rPr>
      </w:pPr>
      <w:r w:rsidRPr="00D97D17">
        <w:rPr>
          <w:rFonts w:ascii="Times New Roman" w:hAnsi="Times New Roman" w:cs="Times New Roman"/>
          <w:sz w:val="24"/>
          <w:szCs w:val="24"/>
        </w:rPr>
        <w:t>There are high cross-border taxes in divestiture and mergers. The location in which the sales of the assets are made or the location where a new merged body is headquartered can drastically influence the tax load. The company will have to deal with transfer-pricing regulations and anti-avoidance regulations, including the Base Erosion and Profit Shifting (BEPS) framework created by the OECD, to comply with them and maximise the post-restructuring tax structure (Eberhart, 2024). The company faces the risk of foreign-exchange as it is likely that its operations and sale of assets will cut across several currencies. An inflow, in US dollar of a dividend in the cash form would require hedging in case the liabilities are in pounds sterling so as to avoid value loss by the negative movements of the currency (Bartram, 2023). A strong treasury-risk management policy should be included in the restructuring plan. Restructuring is affected by the current global high-inflation environment in two aspects. To start with, it increases the nominal price of the capital that is needed by any equity injection or refinancing. Second, it may also mislead the valuation of the assets being divested and it may be hard to differentiate between increases in real value and the rise in inflationary prices (Damodaran, 2023).</w:t>
      </w:r>
    </w:p>
    <w:p w14:paraId="1D9E078E"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b) Ethical and Corporate Social Resp</w:t>
      </w:r>
      <w:r w:rsidR="00D16AB1" w:rsidRPr="009225E6">
        <w:rPr>
          <w:rFonts w:ascii="Times New Roman" w:hAnsi="Times New Roman" w:cs="Times New Roman"/>
          <w:b/>
          <w:bCs/>
          <w:sz w:val="24"/>
          <w:szCs w:val="24"/>
          <w:lang w:val="en-US"/>
        </w:rPr>
        <w:t>onsibility (CSR) Considerations</w:t>
      </w:r>
    </w:p>
    <w:p w14:paraId="52948B28"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Stakeholder Impacts:</w:t>
      </w:r>
      <w:r w:rsidRPr="009225E6">
        <w:rPr>
          <w:rFonts w:ascii="Times New Roman" w:hAnsi="Times New Roman" w:cs="Times New Roman"/>
          <w:sz w:val="24"/>
          <w:szCs w:val="24"/>
          <w:lang w:val="en-US"/>
        </w:rPr>
        <w:t> </w:t>
      </w:r>
      <w:r w:rsidR="00D97D17" w:rsidRPr="00D97D17">
        <w:rPr>
          <w:rFonts w:ascii="Times New Roman" w:hAnsi="Times New Roman" w:cs="Times New Roman"/>
          <w:sz w:val="24"/>
          <w:szCs w:val="24"/>
        </w:rPr>
        <w:t>A restructuring is not a purely financial business, it carries with it human and social effects. Massive layoffs or a merger will invariably result in downsizing and shutting down of plants. Morally, the company must approach and conduct this process in a transparent and fair manner that will provide them with proper severance packages, outplacement services, and communicating with empathy (Greenwood, 2023). Giving up on this responsibility means court cases in the future with critical reputational losses and lo</w:t>
      </w:r>
      <w:r w:rsidR="00D97D17">
        <w:rPr>
          <w:rFonts w:ascii="Times New Roman" w:hAnsi="Times New Roman" w:cs="Times New Roman"/>
          <w:sz w:val="24"/>
          <w:szCs w:val="24"/>
        </w:rPr>
        <w:t>ss of social licence to operate</w:t>
      </w:r>
      <w:r w:rsidRPr="009225E6">
        <w:rPr>
          <w:rFonts w:ascii="Times New Roman" w:hAnsi="Times New Roman" w:cs="Times New Roman"/>
          <w:sz w:val="24"/>
          <w:szCs w:val="24"/>
          <w:lang w:val="en-US"/>
        </w:rPr>
        <w:t>.</w:t>
      </w:r>
    </w:p>
    <w:p w14:paraId="27AB5CB1" w14:textId="77777777" w:rsidR="00DD6FD0" w:rsidRPr="009225E6" w:rsidRDefault="00DD6FD0" w:rsidP="00DD6FD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lastRenderedPageBreak/>
        <w:t>CSR and Long-Term Value:</w:t>
      </w:r>
      <w:r w:rsidRPr="009225E6">
        <w:rPr>
          <w:rFonts w:ascii="Times New Roman" w:hAnsi="Times New Roman" w:cs="Times New Roman"/>
          <w:sz w:val="24"/>
          <w:szCs w:val="24"/>
          <w:lang w:val="en-US"/>
        </w:rPr>
        <w:t> </w:t>
      </w:r>
      <w:r w:rsidR="00D97D17" w:rsidRPr="00D97D17">
        <w:rPr>
          <w:rFonts w:ascii="Times New Roman" w:hAnsi="Times New Roman" w:cs="Times New Roman"/>
          <w:sz w:val="24"/>
          <w:szCs w:val="24"/>
        </w:rPr>
        <w:t>The simple and short-term solution to cost-cutting would be reduction of CSR and sustainability budgets. This would however be a tactical mistake. The contemporary investors and consumers are showing preference to those companies that have good environmental, social and governance (ESG) credentialing. The restructuring that incorporates sustainability (e.g., investing into greener technologies or ensuring that suppliers are treated ethically through the supply chain) can, in fact, decrease long-term risk and increase brand value, making the company more resilient and appealing to be invested in in future (Eccles, Ioannou, and Serafeim, 2023).</w:t>
      </w:r>
    </w:p>
    <w:p w14:paraId="740FC000" w14:textId="77777777" w:rsidR="00D16AB1" w:rsidRPr="009225E6" w:rsidRDefault="00DD6FD0" w:rsidP="00C37550">
      <w:pPr>
        <w:spacing w:line="360" w:lineRule="auto"/>
        <w:jc w:val="both"/>
        <w:rPr>
          <w:rFonts w:ascii="Times New Roman" w:hAnsi="Times New Roman" w:cs="Times New Roman"/>
          <w:sz w:val="24"/>
          <w:szCs w:val="24"/>
          <w:lang w:val="en-US"/>
        </w:rPr>
      </w:pPr>
      <w:r w:rsidRPr="009225E6">
        <w:rPr>
          <w:rFonts w:ascii="Times New Roman" w:hAnsi="Times New Roman" w:cs="Times New Roman"/>
          <w:b/>
          <w:bCs/>
          <w:sz w:val="24"/>
          <w:szCs w:val="24"/>
          <w:lang w:val="en-US"/>
        </w:rPr>
        <w:t>Creditor and Supplier Relations:</w:t>
      </w:r>
      <w:r w:rsidRPr="009225E6">
        <w:rPr>
          <w:rFonts w:ascii="Times New Roman" w:hAnsi="Times New Roman" w:cs="Times New Roman"/>
          <w:sz w:val="24"/>
          <w:szCs w:val="24"/>
          <w:lang w:val="en-US"/>
        </w:rPr>
        <w:t> </w:t>
      </w:r>
      <w:r w:rsidR="00D97D17" w:rsidRPr="00D97D17">
        <w:rPr>
          <w:rFonts w:ascii="Times New Roman" w:hAnsi="Times New Roman" w:cs="Times New Roman"/>
          <w:sz w:val="24"/>
          <w:szCs w:val="24"/>
        </w:rPr>
        <w:t>An introduction of debt-to-equity swap or pushing-the-payment-envelops-to-the-maximum, although financially prudent, has to be approached in an ethical way. The imposition of losses on creditors or unjust use of suppliers to augment cash flow will kill trust and cripple the supply chain and negate the operational recovery which the restructuring is expected to reap. The negotiation process must be carried out in good faith in order to find fair solutions to the current situation that will see the company survive as a going concern to al</w:t>
      </w:r>
      <w:r w:rsidR="00D97D17">
        <w:rPr>
          <w:rFonts w:ascii="Times New Roman" w:hAnsi="Times New Roman" w:cs="Times New Roman"/>
          <w:sz w:val="24"/>
          <w:szCs w:val="24"/>
        </w:rPr>
        <w:t>l the stakeholders</w:t>
      </w:r>
      <w:r w:rsidR="00C37550" w:rsidRPr="009225E6">
        <w:rPr>
          <w:rFonts w:ascii="Times New Roman" w:hAnsi="Times New Roman" w:cs="Times New Roman"/>
          <w:sz w:val="24"/>
          <w:szCs w:val="24"/>
          <w:lang w:val="en-US"/>
        </w:rPr>
        <w:t>.</w:t>
      </w:r>
    </w:p>
    <w:p w14:paraId="1B45A7B4" w14:textId="77777777" w:rsidR="005701B2" w:rsidRPr="009225E6" w:rsidRDefault="005701B2" w:rsidP="001F7B4F">
      <w:pPr>
        <w:pStyle w:val="Heading2"/>
        <w:numPr>
          <w:ilvl w:val="0"/>
          <w:numId w:val="7"/>
        </w:numPr>
        <w:rPr>
          <w:rFonts w:ascii="Times New Roman" w:hAnsi="Times New Roman" w:cs="Times New Roman"/>
          <w:lang w:val="en-US"/>
        </w:rPr>
      </w:pPr>
      <w:bookmarkStart w:id="21" w:name="_Toc210237849"/>
      <w:r w:rsidRPr="009225E6">
        <w:rPr>
          <w:rFonts w:ascii="Times New Roman" w:hAnsi="Times New Roman" w:cs="Times New Roman"/>
          <w:lang w:val="en-US"/>
        </w:rPr>
        <w:t>Investment Appraisal and Capital Budgeting</w:t>
      </w:r>
      <w:bookmarkEnd w:id="21"/>
    </w:p>
    <w:p w14:paraId="5A3F66DA" w14:textId="77777777" w:rsidR="00630929" w:rsidRPr="009225E6" w:rsidRDefault="00D16AB1" w:rsidP="00D16AB1">
      <w:pPr>
        <w:pStyle w:val="Heading3"/>
        <w:rPr>
          <w:rFonts w:ascii="Times New Roman" w:hAnsi="Times New Roman" w:cs="Times New Roman"/>
          <w:lang w:val="en-US"/>
        </w:rPr>
      </w:pPr>
      <w:bookmarkStart w:id="22" w:name="_Toc210237850"/>
      <w:r w:rsidRPr="009225E6">
        <w:rPr>
          <w:rFonts w:ascii="Times New Roman" w:hAnsi="Times New Roman" w:cs="Times New Roman"/>
          <w:lang w:val="en-US"/>
        </w:rPr>
        <w:t xml:space="preserve">4.1 </w:t>
      </w:r>
      <w:r w:rsidR="005701B2" w:rsidRPr="009225E6">
        <w:rPr>
          <w:rFonts w:ascii="Times New Roman" w:hAnsi="Times New Roman" w:cs="Times New Roman"/>
          <w:lang w:val="en-US"/>
        </w:rPr>
        <w:t>Payback Period</w:t>
      </w:r>
      <w:bookmarkEnd w:id="22"/>
    </w:p>
    <w:p w14:paraId="4D599774" w14:textId="77777777" w:rsidR="00B9612E" w:rsidRPr="009225E6" w:rsidRDefault="00987360" w:rsidP="00B866ED">
      <w:pPr>
        <w:spacing w:line="360" w:lineRule="auto"/>
        <w:jc w:val="both"/>
        <w:rPr>
          <w:rFonts w:ascii="Times New Roman" w:hAnsi="Times New Roman" w:cs="Times New Roman"/>
          <w:shd w:val="clear" w:color="auto" w:fill="FFFFFF"/>
        </w:rPr>
      </w:pPr>
      <w:r w:rsidRPr="009225E6">
        <w:rPr>
          <w:rFonts w:ascii="Times New Roman" w:hAnsi="Times New Roman" w:cs="Times New Roman"/>
          <w:shd w:val="clear" w:color="auto" w:fill="FFFFFF"/>
        </w:rPr>
        <w:t xml:space="preserve">Payback period of Project A, Project B and Project C </w:t>
      </w:r>
      <w:r w:rsidR="00D16AB1" w:rsidRPr="009225E6">
        <w:rPr>
          <w:rFonts w:ascii="Times New Roman" w:hAnsi="Times New Roman" w:cs="Times New Roman"/>
          <w:shd w:val="clear" w:color="auto" w:fill="FFFFFF"/>
        </w:rPr>
        <w:t xml:space="preserve">are calculated in </w:t>
      </w:r>
      <w:r w:rsidR="00D16AB1" w:rsidRPr="00216AC4">
        <w:rPr>
          <w:rFonts w:ascii="Times New Roman" w:hAnsi="Times New Roman" w:cs="Times New Roman"/>
          <w:b/>
          <w:i/>
          <w:shd w:val="clear" w:color="auto" w:fill="FFFFFF"/>
        </w:rPr>
        <w:t>Appendix-III</w:t>
      </w:r>
      <w:r w:rsidR="00D16AB1" w:rsidRPr="009225E6">
        <w:rPr>
          <w:rFonts w:ascii="Times New Roman" w:hAnsi="Times New Roman" w:cs="Times New Roman"/>
          <w:shd w:val="clear" w:color="auto" w:fill="FFFFFF"/>
        </w:rPr>
        <w:t>.</w:t>
      </w:r>
    </w:p>
    <w:tbl>
      <w:tblPr>
        <w:tblW w:w="6922" w:type="dxa"/>
        <w:jc w:val="center"/>
        <w:tblLook w:val="04A0" w:firstRow="1" w:lastRow="0" w:firstColumn="1" w:lastColumn="0" w:noHBand="0" w:noVBand="1"/>
      </w:tblPr>
      <w:tblGrid>
        <w:gridCol w:w="4263"/>
        <w:gridCol w:w="2659"/>
      </w:tblGrid>
      <w:tr w:rsidR="00DA16F8" w:rsidRPr="009225E6" w14:paraId="32CD9EBE" w14:textId="77777777" w:rsidTr="00D16AB1">
        <w:trPr>
          <w:trHeight w:val="265"/>
          <w:jc w:val="center"/>
        </w:trPr>
        <w:tc>
          <w:tcPr>
            <w:tcW w:w="4263" w:type="dxa"/>
            <w:tcBorders>
              <w:top w:val="single" w:sz="4" w:space="0" w:color="auto"/>
              <w:left w:val="single" w:sz="4" w:space="0" w:color="auto"/>
              <w:bottom w:val="double" w:sz="6" w:space="0" w:color="auto"/>
              <w:right w:val="single" w:sz="4" w:space="0" w:color="auto"/>
            </w:tcBorders>
            <w:noWrap/>
            <w:vAlign w:val="bottom"/>
            <w:hideMark/>
          </w:tcPr>
          <w:p w14:paraId="01142A51" w14:textId="77777777" w:rsidR="00DA16F8" w:rsidRPr="009225E6" w:rsidRDefault="00DA16F8" w:rsidP="00DA16F8">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Project</w:t>
            </w:r>
          </w:p>
        </w:tc>
        <w:tc>
          <w:tcPr>
            <w:tcW w:w="2659" w:type="dxa"/>
            <w:tcBorders>
              <w:top w:val="single" w:sz="4" w:space="0" w:color="auto"/>
              <w:left w:val="nil"/>
              <w:bottom w:val="double" w:sz="6" w:space="0" w:color="auto"/>
              <w:right w:val="single" w:sz="4" w:space="0" w:color="auto"/>
            </w:tcBorders>
            <w:noWrap/>
            <w:vAlign w:val="bottom"/>
            <w:hideMark/>
          </w:tcPr>
          <w:p w14:paraId="7DA80B7C" w14:textId="77777777" w:rsidR="00DA16F8" w:rsidRPr="009225E6" w:rsidRDefault="00DA16F8" w:rsidP="00DA16F8">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PBP</w:t>
            </w:r>
          </w:p>
        </w:tc>
      </w:tr>
      <w:tr w:rsidR="00DA16F8" w:rsidRPr="009225E6" w14:paraId="33211A4B" w14:textId="77777777" w:rsidTr="00D16AB1">
        <w:trPr>
          <w:trHeight w:val="253"/>
          <w:jc w:val="center"/>
        </w:trPr>
        <w:tc>
          <w:tcPr>
            <w:tcW w:w="4263" w:type="dxa"/>
            <w:tcBorders>
              <w:top w:val="nil"/>
              <w:left w:val="single" w:sz="4" w:space="0" w:color="auto"/>
              <w:bottom w:val="single" w:sz="4" w:space="0" w:color="auto"/>
              <w:right w:val="single" w:sz="4" w:space="0" w:color="auto"/>
            </w:tcBorders>
            <w:noWrap/>
            <w:vAlign w:val="bottom"/>
            <w:hideMark/>
          </w:tcPr>
          <w:p w14:paraId="154FA66F"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Project-A</w:t>
            </w:r>
          </w:p>
        </w:tc>
        <w:tc>
          <w:tcPr>
            <w:tcW w:w="2659" w:type="dxa"/>
            <w:tcBorders>
              <w:top w:val="nil"/>
              <w:left w:val="nil"/>
              <w:bottom w:val="single" w:sz="4" w:space="0" w:color="auto"/>
              <w:right w:val="single" w:sz="4" w:space="0" w:color="auto"/>
            </w:tcBorders>
            <w:noWrap/>
            <w:vAlign w:val="bottom"/>
            <w:hideMark/>
          </w:tcPr>
          <w:p w14:paraId="2BB0A7C6"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3.4 Years</w:t>
            </w:r>
          </w:p>
        </w:tc>
      </w:tr>
      <w:tr w:rsidR="00DA16F8" w:rsidRPr="009225E6" w14:paraId="54DE1A9E" w14:textId="77777777" w:rsidTr="00D16AB1">
        <w:trPr>
          <w:trHeight w:val="241"/>
          <w:jc w:val="center"/>
        </w:trPr>
        <w:tc>
          <w:tcPr>
            <w:tcW w:w="4263" w:type="dxa"/>
            <w:tcBorders>
              <w:top w:val="nil"/>
              <w:left w:val="single" w:sz="4" w:space="0" w:color="auto"/>
              <w:bottom w:val="single" w:sz="4" w:space="0" w:color="auto"/>
              <w:right w:val="single" w:sz="4" w:space="0" w:color="auto"/>
            </w:tcBorders>
            <w:noWrap/>
            <w:vAlign w:val="bottom"/>
            <w:hideMark/>
          </w:tcPr>
          <w:p w14:paraId="17FA6E0A"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Project-B</w:t>
            </w:r>
          </w:p>
        </w:tc>
        <w:tc>
          <w:tcPr>
            <w:tcW w:w="2659" w:type="dxa"/>
            <w:tcBorders>
              <w:top w:val="nil"/>
              <w:left w:val="nil"/>
              <w:bottom w:val="single" w:sz="4" w:space="0" w:color="auto"/>
              <w:right w:val="single" w:sz="4" w:space="0" w:color="auto"/>
            </w:tcBorders>
            <w:noWrap/>
            <w:vAlign w:val="bottom"/>
            <w:hideMark/>
          </w:tcPr>
          <w:p w14:paraId="7D5C3159"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 Years</w:t>
            </w:r>
          </w:p>
        </w:tc>
      </w:tr>
      <w:tr w:rsidR="00DA16F8" w:rsidRPr="009225E6" w14:paraId="37B8AD26" w14:textId="77777777" w:rsidTr="00D16AB1">
        <w:trPr>
          <w:trHeight w:val="253"/>
          <w:jc w:val="center"/>
        </w:trPr>
        <w:tc>
          <w:tcPr>
            <w:tcW w:w="4263" w:type="dxa"/>
            <w:tcBorders>
              <w:top w:val="nil"/>
              <w:left w:val="single" w:sz="4" w:space="0" w:color="auto"/>
              <w:bottom w:val="double" w:sz="6" w:space="0" w:color="auto"/>
              <w:right w:val="single" w:sz="4" w:space="0" w:color="auto"/>
            </w:tcBorders>
            <w:noWrap/>
            <w:vAlign w:val="bottom"/>
            <w:hideMark/>
          </w:tcPr>
          <w:p w14:paraId="67AFFFD4"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Project-C</w:t>
            </w:r>
          </w:p>
        </w:tc>
        <w:tc>
          <w:tcPr>
            <w:tcW w:w="2659" w:type="dxa"/>
            <w:tcBorders>
              <w:top w:val="nil"/>
              <w:left w:val="nil"/>
              <w:bottom w:val="double" w:sz="6" w:space="0" w:color="auto"/>
              <w:right w:val="single" w:sz="4" w:space="0" w:color="auto"/>
            </w:tcBorders>
            <w:noWrap/>
            <w:vAlign w:val="bottom"/>
            <w:hideMark/>
          </w:tcPr>
          <w:p w14:paraId="65F65F73" w14:textId="77777777" w:rsidR="00DA16F8" w:rsidRPr="009225E6" w:rsidRDefault="00DA16F8" w:rsidP="00DA16F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3.6 Years</w:t>
            </w:r>
          </w:p>
        </w:tc>
      </w:tr>
    </w:tbl>
    <w:p w14:paraId="42D753A3" w14:textId="77777777" w:rsidR="00C91CA4" w:rsidRPr="009225E6" w:rsidRDefault="00C37550" w:rsidP="00C37550">
      <w:pPr>
        <w:pStyle w:val="Caption"/>
        <w:jc w:val="center"/>
        <w:rPr>
          <w:rFonts w:ascii="Times New Roman" w:hAnsi="Times New Roman" w:cs="Times New Roman"/>
        </w:rPr>
      </w:pPr>
      <w:bookmarkStart w:id="23" w:name="_Toc214385565"/>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6</w:t>
      </w:r>
      <w:r w:rsidRPr="009225E6">
        <w:rPr>
          <w:rFonts w:ascii="Times New Roman" w:hAnsi="Times New Roman" w:cs="Times New Roman"/>
        </w:rPr>
        <w:fldChar w:fldCharType="end"/>
      </w:r>
      <w:r w:rsidRPr="009225E6">
        <w:rPr>
          <w:rFonts w:ascii="Times New Roman" w:hAnsi="Times New Roman" w:cs="Times New Roman"/>
        </w:rPr>
        <w:t xml:space="preserve"> Payback period of Project A, B and C</w:t>
      </w:r>
      <w:bookmarkEnd w:id="23"/>
    </w:p>
    <w:p w14:paraId="59B05CF8"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5DEB7E3E" w14:textId="77777777" w:rsidR="00DA16F8" w:rsidRPr="009225E6" w:rsidRDefault="00D97D17" w:rsidP="00B866ED">
      <w:pPr>
        <w:spacing w:line="360" w:lineRule="auto"/>
        <w:jc w:val="both"/>
        <w:rPr>
          <w:rFonts w:ascii="Times New Roman" w:hAnsi="Times New Roman" w:cs="Times New Roman"/>
          <w:sz w:val="24"/>
          <w:shd w:val="clear" w:color="auto" w:fill="FFFFFF"/>
        </w:rPr>
      </w:pPr>
      <w:r w:rsidRPr="00D97D17">
        <w:rPr>
          <w:rFonts w:ascii="Times New Roman" w:hAnsi="Times New Roman" w:cs="Times New Roman"/>
          <w:sz w:val="24"/>
          <w:shd w:val="clear" w:color="auto" w:fill="FFFFFF"/>
        </w:rPr>
        <w:t>Based on my analysis as CFO, Payback Period (PBP) values are paramount in the discussion of General Electronics dire liquidity crisis position in the sense of negative quick ratio. The PBP is a critical, but partial risk assessment (</w:t>
      </w:r>
      <w:proofErr w:type="spellStart"/>
      <w:r w:rsidRPr="00D97D17">
        <w:rPr>
          <w:rFonts w:ascii="Times New Roman" w:hAnsi="Times New Roman" w:cs="Times New Roman"/>
          <w:sz w:val="24"/>
          <w:shd w:val="clear" w:color="auto" w:fill="FFFFFF"/>
        </w:rPr>
        <w:t>Sekehravani</w:t>
      </w:r>
      <w:proofErr w:type="spellEnd"/>
      <w:r w:rsidRPr="00D97D17">
        <w:rPr>
          <w:rFonts w:ascii="Times New Roman" w:hAnsi="Times New Roman" w:cs="Times New Roman"/>
          <w:sz w:val="24"/>
          <w:shd w:val="clear" w:color="auto" w:fill="FFFFFF"/>
        </w:rPr>
        <w:t xml:space="preserve">, E.A., et al., 2025). The payback of 3.4 years of Project A is the shortest and provides the fastest capital repayment, which is the main advantage of a desperate company where the cash flow during the first year is the most crucial factor to survive (Almeida, 2019). This pace is in line with a defensive approach to save cash. Nevertheless, the major merits of the PBP cannot be overlooked; it does not take into account any other cash flows after the break-even point and the time value of money and thus may prefer shorter-term projects to the value of long-term ones (Brealey, et al., 2020). Although the payback of Project C (3.6 years) is more nominally lower, the Net Present </w:t>
      </w:r>
      <w:r w:rsidRPr="00D97D17">
        <w:rPr>
          <w:rFonts w:ascii="Times New Roman" w:hAnsi="Times New Roman" w:cs="Times New Roman"/>
          <w:sz w:val="24"/>
          <w:shd w:val="clear" w:color="auto" w:fill="FFFFFF"/>
        </w:rPr>
        <w:lastRenderedPageBreak/>
        <w:t>Value is significantly greater, meaning that it generates significantly more value beyond this point. Thus, although PBP validates the acceptability of both Projects A and C liquidity-</w:t>
      </w:r>
      <w:proofErr w:type="spellStart"/>
      <w:r w:rsidRPr="00D97D17">
        <w:rPr>
          <w:rFonts w:ascii="Times New Roman" w:hAnsi="Times New Roman" w:cs="Times New Roman"/>
          <w:sz w:val="24"/>
          <w:shd w:val="clear" w:color="auto" w:fill="FFFFFF"/>
        </w:rPr>
        <w:t>riskwise</w:t>
      </w:r>
      <w:proofErr w:type="spellEnd"/>
      <w:r w:rsidRPr="00D97D17">
        <w:rPr>
          <w:rFonts w:ascii="Times New Roman" w:hAnsi="Times New Roman" w:cs="Times New Roman"/>
          <w:sz w:val="24"/>
          <w:shd w:val="clear" w:color="auto" w:fill="FFFFFF"/>
        </w:rPr>
        <w:t xml:space="preserve">, it does not need to be the only decision-maker (Stephen, C., Kannan, H., and Salado, A., 2024). Project C should be the highest priority of the board since its combination of an almost optimal payback and higher long-term value creation directly contributes to the quick stabilisation and the long-term scalable growth stages of </w:t>
      </w:r>
      <w:r>
        <w:rPr>
          <w:rFonts w:ascii="Times New Roman" w:hAnsi="Times New Roman" w:cs="Times New Roman"/>
          <w:sz w:val="24"/>
          <w:shd w:val="clear" w:color="auto" w:fill="FFFFFF"/>
        </w:rPr>
        <w:t>our ethically sound turn around</w:t>
      </w:r>
      <w:r w:rsidR="00C91CA4" w:rsidRPr="009225E6">
        <w:rPr>
          <w:rFonts w:ascii="Times New Roman" w:hAnsi="Times New Roman" w:cs="Times New Roman"/>
          <w:sz w:val="24"/>
          <w:shd w:val="clear" w:color="auto" w:fill="FFFFFF"/>
        </w:rPr>
        <w:t>.</w:t>
      </w:r>
    </w:p>
    <w:p w14:paraId="2E56FCCC" w14:textId="77777777" w:rsidR="004D2A05" w:rsidRPr="009225E6" w:rsidRDefault="00D16AB1" w:rsidP="00D16AB1">
      <w:pPr>
        <w:pStyle w:val="Heading3"/>
        <w:rPr>
          <w:rFonts w:ascii="Times New Roman" w:hAnsi="Times New Roman" w:cs="Times New Roman"/>
          <w:lang w:val="en-US"/>
        </w:rPr>
      </w:pPr>
      <w:bookmarkStart w:id="24" w:name="_Toc210237851"/>
      <w:r w:rsidRPr="009225E6">
        <w:rPr>
          <w:rFonts w:ascii="Times New Roman" w:hAnsi="Times New Roman" w:cs="Times New Roman"/>
          <w:lang w:val="en-US"/>
        </w:rPr>
        <w:t xml:space="preserve">4.2 </w:t>
      </w:r>
      <w:r w:rsidR="004D2A05" w:rsidRPr="009225E6">
        <w:rPr>
          <w:rFonts w:ascii="Times New Roman" w:hAnsi="Times New Roman" w:cs="Times New Roman"/>
          <w:lang w:val="en-US"/>
        </w:rPr>
        <w:t>Accounting Rate of Return</w:t>
      </w:r>
      <w:bookmarkEnd w:id="24"/>
    </w:p>
    <w:p w14:paraId="5A2CE3A4" w14:textId="77777777" w:rsidR="00275324" w:rsidRPr="009225E6" w:rsidRDefault="00D16AB1" w:rsidP="00406ADA">
      <w:pPr>
        <w:spacing w:line="360" w:lineRule="auto"/>
        <w:jc w:val="both"/>
        <w:rPr>
          <w:rFonts w:ascii="Times New Roman" w:hAnsi="Times New Roman" w:cs="Times New Roman"/>
          <w:shd w:val="clear" w:color="auto" w:fill="FFFFFF"/>
        </w:rPr>
      </w:pPr>
      <w:r w:rsidRPr="009225E6">
        <w:rPr>
          <w:rFonts w:ascii="Times New Roman" w:hAnsi="Times New Roman" w:cs="Times New Roman"/>
          <w:shd w:val="clear" w:color="auto" w:fill="FFFFFF"/>
        </w:rPr>
        <w:t xml:space="preserve">ARR of Project A, Project B and Project C are calculated in </w:t>
      </w:r>
      <w:r w:rsidRPr="0076741B">
        <w:rPr>
          <w:rFonts w:ascii="Times New Roman" w:hAnsi="Times New Roman" w:cs="Times New Roman"/>
          <w:b/>
          <w:i/>
          <w:shd w:val="clear" w:color="auto" w:fill="FFFFFF"/>
        </w:rPr>
        <w:t>Appendix-III</w:t>
      </w:r>
      <w:r w:rsidRPr="009225E6">
        <w:rPr>
          <w:rFonts w:ascii="Times New Roman" w:hAnsi="Times New Roman" w:cs="Times New Roman"/>
          <w:shd w:val="clear" w:color="auto" w:fill="FFFFFF"/>
        </w:rPr>
        <w:t>.</w:t>
      </w:r>
    </w:p>
    <w:tbl>
      <w:tblPr>
        <w:tblW w:w="7261" w:type="dxa"/>
        <w:jc w:val="center"/>
        <w:tblLook w:val="04A0" w:firstRow="1" w:lastRow="0" w:firstColumn="1" w:lastColumn="0" w:noHBand="0" w:noVBand="1"/>
      </w:tblPr>
      <w:tblGrid>
        <w:gridCol w:w="4472"/>
        <w:gridCol w:w="2789"/>
      </w:tblGrid>
      <w:tr w:rsidR="00DA16F8" w:rsidRPr="009225E6" w14:paraId="7E440465" w14:textId="77777777" w:rsidTr="00D16AB1">
        <w:trPr>
          <w:trHeight w:val="288"/>
          <w:jc w:val="center"/>
        </w:trPr>
        <w:tc>
          <w:tcPr>
            <w:tcW w:w="4472" w:type="dxa"/>
            <w:tcBorders>
              <w:top w:val="single" w:sz="4" w:space="0" w:color="auto"/>
              <w:left w:val="single" w:sz="4" w:space="0" w:color="auto"/>
              <w:bottom w:val="double" w:sz="6" w:space="0" w:color="auto"/>
              <w:right w:val="single" w:sz="4" w:space="0" w:color="auto"/>
            </w:tcBorders>
            <w:noWrap/>
            <w:vAlign w:val="bottom"/>
            <w:hideMark/>
          </w:tcPr>
          <w:p w14:paraId="0725FA00" w14:textId="77777777" w:rsidR="00DA16F8" w:rsidRPr="009225E6" w:rsidRDefault="00DA16F8" w:rsidP="0011570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Project</w:t>
            </w:r>
          </w:p>
        </w:tc>
        <w:tc>
          <w:tcPr>
            <w:tcW w:w="2789" w:type="dxa"/>
            <w:tcBorders>
              <w:top w:val="single" w:sz="4" w:space="0" w:color="auto"/>
              <w:left w:val="nil"/>
              <w:bottom w:val="double" w:sz="6" w:space="0" w:color="auto"/>
              <w:right w:val="single" w:sz="4" w:space="0" w:color="auto"/>
            </w:tcBorders>
            <w:noWrap/>
            <w:vAlign w:val="bottom"/>
            <w:hideMark/>
          </w:tcPr>
          <w:p w14:paraId="56F4894C" w14:textId="77777777" w:rsidR="00DA16F8" w:rsidRPr="009225E6" w:rsidRDefault="00DA16F8" w:rsidP="0011570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ARR</w:t>
            </w:r>
          </w:p>
        </w:tc>
      </w:tr>
      <w:tr w:rsidR="00DA16F8" w:rsidRPr="009225E6" w14:paraId="2DF4451F" w14:textId="77777777" w:rsidTr="00D16AB1">
        <w:trPr>
          <w:trHeight w:val="276"/>
          <w:jc w:val="center"/>
        </w:trPr>
        <w:tc>
          <w:tcPr>
            <w:tcW w:w="4472" w:type="dxa"/>
            <w:tcBorders>
              <w:top w:val="nil"/>
              <w:left w:val="single" w:sz="4" w:space="0" w:color="auto"/>
              <w:bottom w:val="single" w:sz="4" w:space="0" w:color="auto"/>
              <w:right w:val="single" w:sz="4" w:space="0" w:color="auto"/>
            </w:tcBorders>
            <w:noWrap/>
            <w:vAlign w:val="bottom"/>
            <w:hideMark/>
          </w:tcPr>
          <w:p w14:paraId="12698417"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Project-A</w:t>
            </w:r>
          </w:p>
        </w:tc>
        <w:tc>
          <w:tcPr>
            <w:tcW w:w="2789" w:type="dxa"/>
            <w:tcBorders>
              <w:top w:val="nil"/>
              <w:left w:val="nil"/>
              <w:bottom w:val="single" w:sz="4" w:space="0" w:color="auto"/>
              <w:right w:val="single" w:sz="4" w:space="0" w:color="auto"/>
            </w:tcBorders>
            <w:noWrap/>
            <w:vAlign w:val="bottom"/>
            <w:hideMark/>
          </w:tcPr>
          <w:p w14:paraId="74FD2152"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4.6 Years</w:t>
            </w:r>
          </w:p>
        </w:tc>
      </w:tr>
      <w:tr w:rsidR="00DA16F8" w:rsidRPr="009225E6" w14:paraId="08DC0D47" w14:textId="77777777" w:rsidTr="00D16AB1">
        <w:trPr>
          <w:trHeight w:val="262"/>
          <w:jc w:val="center"/>
        </w:trPr>
        <w:tc>
          <w:tcPr>
            <w:tcW w:w="4472" w:type="dxa"/>
            <w:tcBorders>
              <w:top w:val="nil"/>
              <w:left w:val="single" w:sz="4" w:space="0" w:color="auto"/>
              <w:bottom w:val="single" w:sz="4" w:space="0" w:color="auto"/>
              <w:right w:val="single" w:sz="4" w:space="0" w:color="auto"/>
            </w:tcBorders>
            <w:noWrap/>
            <w:vAlign w:val="bottom"/>
            <w:hideMark/>
          </w:tcPr>
          <w:p w14:paraId="0F0C7355"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Project-B</w:t>
            </w:r>
          </w:p>
        </w:tc>
        <w:tc>
          <w:tcPr>
            <w:tcW w:w="2789" w:type="dxa"/>
            <w:tcBorders>
              <w:top w:val="nil"/>
              <w:left w:val="nil"/>
              <w:bottom w:val="single" w:sz="4" w:space="0" w:color="auto"/>
              <w:right w:val="single" w:sz="4" w:space="0" w:color="auto"/>
            </w:tcBorders>
            <w:noWrap/>
            <w:vAlign w:val="bottom"/>
            <w:hideMark/>
          </w:tcPr>
          <w:p w14:paraId="6BB138C7"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r>
      <w:tr w:rsidR="00DA16F8" w:rsidRPr="009225E6" w14:paraId="665E82E4" w14:textId="77777777" w:rsidTr="00D16AB1">
        <w:trPr>
          <w:trHeight w:val="276"/>
          <w:jc w:val="center"/>
        </w:trPr>
        <w:tc>
          <w:tcPr>
            <w:tcW w:w="4472" w:type="dxa"/>
            <w:tcBorders>
              <w:top w:val="nil"/>
              <w:left w:val="single" w:sz="4" w:space="0" w:color="auto"/>
              <w:bottom w:val="double" w:sz="6" w:space="0" w:color="auto"/>
              <w:right w:val="single" w:sz="4" w:space="0" w:color="auto"/>
            </w:tcBorders>
            <w:noWrap/>
            <w:vAlign w:val="bottom"/>
            <w:hideMark/>
          </w:tcPr>
          <w:p w14:paraId="7CF60E51"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Project-C</w:t>
            </w:r>
          </w:p>
        </w:tc>
        <w:tc>
          <w:tcPr>
            <w:tcW w:w="2789" w:type="dxa"/>
            <w:tcBorders>
              <w:top w:val="nil"/>
              <w:left w:val="nil"/>
              <w:bottom w:val="double" w:sz="6" w:space="0" w:color="auto"/>
              <w:right w:val="single" w:sz="4" w:space="0" w:color="auto"/>
            </w:tcBorders>
            <w:noWrap/>
            <w:vAlign w:val="bottom"/>
            <w:hideMark/>
          </w:tcPr>
          <w:p w14:paraId="06903C1B" w14:textId="77777777" w:rsidR="00DA16F8" w:rsidRPr="009225E6" w:rsidRDefault="00DA16F8" w:rsidP="0011570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3.7 Years</w:t>
            </w:r>
          </w:p>
        </w:tc>
      </w:tr>
    </w:tbl>
    <w:p w14:paraId="52D04FAD" w14:textId="77777777" w:rsidR="00CB7D55" w:rsidRPr="009225E6" w:rsidRDefault="00C0462C" w:rsidP="00C0462C">
      <w:pPr>
        <w:pStyle w:val="Caption"/>
        <w:jc w:val="center"/>
        <w:rPr>
          <w:rFonts w:ascii="Times New Roman" w:hAnsi="Times New Roman" w:cs="Times New Roman"/>
        </w:rPr>
      </w:pPr>
      <w:bookmarkStart w:id="25" w:name="_Toc214385566"/>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7</w:t>
      </w:r>
      <w:r w:rsidRPr="009225E6">
        <w:rPr>
          <w:rFonts w:ascii="Times New Roman" w:hAnsi="Times New Roman" w:cs="Times New Roman"/>
        </w:rPr>
        <w:fldChar w:fldCharType="end"/>
      </w:r>
      <w:r w:rsidRPr="009225E6">
        <w:rPr>
          <w:rFonts w:ascii="Times New Roman" w:hAnsi="Times New Roman" w:cs="Times New Roman"/>
        </w:rPr>
        <w:t xml:space="preserve"> ARR of Project A, Project B and Project C</w:t>
      </w:r>
      <w:bookmarkEnd w:id="25"/>
    </w:p>
    <w:p w14:paraId="1C8D7A70"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7A9EE550" w14:textId="77777777" w:rsidR="000836EA" w:rsidRPr="009225E6" w:rsidRDefault="00D97D17" w:rsidP="00F30E26">
      <w:pPr>
        <w:tabs>
          <w:tab w:val="left" w:pos="201"/>
        </w:tabs>
        <w:spacing w:line="360" w:lineRule="auto"/>
        <w:jc w:val="both"/>
        <w:rPr>
          <w:rFonts w:ascii="Times New Roman" w:hAnsi="Times New Roman" w:cs="Times New Roman"/>
          <w:sz w:val="24"/>
          <w:szCs w:val="24"/>
          <w:lang w:val="en-US"/>
        </w:rPr>
      </w:pPr>
      <w:r w:rsidRPr="00D97D17">
        <w:rPr>
          <w:rFonts w:ascii="Times New Roman" w:hAnsi="Times New Roman" w:cs="Times New Roman"/>
          <w:sz w:val="24"/>
          <w:szCs w:val="24"/>
        </w:rPr>
        <w:t xml:space="preserve">The figures presented above of the Accounting Rate of return (ARR) 27% (Project A), 20% (Project B) and 30% (Project C) imply that the projects are quite profitable, although Project C seems to be the best. ARR is a metric that shows the mathematical percentage of annual accounting profit of initial expenditure and is easily comprehensible by managers (Srilekha, N. and Basha, M.S.K., 2025; Drury, 2018). Nevertheless, this metric is flawed in strong investment appraisal. It does not consider time value of money and is pegged on accounting profit as opposed to the cash flow, which is very important to a firm facing a liquidity crisis. Therefore, although 30% ARR of Project C is a good figure, it should not be the main decision-maker instead the Net Present Value (NPV) and Profitability Index (PI) provide a more oil-based </w:t>
      </w:r>
      <w:r>
        <w:rPr>
          <w:rFonts w:ascii="Times New Roman" w:hAnsi="Times New Roman" w:cs="Times New Roman"/>
          <w:sz w:val="24"/>
          <w:szCs w:val="24"/>
        </w:rPr>
        <w:t>application of value generation</w:t>
      </w:r>
      <w:r w:rsidR="00C91CA4" w:rsidRPr="009225E6">
        <w:rPr>
          <w:rFonts w:ascii="Times New Roman" w:hAnsi="Times New Roman" w:cs="Times New Roman"/>
          <w:sz w:val="24"/>
          <w:szCs w:val="24"/>
        </w:rPr>
        <w:t>.</w:t>
      </w:r>
    </w:p>
    <w:p w14:paraId="3CD02AF8" w14:textId="77777777" w:rsidR="00685A46" w:rsidRPr="009225E6" w:rsidRDefault="00F30E26" w:rsidP="00F30E26">
      <w:pPr>
        <w:pStyle w:val="Heading3"/>
        <w:rPr>
          <w:rFonts w:ascii="Times New Roman" w:hAnsi="Times New Roman" w:cs="Times New Roman"/>
          <w:lang w:val="en-US"/>
        </w:rPr>
      </w:pPr>
      <w:bookmarkStart w:id="26" w:name="_Toc210237852"/>
      <w:r w:rsidRPr="009225E6">
        <w:rPr>
          <w:rFonts w:ascii="Times New Roman" w:hAnsi="Times New Roman" w:cs="Times New Roman"/>
          <w:lang w:val="en-US"/>
        </w:rPr>
        <w:t xml:space="preserve">4.3 </w:t>
      </w:r>
      <w:r w:rsidR="00685A46" w:rsidRPr="009225E6">
        <w:rPr>
          <w:rFonts w:ascii="Times New Roman" w:hAnsi="Times New Roman" w:cs="Times New Roman"/>
          <w:lang w:val="en-US"/>
        </w:rPr>
        <w:t>Net Present Value</w:t>
      </w:r>
      <w:bookmarkEnd w:id="26"/>
    </w:p>
    <w:p w14:paraId="190D3E25" w14:textId="77777777" w:rsidR="00D923B3" w:rsidRPr="009225E6" w:rsidRDefault="0076741B">
      <w:pPr>
        <w:rPr>
          <w:rFonts w:ascii="Times New Roman" w:hAnsi="Times New Roman" w:cs="Times New Roman"/>
        </w:rPr>
      </w:pPr>
      <w:r>
        <w:rPr>
          <w:rFonts w:ascii="Times New Roman" w:hAnsi="Times New Roman" w:cs="Times New Roman"/>
        </w:rPr>
        <w:t xml:space="preserve">NPV is calculated for all the three projects at the </w:t>
      </w:r>
      <w:r w:rsidRPr="0076741B">
        <w:rPr>
          <w:rFonts w:ascii="Times New Roman" w:hAnsi="Times New Roman" w:cs="Times New Roman"/>
          <w:b/>
          <w:i/>
          <w:shd w:val="clear" w:color="auto" w:fill="FFFFFF"/>
        </w:rPr>
        <w:t>Appendix-III</w:t>
      </w:r>
      <w:r>
        <w:rPr>
          <w:rFonts w:ascii="Times New Roman" w:hAnsi="Times New Roman" w:cs="Times New Roman"/>
          <w:b/>
          <w:i/>
          <w:shd w:val="clear" w:color="auto" w:fill="FFFFFF"/>
        </w:rPr>
        <w:t>.</w:t>
      </w:r>
    </w:p>
    <w:tbl>
      <w:tblPr>
        <w:tblW w:w="7507" w:type="dxa"/>
        <w:jc w:val="center"/>
        <w:tblLook w:val="04A0" w:firstRow="1" w:lastRow="0" w:firstColumn="1" w:lastColumn="0" w:noHBand="0" w:noVBand="1"/>
      </w:tblPr>
      <w:tblGrid>
        <w:gridCol w:w="5039"/>
        <w:gridCol w:w="2468"/>
      </w:tblGrid>
      <w:tr w:rsidR="00D923B3" w:rsidRPr="009225E6" w14:paraId="330EBC2E" w14:textId="77777777" w:rsidTr="00F30E26">
        <w:trPr>
          <w:trHeight w:val="374"/>
          <w:jc w:val="center"/>
        </w:trPr>
        <w:tc>
          <w:tcPr>
            <w:tcW w:w="5039" w:type="dxa"/>
            <w:tcBorders>
              <w:top w:val="single" w:sz="4" w:space="0" w:color="auto"/>
              <w:left w:val="single" w:sz="4" w:space="0" w:color="auto"/>
              <w:bottom w:val="double" w:sz="6" w:space="0" w:color="auto"/>
              <w:right w:val="single" w:sz="4" w:space="0" w:color="auto"/>
            </w:tcBorders>
            <w:noWrap/>
            <w:vAlign w:val="bottom"/>
            <w:hideMark/>
          </w:tcPr>
          <w:p w14:paraId="2C15C0F3" w14:textId="77777777" w:rsidR="00D923B3" w:rsidRPr="009225E6" w:rsidRDefault="00D923B3" w:rsidP="00D923B3">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Project</w:t>
            </w:r>
          </w:p>
        </w:tc>
        <w:tc>
          <w:tcPr>
            <w:tcW w:w="2468" w:type="dxa"/>
            <w:tcBorders>
              <w:top w:val="single" w:sz="4" w:space="0" w:color="auto"/>
              <w:left w:val="nil"/>
              <w:bottom w:val="double" w:sz="6" w:space="0" w:color="auto"/>
              <w:right w:val="single" w:sz="4" w:space="0" w:color="auto"/>
            </w:tcBorders>
            <w:noWrap/>
            <w:vAlign w:val="bottom"/>
            <w:hideMark/>
          </w:tcPr>
          <w:p w14:paraId="5997E3E5" w14:textId="77777777" w:rsidR="00D923B3" w:rsidRPr="009225E6" w:rsidRDefault="00D923B3" w:rsidP="00D923B3">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NPV</w:t>
            </w:r>
          </w:p>
        </w:tc>
      </w:tr>
      <w:tr w:rsidR="00D923B3" w:rsidRPr="009225E6" w14:paraId="2FADFC86" w14:textId="77777777" w:rsidTr="00F30E26">
        <w:trPr>
          <w:trHeight w:val="374"/>
          <w:jc w:val="center"/>
        </w:trPr>
        <w:tc>
          <w:tcPr>
            <w:tcW w:w="5039" w:type="dxa"/>
            <w:tcBorders>
              <w:top w:val="nil"/>
              <w:left w:val="single" w:sz="4" w:space="0" w:color="auto"/>
              <w:bottom w:val="single" w:sz="4" w:space="0" w:color="auto"/>
              <w:right w:val="single" w:sz="4" w:space="0" w:color="auto"/>
            </w:tcBorders>
            <w:noWrap/>
            <w:vAlign w:val="bottom"/>
            <w:hideMark/>
          </w:tcPr>
          <w:p w14:paraId="57561171"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Project-A</w:t>
            </w:r>
          </w:p>
        </w:tc>
        <w:tc>
          <w:tcPr>
            <w:tcW w:w="2468" w:type="dxa"/>
            <w:tcBorders>
              <w:top w:val="nil"/>
              <w:left w:val="nil"/>
              <w:bottom w:val="single" w:sz="4" w:space="0" w:color="auto"/>
              <w:right w:val="single" w:sz="4" w:space="0" w:color="auto"/>
            </w:tcBorders>
            <w:noWrap/>
            <w:vAlign w:val="bottom"/>
            <w:hideMark/>
          </w:tcPr>
          <w:p w14:paraId="1BE80900"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£1.32</w:t>
            </w:r>
            <w:r w:rsidR="00987360" w:rsidRPr="009225E6">
              <w:rPr>
                <w:rFonts w:ascii="Times New Roman" w:eastAsia="Times New Roman" w:hAnsi="Times New Roman" w:cs="Times New Roman"/>
                <w:color w:val="000000"/>
                <w:lang w:val="en-US"/>
              </w:rPr>
              <w:t xml:space="preserve"> Mn</w:t>
            </w:r>
          </w:p>
        </w:tc>
      </w:tr>
      <w:tr w:rsidR="00D923B3" w:rsidRPr="009225E6" w14:paraId="655950EE" w14:textId="77777777" w:rsidTr="00F30E26">
        <w:trPr>
          <w:trHeight w:val="356"/>
          <w:jc w:val="center"/>
        </w:trPr>
        <w:tc>
          <w:tcPr>
            <w:tcW w:w="5039" w:type="dxa"/>
            <w:tcBorders>
              <w:top w:val="nil"/>
              <w:left w:val="single" w:sz="4" w:space="0" w:color="auto"/>
              <w:bottom w:val="single" w:sz="4" w:space="0" w:color="auto"/>
              <w:right w:val="single" w:sz="4" w:space="0" w:color="auto"/>
            </w:tcBorders>
            <w:noWrap/>
            <w:vAlign w:val="bottom"/>
            <w:hideMark/>
          </w:tcPr>
          <w:p w14:paraId="40BD6B02"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Project-B</w:t>
            </w:r>
          </w:p>
        </w:tc>
        <w:tc>
          <w:tcPr>
            <w:tcW w:w="2468" w:type="dxa"/>
            <w:tcBorders>
              <w:top w:val="nil"/>
              <w:left w:val="nil"/>
              <w:bottom w:val="single" w:sz="4" w:space="0" w:color="auto"/>
              <w:right w:val="single" w:sz="4" w:space="0" w:color="auto"/>
            </w:tcBorders>
            <w:noWrap/>
            <w:hideMark/>
          </w:tcPr>
          <w:p w14:paraId="3DBF0CC2"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-£7.26</w:t>
            </w:r>
            <w:r w:rsidR="00987360" w:rsidRPr="009225E6">
              <w:rPr>
                <w:rFonts w:ascii="Times New Roman" w:eastAsia="Times New Roman" w:hAnsi="Times New Roman" w:cs="Times New Roman"/>
                <w:color w:val="000000"/>
                <w:lang w:val="en-US"/>
              </w:rPr>
              <w:t xml:space="preserve"> Mn </w:t>
            </w:r>
          </w:p>
        </w:tc>
      </w:tr>
      <w:tr w:rsidR="00D923B3" w:rsidRPr="009225E6" w14:paraId="7375F47F" w14:textId="77777777" w:rsidTr="00F30E26">
        <w:trPr>
          <w:trHeight w:val="374"/>
          <w:jc w:val="center"/>
        </w:trPr>
        <w:tc>
          <w:tcPr>
            <w:tcW w:w="5039" w:type="dxa"/>
            <w:tcBorders>
              <w:top w:val="nil"/>
              <w:left w:val="single" w:sz="4" w:space="0" w:color="auto"/>
              <w:bottom w:val="double" w:sz="6" w:space="0" w:color="auto"/>
              <w:right w:val="single" w:sz="4" w:space="0" w:color="auto"/>
            </w:tcBorders>
            <w:noWrap/>
            <w:vAlign w:val="bottom"/>
            <w:hideMark/>
          </w:tcPr>
          <w:p w14:paraId="2E82AE3A"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Project-C</w:t>
            </w:r>
          </w:p>
        </w:tc>
        <w:tc>
          <w:tcPr>
            <w:tcW w:w="2468" w:type="dxa"/>
            <w:tcBorders>
              <w:top w:val="nil"/>
              <w:left w:val="nil"/>
              <w:bottom w:val="double" w:sz="6" w:space="0" w:color="auto"/>
              <w:right w:val="single" w:sz="4" w:space="0" w:color="auto"/>
            </w:tcBorders>
            <w:noWrap/>
            <w:vAlign w:val="bottom"/>
            <w:hideMark/>
          </w:tcPr>
          <w:p w14:paraId="6662B2E5" w14:textId="77777777" w:rsidR="00D923B3" w:rsidRPr="009225E6" w:rsidRDefault="00D923B3" w:rsidP="00D923B3">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£4.23</w:t>
            </w:r>
            <w:r w:rsidR="00987360" w:rsidRPr="009225E6">
              <w:rPr>
                <w:rFonts w:ascii="Times New Roman" w:eastAsia="Times New Roman" w:hAnsi="Times New Roman" w:cs="Times New Roman"/>
                <w:color w:val="000000"/>
                <w:lang w:val="en-US"/>
              </w:rPr>
              <w:t xml:space="preserve"> Mn </w:t>
            </w:r>
          </w:p>
        </w:tc>
      </w:tr>
    </w:tbl>
    <w:p w14:paraId="0F31AF44" w14:textId="77777777" w:rsidR="00567BA3" w:rsidRPr="009225E6" w:rsidRDefault="00C0462C" w:rsidP="00C0462C">
      <w:pPr>
        <w:pStyle w:val="Caption"/>
        <w:jc w:val="center"/>
        <w:rPr>
          <w:rFonts w:ascii="Times New Roman" w:hAnsi="Times New Roman" w:cs="Times New Roman"/>
        </w:rPr>
      </w:pPr>
      <w:bookmarkStart w:id="27" w:name="_Toc214385567"/>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8</w:t>
      </w:r>
      <w:r w:rsidRPr="009225E6">
        <w:rPr>
          <w:rFonts w:ascii="Times New Roman" w:hAnsi="Times New Roman" w:cs="Times New Roman"/>
        </w:rPr>
        <w:fldChar w:fldCharType="end"/>
      </w:r>
      <w:r w:rsidRPr="009225E6">
        <w:rPr>
          <w:rFonts w:ascii="Times New Roman" w:hAnsi="Times New Roman" w:cs="Times New Roman"/>
        </w:rPr>
        <w:t xml:space="preserve"> Net Present Value of Project A, B and C</w:t>
      </w:r>
      <w:bookmarkEnd w:id="27"/>
    </w:p>
    <w:p w14:paraId="001D7263"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04B9F9AA" w14:textId="77777777" w:rsidR="009F186C" w:rsidRPr="009225E6" w:rsidRDefault="00CC6BA8" w:rsidP="009F186C">
      <w:pPr>
        <w:spacing w:line="360" w:lineRule="auto"/>
        <w:jc w:val="both"/>
        <w:rPr>
          <w:rFonts w:ascii="Times New Roman" w:hAnsi="Times New Roman" w:cs="Times New Roman"/>
        </w:rPr>
      </w:pPr>
      <w:r w:rsidRPr="00CC6BA8">
        <w:rPr>
          <w:rFonts w:ascii="Times New Roman" w:hAnsi="Times New Roman" w:cs="Times New Roman"/>
          <w:sz w:val="24"/>
        </w:rPr>
        <w:lastRenderedPageBreak/>
        <w:t>The Net Present Value (NPV) above figures are the most important determinant in our investment decision since it directly measures the expected growth or decline in shareholder wealth, which is one of the most important issues to the turnaround strategy of General Electronics. The NPV</w:t>
      </w:r>
      <w:r w:rsidR="00090580">
        <w:rPr>
          <w:rFonts w:ascii="Times New Roman" w:hAnsi="Times New Roman" w:cs="Times New Roman"/>
          <w:sz w:val="24"/>
        </w:rPr>
        <w:t xml:space="preserve"> of £</w:t>
      </w:r>
      <w:r w:rsidRPr="00CC6BA8">
        <w:rPr>
          <w:rFonts w:ascii="Times New Roman" w:hAnsi="Times New Roman" w:cs="Times New Roman"/>
          <w:sz w:val="24"/>
        </w:rPr>
        <w:t xml:space="preserve">4.23m of project C is better and shows that it contributes the greatest value addition and it is the only project that would make any significant contribution towards stabilising our financial </w:t>
      </w:r>
      <w:r w:rsidR="00090580">
        <w:rPr>
          <w:rFonts w:ascii="Times New Roman" w:hAnsi="Times New Roman" w:cs="Times New Roman"/>
          <w:sz w:val="24"/>
        </w:rPr>
        <w:t>position. The marginal NPV of £</w:t>
      </w:r>
      <w:r w:rsidRPr="00CC6BA8">
        <w:rPr>
          <w:rFonts w:ascii="Times New Roman" w:hAnsi="Times New Roman" w:cs="Times New Roman"/>
          <w:sz w:val="24"/>
        </w:rPr>
        <w:t xml:space="preserve">1.32million in Project A </w:t>
      </w:r>
      <w:proofErr w:type="gramStart"/>
      <w:r w:rsidRPr="00CC6BA8">
        <w:rPr>
          <w:rFonts w:ascii="Times New Roman" w:hAnsi="Times New Roman" w:cs="Times New Roman"/>
          <w:sz w:val="24"/>
        </w:rPr>
        <w:t xml:space="preserve">is </w:t>
      </w:r>
      <w:r w:rsidR="00090580">
        <w:rPr>
          <w:rFonts w:ascii="Times New Roman" w:hAnsi="Times New Roman" w:cs="Times New Roman"/>
          <w:sz w:val="24"/>
        </w:rPr>
        <w:t xml:space="preserve"> </w:t>
      </w:r>
      <w:r w:rsidRPr="00CC6BA8">
        <w:rPr>
          <w:rFonts w:ascii="Times New Roman" w:hAnsi="Times New Roman" w:cs="Times New Roman"/>
          <w:sz w:val="24"/>
        </w:rPr>
        <w:t>insignificantly</w:t>
      </w:r>
      <w:proofErr w:type="gramEnd"/>
      <w:r w:rsidRPr="00CC6BA8">
        <w:rPr>
          <w:rFonts w:ascii="Times New Roman" w:hAnsi="Times New Roman" w:cs="Times New Roman"/>
          <w:sz w:val="24"/>
        </w:rPr>
        <w:t xml:space="preserve"> beneficial and</w:t>
      </w:r>
      <w:r w:rsidR="00090580">
        <w:rPr>
          <w:rFonts w:ascii="Times New Roman" w:hAnsi="Times New Roman" w:cs="Times New Roman"/>
          <w:sz w:val="24"/>
        </w:rPr>
        <w:t xml:space="preserve"> the greatly negative NPV of -£</w:t>
      </w:r>
      <w:r w:rsidRPr="00CC6BA8">
        <w:rPr>
          <w:rFonts w:ascii="Times New Roman" w:hAnsi="Times New Roman" w:cs="Times New Roman"/>
          <w:sz w:val="24"/>
        </w:rPr>
        <w:t xml:space="preserve">7.26million in Project B would increase the crisis and annihilate value. In contrast to the Payback Period (PBP), which takes into account only the time interval needed to recover the initial investment, NPV takes into account all future cash flows with a discount of the time value of money, which gives a complete picture of profitability (Wang-Nava, K., 2025; </w:t>
      </w:r>
      <w:proofErr w:type="spellStart"/>
      <w:r w:rsidRPr="00CC6BA8">
        <w:rPr>
          <w:rFonts w:ascii="Times New Roman" w:hAnsi="Times New Roman" w:cs="Times New Roman"/>
          <w:sz w:val="24"/>
        </w:rPr>
        <w:t>Kengatharan</w:t>
      </w:r>
      <w:proofErr w:type="spellEnd"/>
      <w:r w:rsidRPr="00CC6BA8">
        <w:rPr>
          <w:rFonts w:ascii="Times New Roman" w:hAnsi="Times New Roman" w:cs="Times New Roman"/>
          <w:sz w:val="24"/>
        </w:rPr>
        <w:t>, 2018). The first strong point of PBP is that it is useful in liquidity risk evaluation that is applicable due to the fragile liquidity of the firm. Its main demerit is that it excludes any cash flows after the payback point and the cost of capital thus potentially not allowing long-term value-creating projects like that of Project C to be accepted in favour of the short-lived less-profitable projects (Magni, 2020). This means that PBP is a handy secondary test but NPV is the main one and at the end of the day, a clear cut rec</w:t>
      </w:r>
      <w:r>
        <w:rPr>
          <w:rFonts w:ascii="Times New Roman" w:hAnsi="Times New Roman" w:cs="Times New Roman"/>
          <w:sz w:val="24"/>
        </w:rPr>
        <w:t>ommendation of Project is to go</w:t>
      </w:r>
      <w:r w:rsidR="009F186C" w:rsidRPr="009225E6">
        <w:rPr>
          <w:rFonts w:ascii="Times New Roman" w:hAnsi="Times New Roman" w:cs="Times New Roman"/>
          <w:sz w:val="24"/>
        </w:rPr>
        <w:t>.</w:t>
      </w:r>
    </w:p>
    <w:p w14:paraId="6DAB9CFD" w14:textId="77777777" w:rsidR="000836EA" w:rsidRPr="009225E6" w:rsidRDefault="00F30E26" w:rsidP="00F30E26">
      <w:pPr>
        <w:pStyle w:val="Heading3"/>
        <w:rPr>
          <w:rFonts w:ascii="Times New Roman" w:hAnsi="Times New Roman" w:cs="Times New Roman"/>
        </w:rPr>
      </w:pPr>
      <w:bookmarkStart w:id="28" w:name="_Toc210237853"/>
      <w:r w:rsidRPr="009225E6">
        <w:rPr>
          <w:rFonts w:ascii="Times New Roman" w:hAnsi="Times New Roman" w:cs="Times New Roman"/>
        </w:rPr>
        <w:t xml:space="preserve">4.4 </w:t>
      </w:r>
      <w:r w:rsidR="0096725B" w:rsidRPr="009225E6">
        <w:rPr>
          <w:rFonts w:ascii="Times New Roman" w:hAnsi="Times New Roman" w:cs="Times New Roman"/>
        </w:rPr>
        <w:t>Profitability Index</w:t>
      </w:r>
      <w:bookmarkEnd w:id="28"/>
    </w:p>
    <w:p w14:paraId="6BB280E4" w14:textId="77777777" w:rsidR="00C0462C" w:rsidRPr="009225E6" w:rsidRDefault="0096725B" w:rsidP="0096725B">
      <w:pPr>
        <w:rPr>
          <w:rFonts w:ascii="Times New Roman" w:eastAsiaTheme="minorEastAsia" w:hAnsi="Times New Roman" w:cs="Times New Roman"/>
          <w:sz w:val="24"/>
        </w:rPr>
      </w:pPr>
      <m:oMathPara>
        <m:oMath>
          <m:r>
            <m:rPr>
              <m:sty m:val="p"/>
            </m:rPr>
            <w:rPr>
              <w:rFonts w:ascii="Cambria Math" w:hAnsi="Cambria Math" w:cs="Times New Roman"/>
              <w:sz w:val="24"/>
            </w:rPr>
            <m:t>Profitability Index =</m:t>
          </m:r>
          <m:f>
            <m:fPr>
              <m:ctrlPr>
                <w:rPr>
                  <w:rFonts w:ascii="Cambria Math" w:hAnsi="Cambria Math" w:cs="Times New Roman"/>
                  <w:sz w:val="24"/>
                </w:rPr>
              </m:ctrlPr>
            </m:fPr>
            <m:num>
              <m:r>
                <w:rPr>
                  <w:rFonts w:ascii="Cambria Math" w:hAnsi="Cambria Math" w:cs="Times New Roman"/>
                  <w:sz w:val="24"/>
                </w:rPr>
                <m:t>Present value of future cash flows</m:t>
              </m:r>
            </m:num>
            <m:den>
              <m:r>
                <w:rPr>
                  <w:rFonts w:ascii="Cambria Math" w:hAnsi="Cambria Math" w:cs="Times New Roman"/>
                  <w:sz w:val="24"/>
                </w:rPr>
                <m:t>Initial Investment</m:t>
              </m:r>
            </m:den>
          </m:f>
        </m:oMath>
      </m:oMathPara>
    </w:p>
    <w:p w14:paraId="3A07A2F0" w14:textId="77777777" w:rsidR="00C0462C" w:rsidRPr="009225E6" w:rsidRDefault="00C0462C" w:rsidP="0096725B">
      <w:pPr>
        <w:rPr>
          <w:rFonts w:ascii="Times New Roman" w:hAnsi="Times New Roman" w:cs="Times New Roman"/>
          <w:sz w:val="24"/>
        </w:rPr>
      </w:pPr>
    </w:p>
    <w:tbl>
      <w:tblPr>
        <w:tblW w:w="8157" w:type="dxa"/>
        <w:jc w:val="center"/>
        <w:tblLook w:val="04A0" w:firstRow="1" w:lastRow="0" w:firstColumn="1" w:lastColumn="0" w:noHBand="0" w:noVBand="1"/>
      </w:tblPr>
      <w:tblGrid>
        <w:gridCol w:w="2805"/>
        <w:gridCol w:w="1973"/>
        <w:gridCol w:w="1519"/>
        <w:gridCol w:w="1860"/>
      </w:tblGrid>
      <w:tr w:rsidR="0096725B" w:rsidRPr="009225E6" w14:paraId="7AFBC8E2" w14:textId="77777777" w:rsidTr="00F30E26">
        <w:trPr>
          <w:trHeight w:val="326"/>
          <w:jc w:val="center"/>
        </w:trPr>
        <w:tc>
          <w:tcPr>
            <w:tcW w:w="2805" w:type="dxa"/>
            <w:tcBorders>
              <w:top w:val="single" w:sz="4" w:space="0" w:color="auto"/>
              <w:left w:val="single" w:sz="4" w:space="0" w:color="auto"/>
              <w:bottom w:val="double" w:sz="6" w:space="0" w:color="auto"/>
              <w:right w:val="single" w:sz="4" w:space="0" w:color="auto"/>
            </w:tcBorders>
            <w:noWrap/>
            <w:vAlign w:val="bottom"/>
            <w:hideMark/>
          </w:tcPr>
          <w:p w14:paraId="5202B19F" w14:textId="77777777" w:rsidR="0096725B" w:rsidRPr="009225E6" w:rsidRDefault="0096725B" w:rsidP="0096725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Project</w:t>
            </w:r>
          </w:p>
        </w:tc>
        <w:tc>
          <w:tcPr>
            <w:tcW w:w="1973" w:type="dxa"/>
            <w:tcBorders>
              <w:top w:val="single" w:sz="4" w:space="0" w:color="auto"/>
              <w:left w:val="nil"/>
              <w:bottom w:val="double" w:sz="6" w:space="0" w:color="auto"/>
              <w:right w:val="single" w:sz="4" w:space="0" w:color="auto"/>
            </w:tcBorders>
            <w:noWrap/>
            <w:vAlign w:val="bottom"/>
            <w:hideMark/>
          </w:tcPr>
          <w:p w14:paraId="4C64F1D5" w14:textId="77777777" w:rsidR="0096725B" w:rsidRPr="009225E6" w:rsidRDefault="0096725B" w:rsidP="0096725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Present value of future cash flows</w:t>
            </w:r>
          </w:p>
        </w:tc>
        <w:tc>
          <w:tcPr>
            <w:tcW w:w="1519" w:type="dxa"/>
            <w:tcBorders>
              <w:top w:val="single" w:sz="4" w:space="0" w:color="auto"/>
              <w:left w:val="nil"/>
              <w:bottom w:val="double" w:sz="6" w:space="0" w:color="auto"/>
              <w:right w:val="single" w:sz="4" w:space="0" w:color="auto"/>
            </w:tcBorders>
            <w:noWrap/>
            <w:vAlign w:val="bottom"/>
            <w:hideMark/>
          </w:tcPr>
          <w:p w14:paraId="579E66BF" w14:textId="77777777" w:rsidR="0096725B" w:rsidRPr="009225E6" w:rsidRDefault="0096725B" w:rsidP="0096725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Initial Investment</w:t>
            </w:r>
          </w:p>
        </w:tc>
        <w:tc>
          <w:tcPr>
            <w:tcW w:w="1860" w:type="dxa"/>
            <w:tcBorders>
              <w:top w:val="single" w:sz="4" w:space="0" w:color="auto"/>
              <w:left w:val="nil"/>
              <w:bottom w:val="double" w:sz="6" w:space="0" w:color="auto"/>
              <w:right w:val="single" w:sz="4" w:space="0" w:color="auto"/>
            </w:tcBorders>
            <w:noWrap/>
            <w:vAlign w:val="bottom"/>
            <w:hideMark/>
          </w:tcPr>
          <w:p w14:paraId="72D89C94" w14:textId="77777777" w:rsidR="0096725B" w:rsidRPr="009225E6" w:rsidRDefault="0096725B" w:rsidP="0096725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Profitability Index</w:t>
            </w:r>
          </w:p>
        </w:tc>
      </w:tr>
      <w:tr w:rsidR="0096725B" w:rsidRPr="009225E6" w14:paraId="5A007080" w14:textId="77777777" w:rsidTr="00F30E26">
        <w:trPr>
          <w:trHeight w:val="326"/>
          <w:jc w:val="center"/>
        </w:trPr>
        <w:tc>
          <w:tcPr>
            <w:tcW w:w="2805" w:type="dxa"/>
            <w:tcBorders>
              <w:top w:val="nil"/>
              <w:left w:val="single" w:sz="4" w:space="0" w:color="auto"/>
              <w:bottom w:val="single" w:sz="4" w:space="0" w:color="auto"/>
              <w:right w:val="single" w:sz="4" w:space="0" w:color="auto"/>
            </w:tcBorders>
            <w:noWrap/>
            <w:vAlign w:val="bottom"/>
            <w:hideMark/>
          </w:tcPr>
          <w:p w14:paraId="28566E54" w14:textId="77777777" w:rsidR="0096725B" w:rsidRPr="009225E6" w:rsidRDefault="0096725B" w:rsidP="0096725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Project-A</w:t>
            </w:r>
          </w:p>
        </w:tc>
        <w:tc>
          <w:tcPr>
            <w:tcW w:w="1973" w:type="dxa"/>
            <w:tcBorders>
              <w:top w:val="nil"/>
              <w:left w:val="nil"/>
              <w:bottom w:val="single" w:sz="4" w:space="0" w:color="auto"/>
              <w:right w:val="single" w:sz="4" w:space="0" w:color="auto"/>
            </w:tcBorders>
            <w:noWrap/>
            <w:hideMark/>
          </w:tcPr>
          <w:p w14:paraId="16D35978" w14:textId="77777777" w:rsidR="0096725B" w:rsidRPr="009225E6" w:rsidRDefault="0096725B" w:rsidP="0096725B">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£1.32</w:t>
            </w:r>
          </w:p>
        </w:tc>
        <w:tc>
          <w:tcPr>
            <w:tcW w:w="1519" w:type="dxa"/>
            <w:tcBorders>
              <w:top w:val="nil"/>
              <w:left w:val="nil"/>
              <w:bottom w:val="single" w:sz="4" w:space="0" w:color="auto"/>
              <w:right w:val="single" w:sz="4" w:space="0" w:color="auto"/>
            </w:tcBorders>
            <w:noWrap/>
            <w:vAlign w:val="bottom"/>
            <w:hideMark/>
          </w:tcPr>
          <w:p w14:paraId="451C18F9"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w:t>
            </w:r>
          </w:p>
        </w:tc>
        <w:tc>
          <w:tcPr>
            <w:tcW w:w="1860" w:type="dxa"/>
            <w:tcBorders>
              <w:top w:val="nil"/>
              <w:left w:val="nil"/>
              <w:bottom w:val="single" w:sz="4" w:space="0" w:color="auto"/>
              <w:right w:val="single" w:sz="4" w:space="0" w:color="auto"/>
            </w:tcBorders>
            <w:noWrap/>
            <w:vAlign w:val="bottom"/>
            <w:hideMark/>
          </w:tcPr>
          <w:p w14:paraId="61F6F421"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r>
      <w:tr w:rsidR="0096725B" w:rsidRPr="009225E6" w14:paraId="6393866D" w14:textId="77777777" w:rsidTr="00F30E26">
        <w:trPr>
          <w:trHeight w:val="310"/>
          <w:jc w:val="center"/>
        </w:trPr>
        <w:tc>
          <w:tcPr>
            <w:tcW w:w="2805" w:type="dxa"/>
            <w:tcBorders>
              <w:top w:val="nil"/>
              <w:left w:val="single" w:sz="4" w:space="0" w:color="auto"/>
              <w:bottom w:val="single" w:sz="4" w:space="0" w:color="auto"/>
              <w:right w:val="single" w:sz="4" w:space="0" w:color="auto"/>
            </w:tcBorders>
            <w:noWrap/>
            <w:vAlign w:val="bottom"/>
            <w:hideMark/>
          </w:tcPr>
          <w:p w14:paraId="5DE8C886" w14:textId="77777777" w:rsidR="0096725B" w:rsidRPr="009225E6" w:rsidRDefault="0096725B" w:rsidP="0096725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Project-B</w:t>
            </w:r>
          </w:p>
        </w:tc>
        <w:tc>
          <w:tcPr>
            <w:tcW w:w="1973" w:type="dxa"/>
            <w:tcBorders>
              <w:top w:val="nil"/>
              <w:left w:val="nil"/>
              <w:bottom w:val="single" w:sz="4" w:space="0" w:color="auto"/>
              <w:right w:val="single" w:sz="4" w:space="0" w:color="auto"/>
            </w:tcBorders>
            <w:noWrap/>
            <w:hideMark/>
          </w:tcPr>
          <w:p w14:paraId="46619758" w14:textId="77777777" w:rsidR="0096725B" w:rsidRPr="009225E6" w:rsidRDefault="0096725B" w:rsidP="0096725B">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-£7.26</w:t>
            </w:r>
          </w:p>
        </w:tc>
        <w:tc>
          <w:tcPr>
            <w:tcW w:w="1519" w:type="dxa"/>
            <w:tcBorders>
              <w:top w:val="nil"/>
              <w:left w:val="nil"/>
              <w:bottom w:val="single" w:sz="4" w:space="0" w:color="auto"/>
              <w:right w:val="single" w:sz="4" w:space="0" w:color="auto"/>
            </w:tcBorders>
            <w:noWrap/>
            <w:vAlign w:val="bottom"/>
            <w:hideMark/>
          </w:tcPr>
          <w:p w14:paraId="28F7DC91"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w:t>
            </w:r>
          </w:p>
        </w:tc>
        <w:tc>
          <w:tcPr>
            <w:tcW w:w="1860" w:type="dxa"/>
            <w:tcBorders>
              <w:top w:val="nil"/>
              <w:left w:val="nil"/>
              <w:bottom w:val="single" w:sz="4" w:space="0" w:color="auto"/>
              <w:right w:val="single" w:sz="4" w:space="0" w:color="auto"/>
            </w:tcBorders>
            <w:noWrap/>
            <w:vAlign w:val="bottom"/>
            <w:hideMark/>
          </w:tcPr>
          <w:p w14:paraId="47D57919"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-24%</w:t>
            </w:r>
          </w:p>
        </w:tc>
      </w:tr>
      <w:tr w:rsidR="0096725B" w:rsidRPr="009225E6" w14:paraId="03A585D9" w14:textId="77777777" w:rsidTr="00F30E26">
        <w:trPr>
          <w:trHeight w:val="326"/>
          <w:jc w:val="center"/>
        </w:trPr>
        <w:tc>
          <w:tcPr>
            <w:tcW w:w="2805" w:type="dxa"/>
            <w:tcBorders>
              <w:top w:val="nil"/>
              <w:left w:val="single" w:sz="4" w:space="0" w:color="auto"/>
              <w:bottom w:val="double" w:sz="6" w:space="0" w:color="auto"/>
              <w:right w:val="single" w:sz="4" w:space="0" w:color="auto"/>
            </w:tcBorders>
            <w:noWrap/>
            <w:vAlign w:val="bottom"/>
            <w:hideMark/>
          </w:tcPr>
          <w:p w14:paraId="2D98F557" w14:textId="77777777" w:rsidR="0096725B" w:rsidRPr="009225E6" w:rsidRDefault="0096725B" w:rsidP="0096725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Project-C</w:t>
            </w:r>
          </w:p>
        </w:tc>
        <w:tc>
          <w:tcPr>
            <w:tcW w:w="1973" w:type="dxa"/>
            <w:tcBorders>
              <w:top w:val="nil"/>
              <w:left w:val="nil"/>
              <w:bottom w:val="double" w:sz="6" w:space="0" w:color="auto"/>
              <w:right w:val="single" w:sz="4" w:space="0" w:color="auto"/>
            </w:tcBorders>
            <w:noWrap/>
            <w:hideMark/>
          </w:tcPr>
          <w:p w14:paraId="6008DA1A" w14:textId="77777777" w:rsidR="0096725B" w:rsidRPr="009225E6" w:rsidRDefault="0096725B" w:rsidP="0096725B">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£4.23</w:t>
            </w:r>
          </w:p>
        </w:tc>
        <w:tc>
          <w:tcPr>
            <w:tcW w:w="1519" w:type="dxa"/>
            <w:tcBorders>
              <w:top w:val="nil"/>
              <w:left w:val="nil"/>
              <w:bottom w:val="double" w:sz="6" w:space="0" w:color="auto"/>
              <w:right w:val="single" w:sz="4" w:space="0" w:color="auto"/>
            </w:tcBorders>
            <w:noWrap/>
            <w:vAlign w:val="bottom"/>
            <w:hideMark/>
          </w:tcPr>
          <w:p w14:paraId="4EA40CEF"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w:t>
            </w:r>
          </w:p>
        </w:tc>
        <w:tc>
          <w:tcPr>
            <w:tcW w:w="1860" w:type="dxa"/>
            <w:tcBorders>
              <w:top w:val="nil"/>
              <w:left w:val="nil"/>
              <w:bottom w:val="double" w:sz="6" w:space="0" w:color="auto"/>
              <w:right w:val="single" w:sz="4" w:space="0" w:color="auto"/>
            </w:tcBorders>
            <w:noWrap/>
            <w:vAlign w:val="bottom"/>
            <w:hideMark/>
          </w:tcPr>
          <w:p w14:paraId="0690FF79" w14:textId="77777777" w:rsidR="0096725B" w:rsidRPr="009225E6" w:rsidRDefault="0096725B" w:rsidP="0096725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w:t>
            </w:r>
          </w:p>
        </w:tc>
      </w:tr>
    </w:tbl>
    <w:p w14:paraId="000C94DA" w14:textId="77777777" w:rsidR="009F186C" w:rsidRPr="009225E6" w:rsidRDefault="00C0462C" w:rsidP="00C0462C">
      <w:pPr>
        <w:pStyle w:val="Caption"/>
        <w:jc w:val="center"/>
        <w:rPr>
          <w:rFonts w:ascii="Times New Roman" w:hAnsi="Times New Roman" w:cs="Times New Roman"/>
        </w:rPr>
      </w:pPr>
      <w:bookmarkStart w:id="29" w:name="_Toc214385568"/>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9</w:t>
      </w:r>
      <w:r w:rsidRPr="009225E6">
        <w:rPr>
          <w:rFonts w:ascii="Times New Roman" w:hAnsi="Times New Roman" w:cs="Times New Roman"/>
        </w:rPr>
        <w:fldChar w:fldCharType="end"/>
      </w:r>
      <w:r w:rsidRPr="009225E6">
        <w:rPr>
          <w:rFonts w:ascii="Times New Roman" w:hAnsi="Times New Roman" w:cs="Times New Roman"/>
        </w:rPr>
        <w:t xml:space="preserve"> Profitability Index of Project A, B and C</w:t>
      </w:r>
      <w:bookmarkEnd w:id="29"/>
    </w:p>
    <w:p w14:paraId="7DB71974"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74586210" w14:textId="77777777" w:rsidR="009F186C" w:rsidRPr="009225E6" w:rsidRDefault="0032516B" w:rsidP="00F30E26">
      <w:pPr>
        <w:spacing w:line="360" w:lineRule="auto"/>
        <w:jc w:val="both"/>
        <w:rPr>
          <w:rFonts w:ascii="Times New Roman" w:hAnsi="Times New Roman" w:cs="Times New Roman"/>
          <w:sz w:val="24"/>
        </w:rPr>
      </w:pPr>
      <w:r>
        <w:rPr>
          <w:rFonts w:ascii="Times New Roman" w:hAnsi="Times New Roman" w:cs="Times New Roman"/>
          <w:sz w:val="24"/>
        </w:rPr>
        <w:t>The Profitability Index (PI)</w:t>
      </w:r>
      <w:r w:rsidRPr="0032516B">
        <w:rPr>
          <w:rFonts w:ascii="Times New Roman" w:hAnsi="Times New Roman" w:cs="Times New Roman"/>
          <w:sz w:val="24"/>
        </w:rPr>
        <w:t xml:space="preserve"> is invaluably vital on our capital rationing constraint, in the sense that it quantifies value-created per pound invested (</w:t>
      </w:r>
      <w:proofErr w:type="spellStart"/>
      <w:r w:rsidRPr="0032516B">
        <w:rPr>
          <w:rFonts w:ascii="Times New Roman" w:hAnsi="Times New Roman" w:cs="Times New Roman"/>
          <w:sz w:val="24"/>
        </w:rPr>
        <w:t>Darmansyah</w:t>
      </w:r>
      <w:proofErr w:type="spellEnd"/>
      <w:r w:rsidRPr="0032516B">
        <w:rPr>
          <w:rFonts w:ascii="Times New Roman" w:hAnsi="Times New Roman" w:cs="Times New Roman"/>
          <w:sz w:val="24"/>
        </w:rPr>
        <w:t xml:space="preserve">, A., Ali, Q. and Parveen, S., 2025). The PI of Project C of 8% is better as it will produce 8p of NPV against each </w:t>
      </w:r>
      <w:r w:rsidR="00090580">
        <w:rPr>
          <w:rFonts w:ascii="Times New Roman" w:hAnsi="Times New Roman" w:cs="Times New Roman"/>
          <w:sz w:val="24"/>
        </w:rPr>
        <w:t>£</w:t>
      </w:r>
      <w:r w:rsidRPr="0032516B">
        <w:rPr>
          <w:rFonts w:ascii="Times New Roman" w:hAnsi="Times New Roman" w:cs="Times New Roman"/>
          <w:sz w:val="24"/>
        </w:rPr>
        <w:t xml:space="preserve">1 being spent which is vastly superior to that of Project A 3 percent and drastically different to that of Project B -24 percent which destroys value. The key strength of PI to a financially stressed firm is that it allows prioritizing projects by the capital efficiency of the project thus allowing our limited </w:t>
      </w:r>
      <w:r w:rsidR="00090580">
        <w:rPr>
          <w:rFonts w:ascii="Times New Roman" w:hAnsi="Times New Roman" w:cs="Times New Roman"/>
          <w:sz w:val="24"/>
        </w:rPr>
        <w:t>£</w:t>
      </w:r>
      <w:r w:rsidRPr="0032516B">
        <w:rPr>
          <w:rFonts w:ascii="Times New Roman" w:hAnsi="Times New Roman" w:cs="Times New Roman"/>
          <w:sz w:val="24"/>
        </w:rPr>
        <w:t xml:space="preserve">60 million budget to be deployed in the best way possible (Ross et al., 2019). </w:t>
      </w:r>
      <w:r w:rsidRPr="0032516B">
        <w:rPr>
          <w:rFonts w:ascii="Times New Roman" w:hAnsi="Times New Roman" w:cs="Times New Roman"/>
          <w:sz w:val="24"/>
        </w:rPr>
        <w:lastRenderedPageBreak/>
        <w:t>This makes it an essential complement of NPV. Nevertheless, the main shortcoming is that it may be erroneous when comparing mutually exclusive projects of extremely different sizes as a smaller project with a high PI may be taken instead of the larger one with a higher absolute NPV (Berk and DeMarzo, 2020). Here, Project C with the best PI and greatest absolute NPV is definitely the best alternative to include in our turnaround</w:t>
      </w:r>
      <w:r>
        <w:rPr>
          <w:rFonts w:ascii="Times New Roman" w:hAnsi="Times New Roman" w:cs="Times New Roman"/>
          <w:sz w:val="24"/>
        </w:rPr>
        <w:t xml:space="preserve"> plan</w:t>
      </w:r>
      <w:r w:rsidR="009F186C" w:rsidRPr="009225E6">
        <w:rPr>
          <w:rFonts w:ascii="Times New Roman" w:hAnsi="Times New Roman" w:cs="Times New Roman"/>
          <w:sz w:val="24"/>
        </w:rPr>
        <w:t>.</w:t>
      </w:r>
    </w:p>
    <w:p w14:paraId="7DB6EF14" w14:textId="77777777" w:rsidR="0096725B" w:rsidRPr="009225E6" w:rsidRDefault="00F30E26" w:rsidP="00F30E26">
      <w:pPr>
        <w:pStyle w:val="Heading3"/>
        <w:rPr>
          <w:rFonts w:ascii="Times New Roman" w:hAnsi="Times New Roman" w:cs="Times New Roman"/>
        </w:rPr>
      </w:pPr>
      <w:bookmarkStart w:id="30" w:name="_Toc210237854"/>
      <w:r w:rsidRPr="009225E6">
        <w:rPr>
          <w:rFonts w:ascii="Times New Roman" w:hAnsi="Times New Roman" w:cs="Times New Roman"/>
        </w:rPr>
        <w:t>4.5 Internal Rate of Return-</w:t>
      </w:r>
      <w:r w:rsidR="00C0332A" w:rsidRPr="009225E6">
        <w:rPr>
          <w:rFonts w:ascii="Times New Roman" w:hAnsi="Times New Roman" w:cs="Times New Roman"/>
        </w:rPr>
        <w:t>IRR</w:t>
      </w:r>
      <w:bookmarkEnd w:id="30"/>
    </w:p>
    <w:p w14:paraId="6DFEC86D" w14:textId="77777777" w:rsidR="00AD7B87" w:rsidRPr="00C256A7" w:rsidRDefault="00C256A7" w:rsidP="0096725B">
      <w:pPr>
        <w:rPr>
          <w:rFonts w:ascii="Times New Roman" w:hAnsi="Times New Roman" w:cs="Times New Roman"/>
          <w:sz w:val="24"/>
        </w:rPr>
      </w:pPr>
      <w:r w:rsidRPr="00C256A7">
        <w:rPr>
          <w:rFonts w:ascii="Times New Roman" w:hAnsi="Times New Roman" w:cs="Times New Roman"/>
          <w:sz w:val="24"/>
        </w:rPr>
        <w:t>Appendix-III shows the detail calculation of the below IRR.</w:t>
      </w:r>
    </w:p>
    <w:tbl>
      <w:tblPr>
        <w:tblW w:w="7249" w:type="dxa"/>
        <w:jc w:val="center"/>
        <w:tblLook w:val="04A0" w:firstRow="1" w:lastRow="0" w:firstColumn="1" w:lastColumn="0" w:noHBand="0" w:noVBand="1"/>
      </w:tblPr>
      <w:tblGrid>
        <w:gridCol w:w="4865"/>
        <w:gridCol w:w="2384"/>
      </w:tblGrid>
      <w:tr w:rsidR="00DC39DB" w:rsidRPr="009225E6" w14:paraId="5DD46688" w14:textId="77777777" w:rsidTr="00F30E26">
        <w:trPr>
          <w:trHeight w:val="241"/>
          <w:jc w:val="center"/>
        </w:trPr>
        <w:tc>
          <w:tcPr>
            <w:tcW w:w="4865" w:type="dxa"/>
            <w:tcBorders>
              <w:top w:val="single" w:sz="4" w:space="0" w:color="auto"/>
              <w:left w:val="single" w:sz="4" w:space="0" w:color="auto"/>
              <w:bottom w:val="double" w:sz="6" w:space="0" w:color="auto"/>
              <w:right w:val="single" w:sz="4" w:space="0" w:color="auto"/>
            </w:tcBorders>
            <w:noWrap/>
            <w:vAlign w:val="bottom"/>
            <w:hideMark/>
          </w:tcPr>
          <w:p w14:paraId="625BE8AB" w14:textId="77777777" w:rsidR="00DC39DB" w:rsidRPr="009225E6" w:rsidRDefault="00DC39DB" w:rsidP="00DC39D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Project</w:t>
            </w:r>
          </w:p>
        </w:tc>
        <w:tc>
          <w:tcPr>
            <w:tcW w:w="2384" w:type="dxa"/>
            <w:tcBorders>
              <w:top w:val="single" w:sz="4" w:space="0" w:color="auto"/>
              <w:left w:val="nil"/>
              <w:bottom w:val="double" w:sz="6" w:space="0" w:color="auto"/>
              <w:right w:val="single" w:sz="4" w:space="0" w:color="auto"/>
            </w:tcBorders>
            <w:noWrap/>
            <w:vAlign w:val="bottom"/>
            <w:hideMark/>
          </w:tcPr>
          <w:p w14:paraId="7AF9D7B0" w14:textId="77777777" w:rsidR="00DC39DB" w:rsidRPr="009225E6" w:rsidRDefault="00DC39DB" w:rsidP="00DC39DB">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IRR</w:t>
            </w:r>
          </w:p>
        </w:tc>
      </w:tr>
      <w:tr w:rsidR="00DC39DB" w:rsidRPr="009225E6" w14:paraId="4F399B8B" w14:textId="77777777" w:rsidTr="00F30E26">
        <w:trPr>
          <w:trHeight w:val="241"/>
          <w:jc w:val="center"/>
        </w:trPr>
        <w:tc>
          <w:tcPr>
            <w:tcW w:w="4865" w:type="dxa"/>
            <w:tcBorders>
              <w:top w:val="nil"/>
              <w:left w:val="single" w:sz="4" w:space="0" w:color="auto"/>
              <w:bottom w:val="single" w:sz="4" w:space="0" w:color="auto"/>
              <w:right w:val="single" w:sz="4" w:space="0" w:color="auto"/>
            </w:tcBorders>
            <w:noWrap/>
            <w:vAlign w:val="bottom"/>
            <w:hideMark/>
          </w:tcPr>
          <w:p w14:paraId="386E6951" w14:textId="77777777" w:rsidR="00DC39DB" w:rsidRPr="009225E6" w:rsidRDefault="00DC39DB" w:rsidP="00DC39D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Project-A</w:t>
            </w:r>
          </w:p>
        </w:tc>
        <w:tc>
          <w:tcPr>
            <w:tcW w:w="2384" w:type="dxa"/>
            <w:tcBorders>
              <w:top w:val="nil"/>
              <w:left w:val="nil"/>
              <w:bottom w:val="single" w:sz="4" w:space="0" w:color="auto"/>
              <w:right w:val="single" w:sz="4" w:space="0" w:color="auto"/>
            </w:tcBorders>
            <w:noWrap/>
            <w:vAlign w:val="bottom"/>
            <w:hideMark/>
          </w:tcPr>
          <w:p w14:paraId="7ECB1034" w14:textId="77777777" w:rsidR="00DC39DB" w:rsidRPr="009225E6" w:rsidRDefault="00DC39DB" w:rsidP="00DC39D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DC39DB" w:rsidRPr="009225E6" w14:paraId="5A504E2D" w14:textId="77777777" w:rsidTr="00F30E26">
        <w:trPr>
          <w:trHeight w:val="241"/>
          <w:jc w:val="center"/>
        </w:trPr>
        <w:tc>
          <w:tcPr>
            <w:tcW w:w="4865" w:type="dxa"/>
            <w:tcBorders>
              <w:top w:val="nil"/>
              <w:left w:val="single" w:sz="4" w:space="0" w:color="auto"/>
              <w:bottom w:val="single" w:sz="4" w:space="0" w:color="auto"/>
              <w:right w:val="single" w:sz="4" w:space="0" w:color="auto"/>
            </w:tcBorders>
            <w:noWrap/>
            <w:vAlign w:val="bottom"/>
            <w:hideMark/>
          </w:tcPr>
          <w:p w14:paraId="7010F8B0" w14:textId="77777777" w:rsidR="00DC39DB" w:rsidRPr="009225E6" w:rsidRDefault="00DC39DB" w:rsidP="00DC39D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Project-B</w:t>
            </w:r>
          </w:p>
        </w:tc>
        <w:tc>
          <w:tcPr>
            <w:tcW w:w="2384" w:type="dxa"/>
            <w:tcBorders>
              <w:top w:val="nil"/>
              <w:left w:val="nil"/>
              <w:bottom w:val="double" w:sz="6" w:space="0" w:color="auto"/>
              <w:right w:val="single" w:sz="4" w:space="0" w:color="auto"/>
            </w:tcBorders>
            <w:noWrap/>
            <w:vAlign w:val="bottom"/>
            <w:hideMark/>
          </w:tcPr>
          <w:p w14:paraId="562165EE" w14:textId="77777777" w:rsidR="00DC39DB" w:rsidRPr="009225E6" w:rsidRDefault="00DC39DB" w:rsidP="00DC39D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w:t>
            </w:r>
          </w:p>
        </w:tc>
      </w:tr>
      <w:tr w:rsidR="00DC39DB" w:rsidRPr="009225E6" w14:paraId="14D1716D" w14:textId="77777777" w:rsidTr="00F30E26">
        <w:trPr>
          <w:trHeight w:val="252"/>
          <w:jc w:val="center"/>
        </w:trPr>
        <w:tc>
          <w:tcPr>
            <w:tcW w:w="4865" w:type="dxa"/>
            <w:tcBorders>
              <w:top w:val="nil"/>
              <w:left w:val="single" w:sz="4" w:space="0" w:color="auto"/>
              <w:bottom w:val="double" w:sz="6" w:space="0" w:color="auto"/>
              <w:right w:val="single" w:sz="4" w:space="0" w:color="auto"/>
            </w:tcBorders>
            <w:noWrap/>
            <w:vAlign w:val="bottom"/>
            <w:hideMark/>
          </w:tcPr>
          <w:p w14:paraId="55D3F1B5" w14:textId="77777777" w:rsidR="00DC39DB" w:rsidRPr="009225E6" w:rsidRDefault="00DC39DB" w:rsidP="00DC39DB">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Project-C</w:t>
            </w:r>
          </w:p>
        </w:tc>
        <w:tc>
          <w:tcPr>
            <w:tcW w:w="2384" w:type="dxa"/>
            <w:tcBorders>
              <w:top w:val="single" w:sz="4" w:space="0" w:color="auto"/>
              <w:left w:val="nil"/>
              <w:bottom w:val="double" w:sz="6" w:space="0" w:color="auto"/>
              <w:right w:val="single" w:sz="4" w:space="0" w:color="auto"/>
            </w:tcBorders>
            <w:noWrap/>
            <w:vAlign w:val="bottom"/>
            <w:hideMark/>
          </w:tcPr>
          <w:p w14:paraId="3EEC9308" w14:textId="77777777" w:rsidR="00DC39DB" w:rsidRPr="009225E6" w:rsidRDefault="00DC39DB" w:rsidP="00DC39DB">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w:t>
            </w:r>
          </w:p>
        </w:tc>
      </w:tr>
    </w:tbl>
    <w:p w14:paraId="41F91C11" w14:textId="77777777" w:rsidR="00DC39DB" w:rsidRPr="009225E6" w:rsidRDefault="00C0462C" w:rsidP="00C0462C">
      <w:pPr>
        <w:pStyle w:val="Caption"/>
        <w:jc w:val="center"/>
        <w:rPr>
          <w:rFonts w:ascii="Times New Roman" w:hAnsi="Times New Roman" w:cs="Times New Roman"/>
        </w:rPr>
      </w:pPr>
      <w:bookmarkStart w:id="31" w:name="_Toc214385569"/>
      <w:r w:rsidRPr="009225E6">
        <w:rPr>
          <w:rFonts w:ascii="Times New Roman" w:hAnsi="Times New Roman" w:cs="Times New Roman"/>
        </w:rPr>
        <w:t xml:space="preserve">Table </w:t>
      </w:r>
      <w:r w:rsidRPr="009225E6">
        <w:rPr>
          <w:rFonts w:ascii="Times New Roman" w:hAnsi="Times New Roman" w:cs="Times New Roman"/>
        </w:rPr>
        <w:fldChar w:fldCharType="begin"/>
      </w:r>
      <w:r w:rsidRPr="009225E6">
        <w:rPr>
          <w:rFonts w:ascii="Times New Roman" w:hAnsi="Times New Roman" w:cs="Times New Roman"/>
        </w:rPr>
        <w:instrText xml:space="preserve"> SEQ Table \* ARABIC </w:instrText>
      </w:r>
      <w:r w:rsidRPr="009225E6">
        <w:rPr>
          <w:rFonts w:ascii="Times New Roman" w:hAnsi="Times New Roman" w:cs="Times New Roman"/>
        </w:rPr>
        <w:fldChar w:fldCharType="separate"/>
      </w:r>
      <w:r w:rsidR="00EC03CF" w:rsidRPr="009225E6">
        <w:rPr>
          <w:rFonts w:ascii="Times New Roman" w:hAnsi="Times New Roman" w:cs="Times New Roman"/>
          <w:noProof/>
        </w:rPr>
        <w:t>10</w:t>
      </w:r>
      <w:r w:rsidRPr="009225E6">
        <w:rPr>
          <w:rFonts w:ascii="Times New Roman" w:hAnsi="Times New Roman" w:cs="Times New Roman"/>
        </w:rPr>
        <w:fldChar w:fldCharType="end"/>
      </w:r>
      <w:r w:rsidRPr="009225E6">
        <w:rPr>
          <w:rFonts w:ascii="Times New Roman" w:hAnsi="Times New Roman" w:cs="Times New Roman"/>
        </w:rPr>
        <w:t xml:space="preserve"> Internal Rate of Return-IRR of Project A, B and C</w:t>
      </w:r>
      <w:bookmarkEnd w:id="31"/>
    </w:p>
    <w:p w14:paraId="0CB69E3B" w14:textId="77777777" w:rsidR="0072476B" w:rsidRPr="009225E6" w:rsidRDefault="0072476B" w:rsidP="0072476B">
      <w:pPr>
        <w:jc w:val="center"/>
        <w:rPr>
          <w:rFonts w:ascii="Times New Roman" w:hAnsi="Times New Roman" w:cs="Times New Roman"/>
          <w:i/>
        </w:rPr>
      </w:pPr>
      <w:r w:rsidRPr="009225E6">
        <w:rPr>
          <w:rFonts w:ascii="Times New Roman" w:hAnsi="Times New Roman" w:cs="Times New Roman"/>
          <w:b/>
          <w:i/>
        </w:rPr>
        <w:t>Source</w:t>
      </w:r>
      <w:r w:rsidRPr="009225E6">
        <w:rPr>
          <w:rFonts w:ascii="Times New Roman" w:hAnsi="Times New Roman" w:cs="Times New Roman"/>
          <w:i/>
        </w:rPr>
        <w:t>: Authors work in Ms Excel</w:t>
      </w:r>
    </w:p>
    <w:p w14:paraId="54E1000B" w14:textId="77777777" w:rsidR="00567BA3" w:rsidRPr="009225E6" w:rsidRDefault="0032516B" w:rsidP="00567BA3">
      <w:pPr>
        <w:spacing w:line="360" w:lineRule="auto"/>
        <w:jc w:val="both"/>
        <w:rPr>
          <w:rFonts w:ascii="Times New Roman" w:hAnsi="Times New Roman" w:cs="Times New Roman"/>
          <w:sz w:val="24"/>
        </w:rPr>
      </w:pPr>
      <w:r w:rsidRPr="0032516B">
        <w:rPr>
          <w:rFonts w:ascii="Times New Roman" w:hAnsi="Times New Roman" w:cs="Times New Roman"/>
          <w:sz w:val="24"/>
        </w:rPr>
        <w:t>The numbers of the Internal Rate of Return (IRR) demonstrate a contradictory image, where Project B has the highest of 14%, but this value is negative in the NPV, and it does not make sense. IRR is the discount rate that reduces the NPV to zero in an investment and a project is supposed to be accepted when its IRR is more than the cost of capital (Brealey et al., 2020). The key weakness of IRR, however, is that it assumes the reinvestment of the intermediate cash flows at the project-specific IRR, as opposed to the cost of capital of a firm, which is usually impractical and causes impractical rankings, especially with non-conventional cash flows (Ross et al., 2019). This assumption of reinvestment is often unrealistic and the model can give two or more IRRs which will create ambiguity. Because of the direct conflict with the superior NPV measure, the IRR values of these projects should play a significant role in being discounted during the u</w:t>
      </w:r>
      <w:r>
        <w:rPr>
          <w:rFonts w:ascii="Times New Roman" w:hAnsi="Times New Roman" w:cs="Times New Roman"/>
          <w:sz w:val="24"/>
        </w:rPr>
        <w:t>ltimate decision making process</w:t>
      </w:r>
      <w:r w:rsidR="00567BA3" w:rsidRPr="009225E6">
        <w:rPr>
          <w:rFonts w:ascii="Times New Roman" w:hAnsi="Times New Roman" w:cs="Times New Roman"/>
          <w:sz w:val="24"/>
        </w:rPr>
        <w:t>.</w:t>
      </w:r>
    </w:p>
    <w:p w14:paraId="56CB9231" w14:textId="77777777" w:rsidR="00F770B5" w:rsidRPr="009225E6" w:rsidRDefault="00F30E26" w:rsidP="00F30E26">
      <w:pPr>
        <w:pStyle w:val="Heading3"/>
        <w:rPr>
          <w:rFonts w:ascii="Times New Roman" w:hAnsi="Times New Roman" w:cs="Times New Roman"/>
          <w:sz w:val="24"/>
        </w:rPr>
      </w:pPr>
      <w:bookmarkStart w:id="32" w:name="_Toc210237855"/>
      <w:r w:rsidRPr="009225E6">
        <w:rPr>
          <w:rFonts w:ascii="Times New Roman" w:hAnsi="Times New Roman" w:cs="Times New Roman"/>
        </w:rPr>
        <w:t xml:space="preserve">4.6 </w:t>
      </w:r>
      <w:r w:rsidR="00567BA3" w:rsidRPr="009225E6">
        <w:rPr>
          <w:rFonts w:ascii="Times New Roman" w:hAnsi="Times New Roman" w:cs="Times New Roman"/>
        </w:rPr>
        <w:t>Capital Rationing</w:t>
      </w:r>
      <w:bookmarkEnd w:id="32"/>
    </w:p>
    <w:p w14:paraId="5AB446BA" w14:textId="77777777" w:rsidR="00F770B5" w:rsidRPr="009225E6" w:rsidRDefault="0032516B" w:rsidP="00F30E26">
      <w:pPr>
        <w:spacing w:line="360" w:lineRule="auto"/>
        <w:jc w:val="both"/>
        <w:rPr>
          <w:rFonts w:ascii="Times New Roman" w:hAnsi="Times New Roman" w:cs="Times New Roman"/>
          <w:sz w:val="24"/>
          <w:lang w:val="en-US"/>
        </w:rPr>
      </w:pPr>
      <w:r w:rsidRPr="0032516B">
        <w:rPr>
          <w:rFonts w:ascii="Times New Roman" w:hAnsi="Times New Roman" w:cs="Times New Roman"/>
          <w:sz w:val="24"/>
        </w:rPr>
        <w:t xml:space="preserve">After critically evaluating the above three suggested projects in term of our severe financial resources and strategic turnaround targets, I </w:t>
      </w:r>
      <w:r>
        <w:rPr>
          <w:rFonts w:ascii="Times New Roman" w:hAnsi="Times New Roman" w:cs="Times New Roman"/>
          <w:sz w:val="24"/>
        </w:rPr>
        <w:t>would advise such an investment</w:t>
      </w:r>
      <w:r w:rsidR="00F770B5" w:rsidRPr="009225E6">
        <w:rPr>
          <w:rFonts w:ascii="Times New Roman" w:hAnsi="Times New Roman" w:cs="Times New Roman"/>
          <w:sz w:val="24"/>
          <w:lang w:val="en-US"/>
        </w:rPr>
        <w:t>.</w:t>
      </w:r>
    </w:p>
    <w:p w14:paraId="510A411C" w14:textId="77777777" w:rsidR="00F770B5" w:rsidRPr="009225E6" w:rsidRDefault="00F30E26" w:rsidP="00F30E26">
      <w:pPr>
        <w:pStyle w:val="Heading4"/>
        <w:rPr>
          <w:rFonts w:ascii="Times New Roman" w:hAnsi="Times New Roman" w:cs="Times New Roman"/>
          <w:lang w:val="en-US"/>
        </w:rPr>
      </w:pPr>
      <w:r w:rsidRPr="009225E6">
        <w:rPr>
          <w:rFonts w:ascii="Times New Roman" w:hAnsi="Times New Roman" w:cs="Times New Roman"/>
          <w:lang w:val="en-US"/>
        </w:rPr>
        <w:t xml:space="preserve">4.6.1 </w:t>
      </w:r>
      <w:r w:rsidR="00F770B5" w:rsidRPr="009225E6">
        <w:rPr>
          <w:rFonts w:ascii="Times New Roman" w:hAnsi="Times New Roman" w:cs="Times New Roman"/>
          <w:lang w:val="en-US"/>
        </w:rPr>
        <w:t>Recommendation: Allocate the entire £50 million to Project C.</w:t>
      </w:r>
    </w:p>
    <w:p w14:paraId="1170AC76" w14:textId="77777777" w:rsidR="00F770B5" w:rsidRPr="009225E6" w:rsidRDefault="0032516B" w:rsidP="00F30E26">
      <w:pPr>
        <w:spacing w:line="360" w:lineRule="auto"/>
        <w:jc w:val="both"/>
        <w:rPr>
          <w:rFonts w:ascii="Times New Roman" w:hAnsi="Times New Roman" w:cs="Times New Roman"/>
          <w:sz w:val="24"/>
          <w:lang w:val="en-US"/>
        </w:rPr>
      </w:pPr>
      <w:r w:rsidRPr="0032516B">
        <w:rPr>
          <w:rFonts w:ascii="Times New Roman" w:hAnsi="Times New Roman" w:cs="Times New Roman"/>
          <w:sz w:val="24"/>
        </w:rPr>
        <w:t>This has be</w:t>
      </w:r>
      <w:r>
        <w:rPr>
          <w:rFonts w:ascii="Times New Roman" w:hAnsi="Times New Roman" w:cs="Times New Roman"/>
          <w:sz w:val="24"/>
        </w:rPr>
        <w:t>en determined through the multi-</w:t>
      </w:r>
      <w:r w:rsidRPr="0032516B">
        <w:rPr>
          <w:rFonts w:ascii="Times New Roman" w:hAnsi="Times New Roman" w:cs="Times New Roman"/>
          <w:sz w:val="24"/>
        </w:rPr>
        <w:t xml:space="preserve">faceted financial analysis which has conclusively determined that Project C is the only option which complies with our imperative to maximise shareholder value but under a stringent </w:t>
      </w:r>
      <w:r w:rsidR="00090580">
        <w:rPr>
          <w:rFonts w:ascii="Times New Roman" w:hAnsi="Times New Roman" w:cs="Times New Roman"/>
          <w:sz w:val="24"/>
        </w:rPr>
        <w:t>£</w:t>
      </w:r>
      <w:r w:rsidRPr="0032516B">
        <w:rPr>
          <w:rFonts w:ascii="Times New Roman" w:hAnsi="Times New Roman" w:cs="Times New Roman"/>
          <w:sz w:val="24"/>
        </w:rPr>
        <w:t>60 mi</w:t>
      </w:r>
      <w:r>
        <w:rPr>
          <w:rFonts w:ascii="Times New Roman" w:hAnsi="Times New Roman" w:cs="Times New Roman"/>
          <w:sz w:val="24"/>
        </w:rPr>
        <w:t>ll capital rationing constraint</w:t>
      </w:r>
      <w:r w:rsidR="00F770B5" w:rsidRPr="009225E6">
        <w:rPr>
          <w:rFonts w:ascii="Times New Roman" w:hAnsi="Times New Roman" w:cs="Times New Roman"/>
          <w:sz w:val="24"/>
          <w:lang w:val="en-US"/>
        </w:rPr>
        <w:t>.</w:t>
      </w:r>
    </w:p>
    <w:p w14:paraId="2A94E3D0" w14:textId="77777777" w:rsidR="00F770B5" w:rsidRPr="009225E6" w:rsidRDefault="0032516B" w:rsidP="00F30E26">
      <w:pPr>
        <w:spacing w:line="360" w:lineRule="auto"/>
        <w:jc w:val="both"/>
        <w:rPr>
          <w:rFonts w:ascii="Times New Roman" w:hAnsi="Times New Roman" w:cs="Times New Roman"/>
          <w:sz w:val="24"/>
          <w:lang w:val="en-US"/>
        </w:rPr>
      </w:pPr>
      <w:r w:rsidRPr="0032516B">
        <w:rPr>
          <w:rFonts w:ascii="Times New Roman" w:hAnsi="Times New Roman" w:cs="Times New Roman"/>
          <w:sz w:val="24"/>
        </w:rPr>
        <w:t xml:space="preserve">Our turnaround core objective is to stop value destruction and start generating sustainable wealth. The most important measure of this goal is the Net Present Value (NPV). Project C has the greatest NPV of PS 4.23 million, which is </w:t>
      </w:r>
      <w:r w:rsidR="00090580">
        <w:rPr>
          <w:rFonts w:ascii="Times New Roman" w:hAnsi="Times New Roman" w:cs="Times New Roman"/>
          <w:sz w:val="24"/>
        </w:rPr>
        <w:t>much greater than Project A (£</w:t>
      </w:r>
      <w:r w:rsidRPr="0032516B">
        <w:rPr>
          <w:rFonts w:ascii="Times New Roman" w:hAnsi="Times New Roman" w:cs="Times New Roman"/>
          <w:sz w:val="24"/>
        </w:rPr>
        <w:t xml:space="preserve">1.32 </w:t>
      </w:r>
      <w:r w:rsidRPr="0032516B">
        <w:rPr>
          <w:rFonts w:ascii="Times New Roman" w:hAnsi="Times New Roman" w:cs="Times New Roman"/>
          <w:sz w:val="24"/>
        </w:rPr>
        <w:lastRenderedPageBreak/>
        <w:t>million) and is sharply contrasted with the value destroying Project B (NPV of -</w:t>
      </w:r>
      <w:r w:rsidR="00090580">
        <w:rPr>
          <w:rFonts w:ascii="Times New Roman" w:hAnsi="Times New Roman" w:cs="Times New Roman"/>
          <w:sz w:val="24"/>
        </w:rPr>
        <w:t>£</w:t>
      </w:r>
      <w:r w:rsidRPr="0032516B">
        <w:rPr>
          <w:rFonts w:ascii="Times New Roman" w:hAnsi="Times New Roman" w:cs="Times New Roman"/>
          <w:sz w:val="24"/>
        </w:rPr>
        <w:t xml:space="preserve">7.26 million). On capital rationing, we are not selecting a profitable project, but how to use each pound of our finite capital in the best way possible. The ultimate measure in this case is the Profitability Index (PI) that demonstrates the value per pound of investment (Brealey, Myers, and Allen, 2020). The PI of Project C of 8% implies that it creates 8 percent of value to each PS 1 invested in the project compared to the 3 percent that Project A offers. The Project C therefore maximizes the utilisation of our limited financial resources. Although Project A has a slightly lower Payback Period (3.4 years against 3.7 years) the difference in the liquidity is shot through by the long term value of Project C. Our recovery plan involves a survival stage and a sustainable growth. The future cash flows of Project C are strong and increasing in the later years (peak of </w:t>
      </w:r>
      <m:oMath>
        <m:r>
          <w:rPr>
            <w:rFonts w:ascii="Cambria Math" w:hAnsi="Cambria Math" w:cs="Times New Roman"/>
            <w:sz w:val="24"/>
          </w:rPr>
          <m:t>£</m:t>
        </m:r>
      </m:oMath>
      <w:r w:rsidRPr="0032516B">
        <w:rPr>
          <w:rFonts w:ascii="Times New Roman" w:hAnsi="Times New Roman" w:cs="Times New Roman"/>
          <w:sz w:val="24"/>
        </w:rPr>
        <w:t>25 million in Year 4), which is more beneficial to the Phase 2 growth activities and augment the balance sheet in the medium-term. Furthermore, th</w:t>
      </w:r>
      <w:r w:rsidR="00090580">
        <w:rPr>
          <w:rFonts w:ascii="Times New Roman" w:hAnsi="Times New Roman" w:cs="Times New Roman"/>
          <w:sz w:val="24"/>
        </w:rPr>
        <w:t>e reported IRR of Project C (9%</w:t>
      </w:r>
      <w:r w:rsidRPr="0032516B">
        <w:rPr>
          <w:rFonts w:ascii="Times New Roman" w:hAnsi="Times New Roman" w:cs="Times New Roman"/>
          <w:sz w:val="24"/>
        </w:rPr>
        <w:t>) does not seem to be consistent with a positive NPV; a positive NPV at a discount rate of 10% should have an IRR more than 10% implying that the reported IRR is probably erroneous, and the NPV should be used as a trusted measure</w:t>
      </w:r>
      <w:r w:rsidR="00F770B5" w:rsidRPr="009225E6">
        <w:rPr>
          <w:rFonts w:ascii="Times New Roman" w:hAnsi="Times New Roman" w:cs="Times New Roman"/>
          <w:sz w:val="24"/>
          <w:lang w:val="en-US"/>
        </w:rPr>
        <w:t>.</w:t>
      </w:r>
    </w:p>
    <w:p w14:paraId="2CF47E34" w14:textId="77777777" w:rsidR="00F770B5" w:rsidRPr="009225E6" w:rsidRDefault="00F30E26" w:rsidP="00F30E26">
      <w:pPr>
        <w:pStyle w:val="Heading4"/>
        <w:rPr>
          <w:rFonts w:ascii="Times New Roman" w:hAnsi="Times New Roman" w:cs="Times New Roman"/>
          <w:lang w:val="en-US"/>
        </w:rPr>
      </w:pPr>
      <w:r w:rsidRPr="009225E6">
        <w:rPr>
          <w:rFonts w:ascii="Times New Roman" w:hAnsi="Times New Roman" w:cs="Times New Roman"/>
          <w:lang w:val="en-US"/>
        </w:rPr>
        <w:t>4.6.2 Rejected Alternatives</w:t>
      </w:r>
    </w:p>
    <w:p w14:paraId="3A9A49FD" w14:textId="77777777" w:rsidR="00F770B5" w:rsidRPr="009225E6" w:rsidRDefault="00F770B5" w:rsidP="00F30E26">
      <w:pPr>
        <w:spacing w:line="360" w:lineRule="auto"/>
        <w:jc w:val="both"/>
        <w:rPr>
          <w:rFonts w:ascii="Times New Roman" w:hAnsi="Times New Roman" w:cs="Times New Roman"/>
          <w:sz w:val="24"/>
          <w:lang w:val="en-US"/>
        </w:rPr>
      </w:pPr>
      <w:r w:rsidRPr="009225E6">
        <w:rPr>
          <w:rFonts w:ascii="Times New Roman" w:hAnsi="Times New Roman" w:cs="Times New Roman"/>
          <w:b/>
          <w:bCs/>
          <w:sz w:val="24"/>
          <w:lang w:val="en-US"/>
        </w:rPr>
        <w:t>Project A:</w:t>
      </w:r>
      <w:r w:rsidRPr="009225E6">
        <w:rPr>
          <w:rFonts w:ascii="Times New Roman" w:hAnsi="Times New Roman" w:cs="Times New Roman"/>
          <w:sz w:val="24"/>
          <w:lang w:val="en-US"/>
        </w:rPr>
        <w:t> </w:t>
      </w:r>
      <w:r w:rsidR="0032516B" w:rsidRPr="0032516B">
        <w:rPr>
          <w:rFonts w:ascii="Times New Roman" w:hAnsi="Times New Roman" w:cs="Times New Roman"/>
          <w:sz w:val="24"/>
        </w:rPr>
        <w:t>It has a low NPV and PI showing an inefficient expenditure of our PS 60 million budget. When a project has a high value creation (</w:t>
      </w:r>
      <w:r w:rsidR="00090580">
        <w:rPr>
          <w:rFonts w:ascii="Times New Roman" w:hAnsi="Times New Roman" w:cs="Times New Roman"/>
          <w:sz w:val="24"/>
        </w:rPr>
        <w:t>£</w:t>
      </w:r>
      <w:r w:rsidR="0032516B" w:rsidRPr="0032516B">
        <w:rPr>
          <w:rFonts w:ascii="Times New Roman" w:hAnsi="Times New Roman" w:cs="Times New Roman"/>
          <w:sz w:val="24"/>
        </w:rPr>
        <w:t>1.32m) and there is a better alternative, investing PS40million in the pr</w:t>
      </w:r>
      <w:r w:rsidR="0032516B">
        <w:rPr>
          <w:rFonts w:ascii="Times New Roman" w:hAnsi="Times New Roman" w:cs="Times New Roman"/>
          <w:sz w:val="24"/>
        </w:rPr>
        <w:t>oject will be a strategic error</w:t>
      </w:r>
      <w:r w:rsidRPr="009225E6">
        <w:rPr>
          <w:rFonts w:ascii="Times New Roman" w:hAnsi="Times New Roman" w:cs="Times New Roman"/>
          <w:sz w:val="24"/>
          <w:lang w:val="en-US"/>
        </w:rPr>
        <w:t>.</w:t>
      </w:r>
    </w:p>
    <w:p w14:paraId="4C15321F" w14:textId="77777777" w:rsidR="00F770B5" w:rsidRPr="009225E6" w:rsidRDefault="00F770B5" w:rsidP="00F30E26">
      <w:pPr>
        <w:spacing w:line="360" w:lineRule="auto"/>
        <w:jc w:val="both"/>
        <w:rPr>
          <w:rFonts w:ascii="Times New Roman" w:hAnsi="Times New Roman" w:cs="Times New Roman"/>
          <w:sz w:val="24"/>
          <w:lang w:val="en-US"/>
        </w:rPr>
      </w:pPr>
      <w:r w:rsidRPr="009225E6">
        <w:rPr>
          <w:rFonts w:ascii="Times New Roman" w:hAnsi="Times New Roman" w:cs="Times New Roman"/>
          <w:b/>
          <w:bCs/>
          <w:sz w:val="24"/>
          <w:lang w:val="en-US"/>
        </w:rPr>
        <w:t>Project B:</w:t>
      </w:r>
      <w:r w:rsidRPr="009225E6">
        <w:rPr>
          <w:rFonts w:ascii="Times New Roman" w:hAnsi="Times New Roman" w:cs="Times New Roman"/>
          <w:sz w:val="24"/>
          <w:lang w:val="en-US"/>
        </w:rPr>
        <w:t> </w:t>
      </w:r>
      <w:r w:rsidR="0032516B" w:rsidRPr="0032516B">
        <w:rPr>
          <w:rFonts w:ascii="Times New Roman" w:hAnsi="Times New Roman" w:cs="Times New Roman"/>
          <w:sz w:val="24"/>
        </w:rPr>
        <w:t>This project should not be taken at all. Its adverse NPV proves it would ruin the shareholder value, which woul</w:t>
      </w:r>
      <w:r w:rsidR="0032516B">
        <w:rPr>
          <w:rFonts w:ascii="Times New Roman" w:hAnsi="Times New Roman" w:cs="Times New Roman"/>
          <w:sz w:val="24"/>
        </w:rPr>
        <w:t>d worsen our fundamental issues</w:t>
      </w:r>
      <w:r w:rsidRPr="009225E6">
        <w:rPr>
          <w:rFonts w:ascii="Times New Roman" w:hAnsi="Times New Roman" w:cs="Times New Roman"/>
          <w:sz w:val="24"/>
          <w:lang w:val="en-US"/>
        </w:rPr>
        <w:t>.</w:t>
      </w:r>
    </w:p>
    <w:p w14:paraId="6430A67A" w14:textId="77777777" w:rsidR="00F770B5" w:rsidRPr="009225E6" w:rsidRDefault="00F770B5" w:rsidP="00F30E26">
      <w:pPr>
        <w:spacing w:line="360" w:lineRule="auto"/>
        <w:jc w:val="both"/>
        <w:rPr>
          <w:rFonts w:ascii="Times New Roman" w:hAnsi="Times New Roman" w:cs="Times New Roman"/>
          <w:sz w:val="24"/>
          <w:lang w:val="en-US"/>
        </w:rPr>
      </w:pPr>
      <w:r w:rsidRPr="009225E6">
        <w:rPr>
          <w:rFonts w:ascii="Times New Roman" w:hAnsi="Times New Roman" w:cs="Times New Roman"/>
          <w:b/>
          <w:bCs/>
          <w:sz w:val="24"/>
          <w:lang w:val="en-US"/>
        </w:rPr>
        <w:t>Combination of A and B:</w:t>
      </w:r>
      <w:r w:rsidRPr="009225E6">
        <w:rPr>
          <w:rFonts w:ascii="Times New Roman" w:hAnsi="Times New Roman" w:cs="Times New Roman"/>
          <w:sz w:val="24"/>
          <w:lang w:val="en-US"/>
        </w:rPr>
        <w:t> </w:t>
      </w:r>
      <w:r w:rsidR="0032516B" w:rsidRPr="0032516B">
        <w:rPr>
          <w:rFonts w:ascii="Times New Roman" w:hAnsi="Times New Roman" w:cs="Times New Roman"/>
          <w:sz w:val="24"/>
        </w:rPr>
        <w:t>This project should not be taken at all. Its adverse NPV proves it would ruin the shareholder value, which woul</w:t>
      </w:r>
      <w:r w:rsidR="0032516B">
        <w:rPr>
          <w:rFonts w:ascii="Times New Roman" w:hAnsi="Times New Roman" w:cs="Times New Roman"/>
          <w:sz w:val="24"/>
        </w:rPr>
        <w:t>d worsen our fundamental issues</w:t>
      </w:r>
      <w:r w:rsidRPr="009225E6">
        <w:rPr>
          <w:rFonts w:ascii="Times New Roman" w:hAnsi="Times New Roman" w:cs="Times New Roman"/>
          <w:sz w:val="24"/>
          <w:lang w:val="en-US"/>
        </w:rPr>
        <w:t>.</w:t>
      </w:r>
    </w:p>
    <w:p w14:paraId="396F80A5" w14:textId="77777777" w:rsidR="005468AC" w:rsidRPr="009225E6" w:rsidRDefault="00F770B5" w:rsidP="005468AC">
      <w:pPr>
        <w:spacing w:line="360" w:lineRule="auto"/>
        <w:jc w:val="both"/>
        <w:rPr>
          <w:rFonts w:ascii="Times New Roman" w:hAnsi="Times New Roman" w:cs="Times New Roman"/>
          <w:sz w:val="24"/>
          <w:lang w:val="en-US"/>
        </w:rPr>
      </w:pPr>
      <w:r w:rsidRPr="009225E6">
        <w:rPr>
          <w:rFonts w:ascii="Times New Roman" w:hAnsi="Times New Roman" w:cs="Times New Roman"/>
          <w:b/>
          <w:bCs/>
          <w:sz w:val="24"/>
          <w:lang w:val="en-US"/>
        </w:rPr>
        <w:t>Project C is the only rational choice.</w:t>
      </w:r>
      <w:r w:rsidRPr="009225E6">
        <w:rPr>
          <w:rFonts w:ascii="Times New Roman" w:hAnsi="Times New Roman" w:cs="Times New Roman"/>
          <w:sz w:val="24"/>
          <w:lang w:val="en-US"/>
        </w:rPr>
        <w:t xml:space="preserve"> It </w:t>
      </w:r>
      <w:r w:rsidR="0032516B" w:rsidRPr="0032516B">
        <w:rPr>
          <w:rFonts w:ascii="Times New Roman" w:hAnsi="Times New Roman" w:cs="Times New Roman"/>
          <w:sz w:val="24"/>
        </w:rPr>
        <w:t>brings the highest increment in the shareholder wealth, makes the best use of our limited capital and offers a cash-flow profile that helps us to achieve our long-term strategic turnaround. The decision to approve Project C is a very decisive move towards stabi</w:t>
      </w:r>
      <w:r w:rsidR="0032516B">
        <w:rPr>
          <w:rFonts w:ascii="Times New Roman" w:hAnsi="Times New Roman" w:cs="Times New Roman"/>
          <w:sz w:val="24"/>
        </w:rPr>
        <w:t>lisation of General Electronics</w:t>
      </w:r>
      <w:r w:rsidR="005468AC" w:rsidRPr="009225E6">
        <w:rPr>
          <w:rFonts w:ascii="Times New Roman" w:hAnsi="Times New Roman" w:cs="Times New Roman"/>
          <w:sz w:val="24"/>
          <w:lang w:val="en-US"/>
        </w:rPr>
        <w:t>.</w:t>
      </w:r>
    </w:p>
    <w:p w14:paraId="05A70A1E" w14:textId="77777777" w:rsidR="005468AC" w:rsidRPr="009225E6" w:rsidRDefault="005468AC" w:rsidP="001F7B4F">
      <w:pPr>
        <w:pStyle w:val="Heading1"/>
        <w:numPr>
          <w:ilvl w:val="0"/>
          <w:numId w:val="7"/>
        </w:numPr>
        <w:rPr>
          <w:rFonts w:ascii="Times New Roman" w:hAnsi="Times New Roman" w:cs="Times New Roman"/>
          <w:lang w:val="en-US"/>
        </w:rPr>
      </w:pPr>
      <w:bookmarkStart w:id="33" w:name="_Toc210237856"/>
      <w:r w:rsidRPr="009225E6">
        <w:rPr>
          <w:rFonts w:ascii="Times New Roman" w:hAnsi="Times New Roman" w:cs="Times New Roman"/>
          <w:lang w:val="en-US"/>
        </w:rPr>
        <w:t>Conclusion</w:t>
      </w:r>
      <w:bookmarkEnd w:id="33"/>
      <w:r w:rsidRPr="009225E6">
        <w:rPr>
          <w:rFonts w:ascii="Times New Roman" w:hAnsi="Times New Roman" w:cs="Times New Roman"/>
          <w:lang w:val="en-US"/>
        </w:rPr>
        <w:t xml:space="preserve"> </w:t>
      </w:r>
    </w:p>
    <w:p w14:paraId="743BE202" w14:textId="77777777" w:rsidR="00F770B5" w:rsidRPr="009225E6" w:rsidRDefault="005F4213" w:rsidP="005468AC">
      <w:pPr>
        <w:spacing w:line="360" w:lineRule="auto"/>
        <w:jc w:val="both"/>
        <w:rPr>
          <w:rFonts w:ascii="Times New Roman" w:hAnsi="Times New Roman" w:cs="Times New Roman"/>
          <w:sz w:val="24"/>
          <w:lang w:val="en-US"/>
        </w:rPr>
      </w:pPr>
      <w:r w:rsidRPr="005F4213">
        <w:rPr>
          <w:rFonts w:ascii="Times New Roman" w:hAnsi="Times New Roman" w:cs="Times New Roman"/>
          <w:sz w:val="24"/>
        </w:rPr>
        <w:t xml:space="preserve">This in-depth review has found that the future survival of General Electronics would depend on the adoption of urgent and radical solutions to address its simultaneous liquidity crunch and operational inefficiency. It is proposed to implement the turnaround strategy in two </w:t>
      </w:r>
      <w:r w:rsidRPr="005F4213">
        <w:rPr>
          <w:rFonts w:ascii="Times New Roman" w:hAnsi="Times New Roman" w:cs="Times New Roman"/>
          <w:sz w:val="24"/>
        </w:rPr>
        <w:lastRenderedPageBreak/>
        <w:t>phases in a row the first is the aggressive restructuring working capital, and the second is a cost-reduction programme focused on the core of the company and the segments with the highest profitability. The approved investment in Project C is fundamental, as it has a better net present value and capital efficiency that provides the much-needed financial jump to recover, thus making it possible to grow steadily and sustainably and rega</w:t>
      </w:r>
      <w:r>
        <w:rPr>
          <w:rFonts w:ascii="Times New Roman" w:hAnsi="Times New Roman" w:cs="Times New Roman"/>
          <w:sz w:val="24"/>
        </w:rPr>
        <w:t>ining the trust of stakeholders</w:t>
      </w:r>
      <w:r w:rsidR="005468AC" w:rsidRPr="009225E6">
        <w:rPr>
          <w:rFonts w:ascii="Times New Roman" w:hAnsi="Times New Roman" w:cs="Times New Roman"/>
          <w:sz w:val="24"/>
        </w:rPr>
        <w:t>.</w:t>
      </w:r>
    </w:p>
    <w:p w14:paraId="385A6103" w14:textId="77777777" w:rsidR="00513965" w:rsidRPr="009225E6" w:rsidRDefault="00513965">
      <w:pPr>
        <w:rPr>
          <w:rFonts w:ascii="Times New Roman" w:eastAsiaTheme="majorEastAsia" w:hAnsi="Times New Roman" w:cs="Times New Roman"/>
          <w:b/>
          <w:bCs/>
          <w:color w:val="2E74B5" w:themeColor="accent1" w:themeShade="BF"/>
          <w:sz w:val="28"/>
          <w:szCs w:val="28"/>
        </w:rPr>
      </w:pPr>
      <w:r w:rsidRPr="009225E6">
        <w:rPr>
          <w:rFonts w:ascii="Times New Roman" w:hAnsi="Times New Roman" w:cs="Times New Roman"/>
        </w:rPr>
        <w:br w:type="page"/>
      </w:r>
    </w:p>
    <w:p w14:paraId="7E487459" w14:textId="77777777" w:rsidR="008E3138" w:rsidRPr="009225E6" w:rsidRDefault="004561EB" w:rsidP="000B5FFF">
      <w:pPr>
        <w:pStyle w:val="Heading1"/>
        <w:jc w:val="both"/>
        <w:rPr>
          <w:rFonts w:ascii="Times New Roman" w:hAnsi="Times New Roman" w:cs="Times New Roman"/>
        </w:rPr>
      </w:pPr>
      <w:bookmarkStart w:id="34" w:name="_Toc210237857"/>
      <w:r w:rsidRPr="009225E6">
        <w:rPr>
          <w:rFonts w:ascii="Times New Roman" w:hAnsi="Times New Roman" w:cs="Times New Roman"/>
        </w:rPr>
        <w:lastRenderedPageBreak/>
        <w:t>References</w:t>
      </w:r>
      <w:bookmarkEnd w:id="34"/>
    </w:p>
    <w:p w14:paraId="3CA46661" w14:textId="77777777" w:rsidR="00BA0FA5" w:rsidRPr="009225E6" w:rsidRDefault="00A80DAA" w:rsidP="00A80DAA">
      <w:pPr>
        <w:pStyle w:val="NormalWeb"/>
        <w:tabs>
          <w:tab w:val="left" w:pos="1155"/>
        </w:tabs>
        <w:spacing w:before="0" w:beforeAutospacing="0" w:line="360" w:lineRule="auto"/>
        <w:rPr>
          <w:color w:val="404040"/>
        </w:rPr>
      </w:pPr>
      <w:r w:rsidRPr="009225E6">
        <w:rPr>
          <w:color w:val="404040"/>
        </w:rPr>
        <w:tab/>
      </w:r>
    </w:p>
    <w:p w14:paraId="09F86E62" w14:textId="77777777" w:rsidR="00BA0FA5" w:rsidRPr="00270BEB" w:rsidRDefault="00BA0FA5" w:rsidP="00270BEB">
      <w:pPr>
        <w:pStyle w:val="NormalWeb"/>
        <w:numPr>
          <w:ilvl w:val="0"/>
          <w:numId w:val="9"/>
        </w:numPr>
        <w:spacing w:before="0" w:line="360" w:lineRule="auto"/>
        <w:rPr>
          <w:color w:val="0070C0"/>
          <w:sz w:val="22"/>
          <w:szCs w:val="22"/>
        </w:rPr>
      </w:pPr>
      <w:r w:rsidRPr="00270BEB">
        <w:rPr>
          <w:sz w:val="22"/>
          <w:szCs w:val="22"/>
        </w:rPr>
        <w:t>Almeida, H. (2019). </w:t>
      </w:r>
      <w:r w:rsidRPr="00270BEB">
        <w:rPr>
          <w:i/>
          <w:iCs/>
          <w:sz w:val="22"/>
          <w:szCs w:val="22"/>
        </w:rPr>
        <w:t>Liquidity Management: A Strategic Review</w:t>
      </w:r>
      <w:r w:rsidRPr="00270BEB">
        <w:rPr>
          <w:sz w:val="22"/>
          <w:szCs w:val="22"/>
        </w:rPr>
        <w:t>. Journal of Financial Economics, 134(1), pp. 1-25.</w:t>
      </w:r>
      <w:r w:rsidR="00BB2A47" w:rsidRPr="00270BEB">
        <w:rPr>
          <w:sz w:val="22"/>
          <w:szCs w:val="22"/>
        </w:rPr>
        <w:t xml:space="preserve"> </w:t>
      </w:r>
      <w:hyperlink r:id="rId35" w:history="1">
        <w:r w:rsidR="00BB2A47" w:rsidRPr="00270BEB">
          <w:rPr>
            <w:rStyle w:val="Hyperlink"/>
            <w:color w:val="0070C0"/>
            <w:sz w:val="22"/>
            <w:szCs w:val="22"/>
          </w:rPr>
          <w:t>https://www.nber.org/system/files/working_papers/w16724/w16724.pdf</w:t>
        </w:r>
      </w:hyperlink>
    </w:p>
    <w:p w14:paraId="1AAF6299"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Altman, E.I. (1968) ‘Financial Ratios, Discriminant Analysis and the Prediction of Corporate Bankruptcy’, </w:t>
      </w:r>
      <w:r w:rsidRPr="00270BEB">
        <w:rPr>
          <w:i/>
          <w:iCs/>
          <w:sz w:val="22"/>
          <w:szCs w:val="22"/>
        </w:rPr>
        <w:t>The Journal of Finance</w:t>
      </w:r>
      <w:r w:rsidRPr="00270BEB">
        <w:rPr>
          <w:sz w:val="22"/>
          <w:szCs w:val="22"/>
        </w:rPr>
        <w:t>, 23(4), pp. 589-609.</w:t>
      </w:r>
    </w:p>
    <w:p w14:paraId="55663583" w14:textId="77777777"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Ali, A., Haider, A. and Senturk, I., 2025. Climate Disclosure and Corporate Valuation: Evidence from S&amp;P 500 Companies. </w:t>
      </w:r>
      <w:r w:rsidRPr="00270BEB">
        <w:rPr>
          <w:rFonts w:ascii="Times New Roman" w:hAnsi="Times New Roman" w:cs="Times New Roman"/>
          <w:i/>
          <w:iCs/>
          <w:color w:val="222222"/>
          <w:shd w:val="clear" w:color="auto" w:fill="FFFFFF"/>
        </w:rPr>
        <w:t>Policy Journal of Social Science Review</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3</w:t>
      </w:r>
      <w:r w:rsidRPr="00270BEB">
        <w:rPr>
          <w:rFonts w:ascii="Times New Roman" w:hAnsi="Times New Roman" w:cs="Times New Roman"/>
          <w:color w:val="222222"/>
          <w:shd w:val="clear" w:color="auto" w:fill="FFFFFF"/>
        </w:rPr>
        <w:t xml:space="preserve">(4), pp.645-658. </w:t>
      </w:r>
    </w:p>
    <w:p w14:paraId="4D1FC9B1" w14:textId="1300591E"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Bui, T.H., Truong, T.T.D. and Tran, T.P.T.,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xml:space="preserve">. Financial ratios as indicators in bankruptcy prediction: A comparative analysis of statistical and machine learning models. </w:t>
      </w:r>
    </w:p>
    <w:p w14:paraId="578962BE"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Beaver, W.H., Correia, M. and McNichols, M.F. (2011) ‘Financial Statement Analysis and the Prediction of Financial Distress’, </w:t>
      </w:r>
      <w:r w:rsidRPr="00270BEB">
        <w:rPr>
          <w:i/>
          <w:iCs/>
          <w:sz w:val="22"/>
          <w:szCs w:val="22"/>
        </w:rPr>
        <w:t>Foundations and Trends® in Accounting</w:t>
      </w:r>
      <w:r w:rsidRPr="00270BEB">
        <w:rPr>
          <w:sz w:val="22"/>
          <w:szCs w:val="22"/>
        </w:rPr>
        <w:t>, 5(2), pp. 99-173.</w:t>
      </w:r>
    </w:p>
    <w:p w14:paraId="4C9DEBE3"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Berk, J. &amp; DeMarzo, P. (2020). </w:t>
      </w:r>
      <w:r w:rsidRPr="00270BEB">
        <w:rPr>
          <w:i/>
          <w:iCs/>
          <w:sz w:val="22"/>
          <w:szCs w:val="22"/>
        </w:rPr>
        <w:t>Corporate Finance</w:t>
      </w:r>
      <w:r w:rsidRPr="00270BEB">
        <w:rPr>
          <w:sz w:val="22"/>
          <w:szCs w:val="22"/>
        </w:rPr>
        <w:t>. 5th ed. Harlow: Pearson.</w:t>
      </w:r>
    </w:p>
    <w:p w14:paraId="616F4DA3"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Brealey, R.A., Myers, S.C. &amp; Allen, F. (2020). </w:t>
      </w:r>
      <w:r w:rsidRPr="00270BEB">
        <w:rPr>
          <w:i/>
          <w:iCs/>
          <w:sz w:val="22"/>
          <w:szCs w:val="22"/>
        </w:rPr>
        <w:t>Principles of Corporate Finance</w:t>
      </w:r>
      <w:r w:rsidRPr="00270BEB">
        <w:rPr>
          <w:sz w:val="22"/>
          <w:szCs w:val="22"/>
        </w:rPr>
        <w:t>. 13th ed. New York: McGraw-Hill.</w:t>
      </w:r>
    </w:p>
    <w:p w14:paraId="06024ED2"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Brigham, E. F. &amp; Ehrhardt, M. C. (2020). </w:t>
      </w:r>
      <w:r w:rsidRPr="00270BEB">
        <w:rPr>
          <w:i/>
          <w:iCs/>
          <w:sz w:val="22"/>
          <w:szCs w:val="22"/>
        </w:rPr>
        <w:t>Financial Management: Theory and Practice</w:t>
      </w:r>
      <w:r w:rsidRPr="00270BEB">
        <w:rPr>
          <w:sz w:val="22"/>
          <w:szCs w:val="22"/>
        </w:rPr>
        <w:t>. 16th ed. Boston: Cengage Learning.</w:t>
      </w:r>
    </w:p>
    <w:p w14:paraId="21967148" w14:textId="59436E1E"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Carvalho, </w:t>
      </w:r>
      <w:r w:rsidR="00223BD1">
        <w:rPr>
          <w:rFonts w:ascii="Times New Roman" w:hAnsi="Times New Roman" w:cs="Times New Roman"/>
          <w:color w:val="222222"/>
          <w:shd w:val="clear" w:color="auto" w:fill="FFFFFF"/>
        </w:rPr>
        <w:t>et al (</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Comparative Viability of Photovoltaic Investments Across European Countries Using Payback Periods and the Levelized Cost of Energy. </w:t>
      </w:r>
      <w:r w:rsidRPr="00270BEB">
        <w:rPr>
          <w:rFonts w:ascii="Times New Roman" w:hAnsi="Times New Roman" w:cs="Times New Roman"/>
          <w:i/>
          <w:iCs/>
          <w:color w:val="222222"/>
          <w:shd w:val="clear" w:color="auto" w:fill="FFFFFF"/>
        </w:rPr>
        <w:t>Energies</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18</w:t>
      </w:r>
      <w:r w:rsidRPr="00270BEB">
        <w:rPr>
          <w:rFonts w:ascii="Times New Roman" w:hAnsi="Times New Roman" w:cs="Times New Roman"/>
          <w:color w:val="222222"/>
          <w:shd w:val="clear" w:color="auto" w:fill="FFFFFF"/>
        </w:rPr>
        <w:t>(17), p.4676.</w:t>
      </w:r>
    </w:p>
    <w:p w14:paraId="2384AA54" w14:textId="773411B8"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Czipf, C.,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The impact of changing energy prices, interest rates, and investment costs on the net present value and internal rate of return for alternative energy projects. </w:t>
      </w:r>
      <w:r w:rsidRPr="00270BEB">
        <w:rPr>
          <w:rFonts w:ascii="Times New Roman" w:hAnsi="Times New Roman" w:cs="Times New Roman"/>
          <w:i/>
          <w:iCs/>
          <w:color w:val="222222"/>
          <w:shd w:val="clear" w:color="auto" w:fill="FFFFFF"/>
        </w:rPr>
        <w:t>Discover Sustainability</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6</w:t>
      </w:r>
      <w:r w:rsidRPr="00270BEB">
        <w:rPr>
          <w:rFonts w:ascii="Times New Roman" w:hAnsi="Times New Roman" w:cs="Times New Roman"/>
          <w:color w:val="222222"/>
          <w:shd w:val="clear" w:color="auto" w:fill="FFFFFF"/>
        </w:rPr>
        <w:t>(1), p.161.</w:t>
      </w:r>
    </w:p>
    <w:p w14:paraId="338723D2" w14:textId="3787CD09"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270BEB">
        <w:rPr>
          <w:rFonts w:ascii="Times New Roman" w:hAnsi="Times New Roman" w:cs="Times New Roman"/>
          <w:color w:val="222222"/>
          <w:shd w:val="clear" w:color="auto" w:fill="FFFFFF"/>
        </w:rPr>
        <w:t>Darojat</w:t>
      </w:r>
      <w:proofErr w:type="spellEnd"/>
      <w:r w:rsidRPr="00270BEB">
        <w:rPr>
          <w:rFonts w:ascii="Times New Roman" w:hAnsi="Times New Roman" w:cs="Times New Roman"/>
          <w:color w:val="222222"/>
          <w:shd w:val="clear" w:color="auto" w:fill="FFFFFF"/>
        </w:rPr>
        <w:t xml:space="preserve">, M.R. and Saban, I.,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July. Growth performance and productivity of IRR 200 series rubber clones in wet climates. In </w:t>
      </w:r>
      <w:r w:rsidRPr="00270BEB">
        <w:rPr>
          <w:rFonts w:ascii="Times New Roman" w:hAnsi="Times New Roman" w:cs="Times New Roman"/>
          <w:i/>
          <w:iCs/>
          <w:color w:val="222222"/>
          <w:shd w:val="clear" w:color="auto" w:fill="FFFFFF"/>
        </w:rPr>
        <w:t>IOP Conference Series: Earth and Environmental Science</w:t>
      </w:r>
      <w:r w:rsidRPr="00270BEB">
        <w:rPr>
          <w:rFonts w:ascii="Times New Roman" w:hAnsi="Times New Roman" w:cs="Times New Roman"/>
          <w:color w:val="222222"/>
          <w:shd w:val="clear" w:color="auto" w:fill="FFFFFF"/>
        </w:rPr>
        <w:t> (Vol. 1526, No. 1, p. 012015). IOP Publishing.</w:t>
      </w:r>
    </w:p>
    <w:p w14:paraId="6275F7D1"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Damodaran, A. (2019). </w:t>
      </w:r>
      <w:r w:rsidRPr="00270BEB">
        <w:rPr>
          <w:i/>
          <w:iCs/>
          <w:sz w:val="22"/>
          <w:szCs w:val="22"/>
        </w:rPr>
        <w:t>The Little Book of Valuation: How to Value a Company, Pick a Stock, and Profit</w:t>
      </w:r>
      <w:r w:rsidRPr="00270BEB">
        <w:rPr>
          <w:sz w:val="22"/>
          <w:szCs w:val="22"/>
        </w:rPr>
        <w:t>. Hoboken: John Wiley &amp; Sons.</w:t>
      </w:r>
    </w:p>
    <w:p w14:paraId="62B10688"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Drury, C. (2018) </w:t>
      </w:r>
      <w:r w:rsidRPr="00270BEB">
        <w:rPr>
          <w:i/>
          <w:iCs/>
          <w:sz w:val="22"/>
          <w:szCs w:val="22"/>
        </w:rPr>
        <w:t>Management and Cost Accounting</w:t>
      </w:r>
      <w:r w:rsidRPr="00270BEB">
        <w:rPr>
          <w:sz w:val="22"/>
          <w:szCs w:val="22"/>
        </w:rPr>
        <w:t>. 10th ed. Andover: Cengage Learning EMEA.</w:t>
      </w:r>
    </w:p>
    <w:p w14:paraId="3C54880B" w14:textId="59B6207D" w:rsidR="00CC66D8" w:rsidRPr="00270BEB" w:rsidRDefault="00CC66D8" w:rsidP="00270BEB">
      <w:pPr>
        <w:pStyle w:val="NormalWeb"/>
        <w:numPr>
          <w:ilvl w:val="0"/>
          <w:numId w:val="9"/>
        </w:numPr>
        <w:spacing w:before="0" w:line="360" w:lineRule="auto"/>
        <w:rPr>
          <w:sz w:val="22"/>
          <w:szCs w:val="22"/>
        </w:rPr>
      </w:pPr>
      <w:proofErr w:type="spellStart"/>
      <w:r w:rsidRPr="00270BEB">
        <w:rPr>
          <w:sz w:val="22"/>
          <w:szCs w:val="22"/>
        </w:rPr>
        <w:lastRenderedPageBreak/>
        <w:t>Darmansyah</w:t>
      </w:r>
      <w:proofErr w:type="spellEnd"/>
      <w:r w:rsidRPr="00270BEB">
        <w:rPr>
          <w:sz w:val="22"/>
          <w:szCs w:val="22"/>
        </w:rPr>
        <w:t xml:space="preserve">, A., Ali, Q. and Parveen, S., </w:t>
      </w:r>
      <w:r w:rsidR="00223BD1">
        <w:rPr>
          <w:sz w:val="22"/>
          <w:szCs w:val="22"/>
        </w:rPr>
        <w:t>(</w:t>
      </w:r>
      <w:r w:rsidRPr="00270BEB">
        <w:rPr>
          <w:sz w:val="22"/>
          <w:szCs w:val="22"/>
        </w:rPr>
        <w:t>2025</w:t>
      </w:r>
      <w:r w:rsidR="00223BD1">
        <w:rPr>
          <w:sz w:val="22"/>
          <w:szCs w:val="22"/>
        </w:rPr>
        <w:t>)</w:t>
      </w:r>
      <w:r w:rsidRPr="00270BEB">
        <w:rPr>
          <w:sz w:val="22"/>
          <w:szCs w:val="22"/>
        </w:rPr>
        <w:t>. Sophisticated Capital Budgeting Decisions for Financial Performance and Risk Management—A Tale of Two Business Entities. Journal of Risk and Financial Management, 18(6), p.297.</w:t>
      </w:r>
    </w:p>
    <w:p w14:paraId="11F3D269"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Farris, P., Bendle, N. &amp; Pfeifer, P. (2020). </w:t>
      </w:r>
      <w:r w:rsidRPr="00270BEB">
        <w:rPr>
          <w:i/>
          <w:iCs/>
          <w:sz w:val="22"/>
          <w:szCs w:val="22"/>
        </w:rPr>
        <w:t>Marketing Metrics: The Manager's Guide to Measuring Marketing Performance</w:t>
      </w:r>
      <w:r w:rsidRPr="00270BEB">
        <w:rPr>
          <w:sz w:val="22"/>
          <w:szCs w:val="22"/>
        </w:rPr>
        <w:t>. 4th ed. New Jersey: Pearson Education.</w:t>
      </w:r>
    </w:p>
    <w:p w14:paraId="51DBB367" w14:textId="6E54C700"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Frida, M.,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Profitability Analysis of Shipping Firms</w:t>
      </w:r>
      <w:r w:rsidRPr="00270BEB">
        <w:rPr>
          <w:rFonts w:ascii="Times New Roman" w:hAnsi="Times New Roman" w:cs="Times New Roman"/>
          <w:color w:val="222222"/>
          <w:shd w:val="clear" w:color="auto" w:fill="FFFFFF"/>
        </w:rPr>
        <w:t> (Master's thesis, Πα</w:t>
      </w:r>
      <w:proofErr w:type="spellStart"/>
      <w:r w:rsidRPr="00270BEB">
        <w:rPr>
          <w:rFonts w:ascii="Times New Roman" w:hAnsi="Times New Roman" w:cs="Times New Roman"/>
          <w:color w:val="222222"/>
          <w:shd w:val="clear" w:color="auto" w:fill="FFFFFF"/>
        </w:rPr>
        <w:t>νε</w:t>
      </w:r>
      <w:proofErr w:type="spellEnd"/>
      <w:r w:rsidRPr="00270BEB">
        <w:rPr>
          <w:rFonts w:ascii="Times New Roman" w:hAnsi="Times New Roman" w:cs="Times New Roman"/>
          <w:color w:val="222222"/>
          <w:shd w:val="clear" w:color="auto" w:fill="FFFFFF"/>
        </w:rPr>
        <w:t xml:space="preserve">πιστήμιο </w:t>
      </w:r>
      <w:proofErr w:type="spellStart"/>
      <w:r w:rsidRPr="00270BEB">
        <w:rPr>
          <w:rFonts w:ascii="Times New Roman" w:hAnsi="Times New Roman" w:cs="Times New Roman"/>
          <w:color w:val="222222"/>
          <w:shd w:val="clear" w:color="auto" w:fill="FFFFFF"/>
        </w:rPr>
        <w:t>Πειρ</w:t>
      </w:r>
      <w:proofErr w:type="spellEnd"/>
      <w:r w:rsidRPr="00270BEB">
        <w:rPr>
          <w:rFonts w:ascii="Times New Roman" w:hAnsi="Times New Roman" w:cs="Times New Roman"/>
          <w:color w:val="222222"/>
          <w:shd w:val="clear" w:color="auto" w:fill="FFFFFF"/>
        </w:rPr>
        <w:t>αιώς).</w:t>
      </w:r>
    </w:p>
    <w:p w14:paraId="747E452A" w14:textId="0D31DCAD" w:rsidR="00687C1E" w:rsidRPr="00687C1E" w:rsidRDefault="00687C1E" w:rsidP="00270BEB">
      <w:pPr>
        <w:pStyle w:val="ListParagraph"/>
        <w:numPr>
          <w:ilvl w:val="0"/>
          <w:numId w:val="9"/>
        </w:numPr>
        <w:spacing w:line="360" w:lineRule="auto"/>
        <w:rPr>
          <w:rFonts w:ascii="Times New Roman" w:hAnsi="Times New Roman" w:cs="Times New Roman"/>
          <w:color w:val="222222"/>
          <w:shd w:val="clear" w:color="auto" w:fill="FFFFFF"/>
        </w:rPr>
      </w:pPr>
      <w:r w:rsidRPr="00687C1E">
        <w:rPr>
          <w:rFonts w:ascii="Times New Roman" w:hAnsi="Times New Roman" w:cs="Times New Roman"/>
          <w:color w:val="222222"/>
          <w:shd w:val="clear" w:color="auto" w:fill="FFFFFF"/>
        </w:rPr>
        <w:t xml:space="preserve">Fitrilia, A.D. and </w:t>
      </w:r>
      <w:proofErr w:type="spellStart"/>
      <w:r w:rsidRPr="00687C1E">
        <w:rPr>
          <w:rFonts w:ascii="Times New Roman" w:hAnsi="Times New Roman" w:cs="Times New Roman"/>
          <w:color w:val="222222"/>
          <w:shd w:val="clear" w:color="auto" w:fill="FFFFFF"/>
        </w:rPr>
        <w:t>Nilwan</w:t>
      </w:r>
      <w:proofErr w:type="spellEnd"/>
      <w:r w:rsidRPr="00687C1E">
        <w:rPr>
          <w:rFonts w:ascii="Times New Roman" w:hAnsi="Times New Roman" w:cs="Times New Roman"/>
          <w:color w:val="222222"/>
          <w:shd w:val="clear" w:color="auto" w:fill="FFFFFF"/>
        </w:rPr>
        <w:t xml:space="preserve">, A., </w:t>
      </w:r>
      <w:r w:rsidR="00223BD1">
        <w:rPr>
          <w:rFonts w:ascii="Times New Roman" w:hAnsi="Times New Roman" w:cs="Times New Roman"/>
          <w:color w:val="222222"/>
          <w:shd w:val="clear" w:color="auto" w:fill="FFFFFF"/>
        </w:rPr>
        <w:t>(</w:t>
      </w:r>
      <w:r w:rsidRPr="00687C1E">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687C1E">
        <w:rPr>
          <w:rFonts w:ascii="Times New Roman" w:hAnsi="Times New Roman" w:cs="Times New Roman"/>
          <w:color w:val="222222"/>
          <w:shd w:val="clear" w:color="auto" w:fill="FFFFFF"/>
        </w:rPr>
        <w:t xml:space="preserve">. The Effect of Current Ratio and Debt to Equity Ratio on Net Profit Margin (Empirical Study on Companies in The Plastics and Packaging Sub-Sector </w:t>
      </w:r>
      <w:proofErr w:type="gramStart"/>
      <w:r w:rsidRPr="00687C1E">
        <w:rPr>
          <w:rFonts w:ascii="Times New Roman" w:hAnsi="Times New Roman" w:cs="Times New Roman"/>
          <w:color w:val="222222"/>
          <w:shd w:val="clear" w:color="auto" w:fill="FFFFFF"/>
        </w:rPr>
        <w:t>For</w:t>
      </w:r>
      <w:proofErr w:type="gramEnd"/>
      <w:r w:rsidRPr="00687C1E">
        <w:rPr>
          <w:rFonts w:ascii="Times New Roman" w:hAnsi="Times New Roman" w:cs="Times New Roman"/>
          <w:color w:val="222222"/>
          <w:shd w:val="clear" w:color="auto" w:fill="FFFFFF"/>
        </w:rPr>
        <w:t xml:space="preserve"> </w:t>
      </w:r>
      <w:proofErr w:type="gramStart"/>
      <w:r w:rsidRPr="00687C1E">
        <w:rPr>
          <w:rFonts w:ascii="Times New Roman" w:hAnsi="Times New Roman" w:cs="Times New Roman"/>
          <w:color w:val="222222"/>
          <w:shd w:val="clear" w:color="auto" w:fill="FFFFFF"/>
        </w:rPr>
        <w:t>The</w:t>
      </w:r>
      <w:proofErr w:type="gramEnd"/>
      <w:r w:rsidRPr="00687C1E">
        <w:rPr>
          <w:rFonts w:ascii="Times New Roman" w:hAnsi="Times New Roman" w:cs="Times New Roman"/>
          <w:color w:val="222222"/>
          <w:shd w:val="clear" w:color="auto" w:fill="FFFFFF"/>
        </w:rPr>
        <w:t xml:space="preserve"> Period 2021-2023 Listed on </w:t>
      </w:r>
      <w:proofErr w:type="gramStart"/>
      <w:r w:rsidRPr="00687C1E">
        <w:rPr>
          <w:rFonts w:ascii="Times New Roman" w:hAnsi="Times New Roman" w:cs="Times New Roman"/>
          <w:color w:val="222222"/>
          <w:shd w:val="clear" w:color="auto" w:fill="FFFFFF"/>
        </w:rPr>
        <w:t>The</w:t>
      </w:r>
      <w:proofErr w:type="gramEnd"/>
      <w:r w:rsidRPr="00687C1E">
        <w:rPr>
          <w:rFonts w:ascii="Times New Roman" w:hAnsi="Times New Roman" w:cs="Times New Roman"/>
          <w:color w:val="222222"/>
          <w:shd w:val="clear" w:color="auto" w:fill="FFFFFF"/>
        </w:rPr>
        <w:t xml:space="preserve"> IDX). International Journal of Accounting, Management, Economics and Social Sciences (IJAMESC), 3(1), pp.130-144.</w:t>
      </w:r>
    </w:p>
    <w:p w14:paraId="2B3058CA" w14:textId="77777777"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HARTONO, C. and DARYANTO, W.M., Financial Health Analysis of Pt Asia Pacific Fibers, </w:t>
      </w:r>
      <w:proofErr w:type="spellStart"/>
      <w:r w:rsidRPr="00270BEB">
        <w:rPr>
          <w:rFonts w:ascii="Times New Roman" w:hAnsi="Times New Roman" w:cs="Times New Roman"/>
          <w:color w:val="222222"/>
          <w:shd w:val="clear" w:color="auto" w:fill="FFFFFF"/>
        </w:rPr>
        <w:t>Tbk</w:t>
      </w:r>
      <w:proofErr w:type="spellEnd"/>
      <w:r w:rsidRPr="00270BEB">
        <w:rPr>
          <w:rFonts w:ascii="Times New Roman" w:hAnsi="Times New Roman" w:cs="Times New Roman"/>
          <w:color w:val="222222"/>
          <w:shd w:val="clear" w:color="auto" w:fill="FFFFFF"/>
        </w:rPr>
        <w:t xml:space="preserve"> According to Altman Z-Score and Financial Ratios in Period 2022-2024. </w:t>
      </w:r>
      <w:r w:rsidRPr="00270BEB">
        <w:rPr>
          <w:rFonts w:ascii="Times New Roman" w:hAnsi="Times New Roman" w:cs="Times New Roman"/>
          <w:i/>
          <w:iCs/>
          <w:color w:val="222222"/>
          <w:shd w:val="clear" w:color="auto" w:fill="FFFFFF"/>
        </w:rPr>
        <w:t>Leadership, Branding, and Financial Health in Emerging Markets: Integrated Approaches to Business Excellence</w:t>
      </w:r>
      <w:r w:rsidRPr="00270BEB">
        <w:rPr>
          <w:rFonts w:ascii="Times New Roman" w:hAnsi="Times New Roman" w:cs="Times New Roman"/>
          <w:color w:val="222222"/>
          <w:shd w:val="clear" w:color="auto" w:fill="FFFFFF"/>
        </w:rPr>
        <w:t>, p.91.</w:t>
      </w:r>
    </w:p>
    <w:p w14:paraId="78CB1306" w14:textId="5A84B2FA" w:rsidR="00687C1E" w:rsidRPr="00687C1E" w:rsidRDefault="00687C1E" w:rsidP="00687C1E">
      <w:pPr>
        <w:pStyle w:val="ListParagraph"/>
        <w:numPr>
          <w:ilvl w:val="0"/>
          <w:numId w:val="9"/>
        </w:numPr>
        <w:spacing w:line="360" w:lineRule="auto"/>
        <w:rPr>
          <w:rFonts w:ascii="Times New Roman" w:hAnsi="Times New Roman" w:cs="Times New Roman"/>
          <w:color w:val="222222"/>
          <w:shd w:val="clear" w:color="auto" w:fill="FFFFFF"/>
        </w:rPr>
      </w:pPr>
      <w:r w:rsidRPr="00687C1E">
        <w:rPr>
          <w:rFonts w:ascii="Times New Roman" w:hAnsi="Times New Roman" w:cs="Times New Roman"/>
          <w:color w:val="222222"/>
          <w:shd w:val="clear" w:color="auto" w:fill="FFFFFF"/>
        </w:rPr>
        <w:t xml:space="preserve">Juanda, </w:t>
      </w:r>
      <w:r w:rsidR="00223BD1">
        <w:rPr>
          <w:rFonts w:ascii="Times New Roman" w:hAnsi="Times New Roman" w:cs="Times New Roman"/>
          <w:color w:val="222222"/>
          <w:shd w:val="clear" w:color="auto" w:fill="FFFFFF"/>
        </w:rPr>
        <w:t>et al</w:t>
      </w:r>
      <w:r w:rsidRPr="00687C1E">
        <w:rPr>
          <w:rFonts w:ascii="Times New Roman" w:hAnsi="Times New Roman" w:cs="Times New Roman"/>
          <w:color w:val="222222"/>
          <w:shd w:val="clear" w:color="auto" w:fill="FFFFFF"/>
        </w:rPr>
        <w:t xml:space="preserve"> </w:t>
      </w:r>
      <w:r w:rsidR="00223BD1">
        <w:rPr>
          <w:rFonts w:ascii="Times New Roman" w:hAnsi="Times New Roman" w:cs="Times New Roman"/>
          <w:color w:val="222222"/>
          <w:shd w:val="clear" w:color="auto" w:fill="FFFFFF"/>
        </w:rPr>
        <w:t>(</w:t>
      </w:r>
      <w:r w:rsidRPr="00687C1E">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687C1E">
        <w:rPr>
          <w:rFonts w:ascii="Times New Roman" w:hAnsi="Times New Roman" w:cs="Times New Roman"/>
          <w:color w:val="222222"/>
          <w:shd w:val="clear" w:color="auto" w:fill="FFFFFF"/>
        </w:rPr>
        <w:t xml:space="preserve">. The Influence </w:t>
      </w:r>
      <w:proofErr w:type="gramStart"/>
      <w:r w:rsidRPr="00687C1E">
        <w:rPr>
          <w:rFonts w:ascii="Times New Roman" w:hAnsi="Times New Roman" w:cs="Times New Roman"/>
          <w:color w:val="222222"/>
          <w:shd w:val="clear" w:color="auto" w:fill="FFFFFF"/>
        </w:rPr>
        <w:t>Of</w:t>
      </w:r>
      <w:proofErr w:type="gramEnd"/>
      <w:r w:rsidRPr="00687C1E">
        <w:rPr>
          <w:rFonts w:ascii="Times New Roman" w:hAnsi="Times New Roman" w:cs="Times New Roman"/>
          <w:color w:val="222222"/>
          <w:shd w:val="clear" w:color="auto" w:fill="FFFFFF"/>
        </w:rPr>
        <w:t xml:space="preserve"> Return </w:t>
      </w:r>
      <w:proofErr w:type="gramStart"/>
      <w:r w:rsidRPr="00687C1E">
        <w:rPr>
          <w:rFonts w:ascii="Times New Roman" w:hAnsi="Times New Roman" w:cs="Times New Roman"/>
          <w:color w:val="222222"/>
          <w:shd w:val="clear" w:color="auto" w:fill="FFFFFF"/>
        </w:rPr>
        <w:t>On</w:t>
      </w:r>
      <w:proofErr w:type="gramEnd"/>
      <w:r w:rsidRPr="00687C1E">
        <w:rPr>
          <w:rFonts w:ascii="Times New Roman" w:hAnsi="Times New Roman" w:cs="Times New Roman"/>
          <w:color w:val="222222"/>
          <w:shd w:val="clear" w:color="auto" w:fill="FFFFFF"/>
        </w:rPr>
        <w:t xml:space="preserve"> Assets (ROA), Current Ratio (CR), and Debt-to-Equity Ratio (DER) On Stock Prices at PT. Unilever Indonesia </w:t>
      </w:r>
      <w:proofErr w:type="spellStart"/>
      <w:r w:rsidRPr="00687C1E">
        <w:rPr>
          <w:rFonts w:ascii="Times New Roman" w:hAnsi="Times New Roman" w:cs="Times New Roman"/>
          <w:color w:val="222222"/>
          <w:shd w:val="clear" w:color="auto" w:fill="FFFFFF"/>
        </w:rPr>
        <w:t>Tbk</w:t>
      </w:r>
      <w:proofErr w:type="spellEnd"/>
      <w:r w:rsidRPr="00687C1E">
        <w:rPr>
          <w:rFonts w:ascii="Times New Roman" w:hAnsi="Times New Roman" w:cs="Times New Roman"/>
          <w:color w:val="222222"/>
          <w:shd w:val="clear" w:color="auto" w:fill="FFFFFF"/>
        </w:rPr>
        <w:t xml:space="preserve"> Period 2014-2023. </w:t>
      </w:r>
      <w:proofErr w:type="spellStart"/>
      <w:r w:rsidRPr="00687C1E">
        <w:rPr>
          <w:rFonts w:ascii="Times New Roman" w:hAnsi="Times New Roman" w:cs="Times New Roman"/>
          <w:color w:val="222222"/>
          <w:shd w:val="clear" w:color="auto" w:fill="FFFFFF"/>
        </w:rPr>
        <w:t>Jurnal</w:t>
      </w:r>
      <w:proofErr w:type="spellEnd"/>
      <w:r w:rsidRPr="00687C1E">
        <w:rPr>
          <w:rFonts w:ascii="Times New Roman" w:hAnsi="Times New Roman" w:cs="Times New Roman"/>
          <w:color w:val="222222"/>
          <w:shd w:val="clear" w:color="auto" w:fill="FFFFFF"/>
        </w:rPr>
        <w:t xml:space="preserve"> Sosial dan Sains (SOSAINS), 5(2).</w:t>
      </w:r>
    </w:p>
    <w:p w14:paraId="21A5BEA0" w14:textId="77777777" w:rsidR="00BA0FA5" w:rsidRPr="00270BEB" w:rsidRDefault="00BA0FA5" w:rsidP="00270BEB">
      <w:pPr>
        <w:pStyle w:val="NormalWeb"/>
        <w:numPr>
          <w:ilvl w:val="0"/>
          <w:numId w:val="9"/>
        </w:numPr>
        <w:spacing w:before="0" w:line="360" w:lineRule="auto"/>
        <w:rPr>
          <w:sz w:val="22"/>
          <w:szCs w:val="22"/>
        </w:rPr>
      </w:pPr>
      <w:proofErr w:type="spellStart"/>
      <w:r w:rsidRPr="00270BEB">
        <w:rPr>
          <w:sz w:val="22"/>
          <w:szCs w:val="22"/>
        </w:rPr>
        <w:t>Kengatharan</w:t>
      </w:r>
      <w:proofErr w:type="spellEnd"/>
      <w:r w:rsidRPr="00270BEB">
        <w:rPr>
          <w:sz w:val="22"/>
          <w:szCs w:val="22"/>
        </w:rPr>
        <w:t>, L. (2018). ‘Capital Budgeting Theory and Practice: A Review and Agenda for Future Research’, </w:t>
      </w:r>
      <w:r w:rsidRPr="00270BEB">
        <w:rPr>
          <w:i/>
          <w:iCs/>
          <w:sz w:val="22"/>
          <w:szCs w:val="22"/>
        </w:rPr>
        <w:t>Applied Economics and Finance</w:t>
      </w:r>
      <w:r w:rsidRPr="00270BEB">
        <w:rPr>
          <w:sz w:val="22"/>
          <w:szCs w:val="22"/>
        </w:rPr>
        <w:t>, 5(2), pp. 1-18.</w:t>
      </w:r>
    </w:p>
    <w:p w14:paraId="6E8EB3E6"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Magni, C.A. (2020). ‘Investment, NPV, and CAPM: A Critical Review’, </w:t>
      </w:r>
      <w:r w:rsidRPr="00270BEB">
        <w:rPr>
          <w:i/>
          <w:iCs/>
          <w:sz w:val="22"/>
          <w:szCs w:val="22"/>
        </w:rPr>
        <w:t>The Engineering Economist</w:t>
      </w:r>
      <w:r w:rsidRPr="00270BEB">
        <w:rPr>
          <w:sz w:val="22"/>
          <w:szCs w:val="22"/>
        </w:rPr>
        <w:t>, 65(3), pp. 195-224.</w:t>
      </w:r>
    </w:p>
    <w:p w14:paraId="73986C19" w14:textId="4FDAC98B"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270BEB">
        <w:rPr>
          <w:rFonts w:ascii="Times New Roman" w:hAnsi="Times New Roman" w:cs="Times New Roman"/>
          <w:color w:val="222222"/>
          <w:shd w:val="clear" w:color="auto" w:fill="FFFFFF"/>
        </w:rPr>
        <w:t>Manitkul</w:t>
      </w:r>
      <w:proofErr w:type="spellEnd"/>
      <w:r w:rsidRPr="00270BEB">
        <w:rPr>
          <w:rFonts w:ascii="Times New Roman" w:hAnsi="Times New Roman" w:cs="Times New Roman"/>
          <w:color w:val="222222"/>
          <w:shd w:val="clear" w:color="auto" w:fill="FFFFFF"/>
        </w:rPr>
        <w:t xml:space="preserve">, T.R.,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xml:space="preserve">. A Comparative Net Present Value (NPV) Analysis: 1993 </w:t>
      </w:r>
      <w:proofErr w:type="spellStart"/>
      <w:r w:rsidRPr="00270BEB">
        <w:rPr>
          <w:rFonts w:ascii="Times New Roman" w:hAnsi="Times New Roman" w:cs="Times New Roman"/>
          <w:color w:val="222222"/>
          <w:shd w:val="clear" w:color="auto" w:fill="FFFFFF"/>
        </w:rPr>
        <w:t>Sukavichinomics</w:t>
      </w:r>
      <w:proofErr w:type="spellEnd"/>
      <w:r w:rsidRPr="00270BEB">
        <w:rPr>
          <w:rFonts w:ascii="Times New Roman" w:hAnsi="Times New Roman" w:cs="Times New Roman"/>
          <w:color w:val="222222"/>
          <w:shd w:val="clear" w:color="auto" w:fill="FFFFFF"/>
        </w:rPr>
        <w:t>' Ocean Terminal vs. 2025 Popularism's Casino Complex in Thailand. </w:t>
      </w:r>
      <w:r w:rsidRPr="00270BEB">
        <w:rPr>
          <w:rFonts w:ascii="Times New Roman" w:hAnsi="Times New Roman" w:cs="Times New Roman"/>
          <w:i/>
          <w:iCs/>
          <w:color w:val="222222"/>
          <w:shd w:val="clear" w:color="auto" w:fill="FFFFFF"/>
        </w:rPr>
        <w:t>Available at SSRN 5276569</w:t>
      </w:r>
      <w:r w:rsidRPr="00270BEB">
        <w:rPr>
          <w:rFonts w:ascii="Times New Roman" w:hAnsi="Times New Roman" w:cs="Times New Roman"/>
          <w:color w:val="222222"/>
          <w:shd w:val="clear" w:color="auto" w:fill="FFFFFF"/>
        </w:rPr>
        <w:t>.</w:t>
      </w:r>
    </w:p>
    <w:p w14:paraId="3977EA80" w14:textId="77777777"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270BEB">
        <w:rPr>
          <w:rFonts w:ascii="Times New Roman" w:hAnsi="Times New Roman" w:cs="Times New Roman"/>
          <w:color w:val="222222"/>
          <w:shd w:val="clear" w:color="auto" w:fill="FFFFFF"/>
        </w:rPr>
        <w:t>Mwachikoka</w:t>
      </w:r>
      <w:proofErr w:type="spellEnd"/>
      <w:r w:rsidRPr="00270BEB">
        <w:rPr>
          <w:rFonts w:ascii="Times New Roman" w:hAnsi="Times New Roman" w:cs="Times New Roman"/>
          <w:color w:val="222222"/>
          <w:shd w:val="clear" w:color="auto" w:fill="FFFFFF"/>
        </w:rPr>
        <w:t>, C.F., Adil, M. and Phiri, J., Enhancing Bankruptcy Prediction: The Integration of Financial Ratios and Artificial Intelligence for more Accurate Risk Assessment.</w:t>
      </w:r>
    </w:p>
    <w:p w14:paraId="486C0E3C" w14:textId="27597047"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t xml:space="preserve">Nazeer, R., Saleem, F. and Amin, M.Y.,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Financial Leverage Dynamics: The Roles of Liquidity and Profitability in Shaping Firms’ Financial Health. </w:t>
      </w:r>
      <w:r w:rsidRPr="00270BEB">
        <w:rPr>
          <w:rFonts w:ascii="Times New Roman" w:hAnsi="Times New Roman" w:cs="Times New Roman"/>
          <w:i/>
          <w:iCs/>
          <w:color w:val="222222"/>
          <w:shd w:val="clear" w:color="auto" w:fill="FFFFFF"/>
        </w:rPr>
        <w:t>Audit and Accounting Review</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5</w:t>
      </w:r>
      <w:r w:rsidRPr="00270BEB">
        <w:rPr>
          <w:rFonts w:ascii="Times New Roman" w:hAnsi="Times New Roman" w:cs="Times New Roman"/>
          <w:color w:val="222222"/>
          <w:shd w:val="clear" w:color="auto" w:fill="FFFFFF"/>
        </w:rPr>
        <w:t>(1), pp.79-102.</w:t>
      </w:r>
    </w:p>
    <w:p w14:paraId="746AF68D" w14:textId="683C1E87"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270BEB">
        <w:rPr>
          <w:rFonts w:ascii="Times New Roman" w:hAnsi="Times New Roman" w:cs="Times New Roman"/>
          <w:color w:val="222222"/>
          <w:shd w:val="clear" w:color="auto" w:fill="FFFFFF"/>
        </w:rPr>
        <w:t>Ngwakwe</w:t>
      </w:r>
      <w:proofErr w:type="spellEnd"/>
      <w:r w:rsidRPr="00270BEB">
        <w:rPr>
          <w:rFonts w:ascii="Times New Roman" w:hAnsi="Times New Roman" w:cs="Times New Roman"/>
          <w:color w:val="222222"/>
          <w:shd w:val="clear" w:color="auto" w:fill="FFFFFF"/>
        </w:rPr>
        <w:t xml:space="preserve">, C.C.,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Estimating the Financial Payback Period for Renewable Energy Investment--A Quasi-Systematic Review. </w:t>
      </w:r>
      <w:r w:rsidRPr="00270BEB">
        <w:rPr>
          <w:rFonts w:ascii="Times New Roman" w:hAnsi="Times New Roman" w:cs="Times New Roman"/>
          <w:i/>
          <w:iCs/>
          <w:color w:val="222222"/>
          <w:shd w:val="clear" w:color="auto" w:fill="FFFFFF"/>
        </w:rPr>
        <w:t>Accounting &amp; Finance/</w:t>
      </w:r>
      <w:proofErr w:type="spellStart"/>
      <w:r w:rsidRPr="00270BEB">
        <w:rPr>
          <w:rFonts w:ascii="Times New Roman" w:hAnsi="Times New Roman" w:cs="Times New Roman"/>
          <w:i/>
          <w:iCs/>
          <w:color w:val="222222"/>
          <w:shd w:val="clear" w:color="auto" w:fill="FFFFFF"/>
        </w:rPr>
        <w:t>Oblìk</w:t>
      </w:r>
      <w:proofErr w:type="spellEnd"/>
      <w:r w:rsidRPr="00270BEB">
        <w:rPr>
          <w:rFonts w:ascii="Times New Roman" w:hAnsi="Times New Roman" w:cs="Times New Roman"/>
          <w:i/>
          <w:iCs/>
          <w:color w:val="222222"/>
          <w:shd w:val="clear" w:color="auto" w:fill="FFFFFF"/>
        </w:rPr>
        <w:t xml:space="preserve"> ì </w:t>
      </w:r>
      <w:proofErr w:type="spellStart"/>
      <w:r w:rsidRPr="00270BEB">
        <w:rPr>
          <w:rFonts w:ascii="Times New Roman" w:hAnsi="Times New Roman" w:cs="Times New Roman"/>
          <w:i/>
          <w:iCs/>
          <w:color w:val="222222"/>
          <w:shd w:val="clear" w:color="auto" w:fill="FFFFFF"/>
        </w:rPr>
        <w:t>Fìnansi</w:t>
      </w:r>
      <w:proofErr w:type="spellEnd"/>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108</w:t>
      </w:r>
      <w:r w:rsidRPr="00270BEB">
        <w:rPr>
          <w:rFonts w:ascii="Times New Roman" w:hAnsi="Times New Roman" w:cs="Times New Roman"/>
          <w:color w:val="222222"/>
          <w:shd w:val="clear" w:color="auto" w:fill="FFFFFF"/>
        </w:rPr>
        <w:t>(2).</w:t>
      </w:r>
    </w:p>
    <w:p w14:paraId="4681687F" w14:textId="595D7390" w:rsidR="0068320C" w:rsidRPr="0068320C" w:rsidRDefault="0068320C"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68320C">
        <w:rPr>
          <w:rFonts w:ascii="Times New Roman" w:hAnsi="Times New Roman" w:cs="Times New Roman"/>
          <w:color w:val="222222"/>
          <w:shd w:val="clear" w:color="auto" w:fill="FFFFFF"/>
        </w:rPr>
        <w:t>Nursita</w:t>
      </w:r>
      <w:proofErr w:type="spellEnd"/>
      <w:r w:rsidRPr="0068320C">
        <w:rPr>
          <w:rFonts w:ascii="Times New Roman" w:hAnsi="Times New Roman" w:cs="Times New Roman"/>
          <w:color w:val="222222"/>
          <w:shd w:val="clear" w:color="auto" w:fill="FFFFFF"/>
        </w:rPr>
        <w:t xml:space="preserve">, </w:t>
      </w:r>
      <w:r w:rsidR="00223BD1">
        <w:rPr>
          <w:rFonts w:ascii="Times New Roman" w:hAnsi="Times New Roman" w:cs="Times New Roman"/>
          <w:color w:val="222222"/>
          <w:shd w:val="clear" w:color="auto" w:fill="FFFFFF"/>
        </w:rPr>
        <w:t>at al (</w:t>
      </w:r>
      <w:r w:rsidRPr="0068320C">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68320C">
        <w:rPr>
          <w:rFonts w:ascii="Times New Roman" w:hAnsi="Times New Roman" w:cs="Times New Roman"/>
          <w:color w:val="222222"/>
          <w:shd w:val="clear" w:color="auto" w:fill="FFFFFF"/>
        </w:rPr>
        <w:t xml:space="preserve">. The Influence of Current Ratio and Debt to Equity Ratio on Net Profit Margin: Study </w:t>
      </w:r>
      <w:proofErr w:type="gramStart"/>
      <w:r w:rsidRPr="0068320C">
        <w:rPr>
          <w:rFonts w:ascii="Times New Roman" w:hAnsi="Times New Roman" w:cs="Times New Roman"/>
          <w:color w:val="222222"/>
          <w:shd w:val="clear" w:color="auto" w:fill="FFFFFF"/>
        </w:rPr>
        <w:t>On</w:t>
      </w:r>
      <w:proofErr w:type="gramEnd"/>
      <w:r w:rsidRPr="0068320C">
        <w:rPr>
          <w:rFonts w:ascii="Times New Roman" w:hAnsi="Times New Roman" w:cs="Times New Roman"/>
          <w:color w:val="222222"/>
          <w:shd w:val="clear" w:color="auto" w:fill="FFFFFF"/>
        </w:rPr>
        <w:t xml:space="preserve"> One of The Health Service and Hospital Provider Companies for The Period 2018-2022. </w:t>
      </w:r>
      <w:proofErr w:type="spellStart"/>
      <w:r w:rsidRPr="0068320C">
        <w:rPr>
          <w:rFonts w:ascii="Times New Roman" w:hAnsi="Times New Roman" w:cs="Times New Roman"/>
          <w:color w:val="222222"/>
          <w:shd w:val="clear" w:color="auto" w:fill="FFFFFF"/>
        </w:rPr>
        <w:t>Majalah</w:t>
      </w:r>
      <w:proofErr w:type="spellEnd"/>
      <w:r w:rsidRPr="0068320C">
        <w:rPr>
          <w:rFonts w:ascii="Times New Roman" w:hAnsi="Times New Roman" w:cs="Times New Roman"/>
          <w:color w:val="222222"/>
          <w:shd w:val="clear" w:color="auto" w:fill="FFFFFF"/>
        </w:rPr>
        <w:t xml:space="preserve"> </w:t>
      </w:r>
      <w:proofErr w:type="spellStart"/>
      <w:r w:rsidRPr="0068320C">
        <w:rPr>
          <w:rFonts w:ascii="Times New Roman" w:hAnsi="Times New Roman" w:cs="Times New Roman"/>
          <w:color w:val="222222"/>
          <w:shd w:val="clear" w:color="auto" w:fill="FFFFFF"/>
        </w:rPr>
        <w:t>Bisnis</w:t>
      </w:r>
      <w:proofErr w:type="spellEnd"/>
      <w:r w:rsidRPr="0068320C">
        <w:rPr>
          <w:rFonts w:ascii="Times New Roman" w:hAnsi="Times New Roman" w:cs="Times New Roman"/>
          <w:color w:val="222222"/>
          <w:shd w:val="clear" w:color="auto" w:fill="FFFFFF"/>
        </w:rPr>
        <w:t xml:space="preserve"> &amp; IPTEK, 18(1), pp.23-35.</w:t>
      </w:r>
    </w:p>
    <w:p w14:paraId="6D92B1EA" w14:textId="0C595ADD" w:rsidR="00270BEB" w:rsidRPr="00270BEB" w:rsidRDefault="00270BEB" w:rsidP="00270BEB">
      <w:pPr>
        <w:pStyle w:val="ListParagraph"/>
        <w:numPr>
          <w:ilvl w:val="0"/>
          <w:numId w:val="9"/>
        </w:numPr>
        <w:spacing w:line="360" w:lineRule="auto"/>
        <w:rPr>
          <w:rFonts w:ascii="Times New Roman" w:hAnsi="Times New Roman" w:cs="Times New Roman"/>
          <w:color w:val="222222"/>
          <w:shd w:val="clear" w:color="auto" w:fill="FFFFFF"/>
        </w:rPr>
      </w:pPr>
      <w:r w:rsidRPr="00270BEB">
        <w:rPr>
          <w:rFonts w:ascii="Times New Roman" w:hAnsi="Times New Roman" w:cs="Times New Roman"/>
          <w:color w:val="222222"/>
          <w:shd w:val="clear" w:color="auto" w:fill="FFFFFF"/>
        </w:rPr>
        <w:lastRenderedPageBreak/>
        <w:t xml:space="preserve">Olkiewicz, A., </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How to Mitigate the Risk of Late Payments? The Case of the Largest Polish Companies Selling Electricity in 2018–2023. </w:t>
      </w:r>
      <w:r w:rsidRPr="00270BEB">
        <w:rPr>
          <w:rFonts w:ascii="Times New Roman" w:hAnsi="Times New Roman" w:cs="Times New Roman"/>
          <w:i/>
          <w:iCs/>
          <w:color w:val="222222"/>
          <w:shd w:val="clear" w:color="auto" w:fill="FFFFFF"/>
        </w:rPr>
        <w:t>Energies</w:t>
      </w:r>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18</w:t>
      </w:r>
      <w:r w:rsidRPr="00270BEB">
        <w:rPr>
          <w:rFonts w:ascii="Times New Roman" w:hAnsi="Times New Roman" w:cs="Times New Roman"/>
          <w:color w:val="222222"/>
          <w:shd w:val="clear" w:color="auto" w:fill="FFFFFF"/>
        </w:rPr>
        <w:t>(8), p.1918.</w:t>
      </w:r>
    </w:p>
    <w:p w14:paraId="2FC05FC9" w14:textId="77777777" w:rsidR="00BA0FA5" w:rsidRPr="00270BEB" w:rsidRDefault="00BA0FA5" w:rsidP="00270BEB">
      <w:pPr>
        <w:pStyle w:val="NormalWeb"/>
        <w:numPr>
          <w:ilvl w:val="0"/>
          <w:numId w:val="9"/>
        </w:numPr>
        <w:spacing w:before="0" w:line="360" w:lineRule="auto"/>
        <w:rPr>
          <w:sz w:val="22"/>
          <w:szCs w:val="22"/>
        </w:rPr>
      </w:pPr>
      <w:r w:rsidRPr="00270BEB">
        <w:rPr>
          <w:sz w:val="22"/>
          <w:szCs w:val="22"/>
        </w:rPr>
        <w:t>Penman, S. H. (2013). </w:t>
      </w:r>
      <w:r w:rsidRPr="00270BEB">
        <w:rPr>
          <w:i/>
          <w:iCs/>
          <w:sz w:val="22"/>
          <w:szCs w:val="22"/>
        </w:rPr>
        <w:t>Financial Statement Analysis and Security Valuation</w:t>
      </w:r>
      <w:r w:rsidRPr="00270BEB">
        <w:rPr>
          <w:sz w:val="22"/>
          <w:szCs w:val="22"/>
        </w:rPr>
        <w:t>. 5th ed. New York: McGraw-Hill/Irwin.</w:t>
      </w:r>
    </w:p>
    <w:p w14:paraId="02276C94" w14:textId="77777777" w:rsidR="00CC66D8" w:rsidRPr="00270BEB" w:rsidRDefault="00BA0FA5" w:rsidP="00270BEB">
      <w:pPr>
        <w:pStyle w:val="NormalWeb"/>
        <w:numPr>
          <w:ilvl w:val="0"/>
          <w:numId w:val="9"/>
        </w:numPr>
        <w:spacing w:before="0" w:line="360" w:lineRule="auto"/>
        <w:rPr>
          <w:sz w:val="22"/>
          <w:szCs w:val="22"/>
        </w:rPr>
      </w:pPr>
      <w:r w:rsidRPr="00270BEB">
        <w:rPr>
          <w:sz w:val="22"/>
          <w:szCs w:val="22"/>
        </w:rPr>
        <w:t xml:space="preserve">Ross, S.A., </w:t>
      </w:r>
      <w:proofErr w:type="spellStart"/>
      <w:r w:rsidRPr="00270BEB">
        <w:rPr>
          <w:sz w:val="22"/>
          <w:szCs w:val="22"/>
        </w:rPr>
        <w:t>Westerfield</w:t>
      </w:r>
      <w:proofErr w:type="spellEnd"/>
      <w:r w:rsidRPr="00270BEB">
        <w:rPr>
          <w:sz w:val="22"/>
          <w:szCs w:val="22"/>
        </w:rPr>
        <w:t>, R.W. &amp; Jordan, B.D. (2019). </w:t>
      </w:r>
      <w:r w:rsidRPr="00270BEB">
        <w:rPr>
          <w:i/>
          <w:iCs/>
          <w:sz w:val="22"/>
          <w:szCs w:val="22"/>
        </w:rPr>
        <w:t>Fundamentals of Corporate Finance</w:t>
      </w:r>
      <w:r w:rsidRPr="00270BEB">
        <w:rPr>
          <w:sz w:val="22"/>
          <w:szCs w:val="22"/>
        </w:rPr>
        <w:t>. 12th ed. New York: McGraw-Hill.</w:t>
      </w:r>
    </w:p>
    <w:p w14:paraId="3D7D12FA" w14:textId="3F4A3C07" w:rsidR="00270BEB" w:rsidRPr="00270BEB" w:rsidRDefault="00270BEB" w:rsidP="00270BEB">
      <w:pPr>
        <w:pStyle w:val="ListParagraph"/>
        <w:numPr>
          <w:ilvl w:val="0"/>
          <w:numId w:val="9"/>
        </w:numPr>
        <w:spacing w:line="360" w:lineRule="auto"/>
        <w:rPr>
          <w:rFonts w:ascii="Times New Roman" w:hAnsi="Times New Roman" w:cs="Times New Roman"/>
        </w:rPr>
      </w:pPr>
      <w:proofErr w:type="gramStart"/>
      <w:r w:rsidRPr="00270BEB">
        <w:rPr>
          <w:rFonts w:ascii="Times New Roman" w:hAnsi="Times New Roman" w:cs="Times New Roman"/>
          <w:color w:val="222222"/>
          <w:shd w:val="clear" w:color="auto" w:fill="FFFFFF"/>
        </w:rPr>
        <w:t xml:space="preserve">Ridwan, </w:t>
      </w:r>
      <w:r w:rsidR="00223BD1">
        <w:rPr>
          <w:rFonts w:ascii="Times New Roman" w:hAnsi="Times New Roman" w:cs="Times New Roman"/>
          <w:color w:val="222222"/>
          <w:shd w:val="clear" w:color="auto" w:fill="FFFFFF"/>
        </w:rPr>
        <w:t xml:space="preserve"> at</w:t>
      </w:r>
      <w:proofErr w:type="gramEnd"/>
      <w:r w:rsidR="00223BD1">
        <w:rPr>
          <w:rFonts w:ascii="Times New Roman" w:hAnsi="Times New Roman" w:cs="Times New Roman"/>
          <w:color w:val="222222"/>
          <w:shd w:val="clear" w:color="auto" w:fill="FFFFFF"/>
        </w:rPr>
        <w:t xml:space="preserve"> et, (</w:t>
      </w:r>
      <w:r w:rsidRPr="00270BEB">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Financial planning and investment feasibility analysis based on five-year projections using ROI, NPV, IRR, and financial ratios. </w:t>
      </w:r>
      <w:r w:rsidRPr="00270BEB">
        <w:rPr>
          <w:rFonts w:ascii="Times New Roman" w:hAnsi="Times New Roman" w:cs="Times New Roman"/>
          <w:i/>
          <w:iCs/>
          <w:color w:val="222222"/>
          <w:shd w:val="clear" w:color="auto" w:fill="FFFFFF"/>
        </w:rPr>
        <w:t xml:space="preserve">Journal La </w:t>
      </w:r>
      <w:proofErr w:type="spellStart"/>
      <w:r w:rsidRPr="00270BEB">
        <w:rPr>
          <w:rFonts w:ascii="Times New Roman" w:hAnsi="Times New Roman" w:cs="Times New Roman"/>
          <w:i/>
          <w:iCs/>
          <w:color w:val="222222"/>
          <w:shd w:val="clear" w:color="auto" w:fill="FFFFFF"/>
        </w:rPr>
        <w:t>Bisecoman</w:t>
      </w:r>
      <w:proofErr w:type="spellEnd"/>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6</w:t>
      </w:r>
      <w:r w:rsidRPr="00270BEB">
        <w:rPr>
          <w:rFonts w:ascii="Times New Roman" w:hAnsi="Times New Roman" w:cs="Times New Roman"/>
          <w:color w:val="222222"/>
          <w:shd w:val="clear" w:color="auto" w:fill="FFFFFF"/>
        </w:rPr>
        <w:t>(2), pp.489-506.</w:t>
      </w:r>
    </w:p>
    <w:p w14:paraId="024DD6EB" w14:textId="43DAC771" w:rsidR="0068320C" w:rsidRPr="0068320C" w:rsidRDefault="0068320C" w:rsidP="00270BEB">
      <w:pPr>
        <w:pStyle w:val="ListParagraph"/>
        <w:numPr>
          <w:ilvl w:val="0"/>
          <w:numId w:val="9"/>
        </w:numPr>
        <w:spacing w:line="360" w:lineRule="auto"/>
        <w:rPr>
          <w:rFonts w:ascii="Times New Roman" w:hAnsi="Times New Roman" w:cs="Times New Roman"/>
          <w:color w:val="222222"/>
          <w:shd w:val="clear" w:color="auto" w:fill="FFFFFF"/>
        </w:rPr>
      </w:pPr>
      <w:proofErr w:type="spellStart"/>
      <w:r w:rsidRPr="0068320C">
        <w:rPr>
          <w:rFonts w:ascii="Times New Roman" w:hAnsi="Times New Roman" w:cs="Times New Roman"/>
          <w:color w:val="222222"/>
          <w:shd w:val="clear" w:color="auto" w:fill="FFFFFF"/>
        </w:rPr>
        <w:t>Rumallang</w:t>
      </w:r>
      <w:proofErr w:type="spellEnd"/>
      <w:r w:rsidRPr="0068320C">
        <w:rPr>
          <w:rFonts w:ascii="Times New Roman" w:hAnsi="Times New Roman" w:cs="Times New Roman"/>
          <w:color w:val="222222"/>
          <w:shd w:val="clear" w:color="auto" w:fill="FFFFFF"/>
        </w:rPr>
        <w:t>,</w:t>
      </w:r>
      <w:r w:rsidR="00EB6254">
        <w:rPr>
          <w:rFonts w:ascii="Times New Roman" w:hAnsi="Times New Roman" w:cs="Times New Roman"/>
          <w:color w:val="222222"/>
          <w:shd w:val="clear" w:color="auto" w:fill="FFFFFF"/>
        </w:rPr>
        <w:t xml:space="preserve"> et al, </w:t>
      </w:r>
      <w:r w:rsidR="00223BD1">
        <w:rPr>
          <w:rFonts w:ascii="Times New Roman" w:hAnsi="Times New Roman" w:cs="Times New Roman"/>
          <w:color w:val="222222"/>
          <w:shd w:val="clear" w:color="auto" w:fill="FFFFFF"/>
        </w:rPr>
        <w:t>(</w:t>
      </w:r>
      <w:r w:rsidRPr="0068320C">
        <w:rPr>
          <w:rFonts w:ascii="Times New Roman" w:hAnsi="Times New Roman" w:cs="Times New Roman"/>
          <w:color w:val="222222"/>
          <w:shd w:val="clear" w:color="auto" w:fill="FFFFFF"/>
        </w:rPr>
        <w:t>2025</w:t>
      </w:r>
      <w:r w:rsidR="00223BD1">
        <w:rPr>
          <w:rFonts w:ascii="Times New Roman" w:hAnsi="Times New Roman" w:cs="Times New Roman"/>
          <w:color w:val="222222"/>
          <w:shd w:val="clear" w:color="auto" w:fill="FFFFFF"/>
        </w:rPr>
        <w:t>)</w:t>
      </w:r>
      <w:r w:rsidRPr="0068320C">
        <w:rPr>
          <w:rFonts w:ascii="Times New Roman" w:hAnsi="Times New Roman" w:cs="Times New Roman"/>
          <w:color w:val="222222"/>
          <w:shd w:val="clear" w:color="auto" w:fill="FFFFFF"/>
        </w:rPr>
        <w:t>, March. Gross margin, profitability index, and financial feasibility analyses of potato farming: Empirical facts from Gowa Regency, Indonesia. In IOP Conference Series: Earth and Environmental Science (Vol. 1471, No. 1, p. 012036). IOP Publishing.</w:t>
      </w:r>
    </w:p>
    <w:p w14:paraId="7F3AB488" w14:textId="23035ECA" w:rsidR="00270BEB" w:rsidRPr="00270BEB" w:rsidRDefault="00270BEB" w:rsidP="00270BEB">
      <w:pPr>
        <w:pStyle w:val="ListParagraph"/>
        <w:numPr>
          <w:ilvl w:val="0"/>
          <w:numId w:val="9"/>
        </w:numPr>
        <w:spacing w:line="360" w:lineRule="auto"/>
        <w:rPr>
          <w:rFonts w:ascii="Times New Roman" w:hAnsi="Times New Roman" w:cs="Times New Roman"/>
        </w:rPr>
      </w:pPr>
      <w:r w:rsidRPr="00270BEB">
        <w:rPr>
          <w:rFonts w:ascii="Times New Roman" w:hAnsi="Times New Roman" w:cs="Times New Roman"/>
          <w:color w:val="222222"/>
          <w:shd w:val="clear" w:color="auto" w:fill="FFFFFF"/>
        </w:rPr>
        <w:t xml:space="preserve">Sredojevic, Z., </w:t>
      </w:r>
      <w:proofErr w:type="spellStart"/>
      <w:r w:rsidRPr="00270BEB">
        <w:rPr>
          <w:rFonts w:ascii="Times New Roman" w:hAnsi="Times New Roman" w:cs="Times New Roman"/>
          <w:color w:val="222222"/>
          <w:shd w:val="clear" w:color="auto" w:fill="FFFFFF"/>
        </w:rPr>
        <w:t>Nađ</w:t>
      </w:r>
      <w:proofErr w:type="spellEnd"/>
      <w:r w:rsidRPr="00270BEB">
        <w:rPr>
          <w:rFonts w:ascii="Times New Roman" w:hAnsi="Times New Roman" w:cs="Times New Roman"/>
          <w:color w:val="222222"/>
          <w:shd w:val="clear" w:color="auto" w:fill="FFFFFF"/>
        </w:rPr>
        <w:t xml:space="preserve">, D. and Ostojić, V.V., </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THE NET PRESENT VALUE OF INVESTMENTS IN RAISING AND EXPLOITING WALNUT PLANTATIONS. </w:t>
      </w:r>
      <w:proofErr w:type="spellStart"/>
      <w:r w:rsidRPr="00270BEB">
        <w:rPr>
          <w:rFonts w:ascii="Times New Roman" w:hAnsi="Times New Roman" w:cs="Times New Roman"/>
          <w:i/>
          <w:iCs/>
          <w:color w:val="222222"/>
          <w:shd w:val="clear" w:color="auto" w:fill="FFFFFF"/>
        </w:rPr>
        <w:t>Ekonomika</w:t>
      </w:r>
      <w:proofErr w:type="spellEnd"/>
      <w:r w:rsidRPr="00270BEB">
        <w:rPr>
          <w:rFonts w:ascii="Times New Roman" w:hAnsi="Times New Roman" w:cs="Times New Roman"/>
          <w:i/>
          <w:iCs/>
          <w:color w:val="222222"/>
          <w:shd w:val="clear" w:color="auto" w:fill="FFFFFF"/>
        </w:rPr>
        <w:t xml:space="preserve"> </w:t>
      </w:r>
      <w:proofErr w:type="spellStart"/>
      <w:r w:rsidRPr="00270BEB">
        <w:rPr>
          <w:rFonts w:ascii="Times New Roman" w:hAnsi="Times New Roman" w:cs="Times New Roman"/>
          <w:i/>
          <w:iCs/>
          <w:color w:val="222222"/>
          <w:shd w:val="clear" w:color="auto" w:fill="FFFFFF"/>
        </w:rPr>
        <w:t>poljoprivrede</w:t>
      </w:r>
      <w:proofErr w:type="spellEnd"/>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72</w:t>
      </w:r>
      <w:r w:rsidRPr="00270BEB">
        <w:rPr>
          <w:rFonts w:ascii="Times New Roman" w:hAnsi="Times New Roman" w:cs="Times New Roman"/>
          <w:color w:val="222222"/>
          <w:shd w:val="clear" w:color="auto" w:fill="FFFFFF"/>
        </w:rPr>
        <w:t>(2), pp.483-500.</w:t>
      </w:r>
    </w:p>
    <w:p w14:paraId="0A2CCA56" w14:textId="7A67A444" w:rsidR="00270BEB" w:rsidRPr="00270BEB" w:rsidRDefault="00270BEB" w:rsidP="00270BEB">
      <w:pPr>
        <w:pStyle w:val="ListParagraph"/>
        <w:numPr>
          <w:ilvl w:val="0"/>
          <w:numId w:val="9"/>
        </w:numPr>
        <w:spacing w:line="360" w:lineRule="auto"/>
        <w:rPr>
          <w:rFonts w:ascii="Times New Roman" w:hAnsi="Times New Roman" w:cs="Times New Roman"/>
        </w:rPr>
      </w:pPr>
      <w:r w:rsidRPr="00270BEB">
        <w:rPr>
          <w:rFonts w:ascii="Times New Roman" w:hAnsi="Times New Roman" w:cs="Times New Roman"/>
          <w:color w:val="222222"/>
          <w:shd w:val="clear" w:color="auto" w:fill="FFFFFF"/>
        </w:rPr>
        <w:t xml:space="preserve">Sam, R., </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Where to Invest in 2026: Global Market Ranking and Outlook—October 2025—Based on the PPP–IRR–SRP Predictive Valuation Model.</w:t>
      </w:r>
    </w:p>
    <w:p w14:paraId="735AF245" w14:textId="792D5A6C" w:rsidR="00270BEB" w:rsidRPr="00270BEB" w:rsidRDefault="00270BEB" w:rsidP="00270BEB">
      <w:pPr>
        <w:pStyle w:val="ListParagraph"/>
        <w:numPr>
          <w:ilvl w:val="0"/>
          <w:numId w:val="9"/>
        </w:numPr>
        <w:spacing w:line="360" w:lineRule="auto"/>
        <w:rPr>
          <w:rFonts w:ascii="Times New Roman" w:hAnsi="Times New Roman" w:cs="Times New Roman"/>
        </w:rPr>
      </w:pPr>
      <w:r w:rsidRPr="00270BEB">
        <w:rPr>
          <w:rFonts w:ascii="Times New Roman" w:hAnsi="Times New Roman" w:cs="Times New Roman"/>
          <w:color w:val="222222"/>
          <w:shd w:val="clear" w:color="auto" w:fill="FFFFFF"/>
        </w:rPr>
        <w:t xml:space="preserve">Sundaram, S., </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proofErr w:type="gramStart"/>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Effect</w:t>
      </w:r>
      <w:proofErr w:type="gramEnd"/>
      <w:r w:rsidRPr="00270BEB">
        <w:rPr>
          <w:rFonts w:ascii="Times New Roman" w:hAnsi="Times New Roman" w:cs="Times New Roman"/>
          <w:color w:val="222222"/>
          <w:shd w:val="clear" w:color="auto" w:fill="FFFFFF"/>
        </w:rPr>
        <w:t xml:space="preserve"> of Degradation Rate on Payback Period and Economic Viability of a 125 </w:t>
      </w:r>
      <w:proofErr w:type="spellStart"/>
      <w:r w:rsidRPr="00270BEB">
        <w:rPr>
          <w:rFonts w:ascii="Times New Roman" w:hAnsi="Times New Roman" w:cs="Times New Roman"/>
          <w:color w:val="222222"/>
          <w:shd w:val="clear" w:color="auto" w:fill="FFFFFF"/>
        </w:rPr>
        <w:t>kWp</w:t>
      </w:r>
      <w:proofErr w:type="spellEnd"/>
      <w:r w:rsidRPr="00270BEB">
        <w:rPr>
          <w:rFonts w:ascii="Times New Roman" w:hAnsi="Times New Roman" w:cs="Times New Roman"/>
          <w:color w:val="222222"/>
          <w:shd w:val="clear" w:color="auto" w:fill="FFFFFF"/>
        </w:rPr>
        <w:t xml:space="preserve"> Rooftop Solar PV System. In </w:t>
      </w:r>
      <w:r w:rsidRPr="00270BEB">
        <w:rPr>
          <w:rFonts w:ascii="Times New Roman" w:hAnsi="Times New Roman" w:cs="Times New Roman"/>
          <w:i/>
          <w:iCs/>
          <w:color w:val="222222"/>
          <w:shd w:val="clear" w:color="auto" w:fill="FFFFFF"/>
        </w:rPr>
        <w:t>2025 IEEE 53rd Photovoltaic Specialists Conference (PVSC)</w:t>
      </w:r>
      <w:r w:rsidRPr="00270BEB">
        <w:rPr>
          <w:rFonts w:ascii="Times New Roman" w:hAnsi="Times New Roman" w:cs="Times New Roman"/>
          <w:color w:val="222222"/>
          <w:shd w:val="clear" w:color="auto" w:fill="FFFFFF"/>
        </w:rPr>
        <w:t> (pp. 1257-1259). IEEE.</w:t>
      </w:r>
    </w:p>
    <w:p w14:paraId="030D47A4" w14:textId="0EF90070" w:rsidR="00270BEB" w:rsidRPr="00270BEB" w:rsidRDefault="00270BEB" w:rsidP="00270BEB">
      <w:pPr>
        <w:pStyle w:val="ListParagraph"/>
        <w:numPr>
          <w:ilvl w:val="0"/>
          <w:numId w:val="9"/>
        </w:numPr>
        <w:spacing w:line="360" w:lineRule="auto"/>
        <w:rPr>
          <w:rFonts w:ascii="Times New Roman" w:hAnsi="Times New Roman" w:cs="Times New Roman"/>
        </w:rPr>
      </w:pPr>
      <w:r w:rsidRPr="00270BEB">
        <w:rPr>
          <w:rFonts w:ascii="Times New Roman" w:hAnsi="Times New Roman" w:cs="Times New Roman"/>
          <w:color w:val="222222"/>
          <w:shd w:val="clear" w:color="auto" w:fill="FFFFFF"/>
        </w:rPr>
        <w:t xml:space="preserve">Sokolov, M.V., </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Defining the payback period for nonconventional cash flows: an axiomatic approach. </w:t>
      </w:r>
      <w:proofErr w:type="spellStart"/>
      <w:r w:rsidRPr="00270BEB">
        <w:rPr>
          <w:rFonts w:ascii="Times New Roman" w:hAnsi="Times New Roman" w:cs="Times New Roman"/>
          <w:i/>
          <w:iCs/>
          <w:color w:val="222222"/>
          <w:shd w:val="clear" w:color="auto" w:fill="FFFFFF"/>
        </w:rPr>
        <w:t>arXiv</w:t>
      </w:r>
      <w:proofErr w:type="spellEnd"/>
      <w:r w:rsidRPr="00270BEB">
        <w:rPr>
          <w:rFonts w:ascii="Times New Roman" w:hAnsi="Times New Roman" w:cs="Times New Roman"/>
          <w:i/>
          <w:iCs/>
          <w:color w:val="222222"/>
          <w:shd w:val="clear" w:color="auto" w:fill="FFFFFF"/>
        </w:rPr>
        <w:t xml:space="preserve"> preprint arXiv:2511.03568</w:t>
      </w:r>
      <w:r w:rsidRPr="00270BEB">
        <w:rPr>
          <w:rFonts w:ascii="Times New Roman" w:hAnsi="Times New Roman" w:cs="Times New Roman"/>
          <w:color w:val="222222"/>
          <w:shd w:val="clear" w:color="auto" w:fill="FFFFFF"/>
        </w:rPr>
        <w:t>.</w:t>
      </w:r>
    </w:p>
    <w:p w14:paraId="2F821ABF" w14:textId="780D890A" w:rsidR="00CC66D8" w:rsidRPr="00270BEB" w:rsidRDefault="00CC66D8" w:rsidP="00270BEB">
      <w:pPr>
        <w:pStyle w:val="ListParagraph"/>
        <w:numPr>
          <w:ilvl w:val="0"/>
          <w:numId w:val="9"/>
        </w:numPr>
        <w:spacing w:line="360" w:lineRule="auto"/>
        <w:rPr>
          <w:rFonts w:ascii="Times New Roman" w:eastAsia="Times New Roman" w:hAnsi="Times New Roman" w:cs="Times New Roman"/>
          <w:lang w:val="en-US"/>
        </w:rPr>
      </w:pPr>
      <w:r w:rsidRPr="00270BEB">
        <w:rPr>
          <w:rFonts w:ascii="Times New Roman" w:eastAsia="Times New Roman" w:hAnsi="Times New Roman" w:cs="Times New Roman"/>
          <w:lang w:val="en-US"/>
        </w:rPr>
        <w:t xml:space="preserve">Sekehravani, </w:t>
      </w:r>
      <w:r w:rsidR="00EB6254">
        <w:rPr>
          <w:rFonts w:ascii="Times New Roman" w:eastAsia="Times New Roman" w:hAnsi="Times New Roman" w:cs="Times New Roman"/>
          <w:lang w:val="en-US"/>
        </w:rPr>
        <w:t>et al, (</w:t>
      </w:r>
      <w:r w:rsidRPr="00270BEB">
        <w:rPr>
          <w:rFonts w:ascii="Times New Roman" w:eastAsia="Times New Roman" w:hAnsi="Times New Roman" w:cs="Times New Roman"/>
          <w:lang w:val="en-US"/>
        </w:rPr>
        <w:t>2025</w:t>
      </w:r>
      <w:r w:rsidR="00EB6254">
        <w:rPr>
          <w:rFonts w:ascii="Times New Roman" w:eastAsia="Times New Roman" w:hAnsi="Times New Roman" w:cs="Times New Roman"/>
          <w:lang w:val="en-US"/>
        </w:rPr>
        <w:t>)</w:t>
      </w:r>
      <w:r w:rsidRPr="00270BEB">
        <w:rPr>
          <w:rFonts w:ascii="Times New Roman" w:eastAsia="Times New Roman" w:hAnsi="Times New Roman" w:cs="Times New Roman"/>
          <w:lang w:val="en-US"/>
        </w:rPr>
        <w:t>. Preliminary Breakdown Pulses (PBP): A review on available data and models. Electric Power Systems Research, 242, p.111463.</w:t>
      </w:r>
    </w:p>
    <w:p w14:paraId="2D48E5C3" w14:textId="0CF9C41D" w:rsidR="00CC66D8" w:rsidRPr="00270BEB" w:rsidRDefault="00CC66D8" w:rsidP="00270BEB">
      <w:pPr>
        <w:pStyle w:val="ListParagraph"/>
        <w:numPr>
          <w:ilvl w:val="0"/>
          <w:numId w:val="9"/>
        </w:numPr>
        <w:spacing w:line="360" w:lineRule="auto"/>
        <w:rPr>
          <w:rFonts w:ascii="Times New Roman" w:eastAsia="Times New Roman" w:hAnsi="Times New Roman" w:cs="Times New Roman"/>
          <w:lang w:val="en-US"/>
        </w:rPr>
      </w:pPr>
      <w:r w:rsidRPr="00270BEB">
        <w:rPr>
          <w:rFonts w:ascii="Times New Roman" w:eastAsia="Times New Roman" w:hAnsi="Times New Roman" w:cs="Times New Roman"/>
          <w:lang w:val="en-US"/>
        </w:rPr>
        <w:t xml:space="preserve">Stephen, C., Kannan, H. and Salado, A., </w:t>
      </w:r>
      <w:r w:rsidR="00EB6254">
        <w:rPr>
          <w:rFonts w:ascii="Times New Roman" w:eastAsia="Times New Roman" w:hAnsi="Times New Roman" w:cs="Times New Roman"/>
          <w:lang w:val="en-US"/>
        </w:rPr>
        <w:t>(</w:t>
      </w:r>
      <w:r w:rsidRPr="00270BEB">
        <w:rPr>
          <w:rFonts w:ascii="Times New Roman" w:eastAsia="Times New Roman" w:hAnsi="Times New Roman" w:cs="Times New Roman"/>
          <w:lang w:val="en-US"/>
        </w:rPr>
        <w:t>2024</w:t>
      </w:r>
      <w:r w:rsidR="00EB6254">
        <w:rPr>
          <w:rFonts w:ascii="Times New Roman" w:eastAsia="Times New Roman" w:hAnsi="Times New Roman" w:cs="Times New Roman"/>
          <w:lang w:val="en-US"/>
        </w:rPr>
        <w:t>)</w:t>
      </w:r>
      <w:r w:rsidRPr="00270BEB">
        <w:rPr>
          <w:rFonts w:ascii="Times New Roman" w:eastAsia="Times New Roman" w:hAnsi="Times New Roman" w:cs="Times New Roman"/>
          <w:lang w:val="en-US"/>
        </w:rPr>
        <w:t>. Formal Inconsistencies of Expertise Aggregation Techniques Commonly Employed in Engineering Teams. Systems, 12(5), p.180.</w:t>
      </w:r>
    </w:p>
    <w:p w14:paraId="60A3222F" w14:textId="488533E5" w:rsidR="00CC66D8" w:rsidRPr="00270BEB" w:rsidRDefault="00CC66D8" w:rsidP="00270BEB">
      <w:pPr>
        <w:pStyle w:val="ListParagraph"/>
        <w:numPr>
          <w:ilvl w:val="0"/>
          <w:numId w:val="9"/>
        </w:numPr>
        <w:spacing w:line="360" w:lineRule="auto"/>
        <w:rPr>
          <w:rFonts w:ascii="Times New Roman" w:eastAsia="Times New Roman" w:hAnsi="Times New Roman" w:cs="Times New Roman"/>
          <w:lang w:val="en-US"/>
        </w:rPr>
      </w:pPr>
      <w:r w:rsidRPr="00270BEB">
        <w:rPr>
          <w:rFonts w:ascii="Times New Roman" w:eastAsia="Times New Roman" w:hAnsi="Times New Roman" w:cs="Times New Roman"/>
          <w:lang w:val="en-US"/>
        </w:rPr>
        <w:t xml:space="preserve">Srilekha, N. and Basha, M.S.K., </w:t>
      </w:r>
      <w:r w:rsidR="00EB6254">
        <w:rPr>
          <w:rFonts w:ascii="Times New Roman" w:eastAsia="Times New Roman" w:hAnsi="Times New Roman" w:cs="Times New Roman"/>
          <w:lang w:val="en-US"/>
        </w:rPr>
        <w:t>(</w:t>
      </w:r>
      <w:r w:rsidRPr="00270BEB">
        <w:rPr>
          <w:rFonts w:ascii="Times New Roman" w:eastAsia="Times New Roman" w:hAnsi="Times New Roman" w:cs="Times New Roman"/>
          <w:lang w:val="en-US"/>
        </w:rPr>
        <w:t>2025</w:t>
      </w:r>
      <w:r w:rsidR="00EB6254">
        <w:rPr>
          <w:rFonts w:ascii="Times New Roman" w:eastAsia="Times New Roman" w:hAnsi="Times New Roman" w:cs="Times New Roman"/>
          <w:lang w:val="en-US"/>
        </w:rPr>
        <w:t>)</w:t>
      </w:r>
      <w:r w:rsidRPr="00270BEB">
        <w:rPr>
          <w:rFonts w:ascii="Times New Roman" w:eastAsia="Times New Roman" w:hAnsi="Times New Roman" w:cs="Times New Roman"/>
          <w:lang w:val="en-US"/>
        </w:rPr>
        <w:t>. A COMPREHENSIVE STUDY ON FINANCIAL CAPITAL BUDGETING WITH REFERENCE TO FUSION BLOCKS PVT LTD, TIKKAVARAM.</w:t>
      </w:r>
    </w:p>
    <w:p w14:paraId="6D6355B0" w14:textId="4D422BEF" w:rsidR="00270BEB" w:rsidRPr="00270BEB" w:rsidRDefault="00270BEB" w:rsidP="00270BEB">
      <w:pPr>
        <w:pStyle w:val="ListParagraph"/>
        <w:numPr>
          <w:ilvl w:val="0"/>
          <w:numId w:val="9"/>
        </w:numPr>
        <w:spacing w:line="360" w:lineRule="auto"/>
        <w:rPr>
          <w:rFonts w:ascii="Times New Roman" w:hAnsi="Times New Roman" w:cs="Times New Roman"/>
        </w:rPr>
      </w:pPr>
      <w:r w:rsidRPr="00270BEB">
        <w:rPr>
          <w:rFonts w:ascii="Times New Roman" w:hAnsi="Times New Roman" w:cs="Times New Roman"/>
          <w:color w:val="222222"/>
          <w:shd w:val="clear" w:color="auto" w:fill="FFFFFF"/>
        </w:rPr>
        <w:t xml:space="preserve">Tanjung, M., </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2025</w:t>
      </w:r>
      <w:r w:rsidR="00EB6254">
        <w:rPr>
          <w:rFonts w:ascii="Times New Roman" w:hAnsi="Times New Roman" w:cs="Times New Roman"/>
          <w:color w:val="222222"/>
          <w:shd w:val="clear" w:color="auto" w:fill="FFFFFF"/>
        </w:rPr>
        <w:t>)</w:t>
      </w:r>
      <w:r w:rsidRPr="00270BEB">
        <w:rPr>
          <w:rFonts w:ascii="Times New Roman" w:hAnsi="Times New Roman" w:cs="Times New Roman"/>
          <w:color w:val="222222"/>
          <w:shd w:val="clear" w:color="auto" w:fill="FFFFFF"/>
        </w:rPr>
        <w:t>. EXAMINING THE IMPACT OF LIQUIDITY AND SOLVENCY RATIOS ON FIRM’S PROFITABILITY: INSIGHTS FROM THE INDONESIAN TECH COMPANIES. </w:t>
      </w:r>
      <w:r w:rsidRPr="00270BEB">
        <w:rPr>
          <w:rFonts w:ascii="Times New Roman" w:hAnsi="Times New Roman" w:cs="Times New Roman"/>
          <w:i/>
          <w:iCs/>
          <w:color w:val="222222"/>
          <w:shd w:val="clear" w:color="auto" w:fill="FFFFFF"/>
        </w:rPr>
        <w:t>Journal of Application Business &amp; Management/</w:t>
      </w:r>
      <w:proofErr w:type="spellStart"/>
      <w:r w:rsidRPr="00270BEB">
        <w:rPr>
          <w:rFonts w:ascii="Times New Roman" w:hAnsi="Times New Roman" w:cs="Times New Roman"/>
          <w:i/>
          <w:iCs/>
          <w:color w:val="222222"/>
          <w:shd w:val="clear" w:color="auto" w:fill="FFFFFF"/>
        </w:rPr>
        <w:t>Jurnal</w:t>
      </w:r>
      <w:proofErr w:type="spellEnd"/>
      <w:r w:rsidRPr="00270BEB">
        <w:rPr>
          <w:rFonts w:ascii="Times New Roman" w:hAnsi="Times New Roman" w:cs="Times New Roman"/>
          <w:i/>
          <w:iCs/>
          <w:color w:val="222222"/>
          <w:shd w:val="clear" w:color="auto" w:fill="FFFFFF"/>
        </w:rPr>
        <w:t xml:space="preserve"> </w:t>
      </w:r>
      <w:proofErr w:type="spellStart"/>
      <w:r w:rsidRPr="00270BEB">
        <w:rPr>
          <w:rFonts w:ascii="Times New Roman" w:hAnsi="Times New Roman" w:cs="Times New Roman"/>
          <w:i/>
          <w:iCs/>
          <w:color w:val="222222"/>
          <w:shd w:val="clear" w:color="auto" w:fill="FFFFFF"/>
        </w:rPr>
        <w:t>Aplikasi</w:t>
      </w:r>
      <w:proofErr w:type="spellEnd"/>
      <w:r w:rsidRPr="00270BEB">
        <w:rPr>
          <w:rFonts w:ascii="Times New Roman" w:hAnsi="Times New Roman" w:cs="Times New Roman"/>
          <w:i/>
          <w:iCs/>
          <w:color w:val="222222"/>
          <w:shd w:val="clear" w:color="auto" w:fill="FFFFFF"/>
        </w:rPr>
        <w:t xml:space="preserve"> </w:t>
      </w:r>
      <w:proofErr w:type="spellStart"/>
      <w:r w:rsidRPr="00270BEB">
        <w:rPr>
          <w:rFonts w:ascii="Times New Roman" w:hAnsi="Times New Roman" w:cs="Times New Roman"/>
          <w:i/>
          <w:iCs/>
          <w:color w:val="222222"/>
          <w:shd w:val="clear" w:color="auto" w:fill="FFFFFF"/>
        </w:rPr>
        <w:t>Bisnis</w:t>
      </w:r>
      <w:proofErr w:type="spellEnd"/>
      <w:r w:rsidRPr="00270BEB">
        <w:rPr>
          <w:rFonts w:ascii="Times New Roman" w:hAnsi="Times New Roman" w:cs="Times New Roman"/>
          <w:i/>
          <w:iCs/>
          <w:color w:val="222222"/>
          <w:shd w:val="clear" w:color="auto" w:fill="FFFFFF"/>
        </w:rPr>
        <w:t xml:space="preserve"> dan </w:t>
      </w:r>
      <w:proofErr w:type="spellStart"/>
      <w:r w:rsidRPr="00270BEB">
        <w:rPr>
          <w:rFonts w:ascii="Times New Roman" w:hAnsi="Times New Roman" w:cs="Times New Roman"/>
          <w:i/>
          <w:iCs/>
          <w:color w:val="222222"/>
          <w:shd w:val="clear" w:color="auto" w:fill="FFFFFF"/>
        </w:rPr>
        <w:t>Manajemen</w:t>
      </w:r>
      <w:proofErr w:type="spellEnd"/>
      <w:r w:rsidRPr="00270BEB">
        <w:rPr>
          <w:rFonts w:ascii="Times New Roman" w:hAnsi="Times New Roman" w:cs="Times New Roman"/>
          <w:color w:val="222222"/>
          <w:shd w:val="clear" w:color="auto" w:fill="FFFFFF"/>
        </w:rPr>
        <w:t>, </w:t>
      </w:r>
      <w:r w:rsidRPr="00270BEB">
        <w:rPr>
          <w:rFonts w:ascii="Times New Roman" w:hAnsi="Times New Roman" w:cs="Times New Roman"/>
          <w:i/>
          <w:iCs/>
          <w:color w:val="222222"/>
          <w:shd w:val="clear" w:color="auto" w:fill="FFFFFF"/>
        </w:rPr>
        <w:t>11</w:t>
      </w:r>
      <w:r w:rsidRPr="00270BEB">
        <w:rPr>
          <w:rFonts w:ascii="Times New Roman" w:hAnsi="Times New Roman" w:cs="Times New Roman"/>
          <w:color w:val="222222"/>
          <w:shd w:val="clear" w:color="auto" w:fill="FFFFFF"/>
        </w:rPr>
        <w:t>(1).</w:t>
      </w:r>
    </w:p>
    <w:p w14:paraId="16DB415E" w14:textId="4EE7D7BA" w:rsidR="00CC66D8" w:rsidRPr="00270BEB" w:rsidRDefault="00CC66D8" w:rsidP="00270BEB">
      <w:pPr>
        <w:pStyle w:val="NormalWeb"/>
        <w:numPr>
          <w:ilvl w:val="0"/>
          <w:numId w:val="9"/>
        </w:numPr>
        <w:spacing w:before="0" w:line="360" w:lineRule="auto"/>
        <w:rPr>
          <w:sz w:val="22"/>
          <w:szCs w:val="22"/>
        </w:rPr>
        <w:sectPr w:rsidR="00CC66D8" w:rsidRPr="00270BEB" w:rsidSect="00FB49F4">
          <w:pgSz w:w="11906" w:h="16838"/>
          <w:pgMar w:top="1440" w:right="1440" w:bottom="1440" w:left="1440" w:header="708" w:footer="708" w:gutter="0"/>
          <w:pgNumType w:start="1"/>
          <w:cols w:space="708"/>
          <w:docGrid w:linePitch="360"/>
        </w:sectPr>
      </w:pPr>
      <w:r w:rsidRPr="00270BEB">
        <w:rPr>
          <w:sz w:val="22"/>
          <w:szCs w:val="22"/>
        </w:rPr>
        <w:t xml:space="preserve">Wang-Nava, K., </w:t>
      </w:r>
      <w:r w:rsidR="00EB6254">
        <w:rPr>
          <w:sz w:val="22"/>
          <w:szCs w:val="22"/>
        </w:rPr>
        <w:t>(</w:t>
      </w:r>
      <w:r w:rsidRPr="00270BEB">
        <w:rPr>
          <w:sz w:val="22"/>
          <w:szCs w:val="22"/>
        </w:rPr>
        <w:t>2025</w:t>
      </w:r>
      <w:r w:rsidR="00EB6254">
        <w:rPr>
          <w:sz w:val="22"/>
          <w:szCs w:val="22"/>
        </w:rPr>
        <w:t>)</w:t>
      </w:r>
      <w:r w:rsidRPr="00270BEB">
        <w:rPr>
          <w:sz w:val="22"/>
          <w:szCs w:val="22"/>
        </w:rPr>
        <w:t>. –Time value of Money valuing cash flow streams. Fundamentals of Finance: A Practical Guide to Financial Literacy and Decision-Making.</w:t>
      </w:r>
    </w:p>
    <w:p w14:paraId="74677382" w14:textId="77777777" w:rsidR="001F675A" w:rsidRPr="009225E6" w:rsidRDefault="001F675A">
      <w:pPr>
        <w:rPr>
          <w:rFonts w:ascii="Times New Roman" w:eastAsia="Times New Roman" w:hAnsi="Times New Roman" w:cs="Times New Roman"/>
          <w:sz w:val="27"/>
          <w:szCs w:val="27"/>
          <w:lang w:val="en-US"/>
        </w:rPr>
      </w:pPr>
    </w:p>
    <w:p w14:paraId="3FC7438E" w14:textId="77777777" w:rsidR="001F675A" w:rsidRPr="009225E6" w:rsidRDefault="001F675A" w:rsidP="00B474EC">
      <w:pPr>
        <w:pStyle w:val="Heading1"/>
        <w:rPr>
          <w:rFonts w:ascii="Times New Roman" w:hAnsi="Times New Roman" w:cs="Times New Roman"/>
        </w:rPr>
      </w:pPr>
      <w:bookmarkStart w:id="35" w:name="_Toc210237858"/>
      <w:r w:rsidRPr="009225E6">
        <w:rPr>
          <w:rFonts w:ascii="Times New Roman" w:hAnsi="Times New Roman" w:cs="Times New Roman"/>
        </w:rPr>
        <w:t>Appendix</w:t>
      </w:r>
      <w:r w:rsidR="00B474EC" w:rsidRPr="009225E6">
        <w:rPr>
          <w:rFonts w:ascii="Times New Roman" w:hAnsi="Times New Roman" w:cs="Times New Roman"/>
        </w:rPr>
        <w:t xml:space="preserve">-I </w:t>
      </w:r>
      <w:r w:rsidRPr="009225E6">
        <w:rPr>
          <w:rFonts w:ascii="Times New Roman" w:hAnsi="Times New Roman" w:cs="Times New Roman"/>
        </w:rPr>
        <w:t>Ratios Table</w:t>
      </w:r>
      <w:bookmarkEnd w:id="35"/>
    </w:p>
    <w:tbl>
      <w:tblPr>
        <w:tblW w:w="14314" w:type="dxa"/>
        <w:tblInd w:w="93" w:type="dxa"/>
        <w:tblLook w:val="04A0" w:firstRow="1" w:lastRow="0" w:firstColumn="1" w:lastColumn="0" w:noHBand="0" w:noVBand="1"/>
      </w:tblPr>
      <w:tblGrid>
        <w:gridCol w:w="993"/>
        <w:gridCol w:w="1255"/>
        <w:gridCol w:w="374"/>
        <w:gridCol w:w="733"/>
        <w:gridCol w:w="1255"/>
        <w:gridCol w:w="976"/>
        <w:gridCol w:w="1315"/>
        <w:gridCol w:w="2392"/>
        <w:gridCol w:w="149"/>
        <w:gridCol w:w="1106"/>
        <w:gridCol w:w="149"/>
        <w:gridCol w:w="958"/>
        <w:gridCol w:w="297"/>
        <w:gridCol w:w="958"/>
        <w:gridCol w:w="149"/>
        <w:gridCol w:w="1255"/>
      </w:tblGrid>
      <w:tr w:rsidR="001F675A" w:rsidRPr="009225E6" w14:paraId="50ECED05" w14:textId="77777777" w:rsidTr="007259D9">
        <w:trPr>
          <w:trHeight w:val="245"/>
        </w:trPr>
        <w:tc>
          <w:tcPr>
            <w:tcW w:w="992" w:type="dxa"/>
            <w:tcBorders>
              <w:top w:val="nil"/>
              <w:left w:val="single" w:sz="8" w:space="0" w:color="auto"/>
              <w:bottom w:val="single" w:sz="4" w:space="0" w:color="auto"/>
              <w:right w:val="single" w:sz="4" w:space="0" w:color="auto"/>
            </w:tcBorders>
            <w:shd w:val="clear" w:color="000000" w:fill="DDD9C4"/>
            <w:noWrap/>
            <w:vAlign w:val="bottom"/>
            <w:hideMark/>
          </w:tcPr>
          <w:p w14:paraId="5A7765D7" w14:textId="77777777" w:rsidR="001F675A" w:rsidRPr="009225E6" w:rsidRDefault="001F675A" w:rsidP="00662AC8">
            <w:pPr>
              <w:spacing w:after="0" w:line="240" w:lineRule="auto"/>
              <w:rPr>
                <w:rFonts w:ascii="Times New Roman" w:eastAsia="Times New Roman" w:hAnsi="Times New Roman" w:cs="Times New Roman"/>
                <w:color w:val="FF0000"/>
                <w:sz w:val="28"/>
                <w:szCs w:val="28"/>
                <w:lang w:val="en-US"/>
              </w:rPr>
            </w:pPr>
            <w:proofErr w:type="spellStart"/>
            <w:r w:rsidRPr="009225E6">
              <w:rPr>
                <w:rFonts w:ascii="Times New Roman" w:eastAsia="Times New Roman" w:hAnsi="Times New Roman" w:cs="Times New Roman"/>
                <w:color w:val="FF0000"/>
                <w:sz w:val="28"/>
                <w:szCs w:val="28"/>
                <w:lang w:val="en-US"/>
              </w:rPr>
              <w:t>S.No</w:t>
            </w:r>
            <w:proofErr w:type="spellEnd"/>
          </w:p>
        </w:tc>
        <w:tc>
          <w:tcPr>
            <w:tcW w:w="1629" w:type="dxa"/>
            <w:gridSpan w:val="2"/>
            <w:tcBorders>
              <w:top w:val="nil"/>
              <w:left w:val="nil"/>
              <w:bottom w:val="single" w:sz="4" w:space="0" w:color="auto"/>
              <w:right w:val="single" w:sz="4" w:space="0" w:color="auto"/>
            </w:tcBorders>
            <w:shd w:val="clear" w:color="000000" w:fill="DDD9C4"/>
            <w:vAlign w:val="bottom"/>
            <w:hideMark/>
          </w:tcPr>
          <w:p w14:paraId="318ADF58" w14:textId="77777777" w:rsidR="001F675A" w:rsidRPr="009225E6" w:rsidRDefault="001F675A" w:rsidP="00662AC8">
            <w:pPr>
              <w:spacing w:after="0" w:line="240" w:lineRule="auto"/>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Ratio</w:t>
            </w:r>
          </w:p>
        </w:tc>
        <w:tc>
          <w:tcPr>
            <w:tcW w:w="2964" w:type="dxa"/>
            <w:gridSpan w:val="3"/>
            <w:tcBorders>
              <w:top w:val="nil"/>
              <w:left w:val="nil"/>
              <w:bottom w:val="single" w:sz="4" w:space="0" w:color="auto"/>
              <w:right w:val="single" w:sz="4" w:space="0" w:color="auto"/>
            </w:tcBorders>
            <w:shd w:val="clear" w:color="000000" w:fill="DDD9C4"/>
            <w:noWrap/>
            <w:vAlign w:val="bottom"/>
            <w:hideMark/>
          </w:tcPr>
          <w:p w14:paraId="37A6FE92" w14:textId="77777777" w:rsidR="001F675A" w:rsidRPr="009225E6" w:rsidRDefault="001F675A" w:rsidP="00662AC8">
            <w:pPr>
              <w:spacing w:after="0" w:line="240" w:lineRule="auto"/>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Formula</w:t>
            </w:r>
          </w:p>
        </w:tc>
        <w:tc>
          <w:tcPr>
            <w:tcW w:w="1315" w:type="dxa"/>
            <w:tcBorders>
              <w:top w:val="nil"/>
              <w:left w:val="nil"/>
              <w:bottom w:val="single" w:sz="4" w:space="0" w:color="auto"/>
              <w:right w:val="single" w:sz="4" w:space="0" w:color="auto"/>
            </w:tcBorders>
            <w:shd w:val="clear" w:color="000000" w:fill="DDD9C4"/>
            <w:noWrap/>
            <w:vAlign w:val="bottom"/>
            <w:hideMark/>
          </w:tcPr>
          <w:p w14:paraId="1C810B72" w14:textId="77777777" w:rsidR="001F675A" w:rsidRPr="009225E6" w:rsidRDefault="001F675A" w:rsidP="00662AC8">
            <w:pPr>
              <w:spacing w:after="0" w:line="240" w:lineRule="auto"/>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Measure-</w:t>
            </w:r>
          </w:p>
          <w:p w14:paraId="1DA0D72D" w14:textId="77777777" w:rsidR="001F675A" w:rsidRPr="009225E6" w:rsidRDefault="001F675A" w:rsidP="00662AC8">
            <w:pPr>
              <w:spacing w:after="0" w:line="240" w:lineRule="auto"/>
              <w:rPr>
                <w:rFonts w:ascii="Times New Roman" w:eastAsia="Times New Roman" w:hAnsi="Times New Roman" w:cs="Times New Roman"/>
                <w:color w:val="FF0000"/>
                <w:sz w:val="28"/>
                <w:szCs w:val="28"/>
                <w:lang w:val="en-US"/>
              </w:rPr>
            </w:pPr>
            <w:proofErr w:type="spellStart"/>
            <w:r w:rsidRPr="009225E6">
              <w:rPr>
                <w:rFonts w:ascii="Times New Roman" w:eastAsia="Times New Roman" w:hAnsi="Times New Roman" w:cs="Times New Roman"/>
                <w:color w:val="FF0000"/>
                <w:sz w:val="28"/>
                <w:szCs w:val="28"/>
                <w:lang w:val="en-US"/>
              </w:rPr>
              <w:t>ment</w:t>
            </w:r>
            <w:proofErr w:type="spellEnd"/>
          </w:p>
        </w:tc>
        <w:tc>
          <w:tcPr>
            <w:tcW w:w="2541" w:type="dxa"/>
            <w:gridSpan w:val="2"/>
            <w:tcBorders>
              <w:top w:val="nil"/>
              <w:left w:val="nil"/>
              <w:bottom w:val="single" w:sz="4" w:space="0" w:color="auto"/>
              <w:right w:val="single" w:sz="4" w:space="0" w:color="auto"/>
            </w:tcBorders>
            <w:shd w:val="clear" w:color="000000" w:fill="DDD9C4"/>
            <w:noWrap/>
            <w:vAlign w:val="bottom"/>
            <w:hideMark/>
          </w:tcPr>
          <w:p w14:paraId="3E6BAD1E" w14:textId="77777777" w:rsidR="001F675A" w:rsidRPr="009225E6" w:rsidRDefault="001F675A" w:rsidP="00662AC8">
            <w:pPr>
              <w:spacing w:after="0" w:line="240" w:lineRule="auto"/>
              <w:jc w:val="right"/>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2024</w:t>
            </w:r>
          </w:p>
        </w:tc>
        <w:tc>
          <w:tcPr>
            <w:tcW w:w="1255" w:type="dxa"/>
            <w:gridSpan w:val="2"/>
            <w:tcBorders>
              <w:top w:val="nil"/>
              <w:left w:val="nil"/>
              <w:bottom w:val="single" w:sz="4" w:space="0" w:color="auto"/>
              <w:right w:val="single" w:sz="4" w:space="0" w:color="auto"/>
            </w:tcBorders>
            <w:shd w:val="clear" w:color="000000" w:fill="DDD9C4"/>
            <w:noWrap/>
            <w:vAlign w:val="bottom"/>
            <w:hideMark/>
          </w:tcPr>
          <w:p w14:paraId="43DD3496" w14:textId="77777777" w:rsidR="001F675A" w:rsidRPr="009225E6" w:rsidRDefault="001F675A" w:rsidP="00662AC8">
            <w:pPr>
              <w:spacing w:after="0" w:line="240" w:lineRule="auto"/>
              <w:jc w:val="right"/>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2023</w:t>
            </w:r>
          </w:p>
        </w:tc>
        <w:tc>
          <w:tcPr>
            <w:tcW w:w="1255" w:type="dxa"/>
            <w:gridSpan w:val="2"/>
            <w:tcBorders>
              <w:top w:val="nil"/>
              <w:left w:val="nil"/>
              <w:bottom w:val="single" w:sz="4" w:space="0" w:color="auto"/>
              <w:right w:val="single" w:sz="4" w:space="0" w:color="auto"/>
            </w:tcBorders>
            <w:shd w:val="clear" w:color="000000" w:fill="DDD9C4"/>
            <w:noWrap/>
            <w:vAlign w:val="bottom"/>
            <w:hideMark/>
          </w:tcPr>
          <w:p w14:paraId="18372C6C" w14:textId="77777777" w:rsidR="001F675A" w:rsidRPr="009225E6" w:rsidRDefault="001F675A" w:rsidP="00662AC8">
            <w:pPr>
              <w:spacing w:after="0" w:line="240" w:lineRule="auto"/>
              <w:jc w:val="right"/>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2022</w:t>
            </w:r>
          </w:p>
        </w:tc>
        <w:tc>
          <w:tcPr>
            <w:tcW w:w="1107" w:type="dxa"/>
            <w:gridSpan w:val="2"/>
            <w:tcBorders>
              <w:top w:val="nil"/>
              <w:left w:val="nil"/>
              <w:bottom w:val="single" w:sz="4" w:space="0" w:color="auto"/>
              <w:right w:val="single" w:sz="4" w:space="0" w:color="auto"/>
            </w:tcBorders>
            <w:shd w:val="clear" w:color="000000" w:fill="DDD9C4"/>
            <w:noWrap/>
            <w:vAlign w:val="bottom"/>
            <w:hideMark/>
          </w:tcPr>
          <w:p w14:paraId="17AFDB1E" w14:textId="77777777" w:rsidR="001F675A" w:rsidRPr="009225E6" w:rsidRDefault="001F675A" w:rsidP="00662AC8">
            <w:pPr>
              <w:spacing w:after="0" w:line="240" w:lineRule="auto"/>
              <w:jc w:val="right"/>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2021</w:t>
            </w:r>
          </w:p>
        </w:tc>
        <w:tc>
          <w:tcPr>
            <w:tcW w:w="1255" w:type="dxa"/>
            <w:tcBorders>
              <w:top w:val="nil"/>
              <w:left w:val="nil"/>
              <w:bottom w:val="single" w:sz="4" w:space="0" w:color="auto"/>
              <w:right w:val="single" w:sz="8" w:space="0" w:color="auto"/>
            </w:tcBorders>
            <w:shd w:val="clear" w:color="000000" w:fill="DDD9C4"/>
            <w:noWrap/>
            <w:vAlign w:val="bottom"/>
            <w:hideMark/>
          </w:tcPr>
          <w:p w14:paraId="5075C3FF" w14:textId="77777777" w:rsidR="001F675A" w:rsidRPr="009225E6" w:rsidRDefault="001F675A" w:rsidP="00662AC8">
            <w:pPr>
              <w:spacing w:after="0" w:line="240" w:lineRule="auto"/>
              <w:jc w:val="right"/>
              <w:rPr>
                <w:rFonts w:ascii="Times New Roman" w:eastAsia="Times New Roman" w:hAnsi="Times New Roman" w:cs="Times New Roman"/>
                <w:color w:val="FF0000"/>
                <w:sz w:val="28"/>
                <w:szCs w:val="28"/>
                <w:lang w:val="en-US"/>
              </w:rPr>
            </w:pPr>
            <w:r w:rsidRPr="009225E6">
              <w:rPr>
                <w:rFonts w:ascii="Times New Roman" w:eastAsia="Times New Roman" w:hAnsi="Times New Roman" w:cs="Times New Roman"/>
                <w:color w:val="FF0000"/>
                <w:sz w:val="28"/>
                <w:szCs w:val="28"/>
                <w:lang w:val="en-US"/>
              </w:rPr>
              <w:t>2020</w:t>
            </w:r>
          </w:p>
        </w:tc>
      </w:tr>
      <w:tr w:rsidR="001F675A" w:rsidRPr="009225E6" w14:paraId="7F273019" w14:textId="77777777" w:rsidTr="007259D9">
        <w:trPr>
          <w:gridAfter w:val="11"/>
          <w:wAfter w:w="97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2C4DBB6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w:t>
            </w:r>
          </w:p>
        </w:tc>
        <w:tc>
          <w:tcPr>
            <w:tcW w:w="1255" w:type="dxa"/>
            <w:tcBorders>
              <w:top w:val="nil"/>
              <w:left w:val="nil"/>
              <w:bottom w:val="single" w:sz="4" w:space="0" w:color="auto"/>
              <w:right w:val="single" w:sz="4" w:space="0" w:color="auto"/>
            </w:tcBorders>
            <w:noWrap/>
            <w:vAlign w:val="bottom"/>
            <w:hideMark/>
          </w:tcPr>
          <w:p w14:paraId="3D1BF993"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107" w:type="dxa"/>
            <w:gridSpan w:val="2"/>
            <w:tcBorders>
              <w:top w:val="nil"/>
              <w:left w:val="nil"/>
              <w:bottom w:val="single" w:sz="4" w:space="0" w:color="auto"/>
              <w:right w:val="single" w:sz="4" w:space="0" w:color="auto"/>
            </w:tcBorders>
            <w:noWrap/>
            <w:vAlign w:val="bottom"/>
            <w:hideMark/>
          </w:tcPr>
          <w:p w14:paraId="75423FF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tcBorders>
              <w:top w:val="nil"/>
              <w:left w:val="nil"/>
              <w:bottom w:val="single" w:sz="4" w:space="0" w:color="auto"/>
              <w:right w:val="single" w:sz="8" w:space="0" w:color="auto"/>
            </w:tcBorders>
            <w:noWrap/>
            <w:vAlign w:val="bottom"/>
            <w:hideMark/>
          </w:tcPr>
          <w:p w14:paraId="099DA09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4E30AE33" w14:textId="77777777" w:rsidTr="007259D9">
        <w:trPr>
          <w:trHeight w:val="461"/>
        </w:trPr>
        <w:tc>
          <w:tcPr>
            <w:tcW w:w="992" w:type="dxa"/>
            <w:tcBorders>
              <w:top w:val="nil"/>
              <w:left w:val="single" w:sz="8" w:space="0" w:color="auto"/>
              <w:bottom w:val="single" w:sz="4" w:space="0" w:color="auto"/>
              <w:right w:val="single" w:sz="4" w:space="0" w:color="auto"/>
            </w:tcBorders>
            <w:noWrap/>
            <w:vAlign w:val="bottom"/>
            <w:hideMark/>
          </w:tcPr>
          <w:p w14:paraId="1D6D2E76"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009C369E"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noWrap/>
            <w:vAlign w:val="bottom"/>
            <w:hideMark/>
          </w:tcPr>
          <w:p w14:paraId="03E80566"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7723BDCB"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313512BC"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-15,297</w:t>
            </w:r>
          </w:p>
          <w:p w14:paraId="5C1C85CB"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323,354-158,291</w:t>
            </w:r>
          </w:p>
        </w:tc>
        <w:tc>
          <w:tcPr>
            <w:tcW w:w="1255" w:type="dxa"/>
            <w:gridSpan w:val="2"/>
            <w:tcBorders>
              <w:top w:val="nil"/>
              <w:left w:val="nil"/>
              <w:bottom w:val="single" w:sz="4" w:space="0" w:color="auto"/>
              <w:right w:val="single" w:sz="4" w:space="0" w:color="auto"/>
            </w:tcBorders>
            <w:noWrap/>
            <w:hideMark/>
          </w:tcPr>
          <w:p w14:paraId="4D45B23C"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-85,301</w:t>
            </w:r>
          </w:p>
          <w:p w14:paraId="05D37A72"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355,872-161,148</w:t>
            </w:r>
          </w:p>
        </w:tc>
        <w:tc>
          <w:tcPr>
            <w:tcW w:w="1255" w:type="dxa"/>
            <w:gridSpan w:val="2"/>
            <w:tcBorders>
              <w:top w:val="nil"/>
              <w:left w:val="nil"/>
              <w:bottom w:val="single" w:sz="4" w:space="0" w:color="auto"/>
              <w:right w:val="single" w:sz="4" w:space="0" w:color="auto"/>
            </w:tcBorders>
            <w:noWrap/>
            <w:hideMark/>
          </w:tcPr>
          <w:p w14:paraId="1D0D284E"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14,548</w:t>
            </w:r>
          </w:p>
          <w:p w14:paraId="1CCFF75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504,163-216,473</w:t>
            </w:r>
          </w:p>
        </w:tc>
        <w:tc>
          <w:tcPr>
            <w:tcW w:w="1107" w:type="dxa"/>
            <w:gridSpan w:val="2"/>
            <w:tcBorders>
              <w:top w:val="nil"/>
              <w:left w:val="nil"/>
              <w:bottom w:val="single" w:sz="4" w:space="0" w:color="auto"/>
              <w:right w:val="single" w:sz="4" w:space="0" w:color="auto"/>
            </w:tcBorders>
            <w:noWrap/>
            <w:hideMark/>
          </w:tcPr>
          <w:p w14:paraId="71510851"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23,253</w:t>
            </w:r>
          </w:p>
          <w:p w14:paraId="4CB8F659"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510,348-216,787</w:t>
            </w:r>
          </w:p>
        </w:tc>
        <w:tc>
          <w:tcPr>
            <w:tcW w:w="1255" w:type="dxa"/>
            <w:tcBorders>
              <w:top w:val="nil"/>
              <w:left w:val="nil"/>
              <w:bottom w:val="single" w:sz="4" w:space="0" w:color="auto"/>
              <w:right w:val="single" w:sz="8" w:space="0" w:color="auto"/>
            </w:tcBorders>
            <w:noWrap/>
            <w:hideMark/>
          </w:tcPr>
          <w:p w14:paraId="6ECF95F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37,267</w:t>
            </w:r>
          </w:p>
          <w:p w14:paraId="2CB8F23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510,290-179,510</w:t>
            </w:r>
          </w:p>
        </w:tc>
      </w:tr>
      <w:tr w:rsidR="001F675A" w:rsidRPr="009225E6" w14:paraId="424F5D1E" w14:textId="77777777" w:rsidTr="007259D9">
        <w:trPr>
          <w:trHeight w:val="588"/>
        </w:trPr>
        <w:tc>
          <w:tcPr>
            <w:tcW w:w="992" w:type="dxa"/>
            <w:tcBorders>
              <w:top w:val="nil"/>
              <w:left w:val="single" w:sz="8" w:space="0" w:color="auto"/>
              <w:bottom w:val="single" w:sz="4" w:space="0" w:color="auto"/>
              <w:right w:val="single" w:sz="4" w:space="0" w:color="auto"/>
            </w:tcBorders>
            <w:noWrap/>
            <w:vAlign w:val="bottom"/>
            <w:hideMark/>
          </w:tcPr>
          <w:p w14:paraId="3C97B74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A1</w:t>
            </w:r>
          </w:p>
        </w:tc>
        <w:tc>
          <w:tcPr>
            <w:tcW w:w="1629" w:type="dxa"/>
            <w:gridSpan w:val="2"/>
            <w:tcBorders>
              <w:top w:val="nil"/>
              <w:left w:val="nil"/>
              <w:bottom w:val="single" w:sz="4" w:space="0" w:color="auto"/>
              <w:right w:val="single" w:sz="4" w:space="0" w:color="auto"/>
            </w:tcBorders>
            <w:vAlign w:val="bottom"/>
            <w:hideMark/>
          </w:tcPr>
          <w:p w14:paraId="235F66C7"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Return on Capital Employed</w:t>
            </w:r>
          </w:p>
        </w:tc>
        <w:tc>
          <w:tcPr>
            <w:tcW w:w="2964" w:type="dxa"/>
            <w:gridSpan w:val="3"/>
            <w:tcBorders>
              <w:top w:val="nil"/>
              <w:left w:val="nil"/>
              <w:bottom w:val="single" w:sz="4" w:space="0" w:color="auto"/>
              <w:right w:val="single" w:sz="4" w:space="0" w:color="auto"/>
            </w:tcBorders>
            <w:vAlign w:val="bottom"/>
            <w:hideMark/>
          </w:tcPr>
          <w:p w14:paraId="1DF6B26B"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u w:val="single"/>
                <w:lang w:val="en-US"/>
              </w:rPr>
              <w:t xml:space="preserve">Profit Before Interest       </w:t>
            </w:r>
            <w:r w:rsidRPr="009225E6">
              <w:rPr>
                <w:rFonts w:ascii="Times New Roman" w:eastAsia="Times New Roman" w:hAnsi="Times New Roman" w:cs="Times New Roman"/>
                <w:b/>
                <w:bCs/>
                <w:color w:val="000000"/>
                <w:lang w:val="en-US"/>
              </w:rPr>
              <w:t xml:space="preserve">  x 100</w:t>
            </w:r>
            <w:r w:rsidRPr="009225E6">
              <w:rPr>
                <w:rFonts w:ascii="Times New Roman" w:eastAsia="Times New Roman" w:hAnsi="Times New Roman" w:cs="Times New Roman"/>
                <w:b/>
                <w:bCs/>
                <w:color w:val="000000"/>
                <w:lang w:val="en-US"/>
              </w:rPr>
              <w:br/>
              <w:t>Capital Employed (Assets-</w:t>
            </w:r>
            <w:proofErr w:type="spellStart"/>
            <w:r w:rsidRPr="009225E6">
              <w:rPr>
                <w:rFonts w:ascii="Times New Roman" w:eastAsia="Times New Roman" w:hAnsi="Times New Roman" w:cs="Times New Roman"/>
                <w:b/>
                <w:bCs/>
                <w:color w:val="000000"/>
                <w:lang w:val="en-US"/>
              </w:rPr>
              <w:t>Cliabilities</w:t>
            </w:r>
            <w:proofErr w:type="spellEnd"/>
            <w:r w:rsidRPr="009225E6">
              <w:rPr>
                <w:rFonts w:ascii="Times New Roman" w:eastAsia="Times New Roman" w:hAnsi="Times New Roman" w:cs="Times New Roman"/>
                <w:b/>
                <w:bCs/>
                <w:color w:val="000000"/>
                <w:lang w:val="en-US"/>
              </w:rPr>
              <w:t>)</w:t>
            </w:r>
          </w:p>
        </w:tc>
        <w:tc>
          <w:tcPr>
            <w:tcW w:w="1315" w:type="dxa"/>
            <w:tcBorders>
              <w:top w:val="nil"/>
              <w:left w:val="nil"/>
              <w:bottom w:val="single" w:sz="4" w:space="0" w:color="auto"/>
              <w:right w:val="single" w:sz="4" w:space="0" w:color="auto"/>
            </w:tcBorders>
            <w:noWrap/>
            <w:vAlign w:val="bottom"/>
            <w:hideMark/>
          </w:tcPr>
          <w:p w14:paraId="1C276959"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Percentage</w:t>
            </w:r>
          </w:p>
        </w:tc>
        <w:tc>
          <w:tcPr>
            <w:tcW w:w="2541" w:type="dxa"/>
            <w:gridSpan w:val="2"/>
            <w:tcBorders>
              <w:top w:val="nil"/>
              <w:left w:val="nil"/>
              <w:bottom w:val="single" w:sz="4" w:space="0" w:color="auto"/>
              <w:right w:val="single" w:sz="4" w:space="0" w:color="auto"/>
            </w:tcBorders>
            <w:noWrap/>
            <w:vAlign w:val="bottom"/>
            <w:hideMark/>
          </w:tcPr>
          <w:p w14:paraId="2F0130D5"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w:t>
            </w:r>
          </w:p>
        </w:tc>
        <w:tc>
          <w:tcPr>
            <w:tcW w:w="1255" w:type="dxa"/>
            <w:gridSpan w:val="2"/>
            <w:tcBorders>
              <w:top w:val="nil"/>
              <w:left w:val="nil"/>
              <w:bottom w:val="single" w:sz="4" w:space="0" w:color="auto"/>
              <w:right w:val="single" w:sz="4" w:space="0" w:color="auto"/>
            </w:tcBorders>
            <w:noWrap/>
            <w:vAlign w:val="bottom"/>
            <w:hideMark/>
          </w:tcPr>
          <w:p w14:paraId="5BBB2961"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-44%</w:t>
            </w:r>
          </w:p>
        </w:tc>
        <w:tc>
          <w:tcPr>
            <w:tcW w:w="1255" w:type="dxa"/>
            <w:gridSpan w:val="2"/>
            <w:tcBorders>
              <w:top w:val="nil"/>
              <w:left w:val="nil"/>
              <w:bottom w:val="single" w:sz="4" w:space="0" w:color="auto"/>
              <w:right w:val="single" w:sz="4" w:space="0" w:color="auto"/>
            </w:tcBorders>
            <w:noWrap/>
            <w:vAlign w:val="bottom"/>
            <w:hideMark/>
          </w:tcPr>
          <w:p w14:paraId="362F4B73"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1107" w:type="dxa"/>
            <w:gridSpan w:val="2"/>
            <w:tcBorders>
              <w:top w:val="nil"/>
              <w:left w:val="nil"/>
              <w:bottom w:val="single" w:sz="4" w:space="0" w:color="auto"/>
              <w:right w:val="single" w:sz="4" w:space="0" w:color="auto"/>
            </w:tcBorders>
            <w:noWrap/>
            <w:vAlign w:val="bottom"/>
            <w:hideMark/>
          </w:tcPr>
          <w:p w14:paraId="4F6E531E"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w:t>
            </w:r>
          </w:p>
        </w:tc>
        <w:tc>
          <w:tcPr>
            <w:tcW w:w="1255" w:type="dxa"/>
            <w:tcBorders>
              <w:top w:val="nil"/>
              <w:left w:val="nil"/>
              <w:bottom w:val="single" w:sz="4" w:space="0" w:color="auto"/>
              <w:right w:val="single" w:sz="8" w:space="0" w:color="auto"/>
            </w:tcBorders>
            <w:noWrap/>
            <w:vAlign w:val="bottom"/>
            <w:hideMark/>
          </w:tcPr>
          <w:p w14:paraId="567785A8"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r>
      <w:tr w:rsidR="001F675A" w:rsidRPr="009225E6" w14:paraId="6781CF3B"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79B40EA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0BA22250"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660B1939"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52D38875"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1826C7CC"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-24,029</w:t>
            </w:r>
          </w:p>
          <w:p w14:paraId="22CBA80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153,105</w:t>
            </w:r>
          </w:p>
        </w:tc>
        <w:tc>
          <w:tcPr>
            <w:tcW w:w="1255" w:type="dxa"/>
            <w:gridSpan w:val="2"/>
            <w:tcBorders>
              <w:top w:val="nil"/>
              <w:left w:val="nil"/>
              <w:bottom w:val="single" w:sz="4" w:space="0" w:color="auto"/>
              <w:right w:val="single" w:sz="4" w:space="0" w:color="auto"/>
            </w:tcBorders>
            <w:noWrap/>
            <w:hideMark/>
          </w:tcPr>
          <w:p w14:paraId="79FA53A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w:t>
            </w:r>
            <w:r w:rsidRPr="009225E6">
              <w:rPr>
                <w:rFonts w:ascii="Times New Roman" w:hAnsi="Times New Roman" w:cs="Times New Roman"/>
                <w:u w:val="single"/>
              </w:rPr>
              <w:t>98,238</w:t>
            </w:r>
          </w:p>
          <w:p w14:paraId="1369486E"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178,920</w:t>
            </w:r>
          </w:p>
        </w:tc>
        <w:tc>
          <w:tcPr>
            <w:tcW w:w="1255" w:type="dxa"/>
            <w:gridSpan w:val="2"/>
            <w:tcBorders>
              <w:top w:val="nil"/>
              <w:left w:val="nil"/>
              <w:bottom w:val="single" w:sz="4" w:space="0" w:color="auto"/>
              <w:right w:val="single" w:sz="4" w:space="0" w:color="auto"/>
            </w:tcBorders>
            <w:noWrap/>
            <w:hideMark/>
          </w:tcPr>
          <w:p w14:paraId="490C4E25" w14:textId="77777777" w:rsidR="001F675A" w:rsidRPr="009225E6" w:rsidRDefault="001F675A" w:rsidP="00662AC8">
            <w:pPr>
              <w:rPr>
                <w:rFonts w:ascii="Times New Roman" w:hAnsi="Times New Roman" w:cs="Times New Roman"/>
                <w:i/>
                <w:u w:val="single"/>
              </w:rPr>
            </w:pPr>
            <w:r w:rsidRPr="009225E6">
              <w:rPr>
                <w:rFonts w:ascii="Times New Roman" w:hAnsi="Times New Roman" w:cs="Times New Roman"/>
                <w:i/>
                <w:u w:val="single"/>
              </w:rPr>
              <w:t>407</w:t>
            </w:r>
          </w:p>
          <w:p w14:paraId="781EC56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268,406</w:t>
            </w:r>
          </w:p>
        </w:tc>
        <w:tc>
          <w:tcPr>
            <w:tcW w:w="1107" w:type="dxa"/>
            <w:gridSpan w:val="2"/>
            <w:tcBorders>
              <w:top w:val="nil"/>
              <w:left w:val="nil"/>
              <w:bottom w:val="single" w:sz="4" w:space="0" w:color="auto"/>
              <w:right w:val="single" w:sz="4" w:space="0" w:color="auto"/>
            </w:tcBorders>
            <w:noWrap/>
            <w:hideMark/>
          </w:tcPr>
          <w:p w14:paraId="4F87995E"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5,301</w:t>
            </w:r>
          </w:p>
          <w:p w14:paraId="201397B9"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275,949</w:t>
            </w:r>
          </w:p>
        </w:tc>
        <w:tc>
          <w:tcPr>
            <w:tcW w:w="1255" w:type="dxa"/>
            <w:tcBorders>
              <w:top w:val="nil"/>
              <w:left w:val="nil"/>
              <w:bottom w:val="single" w:sz="4" w:space="0" w:color="auto"/>
              <w:right w:val="single" w:sz="8" w:space="0" w:color="auto"/>
            </w:tcBorders>
            <w:noWrap/>
            <w:hideMark/>
          </w:tcPr>
          <w:p w14:paraId="2AB04F41"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38,572</w:t>
            </w:r>
          </w:p>
          <w:p w14:paraId="48DD292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313,301</w:t>
            </w:r>
          </w:p>
        </w:tc>
      </w:tr>
      <w:tr w:rsidR="001F675A" w:rsidRPr="009225E6" w14:paraId="0BB5E941" w14:textId="77777777" w:rsidTr="007259D9">
        <w:trPr>
          <w:trHeight w:val="588"/>
        </w:trPr>
        <w:tc>
          <w:tcPr>
            <w:tcW w:w="992" w:type="dxa"/>
            <w:tcBorders>
              <w:top w:val="nil"/>
              <w:left w:val="single" w:sz="8" w:space="0" w:color="auto"/>
              <w:bottom w:val="single" w:sz="4" w:space="0" w:color="auto"/>
              <w:right w:val="single" w:sz="4" w:space="0" w:color="auto"/>
            </w:tcBorders>
            <w:noWrap/>
            <w:vAlign w:val="bottom"/>
            <w:hideMark/>
          </w:tcPr>
          <w:p w14:paraId="79F7FE7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A2</w:t>
            </w:r>
          </w:p>
        </w:tc>
        <w:tc>
          <w:tcPr>
            <w:tcW w:w="1629" w:type="dxa"/>
            <w:gridSpan w:val="2"/>
            <w:tcBorders>
              <w:top w:val="nil"/>
              <w:left w:val="nil"/>
              <w:bottom w:val="single" w:sz="4" w:space="0" w:color="auto"/>
              <w:right w:val="single" w:sz="4" w:space="0" w:color="auto"/>
            </w:tcBorders>
            <w:vAlign w:val="bottom"/>
            <w:hideMark/>
          </w:tcPr>
          <w:p w14:paraId="39EB35D7"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Return on Equity</w:t>
            </w:r>
          </w:p>
        </w:tc>
        <w:tc>
          <w:tcPr>
            <w:tcW w:w="2964" w:type="dxa"/>
            <w:gridSpan w:val="3"/>
            <w:tcBorders>
              <w:top w:val="nil"/>
              <w:left w:val="nil"/>
              <w:bottom w:val="single" w:sz="4" w:space="0" w:color="auto"/>
              <w:right w:val="single" w:sz="4" w:space="0" w:color="auto"/>
            </w:tcBorders>
            <w:vAlign w:val="bottom"/>
            <w:hideMark/>
          </w:tcPr>
          <w:p w14:paraId="0F7D3B92"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u w:val="single"/>
                <w:lang w:val="en-US"/>
              </w:rPr>
              <w:t xml:space="preserve">Earnings (Profit after Tax)       </w:t>
            </w:r>
            <w:r w:rsidRPr="009225E6">
              <w:rPr>
                <w:rFonts w:ascii="Times New Roman" w:eastAsia="Times New Roman" w:hAnsi="Times New Roman" w:cs="Times New Roman"/>
                <w:b/>
                <w:bCs/>
                <w:color w:val="000000"/>
                <w:lang w:val="en-US"/>
              </w:rPr>
              <w:t xml:space="preserve">  x 100</w:t>
            </w:r>
            <w:r w:rsidRPr="009225E6">
              <w:rPr>
                <w:rFonts w:ascii="Times New Roman" w:eastAsia="Times New Roman" w:hAnsi="Times New Roman" w:cs="Times New Roman"/>
                <w:b/>
                <w:bCs/>
                <w:color w:val="000000"/>
                <w:lang w:val="en-US"/>
              </w:rPr>
              <w:br/>
              <w:t>Common Equity</w:t>
            </w:r>
          </w:p>
        </w:tc>
        <w:tc>
          <w:tcPr>
            <w:tcW w:w="1315" w:type="dxa"/>
            <w:tcBorders>
              <w:top w:val="nil"/>
              <w:left w:val="nil"/>
              <w:bottom w:val="single" w:sz="4" w:space="0" w:color="auto"/>
              <w:right w:val="single" w:sz="4" w:space="0" w:color="auto"/>
            </w:tcBorders>
            <w:noWrap/>
            <w:vAlign w:val="bottom"/>
            <w:hideMark/>
          </w:tcPr>
          <w:p w14:paraId="526307EF"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Percentage</w:t>
            </w:r>
          </w:p>
        </w:tc>
        <w:tc>
          <w:tcPr>
            <w:tcW w:w="2541" w:type="dxa"/>
            <w:gridSpan w:val="2"/>
            <w:tcBorders>
              <w:top w:val="nil"/>
              <w:left w:val="nil"/>
              <w:bottom w:val="single" w:sz="4" w:space="0" w:color="auto"/>
              <w:right w:val="single" w:sz="4" w:space="0" w:color="auto"/>
            </w:tcBorders>
            <w:noWrap/>
            <w:vAlign w:val="bottom"/>
            <w:hideMark/>
          </w:tcPr>
          <w:p w14:paraId="3C3448FF"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w:t>
            </w:r>
          </w:p>
        </w:tc>
        <w:tc>
          <w:tcPr>
            <w:tcW w:w="1255" w:type="dxa"/>
            <w:gridSpan w:val="2"/>
            <w:tcBorders>
              <w:top w:val="nil"/>
              <w:left w:val="nil"/>
              <w:bottom w:val="single" w:sz="4" w:space="0" w:color="auto"/>
              <w:right w:val="single" w:sz="4" w:space="0" w:color="auto"/>
            </w:tcBorders>
            <w:noWrap/>
            <w:vAlign w:val="bottom"/>
            <w:hideMark/>
          </w:tcPr>
          <w:p w14:paraId="3CE12B10"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-55%</w:t>
            </w:r>
          </w:p>
        </w:tc>
        <w:tc>
          <w:tcPr>
            <w:tcW w:w="1255" w:type="dxa"/>
            <w:gridSpan w:val="2"/>
            <w:tcBorders>
              <w:top w:val="nil"/>
              <w:left w:val="nil"/>
              <w:bottom w:val="single" w:sz="4" w:space="0" w:color="auto"/>
              <w:right w:val="single" w:sz="4" w:space="0" w:color="auto"/>
            </w:tcBorders>
            <w:noWrap/>
            <w:vAlign w:val="bottom"/>
            <w:hideMark/>
          </w:tcPr>
          <w:p w14:paraId="253DE925"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1107" w:type="dxa"/>
            <w:gridSpan w:val="2"/>
            <w:tcBorders>
              <w:top w:val="nil"/>
              <w:left w:val="nil"/>
              <w:bottom w:val="single" w:sz="4" w:space="0" w:color="auto"/>
              <w:right w:val="single" w:sz="4" w:space="0" w:color="auto"/>
            </w:tcBorders>
            <w:noWrap/>
            <w:vAlign w:val="bottom"/>
            <w:hideMark/>
          </w:tcPr>
          <w:p w14:paraId="5325EC3C"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1255" w:type="dxa"/>
            <w:tcBorders>
              <w:top w:val="nil"/>
              <w:left w:val="nil"/>
              <w:bottom w:val="single" w:sz="4" w:space="0" w:color="auto"/>
              <w:right w:val="single" w:sz="8" w:space="0" w:color="auto"/>
            </w:tcBorders>
            <w:noWrap/>
            <w:vAlign w:val="bottom"/>
            <w:hideMark/>
          </w:tcPr>
          <w:p w14:paraId="70E491AF"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w:t>
            </w:r>
          </w:p>
        </w:tc>
      </w:tr>
      <w:tr w:rsidR="001F675A" w:rsidRPr="009225E6" w14:paraId="560E26FC"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5CC20DB2"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1B945084"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23E18C2E" w14:textId="77777777" w:rsidR="001F675A" w:rsidRPr="009225E6" w:rsidRDefault="001F675A" w:rsidP="00662AC8">
            <w:pPr>
              <w:spacing w:after="0" w:line="240" w:lineRule="auto"/>
              <w:rPr>
                <w:rFonts w:ascii="Times New Roman" w:eastAsia="Times New Roman" w:hAnsi="Times New Roman" w:cs="Times New Roman"/>
                <w:b/>
                <w:bCs/>
                <w:color w:val="000000"/>
                <w:lang w:val="en-US"/>
              </w:rPr>
            </w:pPr>
          </w:p>
          <w:p w14:paraId="1ECB8B58"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01AD5F27"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tc>
        <w:tc>
          <w:tcPr>
            <w:tcW w:w="1315" w:type="dxa"/>
            <w:tcBorders>
              <w:top w:val="nil"/>
              <w:left w:val="nil"/>
              <w:bottom w:val="single" w:sz="4" w:space="0" w:color="auto"/>
              <w:right w:val="single" w:sz="4" w:space="0" w:color="auto"/>
            </w:tcBorders>
            <w:noWrap/>
            <w:vAlign w:val="bottom"/>
            <w:hideMark/>
          </w:tcPr>
          <w:p w14:paraId="732806C6"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6198CF31"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113,994</w:t>
            </w:r>
          </w:p>
          <w:p w14:paraId="3E5185E9" w14:textId="77777777" w:rsidR="001F675A" w:rsidRPr="009225E6" w:rsidRDefault="001F675A" w:rsidP="00662AC8">
            <w:pPr>
              <w:rPr>
                <w:rFonts w:ascii="Times New Roman" w:hAnsi="Times New Roman" w:cs="Times New Roman"/>
              </w:rPr>
            </w:pPr>
            <w:r w:rsidRPr="009225E6">
              <w:rPr>
                <w:rFonts w:ascii="Times New Roman" w:hAnsi="Times New Roman" w:cs="Times New Roman"/>
                <w:lang w:val="en-US"/>
              </w:rPr>
              <w:t>394,879</w:t>
            </w:r>
          </w:p>
        </w:tc>
        <w:tc>
          <w:tcPr>
            <w:tcW w:w="1255" w:type="dxa"/>
            <w:gridSpan w:val="2"/>
            <w:tcBorders>
              <w:top w:val="nil"/>
              <w:left w:val="nil"/>
              <w:bottom w:val="single" w:sz="4" w:space="0" w:color="auto"/>
              <w:right w:val="single" w:sz="4" w:space="0" w:color="auto"/>
            </w:tcBorders>
            <w:noWrap/>
            <w:hideMark/>
          </w:tcPr>
          <w:p w14:paraId="588AFFD4"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97,560</w:t>
            </w:r>
          </w:p>
          <w:p w14:paraId="67854D18" w14:textId="77777777" w:rsidR="001F675A" w:rsidRPr="009225E6" w:rsidRDefault="001F675A" w:rsidP="00662AC8">
            <w:pPr>
              <w:rPr>
                <w:rFonts w:ascii="Times New Roman" w:hAnsi="Times New Roman" w:cs="Times New Roman"/>
              </w:rPr>
            </w:pPr>
            <w:r w:rsidRPr="009225E6">
              <w:rPr>
                <w:rFonts w:ascii="Times New Roman" w:hAnsi="Times New Roman" w:cs="Times New Roman"/>
                <w:lang w:val="en-US"/>
              </w:rPr>
              <w:t>420,457</w:t>
            </w:r>
          </w:p>
        </w:tc>
        <w:tc>
          <w:tcPr>
            <w:tcW w:w="1255" w:type="dxa"/>
            <w:gridSpan w:val="2"/>
            <w:tcBorders>
              <w:top w:val="nil"/>
              <w:left w:val="nil"/>
              <w:bottom w:val="single" w:sz="4" w:space="0" w:color="auto"/>
              <w:right w:val="single" w:sz="4" w:space="0" w:color="auto"/>
            </w:tcBorders>
            <w:noWrap/>
            <w:hideMark/>
          </w:tcPr>
          <w:p w14:paraId="7FEB6CD4"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152,292</w:t>
            </w:r>
          </w:p>
          <w:p w14:paraId="05BAFC6D"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542,751</w:t>
            </w:r>
          </w:p>
        </w:tc>
        <w:tc>
          <w:tcPr>
            <w:tcW w:w="1107" w:type="dxa"/>
            <w:gridSpan w:val="2"/>
            <w:tcBorders>
              <w:top w:val="nil"/>
              <w:left w:val="nil"/>
              <w:bottom w:val="single" w:sz="4" w:space="0" w:color="auto"/>
              <w:right w:val="single" w:sz="4" w:space="0" w:color="auto"/>
            </w:tcBorders>
            <w:noWrap/>
            <w:hideMark/>
          </w:tcPr>
          <w:p w14:paraId="71729B5D"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173,016</w:t>
            </w:r>
          </w:p>
          <w:p w14:paraId="54BF40B6"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601,602</w:t>
            </w:r>
          </w:p>
        </w:tc>
        <w:tc>
          <w:tcPr>
            <w:tcW w:w="1255" w:type="dxa"/>
            <w:tcBorders>
              <w:top w:val="nil"/>
              <w:left w:val="nil"/>
              <w:bottom w:val="single" w:sz="4" w:space="0" w:color="auto"/>
              <w:right w:val="single" w:sz="8" w:space="0" w:color="auto"/>
            </w:tcBorders>
            <w:noWrap/>
            <w:hideMark/>
          </w:tcPr>
          <w:p w14:paraId="48225EC2"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176,256</w:t>
            </w:r>
          </w:p>
          <w:p w14:paraId="699A0DBE"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614,680</w:t>
            </w:r>
          </w:p>
        </w:tc>
      </w:tr>
      <w:tr w:rsidR="001F675A" w:rsidRPr="009225E6" w14:paraId="3D8C78A1" w14:textId="77777777" w:rsidTr="007259D9">
        <w:trPr>
          <w:trHeight w:val="392"/>
        </w:trPr>
        <w:tc>
          <w:tcPr>
            <w:tcW w:w="992" w:type="dxa"/>
            <w:tcBorders>
              <w:top w:val="nil"/>
              <w:left w:val="single" w:sz="8" w:space="0" w:color="auto"/>
              <w:bottom w:val="single" w:sz="4" w:space="0" w:color="auto"/>
              <w:right w:val="single" w:sz="4" w:space="0" w:color="auto"/>
            </w:tcBorders>
            <w:noWrap/>
            <w:vAlign w:val="bottom"/>
            <w:hideMark/>
          </w:tcPr>
          <w:p w14:paraId="77FA8023"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A3</w:t>
            </w:r>
          </w:p>
        </w:tc>
        <w:tc>
          <w:tcPr>
            <w:tcW w:w="1629" w:type="dxa"/>
            <w:gridSpan w:val="2"/>
            <w:tcBorders>
              <w:top w:val="nil"/>
              <w:left w:val="nil"/>
              <w:bottom w:val="single" w:sz="4" w:space="0" w:color="auto"/>
              <w:right w:val="single" w:sz="4" w:space="0" w:color="auto"/>
            </w:tcBorders>
            <w:vAlign w:val="bottom"/>
            <w:hideMark/>
          </w:tcPr>
          <w:p w14:paraId="6012C2D0"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Gross Profit Ratio</w:t>
            </w:r>
          </w:p>
        </w:tc>
        <w:tc>
          <w:tcPr>
            <w:tcW w:w="2964" w:type="dxa"/>
            <w:gridSpan w:val="3"/>
            <w:tcBorders>
              <w:top w:val="nil"/>
              <w:left w:val="nil"/>
              <w:bottom w:val="single" w:sz="4" w:space="0" w:color="auto"/>
              <w:right w:val="single" w:sz="4" w:space="0" w:color="auto"/>
            </w:tcBorders>
            <w:vAlign w:val="bottom"/>
            <w:hideMark/>
          </w:tcPr>
          <w:p w14:paraId="4AC88865"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u w:val="single"/>
                <w:lang w:val="en-US"/>
              </w:rPr>
              <w:t xml:space="preserve">Gross Profit      </w:t>
            </w:r>
            <w:r w:rsidRPr="009225E6">
              <w:rPr>
                <w:rFonts w:ascii="Times New Roman" w:eastAsia="Times New Roman" w:hAnsi="Times New Roman" w:cs="Times New Roman"/>
                <w:b/>
                <w:bCs/>
                <w:color w:val="000000"/>
                <w:lang w:val="en-US"/>
              </w:rPr>
              <w:t xml:space="preserve">  x 100</w:t>
            </w:r>
            <w:r w:rsidRPr="009225E6">
              <w:rPr>
                <w:rFonts w:ascii="Times New Roman" w:eastAsia="Times New Roman" w:hAnsi="Times New Roman" w:cs="Times New Roman"/>
                <w:b/>
                <w:bCs/>
                <w:color w:val="000000"/>
                <w:lang w:val="en-US"/>
              </w:rPr>
              <w:br/>
              <w:t>Net Sales Revenue</w:t>
            </w:r>
          </w:p>
        </w:tc>
        <w:tc>
          <w:tcPr>
            <w:tcW w:w="1315" w:type="dxa"/>
            <w:tcBorders>
              <w:top w:val="nil"/>
              <w:left w:val="nil"/>
              <w:bottom w:val="single" w:sz="4" w:space="0" w:color="auto"/>
              <w:right w:val="single" w:sz="4" w:space="0" w:color="auto"/>
            </w:tcBorders>
            <w:noWrap/>
            <w:vAlign w:val="bottom"/>
            <w:hideMark/>
          </w:tcPr>
          <w:p w14:paraId="0A255493"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Percentage</w:t>
            </w:r>
          </w:p>
        </w:tc>
        <w:tc>
          <w:tcPr>
            <w:tcW w:w="2541" w:type="dxa"/>
            <w:gridSpan w:val="2"/>
            <w:tcBorders>
              <w:top w:val="nil"/>
              <w:left w:val="nil"/>
              <w:bottom w:val="single" w:sz="4" w:space="0" w:color="auto"/>
              <w:right w:val="single" w:sz="4" w:space="0" w:color="auto"/>
            </w:tcBorders>
            <w:noWrap/>
            <w:vAlign w:val="bottom"/>
            <w:hideMark/>
          </w:tcPr>
          <w:p w14:paraId="552A42A0"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29%</w:t>
            </w:r>
          </w:p>
        </w:tc>
        <w:tc>
          <w:tcPr>
            <w:tcW w:w="1255" w:type="dxa"/>
            <w:gridSpan w:val="2"/>
            <w:tcBorders>
              <w:top w:val="nil"/>
              <w:left w:val="nil"/>
              <w:bottom w:val="single" w:sz="4" w:space="0" w:color="auto"/>
              <w:right w:val="single" w:sz="4" w:space="0" w:color="auto"/>
            </w:tcBorders>
            <w:noWrap/>
            <w:vAlign w:val="bottom"/>
            <w:hideMark/>
          </w:tcPr>
          <w:p w14:paraId="514AC8F1"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23%</w:t>
            </w:r>
          </w:p>
        </w:tc>
        <w:tc>
          <w:tcPr>
            <w:tcW w:w="1255" w:type="dxa"/>
            <w:gridSpan w:val="2"/>
            <w:tcBorders>
              <w:top w:val="nil"/>
              <w:left w:val="nil"/>
              <w:bottom w:val="single" w:sz="4" w:space="0" w:color="auto"/>
              <w:right w:val="single" w:sz="4" w:space="0" w:color="auto"/>
            </w:tcBorders>
            <w:noWrap/>
            <w:vAlign w:val="bottom"/>
            <w:hideMark/>
          </w:tcPr>
          <w:p w14:paraId="3D0BB711"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28%</w:t>
            </w:r>
          </w:p>
        </w:tc>
        <w:tc>
          <w:tcPr>
            <w:tcW w:w="1107" w:type="dxa"/>
            <w:gridSpan w:val="2"/>
            <w:tcBorders>
              <w:top w:val="nil"/>
              <w:left w:val="nil"/>
              <w:bottom w:val="single" w:sz="4" w:space="0" w:color="auto"/>
              <w:right w:val="single" w:sz="4" w:space="0" w:color="auto"/>
            </w:tcBorders>
            <w:noWrap/>
            <w:vAlign w:val="bottom"/>
            <w:hideMark/>
          </w:tcPr>
          <w:p w14:paraId="057AE823"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29%</w:t>
            </w:r>
          </w:p>
        </w:tc>
        <w:tc>
          <w:tcPr>
            <w:tcW w:w="1255" w:type="dxa"/>
            <w:tcBorders>
              <w:top w:val="nil"/>
              <w:left w:val="nil"/>
              <w:bottom w:val="single" w:sz="4" w:space="0" w:color="auto"/>
              <w:right w:val="single" w:sz="8" w:space="0" w:color="auto"/>
            </w:tcBorders>
            <w:noWrap/>
            <w:vAlign w:val="bottom"/>
            <w:hideMark/>
          </w:tcPr>
          <w:p w14:paraId="57283BD7"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29%</w:t>
            </w:r>
          </w:p>
        </w:tc>
      </w:tr>
      <w:tr w:rsidR="001F675A" w:rsidRPr="009225E6" w14:paraId="1E36AC49"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50FC83F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025E8B06"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000809D3"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4F6D9050"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3946216D"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-15,297</w:t>
            </w:r>
          </w:p>
          <w:p w14:paraId="527D2FBC" w14:textId="77777777" w:rsidR="001F675A" w:rsidRPr="009225E6" w:rsidRDefault="001F675A" w:rsidP="00662AC8">
            <w:pPr>
              <w:rPr>
                <w:rFonts w:ascii="Times New Roman" w:hAnsi="Times New Roman" w:cs="Times New Roman"/>
              </w:rPr>
            </w:pPr>
            <w:r w:rsidRPr="009225E6">
              <w:rPr>
                <w:rFonts w:ascii="Times New Roman" w:hAnsi="Times New Roman" w:cs="Times New Roman"/>
                <w:lang w:val="en-US"/>
              </w:rPr>
              <w:t>394,879</w:t>
            </w:r>
          </w:p>
        </w:tc>
        <w:tc>
          <w:tcPr>
            <w:tcW w:w="1255" w:type="dxa"/>
            <w:gridSpan w:val="2"/>
            <w:tcBorders>
              <w:top w:val="nil"/>
              <w:left w:val="nil"/>
              <w:bottom w:val="single" w:sz="4" w:space="0" w:color="auto"/>
              <w:right w:val="single" w:sz="4" w:space="0" w:color="auto"/>
            </w:tcBorders>
            <w:noWrap/>
            <w:hideMark/>
          </w:tcPr>
          <w:p w14:paraId="279D10AC"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-85,301</w:t>
            </w:r>
          </w:p>
          <w:p w14:paraId="4F955400" w14:textId="77777777" w:rsidR="001F675A" w:rsidRPr="009225E6" w:rsidRDefault="001F675A" w:rsidP="00662AC8">
            <w:pPr>
              <w:rPr>
                <w:rFonts w:ascii="Times New Roman" w:hAnsi="Times New Roman" w:cs="Times New Roman"/>
              </w:rPr>
            </w:pPr>
            <w:r w:rsidRPr="009225E6">
              <w:rPr>
                <w:rFonts w:ascii="Times New Roman" w:hAnsi="Times New Roman" w:cs="Times New Roman"/>
                <w:lang w:val="en-US"/>
              </w:rPr>
              <w:t>420,457</w:t>
            </w:r>
          </w:p>
        </w:tc>
        <w:tc>
          <w:tcPr>
            <w:tcW w:w="1255" w:type="dxa"/>
            <w:gridSpan w:val="2"/>
            <w:tcBorders>
              <w:top w:val="nil"/>
              <w:left w:val="nil"/>
              <w:bottom w:val="single" w:sz="4" w:space="0" w:color="auto"/>
              <w:right w:val="single" w:sz="4" w:space="0" w:color="auto"/>
            </w:tcBorders>
            <w:noWrap/>
            <w:hideMark/>
          </w:tcPr>
          <w:p w14:paraId="2EC462B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14,548</w:t>
            </w:r>
            <w:r w:rsidRPr="009225E6">
              <w:rPr>
                <w:rFonts w:ascii="Times New Roman" w:hAnsi="Times New Roman" w:cs="Times New Roman"/>
                <w:u w:val="single"/>
              </w:rPr>
              <w:tab/>
            </w:r>
          </w:p>
          <w:p w14:paraId="3F0BAA5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542,751</w:t>
            </w:r>
          </w:p>
        </w:tc>
        <w:tc>
          <w:tcPr>
            <w:tcW w:w="1107" w:type="dxa"/>
            <w:gridSpan w:val="2"/>
            <w:tcBorders>
              <w:top w:val="nil"/>
              <w:left w:val="nil"/>
              <w:bottom w:val="single" w:sz="4" w:space="0" w:color="auto"/>
              <w:right w:val="single" w:sz="4" w:space="0" w:color="auto"/>
            </w:tcBorders>
            <w:noWrap/>
            <w:hideMark/>
          </w:tcPr>
          <w:p w14:paraId="3D93D893"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23,253</w:t>
            </w:r>
          </w:p>
          <w:p w14:paraId="6BE865F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601,602</w:t>
            </w:r>
          </w:p>
        </w:tc>
        <w:tc>
          <w:tcPr>
            <w:tcW w:w="1255" w:type="dxa"/>
            <w:tcBorders>
              <w:top w:val="nil"/>
              <w:left w:val="nil"/>
              <w:bottom w:val="single" w:sz="4" w:space="0" w:color="auto"/>
              <w:right w:val="single" w:sz="8" w:space="0" w:color="auto"/>
            </w:tcBorders>
            <w:noWrap/>
            <w:hideMark/>
          </w:tcPr>
          <w:p w14:paraId="4D9D1B3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37,267</w:t>
            </w:r>
          </w:p>
          <w:p w14:paraId="1F29B5F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614,680</w:t>
            </w:r>
          </w:p>
        </w:tc>
      </w:tr>
      <w:tr w:rsidR="001F675A" w:rsidRPr="009225E6" w14:paraId="34C010A8" w14:textId="77777777" w:rsidTr="007259D9">
        <w:trPr>
          <w:trHeight w:val="392"/>
        </w:trPr>
        <w:tc>
          <w:tcPr>
            <w:tcW w:w="992" w:type="dxa"/>
            <w:tcBorders>
              <w:top w:val="nil"/>
              <w:left w:val="single" w:sz="8" w:space="0" w:color="auto"/>
              <w:bottom w:val="single" w:sz="4" w:space="0" w:color="auto"/>
              <w:right w:val="single" w:sz="4" w:space="0" w:color="auto"/>
            </w:tcBorders>
            <w:noWrap/>
            <w:vAlign w:val="bottom"/>
            <w:hideMark/>
          </w:tcPr>
          <w:p w14:paraId="327C210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A4</w:t>
            </w:r>
          </w:p>
        </w:tc>
        <w:tc>
          <w:tcPr>
            <w:tcW w:w="1629" w:type="dxa"/>
            <w:gridSpan w:val="2"/>
            <w:tcBorders>
              <w:top w:val="nil"/>
              <w:left w:val="nil"/>
              <w:bottom w:val="single" w:sz="4" w:space="0" w:color="auto"/>
              <w:right w:val="single" w:sz="4" w:space="0" w:color="auto"/>
            </w:tcBorders>
            <w:vAlign w:val="bottom"/>
            <w:hideMark/>
          </w:tcPr>
          <w:p w14:paraId="5F0C897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Operating Profit Ratio</w:t>
            </w:r>
          </w:p>
        </w:tc>
        <w:tc>
          <w:tcPr>
            <w:tcW w:w="2964" w:type="dxa"/>
            <w:gridSpan w:val="3"/>
            <w:tcBorders>
              <w:top w:val="nil"/>
              <w:left w:val="nil"/>
              <w:bottom w:val="single" w:sz="4" w:space="0" w:color="auto"/>
              <w:right w:val="single" w:sz="4" w:space="0" w:color="auto"/>
            </w:tcBorders>
            <w:vAlign w:val="bottom"/>
            <w:hideMark/>
          </w:tcPr>
          <w:p w14:paraId="7F03B98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u w:val="single"/>
                <w:lang w:val="en-US"/>
              </w:rPr>
              <w:t xml:space="preserve">Operating Profit              </w:t>
            </w:r>
            <w:r w:rsidRPr="009225E6">
              <w:rPr>
                <w:rFonts w:ascii="Times New Roman" w:eastAsia="Times New Roman" w:hAnsi="Times New Roman" w:cs="Times New Roman"/>
                <w:color w:val="000000"/>
                <w:lang w:val="en-US"/>
              </w:rPr>
              <w:t xml:space="preserve">  x 100</w:t>
            </w:r>
            <w:r w:rsidRPr="009225E6">
              <w:rPr>
                <w:rFonts w:ascii="Times New Roman" w:eastAsia="Times New Roman" w:hAnsi="Times New Roman" w:cs="Times New Roman"/>
                <w:color w:val="000000"/>
                <w:lang w:val="en-US"/>
              </w:rPr>
              <w:br/>
              <w:t>Net Sales Revenue</w:t>
            </w:r>
          </w:p>
        </w:tc>
        <w:tc>
          <w:tcPr>
            <w:tcW w:w="1315" w:type="dxa"/>
            <w:tcBorders>
              <w:top w:val="nil"/>
              <w:left w:val="nil"/>
              <w:bottom w:val="single" w:sz="4" w:space="0" w:color="auto"/>
              <w:right w:val="single" w:sz="4" w:space="0" w:color="auto"/>
            </w:tcBorders>
            <w:noWrap/>
            <w:vAlign w:val="bottom"/>
            <w:hideMark/>
          </w:tcPr>
          <w:p w14:paraId="4CF2766B"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Percentage</w:t>
            </w:r>
          </w:p>
        </w:tc>
        <w:tc>
          <w:tcPr>
            <w:tcW w:w="2541" w:type="dxa"/>
            <w:gridSpan w:val="2"/>
            <w:tcBorders>
              <w:top w:val="nil"/>
              <w:left w:val="nil"/>
              <w:bottom w:val="single" w:sz="4" w:space="0" w:color="auto"/>
              <w:right w:val="single" w:sz="4" w:space="0" w:color="auto"/>
            </w:tcBorders>
            <w:noWrap/>
            <w:vAlign w:val="bottom"/>
            <w:hideMark/>
          </w:tcPr>
          <w:p w14:paraId="0CB5CE33"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255" w:type="dxa"/>
            <w:gridSpan w:val="2"/>
            <w:tcBorders>
              <w:top w:val="nil"/>
              <w:left w:val="nil"/>
              <w:bottom w:val="single" w:sz="4" w:space="0" w:color="auto"/>
              <w:right w:val="single" w:sz="4" w:space="0" w:color="auto"/>
            </w:tcBorders>
            <w:noWrap/>
            <w:vAlign w:val="bottom"/>
            <w:hideMark/>
          </w:tcPr>
          <w:p w14:paraId="35B44083"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1255" w:type="dxa"/>
            <w:gridSpan w:val="2"/>
            <w:tcBorders>
              <w:top w:val="nil"/>
              <w:left w:val="nil"/>
              <w:bottom w:val="single" w:sz="4" w:space="0" w:color="auto"/>
              <w:right w:val="single" w:sz="4" w:space="0" w:color="auto"/>
            </w:tcBorders>
            <w:noWrap/>
            <w:vAlign w:val="bottom"/>
            <w:hideMark/>
          </w:tcPr>
          <w:p w14:paraId="5F1BAE17"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1107" w:type="dxa"/>
            <w:gridSpan w:val="2"/>
            <w:tcBorders>
              <w:top w:val="nil"/>
              <w:left w:val="nil"/>
              <w:bottom w:val="single" w:sz="4" w:space="0" w:color="auto"/>
              <w:right w:val="single" w:sz="4" w:space="0" w:color="auto"/>
            </w:tcBorders>
            <w:noWrap/>
            <w:vAlign w:val="bottom"/>
            <w:hideMark/>
          </w:tcPr>
          <w:p w14:paraId="43F293A7"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255" w:type="dxa"/>
            <w:tcBorders>
              <w:top w:val="nil"/>
              <w:left w:val="nil"/>
              <w:bottom w:val="single" w:sz="4" w:space="0" w:color="auto"/>
              <w:right w:val="single" w:sz="8" w:space="0" w:color="auto"/>
            </w:tcBorders>
            <w:noWrap/>
            <w:vAlign w:val="bottom"/>
            <w:hideMark/>
          </w:tcPr>
          <w:p w14:paraId="4C174BB4"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1F675A" w:rsidRPr="009225E6" w14:paraId="2F46ACBE" w14:textId="77777777" w:rsidTr="007259D9">
        <w:trPr>
          <w:gridAfter w:val="11"/>
          <w:wAfter w:w="97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474BD5D2"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lastRenderedPageBreak/>
              <w:t>B</w:t>
            </w:r>
          </w:p>
        </w:tc>
        <w:tc>
          <w:tcPr>
            <w:tcW w:w="1255" w:type="dxa"/>
            <w:tcBorders>
              <w:top w:val="nil"/>
              <w:left w:val="nil"/>
              <w:bottom w:val="single" w:sz="4" w:space="0" w:color="auto"/>
              <w:right w:val="single" w:sz="4" w:space="0" w:color="auto"/>
            </w:tcBorders>
            <w:noWrap/>
            <w:vAlign w:val="bottom"/>
            <w:hideMark/>
          </w:tcPr>
          <w:p w14:paraId="4356BC7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107" w:type="dxa"/>
            <w:gridSpan w:val="2"/>
            <w:tcBorders>
              <w:top w:val="nil"/>
              <w:left w:val="nil"/>
              <w:bottom w:val="single" w:sz="4" w:space="0" w:color="auto"/>
              <w:right w:val="single" w:sz="4" w:space="0" w:color="auto"/>
            </w:tcBorders>
            <w:noWrap/>
            <w:vAlign w:val="bottom"/>
            <w:hideMark/>
          </w:tcPr>
          <w:p w14:paraId="718A1A7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tcBorders>
              <w:top w:val="nil"/>
              <w:left w:val="nil"/>
              <w:bottom w:val="single" w:sz="4" w:space="0" w:color="auto"/>
              <w:right w:val="single" w:sz="8" w:space="0" w:color="auto"/>
            </w:tcBorders>
            <w:noWrap/>
            <w:vAlign w:val="bottom"/>
            <w:hideMark/>
          </w:tcPr>
          <w:p w14:paraId="5A27431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22BBBF49"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455DBC8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381585A5"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noWrap/>
            <w:vAlign w:val="bottom"/>
            <w:hideMark/>
          </w:tcPr>
          <w:p w14:paraId="2CB4CA2F"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2EBD2C3D"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2A56FEB9"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242,494</w:t>
            </w:r>
          </w:p>
          <w:p w14:paraId="6676BB86"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158,291</w:t>
            </w:r>
          </w:p>
        </w:tc>
        <w:tc>
          <w:tcPr>
            <w:tcW w:w="1255" w:type="dxa"/>
            <w:gridSpan w:val="2"/>
            <w:tcBorders>
              <w:top w:val="nil"/>
              <w:left w:val="nil"/>
              <w:bottom w:val="single" w:sz="4" w:space="0" w:color="auto"/>
              <w:right w:val="single" w:sz="4" w:space="0" w:color="auto"/>
            </w:tcBorders>
            <w:noWrap/>
            <w:hideMark/>
          </w:tcPr>
          <w:p w14:paraId="7404E5FC"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258,851</w:t>
            </w:r>
          </w:p>
          <w:p w14:paraId="7AF7DA5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161,148</w:t>
            </w:r>
          </w:p>
        </w:tc>
        <w:tc>
          <w:tcPr>
            <w:tcW w:w="1255" w:type="dxa"/>
            <w:gridSpan w:val="2"/>
            <w:tcBorders>
              <w:top w:val="nil"/>
              <w:left w:val="nil"/>
              <w:bottom w:val="single" w:sz="4" w:space="0" w:color="auto"/>
              <w:right w:val="single" w:sz="4" w:space="0" w:color="auto"/>
            </w:tcBorders>
            <w:noWrap/>
            <w:hideMark/>
          </w:tcPr>
          <w:p w14:paraId="1181690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338,040</w:t>
            </w:r>
          </w:p>
          <w:p w14:paraId="2CA6BE0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216,473</w:t>
            </w:r>
          </w:p>
        </w:tc>
        <w:tc>
          <w:tcPr>
            <w:tcW w:w="1107" w:type="dxa"/>
            <w:gridSpan w:val="2"/>
            <w:tcBorders>
              <w:top w:val="nil"/>
              <w:left w:val="nil"/>
              <w:bottom w:val="single" w:sz="4" w:space="0" w:color="auto"/>
              <w:right w:val="single" w:sz="4" w:space="0" w:color="auto"/>
            </w:tcBorders>
            <w:noWrap/>
            <w:hideMark/>
          </w:tcPr>
          <w:p w14:paraId="13D605BE"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337,146</w:t>
            </w:r>
          </w:p>
          <w:p w14:paraId="14A6F7A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216,787</w:t>
            </w:r>
          </w:p>
        </w:tc>
        <w:tc>
          <w:tcPr>
            <w:tcW w:w="1255" w:type="dxa"/>
            <w:tcBorders>
              <w:top w:val="nil"/>
              <w:left w:val="nil"/>
              <w:bottom w:val="single" w:sz="4" w:space="0" w:color="auto"/>
              <w:right w:val="single" w:sz="8" w:space="0" w:color="auto"/>
            </w:tcBorders>
            <w:noWrap/>
            <w:hideMark/>
          </w:tcPr>
          <w:p w14:paraId="6477B342"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326,843</w:t>
            </w:r>
          </w:p>
          <w:p w14:paraId="5F24D2E7"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179,510</w:t>
            </w:r>
          </w:p>
        </w:tc>
      </w:tr>
      <w:tr w:rsidR="001F675A" w:rsidRPr="009225E6" w14:paraId="0A35BFE0" w14:textId="77777777" w:rsidTr="007259D9">
        <w:trPr>
          <w:trHeight w:val="392"/>
        </w:trPr>
        <w:tc>
          <w:tcPr>
            <w:tcW w:w="992" w:type="dxa"/>
            <w:tcBorders>
              <w:top w:val="nil"/>
              <w:left w:val="single" w:sz="8" w:space="0" w:color="auto"/>
              <w:bottom w:val="single" w:sz="4" w:space="0" w:color="auto"/>
              <w:right w:val="single" w:sz="4" w:space="0" w:color="auto"/>
            </w:tcBorders>
            <w:noWrap/>
            <w:vAlign w:val="bottom"/>
            <w:hideMark/>
          </w:tcPr>
          <w:p w14:paraId="17A6256B"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B1</w:t>
            </w:r>
          </w:p>
        </w:tc>
        <w:tc>
          <w:tcPr>
            <w:tcW w:w="1629" w:type="dxa"/>
            <w:gridSpan w:val="2"/>
            <w:tcBorders>
              <w:top w:val="nil"/>
              <w:left w:val="nil"/>
              <w:bottom w:val="single" w:sz="4" w:space="0" w:color="auto"/>
              <w:right w:val="single" w:sz="4" w:space="0" w:color="auto"/>
            </w:tcBorders>
            <w:vAlign w:val="bottom"/>
            <w:hideMark/>
          </w:tcPr>
          <w:p w14:paraId="5BF641C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Current Ratio</w:t>
            </w:r>
          </w:p>
        </w:tc>
        <w:tc>
          <w:tcPr>
            <w:tcW w:w="2964" w:type="dxa"/>
            <w:gridSpan w:val="3"/>
            <w:tcBorders>
              <w:top w:val="nil"/>
              <w:left w:val="nil"/>
              <w:bottom w:val="single" w:sz="4" w:space="0" w:color="auto"/>
              <w:right w:val="single" w:sz="4" w:space="0" w:color="auto"/>
            </w:tcBorders>
            <w:vAlign w:val="bottom"/>
            <w:hideMark/>
          </w:tcPr>
          <w:p w14:paraId="11473DB3"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Current Assets      </w:t>
            </w:r>
            <w:r w:rsidRPr="009225E6">
              <w:rPr>
                <w:rFonts w:ascii="Times New Roman" w:eastAsia="Times New Roman" w:hAnsi="Times New Roman" w:cs="Times New Roman"/>
                <w:color w:val="000000"/>
                <w:u w:val="single"/>
                <w:lang w:val="en-US"/>
              </w:rPr>
              <w:br/>
              <w:t>Current Liabilities</w:t>
            </w:r>
          </w:p>
        </w:tc>
        <w:tc>
          <w:tcPr>
            <w:tcW w:w="1315" w:type="dxa"/>
            <w:tcBorders>
              <w:top w:val="nil"/>
              <w:left w:val="nil"/>
              <w:bottom w:val="single" w:sz="4" w:space="0" w:color="auto"/>
              <w:right w:val="single" w:sz="4" w:space="0" w:color="auto"/>
            </w:tcBorders>
            <w:noWrap/>
            <w:vAlign w:val="bottom"/>
            <w:hideMark/>
          </w:tcPr>
          <w:p w14:paraId="7516C8E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541" w:type="dxa"/>
            <w:gridSpan w:val="2"/>
            <w:tcBorders>
              <w:top w:val="nil"/>
              <w:left w:val="nil"/>
              <w:bottom w:val="single" w:sz="4" w:space="0" w:color="auto"/>
              <w:right w:val="single" w:sz="4" w:space="0" w:color="auto"/>
            </w:tcBorders>
            <w:noWrap/>
            <w:vAlign w:val="bottom"/>
            <w:hideMark/>
          </w:tcPr>
          <w:p w14:paraId="06262DB3"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£1.53</w:t>
            </w:r>
          </w:p>
        </w:tc>
        <w:tc>
          <w:tcPr>
            <w:tcW w:w="1255" w:type="dxa"/>
            <w:gridSpan w:val="2"/>
            <w:tcBorders>
              <w:top w:val="nil"/>
              <w:left w:val="nil"/>
              <w:bottom w:val="single" w:sz="4" w:space="0" w:color="auto"/>
              <w:right w:val="single" w:sz="4" w:space="0" w:color="auto"/>
            </w:tcBorders>
            <w:noWrap/>
            <w:vAlign w:val="bottom"/>
            <w:hideMark/>
          </w:tcPr>
          <w:p w14:paraId="01B3CF2C"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w:t>
            </w:r>
          </w:p>
        </w:tc>
        <w:tc>
          <w:tcPr>
            <w:tcW w:w="1255" w:type="dxa"/>
            <w:gridSpan w:val="2"/>
            <w:tcBorders>
              <w:top w:val="nil"/>
              <w:left w:val="nil"/>
              <w:bottom w:val="single" w:sz="4" w:space="0" w:color="auto"/>
              <w:right w:val="single" w:sz="4" w:space="0" w:color="auto"/>
            </w:tcBorders>
            <w:noWrap/>
            <w:vAlign w:val="bottom"/>
            <w:hideMark/>
          </w:tcPr>
          <w:p w14:paraId="6A1F85BA"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£1.56</w:t>
            </w:r>
          </w:p>
        </w:tc>
        <w:tc>
          <w:tcPr>
            <w:tcW w:w="1107" w:type="dxa"/>
            <w:gridSpan w:val="2"/>
            <w:tcBorders>
              <w:top w:val="nil"/>
              <w:left w:val="nil"/>
              <w:bottom w:val="single" w:sz="4" w:space="0" w:color="auto"/>
              <w:right w:val="single" w:sz="4" w:space="0" w:color="auto"/>
            </w:tcBorders>
            <w:noWrap/>
            <w:vAlign w:val="bottom"/>
            <w:hideMark/>
          </w:tcPr>
          <w:p w14:paraId="565A19FF"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£1.56</w:t>
            </w:r>
          </w:p>
        </w:tc>
        <w:tc>
          <w:tcPr>
            <w:tcW w:w="1255" w:type="dxa"/>
            <w:tcBorders>
              <w:top w:val="nil"/>
              <w:left w:val="nil"/>
              <w:bottom w:val="single" w:sz="4" w:space="0" w:color="auto"/>
              <w:right w:val="single" w:sz="8" w:space="0" w:color="auto"/>
            </w:tcBorders>
            <w:noWrap/>
            <w:vAlign w:val="bottom"/>
            <w:hideMark/>
          </w:tcPr>
          <w:p w14:paraId="59A42BEB"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£1.82</w:t>
            </w:r>
          </w:p>
        </w:tc>
      </w:tr>
      <w:tr w:rsidR="001F675A" w:rsidRPr="009225E6" w14:paraId="65E14C9C"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4B0E9E42"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0ADA386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70B35708"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w:t>
            </w:r>
          </w:p>
        </w:tc>
        <w:tc>
          <w:tcPr>
            <w:tcW w:w="1315" w:type="dxa"/>
            <w:tcBorders>
              <w:top w:val="nil"/>
              <w:left w:val="nil"/>
              <w:bottom w:val="single" w:sz="4" w:space="0" w:color="auto"/>
              <w:right w:val="single" w:sz="4" w:space="0" w:color="auto"/>
            </w:tcBorders>
            <w:noWrap/>
            <w:vAlign w:val="bottom"/>
            <w:hideMark/>
          </w:tcPr>
          <w:p w14:paraId="2B1EB8E8"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541" w:type="dxa"/>
            <w:gridSpan w:val="2"/>
            <w:tcBorders>
              <w:top w:val="nil"/>
              <w:left w:val="nil"/>
              <w:bottom w:val="single" w:sz="4" w:space="0" w:color="auto"/>
              <w:right w:val="single" w:sz="4" w:space="0" w:color="auto"/>
            </w:tcBorders>
            <w:noWrap/>
            <w:hideMark/>
          </w:tcPr>
          <w:p w14:paraId="54A85E71"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242,494-</w:t>
            </w:r>
            <w:r w:rsidRPr="009225E6">
              <w:rPr>
                <w:rFonts w:ascii="Times New Roman" w:hAnsi="Times New Roman" w:cs="Times New Roman"/>
                <w:u w:val="single"/>
              </w:rPr>
              <w:t>79,355</w:t>
            </w:r>
          </w:p>
          <w:p w14:paraId="5A3BFDCD"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158,291</w:t>
            </w:r>
          </w:p>
        </w:tc>
        <w:tc>
          <w:tcPr>
            <w:tcW w:w="1255" w:type="dxa"/>
            <w:gridSpan w:val="2"/>
            <w:tcBorders>
              <w:top w:val="nil"/>
              <w:left w:val="nil"/>
              <w:bottom w:val="single" w:sz="4" w:space="0" w:color="auto"/>
              <w:right w:val="single" w:sz="4" w:space="0" w:color="auto"/>
            </w:tcBorders>
            <w:noWrap/>
            <w:hideMark/>
          </w:tcPr>
          <w:p w14:paraId="4A8478C4"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258,851-</w:t>
            </w:r>
            <w:r w:rsidRPr="009225E6">
              <w:rPr>
                <w:rFonts w:ascii="Times New Roman" w:hAnsi="Times New Roman" w:cs="Times New Roman"/>
                <w:u w:val="single"/>
              </w:rPr>
              <w:t>88,273</w:t>
            </w:r>
          </w:p>
          <w:p w14:paraId="5719C221"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161,148</w:t>
            </w:r>
          </w:p>
        </w:tc>
        <w:tc>
          <w:tcPr>
            <w:tcW w:w="1255" w:type="dxa"/>
            <w:gridSpan w:val="2"/>
            <w:tcBorders>
              <w:top w:val="nil"/>
              <w:left w:val="nil"/>
              <w:bottom w:val="single" w:sz="4" w:space="0" w:color="auto"/>
              <w:right w:val="single" w:sz="4" w:space="0" w:color="auto"/>
            </w:tcBorders>
            <w:noWrap/>
            <w:hideMark/>
          </w:tcPr>
          <w:p w14:paraId="12395E6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338,040-</w:t>
            </w:r>
            <w:r w:rsidRPr="009225E6">
              <w:rPr>
                <w:rFonts w:ascii="Times New Roman" w:hAnsi="Times New Roman" w:cs="Times New Roman"/>
                <w:u w:val="single"/>
              </w:rPr>
              <w:t>140,181</w:t>
            </w:r>
          </w:p>
          <w:p w14:paraId="3DE77D4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216,473</w:t>
            </w:r>
          </w:p>
        </w:tc>
        <w:tc>
          <w:tcPr>
            <w:tcW w:w="1107" w:type="dxa"/>
            <w:gridSpan w:val="2"/>
            <w:tcBorders>
              <w:top w:val="nil"/>
              <w:left w:val="nil"/>
              <w:bottom w:val="single" w:sz="4" w:space="0" w:color="auto"/>
              <w:right w:val="single" w:sz="4" w:space="0" w:color="auto"/>
            </w:tcBorders>
            <w:noWrap/>
            <w:hideMark/>
          </w:tcPr>
          <w:p w14:paraId="74BD9076"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337,146-</w:t>
            </w:r>
            <w:r w:rsidRPr="009225E6">
              <w:rPr>
                <w:rFonts w:ascii="Times New Roman" w:hAnsi="Times New Roman" w:cs="Times New Roman"/>
                <w:u w:val="single"/>
              </w:rPr>
              <w:t>134,469</w:t>
            </w:r>
          </w:p>
          <w:p w14:paraId="275BFB40"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216,787</w:t>
            </w:r>
          </w:p>
        </w:tc>
        <w:tc>
          <w:tcPr>
            <w:tcW w:w="1255" w:type="dxa"/>
            <w:tcBorders>
              <w:top w:val="nil"/>
              <w:left w:val="nil"/>
              <w:bottom w:val="single" w:sz="4" w:space="0" w:color="auto"/>
              <w:right w:val="single" w:sz="8" w:space="0" w:color="auto"/>
            </w:tcBorders>
            <w:noWrap/>
            <w:hideMark/>
          </w:tcPr>
          <w:p w14:paraId="0EC28DCF"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326,843-</w:t>
            </w:r>
            <w:r w:rsidRPr="009225E6">
              <w:rPr>
                <w:rFonts w:ascii="Times New Roman" w:hAnsi="Times New Roman" w:cs="Times New Roman"/>
                <w:u w:val="single"/>
              </w:rPr>
              <w:t>120,430</w:t>
            </w:r>
          </w:p>
          <w:p w14:paraId="58C7039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179,510</w:t>
            </w:r>
          </w:p>
        </w:tc>
      </w:tr>
      <w:tr w:rsidR="001F675A" w:rsidRPr="009225E6" w14:paraId="5435732E" w14:textId="77777777" w:rsidTr="007259D9">
        <w:trPr>
          <w:trHeight w:val="500"/>
        </w:trPr>
        <w:tc>
          <w:tcPr>
            <w:tcW w:w="992" w:type="dxa"/>
            <w:tcBorders>
              <w:top w:val="nil"/>
              <w:left w:val="single" w:sz="8" w:space="0" w:color="auto"/>
              <w:bottom w:val="single" w:sz="4" w:space="0" w:color="auto"/>
              <w:right w:val="single" w:sz="4" w:space="0" w:color="auto"/>
            </w:tcBorders>
            <w:noWrap/>
            <w:vAlign w:val="bottom"/>
            <w:hideMark/>
          </w:tcPr>
          <w:p w14:paraId="0F44E294"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B2</w:t>
            </w:r>
          </w:p>
        </w:tc>
        <w:tc>
          <w:tcPr>
            <w:tcW w:w="1629" w:type="dxa"/>
            <w:gridSpan w:val="2"/>
            <w:tcBorders>
              <w:top w:val="nil"/>
              <w:left w:val="nil"/>
              <w:bottom w:val="single" w:sz="4" w:space="0" w:color="auto"/>
              <w:right w:val="single" w:sz="4" w:space="0" w:color="auto"/>
            </w:tcBorders>
            <w:vAlign w:val="bottom"/>
            <w:hideMark/>
          </w:tcPr>
          <w:p w14:paraId="60B4FC70"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Quick Ratio</w:t>
            </w:r>
          </w:p>
        </w:tc>
        <w:tc>
          <w:tcPr>
            <w:tcW w:w="2964" w:type="dxa"/>
            <w:gridSpan w:val="3"/>
            <w:tcBorders>
              <w:top w:val="nil"/>
              <w:left w:val="nil"/>
              <w:bottom w:val="single" w:sz="4" w:space="0" w:color="auto"/>
              <w:right w:val="single" w:sz="4" w:space="0" w:color="auto"/>
            </w:tcBorders>
            <w:vAlign w:val="bottom"/>
            <w:hideMark/>
          </w:tcPr>
          <w:p w14:paraId="1A454921"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Current Assets - Inventories     </w:t>
            </w:r>
            <w:r w:rsidRPr="009225E6">
              <w:rPr>
                <w:rFonts w:ascii="Times New Roman" w:eastAsia="Times New Roman" w:hAnsi="Times New Roman" w:cs="Times New Roman"/>
                <w:color w:val="000000"/>
                <w:u w:val="single"/>
                <w:lang w:val="en-US"/>
              </w:rPr>
              <w:br/>
              <w:t>Current Liabilities</w:t>
            </w:r>
          </w:p>
        </w:tc>
        <w:tc>
          <w:tcPr>
            <w:tcW w:w="1315" w:type="dxa"/>
            <w:tcBorders>
              <w:top w:val="nil"/>
              <w:left w:val="nil"/>
              <w:bottom w:val="single" w:sz="4" w:space="0" w:color="auto"/>
              <w:right w:val="single" w:sz="4" w:space="0" w:color="auto"/>
            </w:tcBorders>
            <w:noWrap/>
            <w:vAlign w:val="bottom"/>
            <w:hideMark/>
          </w:tcPr>
          <w:p w14:paraId="6F1334C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541" w:type="dxa"/>
            <w:gridSpan w:val="2"/>
            <w:tcBorders>
              <w:top w:val="nil"/>
              <w:left w:val="nil"/>
              <w:bottom w:val="single" w:sz="4" w:space="0" w:color="auto"/>
              <w:right w:val="single" w:sz="4" w:space="0" w:color="auto"/>
            </w:tcBorders>
            <w:noWrap/>
            <w:vAlign w:val="bottom"/>
            <w:hideMark/>
          </w:tcPr>
          <w:p w14:paraId="4EDD970E"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-£1.03</w:t>
            </w:r>
          </w:p>
        </w:tc>
        <w:tc>
          <w:tcPr>
            <w:tcW w:w="1255" w:type="dxa"/>
            <w:gridSpan w:val="2"/>
            <w:tcBorders>
              <w:top w:val="nil"/>
              <w:left w:val="nil"/>
              <w:bottom w:val="single" w:sz="4" w:space="0" w:color="auto"/>
              <w:right w:val="single" w:sz="4" w:space="0" w:color="auto"/>
            </w:tcBorders>
            <w:noWrap/>
            <w:vAlign w:val="bottom"/>
            <w:hideMark/>
          </w:tcPr>
          <w:p w14:paraId="25F8D439"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-£1.06</w:t>
            </w:r>
          </w:p>
        </w:tc>
        <w:tc>
          <w:tcPr>
            <w:tcW w:w="1255" w:type="dxa"/>
            <w:gridSpan w:val="2"/>
            <w:tcBorders>
              <w:top w:val="nil"/>
              <w:left w:val="nil"/>
              <w:bottom w:val="single" w:sz="4" w:space="0" w:color="auto"/>
              <w:right w:val="single" w:sz="4" w:space="0" w:color="auto"/>
            </w:tcBorders>
            <w:noWrap/>
            <w:vAlign w:val="bottom"/>
            <w:hideMark/>
          </w:tcPr>
          <w:p w14:paraId="55F243E8"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-£0.91</w:t>
            </w:r>
          </w:p>
        </w:tc>
        <w:tc>
          <w:tcPr>
            <w:tcW w:w="1107" w:type="dxa"/>
            <w:gridSpan w:val="2"/>
            <w:tcBorders>
              <w:top w:val="nil"/>
              <w:left w:val="nil"/>
              <w:bottom w:val="single" w:sz="4" w:space="0" w:color="auto"/>
              <w:right w:val="single" w:sz="4" w:space="0" w:color="auto"/>
            </w:tcBorders>
            <w:noWrap/>
            <w:vAlign w:val="bottom"/>
            <w:hideMark/>
          </w:tcPr>
          <w:p w14:paraId="4A23F3C5"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-£0.93</w:t>
            </w:r>
          </w:p>
        </w:tc>
        <w:tc>
          <w:tcPr>
            <w:tcW w:w="1255" w:type="dxa"/>
            <w:tcBorders>
              <w:top w:val="nil"/>
              <w:left w:val="nil"/>
              <w:bottom w:val="single" w:sz="4" w:space="0" w:color="auto"/>
              <w:right w:val="single" w:sz="8" w:space="0" w:color="auto"/>
            </w:tcBorders>
            <w:noWrap/>
            <w:vAlign w:val="bottom"/>
            <w:hideMark/>
          </w:tcPr>
          <w:p w14:paraId="604BBA43"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-£1.15</w:t>
            </w:r>
          </w:p>
        </w:tc>
      </w:tr>
      <w:tr w:rsidR="001F675A" w:rsidRPr="009225E6" w14:paraId="46EDB155" w14:textId="77777777" w:rsidTr="007259D9">
        <w:trPr>
          <w:gridAfter w:val="11"/>
          <w:wAfter w:w="97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2190998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w:t>
            </w:r>
          </w:p>
        </w:tc>
        <w:tc>
          <w:tcPr>
            <w:tcW w:w="1255" w:type="dxa"/>
            <w:tcBorders>
              <w:top w:val="nil"/>
              <w:left w:val="nil"/>
              <w:bottom w:val="single" w:sz="4" w:space="0" w:color="auto"/>
              <w:right w:val="single" w:sz="4" w:space="0" w:color="auto"/>
            </w:tcBorders>
            <w:noWrap/>
            <w:vAlign w:val="bottom"/>
            <w:hideMark/>
          </w:tcPr>
          <w:p w14:paraId="435FC15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107" w:type="dxa"/>
            <w:gridSpan w:val="2"/>
            <w:tcBorders>
              <w:top w:val="nil"/>
              <w:left w:val="nil"/>
              <w:bottom w:val="single" w:sz="4" w:space="0" w:color="auto"/>
              <w:right w:val="single" w:sz="4" w:space="0" w:color="auto"/>
            </w:tcBorders>
            <w:noWrap/>
            <w:vAlign w:val="bottom"/>
            <w:hideMark/>
          </w:tcPr>
          <w:p w14:paraId="4B89F263"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tcBorders>
              <w:top w:val="nil"/>
              <w:left w:val="nil"/>
              <w:bottom w:val="single" w:sz="4" w:space="0" w:color="auto"/>
              <w:right w:val="single" w:sz="8" w:space="0" w:color="auto"/>
            </w:tcBorders>
            <w:noWrap/>
            <w:vAlign w:val="bottom"/>
            <w:hideMark/>
          </w:tcPr>
          <w:p w14:paraId="0624A57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495752B7" w14:textId="77777777" w:rsidTr="007259D9">
        <w:trPr>
          <w:gridAfter w:val="2"/>
          <w:wAfter w:w="14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27B8EC90"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7C580C40"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58DAFF71"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64866631"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130B6555"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373B2733"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735BA7A4"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p>
          <w:p w14:paraId="1E3B2FCC"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noWrap/>
            <w:vAlign w:val="bottom"/>
            <w:hideMark/>
          </w:tcPr>
          <w:p w14:paraId="5FA56A44"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67EAA5A4"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392" w:type="dxa"/>
            <w:tcBorders>
              <w:top w:val="nil"/>
              <w:left w:val="nil"/>
              <w:bottom w:val="single" w:sz="4" w:space="0" w:color="auto"/>
              <w:right w:val="single" w:sz="4" w:space="0" w:color="auto"/>
            </w:tcBorders>
            <w:noWrap/>
          </w:tcPr>
          <w:p w14:paraId="2FE176D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lang w:val="en-US"/>
              </w:rPr>
              <w:t>420,457</w:t>
            </w:r>
          </w:p>
          <w:p w14:paraId="77991661"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355,872-161,148</w:t>
            </w:r>
          </w:p>
        </w:tc>
        <w:tc>
          <w:tcPr>
            <w:tcW w:w="1255" w:type="dxa"/>
            <w:gridSpan w:val="2"/>
            <w:tcBorders>
              <w:top w:val="nil"/>
              <w:left w:val="nil"/>
              <w:bottom w:val="single" w:sz="4" w:space="0" w:color="auto"/>
              <w:right w:val="single" w:sz="4" w:space="0" w:color="auto"/>
            </w:tcBorders>
            <w:noWrap/>
          </w:tcPr>
          <w:p w14:paraId="46FC863E"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542,751</w:t>
            </w:r>
          </w:p>
          <w:p w14:paraId="60B6CDDD"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504,163-216,473</w:t>
            </w:r>
          </w:p>
        </w:tc>
        <w:tc>
          <w:tcPr>
            <w:tcW w:w="1107" w:type="dxa"/>
            <w:gridSpan w:val="2"/>
            <w:tcBorders>
              <w:top w:val="nil"/>
              <w:left w:val="nil"/>
              <w:bottom w:val="single" w:sz="4" w:space="0" w:color="auto"/>
              <w:right w:val="single" w:sz="4" w:space="0" w:color="auto"/>
            </w:tcBorders>
            <w:noWrap/>
          </w:tcPr>
          <w:p w14:paraId="60049337"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601,602</w:t>
            </w:r>
          </w:p>
          <w:p w14:paraId="2A908F7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510,348-216,787</w:t>
            </w:r>
          </w:p>
        </w:tc>
        <w:tc>
          <w:tcPr>
            <w:tcW w:w="1255" w:type="dxa"/>
            <w:gridSpan w:val="2"/>
            <w:tcBorders>
              <w:top w:val="nil"/>
              <w:left w:val="nil"/>
              <w:bottom w:val="single" w:sz="4" w:space="0" w:color="auto"/>
              <w:right w:val="single" w:sz="8" w:space="0" w:color="auto"/>
            </w:tcBorders>
            <w:noWrap/>
          </w:tcPr>
          <w:p w14:paraId="06DC3341"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614,680</w:t>
            </w:r>
          </w:p>
          <w:p w14:paraId="48A6FD7C"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510,290-179,510</w:t>
            </w:r>
          </w:p>
        </w:tc>
      </w:tr>
      <w:tr w:rsidR="001F675A" w:rsidRPr="009225E6" w14:paraId="6BB5E9B6" w14:textId="77777777" w:rsidTr="007259D9">
        <w:trPr>
          <w:gridAfter w:val="2"/>
          <w:wAfter w:w="1405" w:type="dxa"/>
          <w:trHeight w:val="588"/>
        </w:trPr>
        <w:tc>
          <w:tcPr>
            <w:tcW w:w="992" w:type="dxa"/>
            <w:tcBorders>
              <w:top w:val="nil"/>
              <w:left w:val="single" w:sz="8" w:space="0" w:color="auto"/>
              <w:bottom w:val="single" w:sz="4" w:space="0" w:color="auto"/>
              <w:right w:val="single" w:sz="4" w:space="0" w:color="auto"/>
            </w:tcBorders>
            <w:noWrap/>
            <w:vAlign w:val="bottom"/>
            <w:hideMark/>
          </w:tcPr>
          <w:p w14:paraId="360D1A10"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C1</w:t>
            </w:r>
          </w:p>
        </w:tc>
        <w:tc>
          <w:tcPr>
            <w:tcW w:w="1629" w:type="dxa"/>
            <w:gridSpan w:val="2"/>
            <w:tcBorders>
              <w:top w:val="nil"/>
              <w:left w:val="nil"/>
              <w:bottom w:val="single" w:sz="4" w:space="0" w:color="auto"/>
              <w:right w:val="single" w:sz="4" w:space="0" w:color="auto"/>
            </w:tcBorders>
            <w:vAlign w:val="bottom"/>
            <w:hideMark/>
          </w:tcPr>
          <w:p w14:paraId="2FAD9AA6"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Assets Turnover</w:t>
            </w:r>
          </w:p>
        </w:tc>
        <w:tc>
          <w:tcPr>
            <w:tcW w:w="2964" w:type="dxa"/>
            <w:gridSpan w:val="3"/>
            <w:tcBorders>
              <w:top w:val="nil"/>
              <w:left w:val="nil"/>
              <w:bottom w:val="single" w:sz="4" w:space="0" w:color="auto"/>
              <w:right w:val="single" w:sz="4" w:space="0" w:color="auto"/>
            </w:tcBorders>
            <w:vAlign w:val="bottom"/>
            <w:hideMark/>
          </w:tcPr>
          <w:p w14:paraId="3212AD0B"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 Net Sales   Revenue</w:t>
            </w:r>
            <w:r w:rsidRPr="009225E6">
              <w:rPr>
                <w:rFonts w:ascii="Times New Roman" w:eastAsia="Times New Roman" w:hAnsi="Times New Roman" w:cs="Times New Roman"/>
                <w:color w:val="000000"/>
                <w:lang w:val="en-US"/>
              </w:rPr>
              <w:t xml:space="preserve">                              </w:t>
            </w:r>
            <w:r w:rsidRPr="009225E6">
              <w:rPr>
                <w:rFonts w:ascii="Times New Roman" w:eastAsia="Times New Roman" w:hAnsi="Times New Roman" w:cs="Times New Roman"/>
                <w:color w:val="000000"/>
                <w:u w:val="single"/>
                <w:lang w:val="en-US"/>
              </w:rPr>
              <w:t xml:space="preserve">  </w:t>
            </w:r>
            <w:r w:rsidRPr="009225E6">
              <w:rPr>
                <w:rFonts w:ascii="Times New Roman" w:eastAsia="Times New Roman" w:hAnsi="Times New Roman" w:cs="Times New Roman"/>
                <w:color w:val="000000"/>
                <w:lang w:val="en-US"/>
              </w:rPr>
              <w:t xml:space="preserve">  </w:t>
            </w:r>
            <w:r w:rsidRPr="009225E6">
              <w:rPr>
                <w:rFonts w:ascii="Times New Roman" w:eastAsia="Times New Roman" w:hAnsi="Times New Roman" w:cs="Times New Roman"/>
                <w:color w:val="000000"/>
                <w:u w:val="single"/>
                <w:lang w:val="en-US"/>
              </w:rPr>
              <w:br/>
            </w:r>
            <w:r w:rsidRPr="009225E6">
              <w:rPr>
                <w:rFonts w:ascii="Times New Roman" w:eastAsia="Times New Roman" w:hAnsi="Times New Roman" w:cs="Times New Roman"/>
                <w:color w:val="000000"/>
                <w:lang w:val="en-US"/>
              </w:rPr>
              <w:t>Capital Employed</w:t>
            </w:r>
          </w:p>
        </w:tc>
        <w:tc>
          <w:tcPr>
            <w:tcW w:w="1315" w:type="dxa"/>
            <w:tcBorders>
              <w:top w:val="nil"/>
              <w:left w:val="nil"/>
              <w:bottom w:val="single" w:sz="4" w:space="0" w:color="auto"/>
              <w:right w:val="single" w:sz="4" w:space="0" w:color="auto"/>
            </w:tcBorders>
            <w:noWrap/>
            <w:vAlign w:val="bottom"/>
            <w:hideMark/>
          </w:tcPr>
          <w:p w14:paraId="1185579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392" w:type="dxa"/>
            <w:tcBorders>
              <w:top w:val="nil"/>
              <w:left w:val="nil"/>
              <w:bottom w:val="single" w:sz="4" w:space="0" w:color="auto"/>
              <w:right w:val="single" w:sz="4" w:space="0" w:color="auto"/>
            </w:tcBorders>
            <w:noWrap/>
            <w:vAlign w:val="bottom"/>
            <w:hideMark/>
          </w:tcPr>
          <w:p w14:paraId="437CFD9D"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£2.61</w:t>
            </w:r>
          </w:p>
        </w:tc>
        <w:tc>
          <w:tcPr>
            <w:tcW w:w="1255" w:type="dxa"/>
            <w:gridSpan w:val="2"/>
            <w:tcBorders>
              <w:top w:val="nil"/>
              <w:left w:val="nil"/>
              <w:bottom w:val="single" w:sz="4" w:space="0" w:color="auto"/>
              <w:right w:val="single" w:sz="4" w:space="0" w:color="auto"/>
            </w:tcBorders>
            <w:noWrap/>
            <w:vAlign w:val="bottom"/>
            <w:hideMark/>
          </w:tcPr>
          <w:p w14:paraId="2D1A42C2"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£2.51</w:t>
            </w:r>
          </w:p>
        </w:tc>
        <w:tc>
          <w:tcPr>
            <w:tcW w:w="1107" w:type="dxa"/>
            <w:gridSpan w:val="2"/>
            <w:tcBorders>
              <w:top w:val="nil"/>
              <w:left w:val="nil"/>
              <w:bottom w:val="single" w:sz="4" w:space="0" w:color="auto"/>
              <w:right w:val="single" w:sz="4" w:space="0" w:color="auto"/>
            </w:tcBorders>
            <w:noWrap/>
            <w:vAlign w:val="bottom"/>
            <w:hideMark/>
          </w:tcPr>
          <w:p w14:paraId="637FD455"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£2.78</w:t>
            </w:r>
          </w:p>
        </w:tc>
        <w:tc>
          <w:tcPr>
            <w:tcW w:w="1255" w:type="dxa"/>
            <w:gridSpan w:val="2"/>
            <w:tcBorders>
              <w:top w:val="nil"/>
              <w:left w:val="nil"/>
              <w:bottom w:val="single" w:sz="4" w:space="0" w:color="auto"/>
              <w:right w:val="single" w:sz="8" w:space="0" w:color="auto"/>
            </w:tcBorders>
            <w:noWrap/>
            <w:vAlign w:val="bottom"/>
            <w:hideMark/>
          </w:tcPr>
          <w:p w14:paraId="3A01A223"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£3.42</w:t>
            </w:r>
          </w:p>
        </w:tc>
      </w:tr>
      <w:tr w:rsidR="001F675A" w:rsidRPr="009225E6" w14:paraId="644B6EC7" w14:textId="77777777" w:rsidTr="007259D9">
        <w:trPr>
          <w:gridAfter w:val="2"/>
          <w:wAfter w:w="14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3CD3D28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2540054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2416F073"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w:t>
            </w:r>
          </w:p>
        </w:tc>
        <w:tc>
          <w:tcPr>
            <w:tcW w:w="1315" w:type="dxa"/>
            <w:tcBorders>
              <w:top w:val="nil"/>
              <w:left w:val="nil"/>
              <w:bottom w:val="single" w:sz="4" w:space="0" w:color="auto"/>
              <w:right w:val="single" w:sz="4" w:space="0" w:color="auto"/>
            </w:tcBorders>
            <w:noWrap/>
            <w:vAlign w:val="bottom"/>
            <w:hideMark/>
          </w:tcPr>
          <w:p w14:paraId="1F13311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92" w:type="dxa"/>
            <w:tcBorders>
              <w:top w:val="nil"/>
              <w:left w:val="nil"/>
              <w:bottom w:val="single" w:sz="4" w:space="0" w:color="auto"/>
              <w:right w:val="single" w:sz="4" w:space="0" w:color="auto"/>
            </w:tcBorders>
            <w:noWrap/>
            <w:hideMark/>
          </w:tcPr>
          <w:p w14:paraId="3E4EF382"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 xml:space="preserve">88,273 </w:t>
            </w:r>
          </w:p>
          <w:p w14:paraId="75E085E2"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-322,897</w:t>
            </w:r>
          </w:p>
        </w:tc>
        <w:tc>
          <w:tcPr>
            <w:tcW w:w="1255" w:type="dxa"/>
            <w:gridSpan w:val="2"/>
            <w:tcBorders>
              <w:top w:val="nil"/>
              <w:left w:val="nil"/>
              <w:bottom w:val="single" w:sz="4" w:space="0" w:color="auto"/>
              <w:right w:val="single" w:sz="4" w:space="0" w:color="auto"/>
            </w:tcBorders>
            <w:noWrap/>
            <w:hideMark/>
          </w:tcPr>
          <w:p w14:paraId="417D3021"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140,181</w:t>
            </w:r>
          </w:p>
          <w:p w14:paraId="7AAC33BB"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-390,459</w:t>
            </w:r>
          </w:p>
        </w:tc>
        <w:tc>
          <w:tcPr>
            <w:tcW w:w="1107" w:type="dxa"/>
            <w:gridSpan w:val="2"/>
            <w:tcBorders>
              <w:top w:val="nil"/>
              <w:left w:val="nil"/>
              <w:bottom w:val="single" w:sz="4" w:space="0" w:color="auto"/>
              <w:right w:val="single" w:sz="4" w:space="0" w:color="auto"/>
            </w:tcBorders>
            <w:noWrap/>
            <w:hideMark/>
          </w:tcPr>
          <w:p w14:paraId="3B4993A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134,469</w:t>
            </w:r>
          </w:p>
          <w:p w14:paraId="10B25E4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-428,586</w:t>
            </w:r>
          </w:p>
        </w:tc>
        <w:tc>
          <w:tcPr>
            <w:tcW w:w="1255" w:type="dxa"/>
            <w:gridSpan w:val="2"/>
            <w:tcBorders>
              <w:top w:val="nil"/>
              <w:left w:val="nil"/>
              <w:bottom w:val="single" w:sz="4" w:space="0" w:color="auto"/>
              <w:right w:val="single" w:sz="8" w:space="0" w:color="auto"/>
            </w:tcBorders>
            <w:noWrap/>
            <w:hideMark/>
          </w:tcPr>
          <w:p w14:paraId="25D7F09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120,430</w:t>
            </w:r>
          </w:p>
          <w:p w14:paraId="68356AB4"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-438,424</w:t>
            </w:r>
          </w:p>
        </w:tc>
      </w:tr>
      <w:tr w:rsidR="001F675A" w:rsidRPr="009225E6" w14:paraId="615EA8CD" w14:textId="77777777" w:rsidTr="007259D9">
        <w:trPr>
          <w:gridAfter w:val="2"/>
          <w:wAfter w:w="1405" w:type="dxa"/>
          <w:trHeight w:val="588"/>
        </w:trPr>
        <w:tc>
          <w:tcPr>
            <w:tcW w:w="992" w:type="dxa"/>
            <w:tcBorders>
              <w:top w:val="nil"/>
              <w:left w:val="single" w:sz="8" w:space="0" w:color="auto"/>
              <w:bottom w:val="single" w:sz="4" w:space="0" w:color="auto"/>
              <w:right w:val="single" w:sz="4" w:space="0" w:color="auto"/>
            </w:tcBorders>
            <w:noWrap/>
            <w:vAlign w:val="bottom"/>
            <w:hideMark/>
          </w:tcPr>
          <w:p w14:paraId="3CE5BE0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C2</w:t>
            </w:r>
          </w:p>
        </w:tc>
        <w:tc>
          <w:tcPr>
            <w:tcW w:w="1629" w:type="dxa"/>
            <w:gridSpan w:val="2"/>
            <w:tcBorders>
              <w:top w:val="nil"/>
              <w:left w:val="nil"/>
              <w:bottom w:val="single" w:sz="4" w:space="0" w:color="auto"/>
              <w:right w:val="single" w:sz="4" w:space="0" w:color="auto"/>
            </w:tcBorders>
            <w:vAlign w:val="bottom"/>
            <w:hideMark/>
          </w:tcPr>
          <w:p w14:paraId="54B713E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Stock Holding Period</w:t>
            </w:r>
          </w:p>
        </w:tc>
        <w:tc>
          <w:tcPr>
            <w:tcW w:w="2964" w:type="dxa"/>
            <w:gridSpan w:val="3"/>
            <w:tcBorders>
              <w:top w:val="nil"/>
              <w:left w:val="nil"/>
              <w:bottom w:val="single" w:sz="4" w:space="0" w:color="auto"/>
              <w:right w:val="single" w:sz="4" w:space="0" w:color="auto"/>
            </w:tcBorders>
            <w:vAlign w:val="bottom"/>
            <w:hideMark/>
          </w:tcPr>
          <w:p w14:paraId="0E83D2E6"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Inventory  </w:t>
            </w:r>
            <w:r w:rsidRPr="009225E6">
              <w:rPr>
                <w:rFonts w:ascii="Times New Roman" w:eastAsia="Times New Roman" w:hAnsi="Times New Roman" w:cs="Times New Roman"/>
                <w:color w:val="000000"/>
                <w:lang w:val="en-US"/>
              </w:rPr>
              <w:t xml:space="preserve"> x 365</w:t>
            </w:r>
            <w:r w:rsidRPr="009225E6">
              <w:rPr>
                <w:rFonts w:ascii="Times New Roman" w:eastAsia="Times New Roman" w:hAnsi="Times New Roman" w:cs="Times New Roman"/>
                <w:color w:val="000000"/>
                <w:u w:val="single"/>
                <w:lang w:val="en-US"/>
              </w:rPr>
              <w:br/>
            </w:r>
            <w:r w:rsidRPr="009225E6">
              <w:rPr>
                <w:rFonts w:ascii="Times New Roman" w:eastAsia="Times New Roman" w:hAnsi="Times New Roman" w:cs="Times New Roman"/>
                <w:color w:val="000000"/>
                <w:lang w:val="en-US"/>
              </w:rPr>
              <w:t xml:space="preserve">Cost of sales </w:t>
            </w:r>
          </w:p>
        </w:tc>
        <w:tc>
          <w:tcPr>
            <w:tcW w:w="1315" w:type="dxa"/>
            <w:tcBorders>
              <w:top w:val="nil"/>
              <w:left w:val="nil"/>
              <w:bottom w:val="single" w:sz="4" w:space="0" w:color="auto"/>
              <w:right w:val="single" w:sz="4" w:space="0" w:color="auto"/>
            </w:tcBorders>
            <w:noWrap/>
            <w:vAlign w:val="bottom"/>
            <w:hideMark/>
          </w:tcPr>
          <w:p w14:paraId="723E81B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Days</w:t>
            </w:r>
          </w:p>
        </w:tc>
        <w:tc>
          <w:tcPr>
            <w:tcW w:w="2392" w:type="dxa"/>
            <w:tcBorders>
              <w:top w:val="nil"/>
              <w:left w:val="nil"/>
              <w:bottom w:val="single" w:sz="4" w:space="0" w:color="auto"/>
              <w:right w:val="single" w:sz="4" w:space="0" w:color="auto"/>
            </w:tcBorders>
            <w:noWrap/>
            <w:vAlign w:val="bottom"/>
            <w:hideMark/>
          </w:tcPr>
          <w:p w14:paraId="63024FB8"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w:t>
            </w:r>
          </w:p>
        </w:tc>
        <w:tc>
          <w:tcPr>
            <w:tcW w:w="1255" w:type="dxa"/>
            <w:gridSpan w:val="2"/>
            <w:tcBorders>
              <w:top w:val="nil"/>
              <w:left w:val="nil"/>
              <w:bottom w:val="single" w:sz="4" w:space="0" w:color="auto"/>
              <w:right w:val="single" w:sz="4" w:space="0" w:color="auto"/>
            </w:tcBorders>
            <w:noWrap/>
            <w:vAlign w:val="bottom"/>
            <w:hideMark/>
          </w:tcPr>
          <w:p w14:paraId="6AB93FC0"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131</w:t>
            </w:r>
          </w:p>
        </w:tc>
        <w:tc>
          <w:tcPr>
            <w:tcW w:w="1107" w:type="dxa"/>
            <w:gridSpan w:val="2"/>
            <w:tcBorders>
              <w:top w:val="nil"/>
              <w:left w:val="nil"/>
              <w:bottom w:val="single" w:sz="4" w:space="0" w:color="auto"/>
              <w:right w:val="single" w:sz="4" w:space="0" w:color="auto"/>
            </w:tcBorders>
            <w:noWrap/>
            <w:vAlign w:val="bottom"/>
            <w:hideMark/>
          </w:tcPr>
          <w:p w14:paraId="5FCF96E5"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115</w:t>
            </w:r>
          </w:p>
        </w:tc>
        <w:tc>
          <w:tcPr>
            <w:tcW w:w="1255" w:type="dxa"/>
            <w:gridSpan w:val="2"/>
            <w:tcBorders>
              <w:top w:val="nil"/>
              <w:left w:val="nil"/>
              <w:bottom w:val="single" w:sz="4" w:space="0" w:color="auto"/>
              <w:right w:val="single" w:sz="8" w:space="0" w:color="auto"/>
            </w:tcBorders>
            <w:noWrap/>
            <w:vAlign w:val="bottom"/>
            <w:hideMark/>
          </w:tcPr>
          <w:p w14:paraId="39DCA97B"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w:t>
            </w:r>
          </w:p>
        </w:tc>
      </w:tr>
      <w:tr w:rsidR="001F675A" w:rsidRPr="009225E6" w14:paraId="0C18CF45" w14:textId="77777777" w:rsidTr="007259D9">
        <w:trPr>
          <w:gridAfter w:val="2"/>
          <w:wAfter w:w="14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077EA78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20ECA9F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32419272"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w:t>
            </w:r>
          </w:p>
        </w:tc>
        <w:tc>
          <w:tcPr>
            <w:tcW w:w="1315" w:type="dxa"/>
            <w:tcBorders>
              <w:top w:val="nil"/>
              <w:left w:val="nil"/>
              <w:bottom w:val="single" w:sz="4" w:space="0" w:color="auto"/>
              <w:right w:val="single" w:sz="4" w:space="0" w:color="auto"/>
            </w:tcBorders>
            <w:noWrap/>
            <w:vAlign w:val="bottom"/>
            <w:hideMark/>
          </w:tcPr>
          <w:p w14:paraId="189BE2D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92" w:type="dxa"/>
            <w:tcBorders>
              <w:top w:val="nil"/>
              <w:left w:val="nil"/>
              <w:bottom w:val="single" w:sz="4" w:space="0" w:color="auto"/>
              <w:right w:val="single" w:sz="4" w:space="0" w:color="auto"/>
            </w:tcBorders>
            <w:noWrap/>
            <w:hideMark/>
          </w:tcPr>
          <w:p w14:paraId="2F5A8AF4"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112,596</w:t>
            </w:r>
          </w:p>
          <w:p w14:paraId="3F91909A" w14:textId="77777777" w:rsidR="001F675A" w:rsidRPr="009225E6" w:rsidRDefault="001F675A" w:rsidP="00662AC8">
            <w:pPr>
              <w:rPr>
                <w:rFonts w:ascii="Times New Roman" w:hAnsi="Times New Roman" w:cs="Times New Roman"/>
              </w:rPr>
            </w:pPr>
            <w:r w:rsidRPr="009225E6">
              <w:rPr>
                <w:rFonts w:ascii="Times New Roman" w:hAnsi="Times New Roman" w:cs="Times New Roman"/>
                <w:lang w:val="en-US"/>
              </w:rPr>
              <w:t>420,457</w:t>
            </w:r>
          </w:p>
        </w:tc>
        <w:tc>
          <w:tcPr>
            <w:tcW w:w="1255" w:type="dxa"/>
            <w:gridSpan w:val="2"/>
            <w:tcBorders>
              <w:top w:val="nil"/>
              <w:left w:val="nil"/>
              <w:bottom w:val="single" w:sz="4" w:space="0" w:color="auto"/>
              <w:right w:val="single" w:sz="4" w:space="0" w:color="auto"/>
            </w:tcBorders>
            <w:noWrap/>
            <w:hideMark/>
          </w:tcPr>
          <w:p w14:paraId="4E65353E"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112,346</w:t>
            </w:r>
          </w:p>
          <w:p w14:paraId="1BB86870"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542,751</w:t>
            </w:r>
          </w:p>
        </w:tc>
        <w:tc>
          <w:tcPr>
            <w:tcW w:w="1107" w:type="dxa"/>
            <w:gridSpan w:val="2"/>
            <w:tcBorders>
              <w:top w:val="nil"/>
              <w:left w:val="nil"/>
              <w:bottom w:val="single" w:sz="4" w:space="0" w:color="auto"/>
              <w:right w:val="single" w:sz="4" w:space="0" w:color="auto"/>
            </w:tcBorders>
            <w:noWrap/>
            <w:hideMark/>
          </w:tcPr>
          <w:p w14:paraId="0C8B4D2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129,215</w:t>
            </w:r>
          </w:p>
          <w:p w14:paraId="571BC169"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601,602</w:t>
            </w:r>
          </w:p>
        </w:tc>
        <w:tc>
          <w:tcPr>
            <w:tcW w:w="1255" w:type="dxa"/>
            <w:gridSpan w:val="2"/>
            <w:tcBorders>
              <w:top w:val="nil"/>
              <w:left w:val="nil"/>
              <w:bottom w:val="single" w:sz="4" w:space="0" w:color="auto"/>
              <w:right w:val="single" w:sz="8" w:space="0" w:color="auto"/>
            </w:tcBorders>
            <w:noWrap/>
            <w:hideMark/>
          </w:tcPr>
          <w:p w14:paraId="5ED7B6BA"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129,433</w:t>
            </w:r>
          </w:p>
          <w:p w14:paraId="1489F8C1"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614,680</w:t>
            </w:r>
          </w:p>
        </w:tc>
      </w:tr>
      <w:tr w:rsidR="001F675A" w:rsidRPr="009225E6" w14:paraId="3A3F07A3" w14:textId="77777777" w:rsidTr="007259D9">
        <w:trPr>
          <w:gridAfter w:val="2"/>
          <w:wAfter w:w="1405" w:type="dxa"/>
          <w:trHeight w:val="784"/>
        </w:trPr>
        <w:tc>
          <w:tcPr>
            <w:tcW w:w="992" w:type="dxa"/>
            <w:tcBorders>
              <w:top w:val="nil"/>
              <w:left w:val="single" w:sz="8" w:space="0" w:color="auto"/>
              <w:bottom w:val="single" w:sz="4" w:space="0" w:color="auto"/>
              <w:right w:val="single" w:sz="4" w:space="0" w:color="auto"/>
            </w:tcBorders>
            <w:noWrap/>
            <w:vAlign w:val="bottom"/>
            <w:hideMark/>
          </w:tcPr>
          <w:p w14:paraId="2ED444A9"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lastRenderedPageBreak/>
              <w:t>C3</w:t>
            </w:r>
          </w:p>
        </w:tc>
        <w:tc>
          <w:tcPr>
            <w:tcW w:w="1629" w:type="dxa"/>
            <w:gridSpan w:val="2"/>
            <w:tcBorders>
              <w:top w:val="nil"/>
              <w:left w:val="nil"/>
              <w:bottom w:val="single" w:sz="4" w:space="0" w:color="auto"/>
              <w:right w:val="single" w:sz="4" w:space="0" w:color="auto"/>
            </w:tcBorders>
            <w:vAlign w:val="bottom"/>
            <w:hideMark/>
          </w:tcPr>
          <w:p w14:paraId="205AE2E2"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Average settlement period for receivables</w:t>
            </w:r>
          </w:p>
        </w:tc>
        <w:tc>
          <w:tcPr>
            <w:tcW w:w="2964" w:type="dxa"/>
            <w:gridSpan w:val="3"/>
            <w:tcBorders>
              <w:top w:val="nil"/>
              <w:left w:val="nil"/>
              <w:bottom w:val="single" w:sz="4" w:space="0" w:color="auto"/>
              <w:right w:val="single" w:sz="4" w:space="0" w:color="auto"/>
            </w:tcBorders>
            <w:vAlign w:val="bottom"/>
            <w:hideMark/>
          </w:tcPr>
          <w:p w14:paraId="59BEC99F"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 Receivable  </w:t>
            </w:r>
            <w:r w:rsidRPr="009225E6">
              <w:rPr>
                <w:rFonts w:ascii="Times New Roman" w:eastAsia="Times New Roman" w:hAnsi="Times New Roman" w:cs="Times New Roman"/>
                <w:color w:val="000000"/>
                <w:lang w:val="en-US"/>
              </w:rPr>
              <w:t xml:space="preserve"> x 365</w:t>
            </w:r>
            <w:r w:rsidRPr="009225E6">
              <w:rPr>
                <w:rFonts w:ascii="Times New Roman" w:eastAsia="Times New Roman" w:hAnsi="Times New Roman" w:cs="Times New Roman"/>
                <w:color w:val="000000"/>
                <w:u w:val="single"/>
                <w:lang w:val="en-US"/>
              </w:rPr>
              <w:br/>
            </w:r>
            <w:r w:rsidRPr="009225E6">
              <w:rPr>
                <w:rFonts w:ascii="Times New Roman" w:eastAsia="Times New Roman" w:hAnsi="Times New Roman" w:cs="Times New Roman"/>
                <w:color w:val="000000"/>
                <w:lang w:val="en-US"/>
              </w:rPr>
              <w:t>Credit sales Revenue</w:t>
            </w:r>
          </w:p>
        </w:tc>
        <w:tc>
          <w:tcPr>
            <w:tcW w:w="1315" w:type="dxa"/>
            <w:tcBorders>
              <w:top w:val="nil"/>
              <w:left w:val="nil"/>
              <w:bottom w:val="single" w:sz="4" w:space="0" w:color="auto"/>
              <w:right w:val="single" w:sz="4" w:space="0" w:color="auto"/>
            </w:tcBorders>
            <w:noWrap/>
            <w:vAlign w:val="bottom"/>
            <w:hideMark/>
          </w:tcPr>
          <w:p w14:paraId="0749CA9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Days</w:t>
            </w:r>
          </w:p>
        </w:tc>
        <w:tc>
          <w:tcPr>
            <w:tcW w:w="2392" w:type="dxa"/>
            <w:tcBorders>
              <w:top w:val="nil"/>
              <w:left w:val="nil"/>
              <w:bottom w:val="single" w:sz="4" w:space="0" w:color="auto"/>
              <w:right w:val="single" w:sz="4" w:space="0" w:color="auto"/>
            </w:tcBorders>
            <w:noWrap/>
            <w:vAlign w:val="bottom"/>
            <w:hideMark/>
          </w:tcPr>
          <w:p w14:paraId="34ED663C"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-98</w:t>
            </w:r>
          </w:p>
        </w:tc>
        <w:tc>
          <w:tcPr>
            <w:tcW w:w="1255" w:type="dxa"/>
            <w:gridSpan w:val="2"/>
            <w:tcBorders>
              <w:top w:val="nil"/>
              <w:left w:val="nil"/>
              <w:bottom w:val="single" w:sz="4" w:space="0" w:color="auto"/>
              <w:right w:val="single" w:sz="4" w:space="0" w:color="auto"/>
            </w:tcBorders>
            <w:noWrap/>
            <w:vAlign w:val="bottom"/>
            <w:hideMark/>
          </w:tcPr>
          <w:p w14:paraId="1277D6CE"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-76</w:t>
            </w:r>
          </w:p>
        </w:tc>
        <w:tc>
          <w:tcPr>
            <w:tcW w:w="1107" w:type="dxa"/>
            <w:gridSpan w:val="2"/>
            <w:tcBorders>
              <w:top w:val="nil"/>
              <w:left w:val="nil"/>
              <w:bottom w:val="single" w:sz="4" w:space="0" w:color="auto"/>
              <w:right w:val="single" w:sz="4" w:space="0" w:color="auto"/>
            </w:tcBorders>
            <w:noWrap/>
            <w:vAlign w:val="bottom"/>
            <w:hideMark/>
          </w:tcPr>
          <w:p w14:paraId="1A78497F"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-78</w:t>
            </w:r>
          </w:p>
        </w:tc>
        <w:tc>
          <w:tcPr>
            <w:tcW w:w="1255" w:type="dxa"/>
            <w:gridSpan w:val="2"/>
            <w:tcBorders>
              <w:top w:val="nil"/>
              <w:left w:val="nil"/>
              <w:bottom w:val="single" w:sz="4" w:space="0" w:color="auto"/>
              <w:right w:val="single" w:sz="8" w:space="0" w:color="auto"/>
            </w:tcBorders>
            <w:noWrap/>
            <w:vAlign w:val="bottom"/>
            <w:hideMark/>
          </w:tcPr>
          <w:p w14:paraId="13A84A82"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-77</w:t>
            </w:r>
          </w:p>
        </w:tc>
      </w:tr>
      <w:tr w:rsidR="001F675A" w:rsidRPr="009225E6" w14:paraId="4C4A5127" w14:textId="77777777" w:rsidTr="007259D9">
        <w:trPr>
          <w:gridAfter w:val="2"/>
          <w:wAfter w:w="14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1F14CAB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7BB1816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63BF4694"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w:t>
            </w:r>
          </w:p>
        </w:tc>
        <w:tc>
          <w:tcPr>
            <w:tcW w:w="1315" w:type="dxa"/>
            <w:tcBorders>
              <w:top w:val="nil"/>
              <w:left w:val="nil"/>
              <w:bottom w:val="single" w:sz="4" w:space="0" w:color="auto"/>
              <w:right w:val="single" w:sz="4" w:space="0" w:color="auto"/>
            </w:tcBorders>
            <w:noWrap/>
            <w:vAlign w:val="bottom"/>
            <w:hideMark/>
          </w:tcPr>
          <w:p w14:paraId="3C039214"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92" w:type="dxa"/>
            <w:tcBorders>
              <w:top w:val="nil"/>
              <w:left w:val="nil"/>
              <w:bottom w:val="single" w:sz="4" w:space="0" w:color="auto"/>
              <w:right w:val="single" w:sz="4" w:space="0" w:color="auto"/>
            </w:tcBorders>
            <w:noWrap/>
            <w:hideMark/>
          </w:tcPr>
          <w:p w14:paraId="7007DBD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57,033</w:t>
            </w:r>
          </w:p>
          <w:p w14:paraId="78898106"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-322,897</w:t>
            </w:r>
          </w:p>
        </w:tc>
        <w:tc>
          <w:tcPr>
            <w:tcW w:w="1255" w:type="dxa"/>
            <w:gridSpan w:val="2"/>
            <w:tcBorders>
              <w:top w:val="nil"/>
              <w:left w:val="nil"/>
              <w:bottom w:val="single" w:sz="4" w:space="0" w:color="auto"/>
              <w:right w:val="single" w:sz="4" w:space="0" w:color="auto"/>
            </w:tcBorders>
            <w:noWrap/>
            <w:hideMark/>
          </w:tcPr>
          <w:p w14:paraId="4E27ACC1"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71,373</w:t>
            </w:r>
          </w:p>
          <w:p w14:paraId="631B3F67"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-390,459</w:t>
            </w:r>
          </w:p>
        </w:tc>
        <w:tc>
          <w:tcPr>
            <w:tcW w:w="1107" w:type="dxa"/>
            <w:gridSpan w:val="2"/>
            <w:tcBorders>
              <w:top w:val="nil"/>
              <w:left w:val="nil"/>
              <w:bottom w:val="single" w:sz="4" w:space="0" w:color="auto"/>
              <w:right w:val="single" w:sz="4" w:space="0" w:color="auto"/>
            </w:tcBorders>
            <w:noWrap/>
            <w:hideMark/>
          </w:tcPr>
          <w:p w14:paraId="275C43B6"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92,707</w:t>
            </w:r>
          </w:p>
          <w:p w14:paraId="199E692C"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-428,586</w:t>
            </w:r>
          </w:p>
        </w:tc>
        <w:tc>
          <w:tcPr>
            <w:tcW w:w="1255" w:type="dxa"/>
            <w:gridSpan w:val="2"/>
            <w:tcBorders>
              <w:top w:val="nil"/>
              <w:left w:val="nil"/>
              <w:bottom w:val="single" w:sz="4" w:space="0" w:color="auto"/>
              <w:right w:val="single" w:sz="8" w:space="0" w:color="auto"/>
            </w:tcBorders>
            <w:noWrap/>
            <w:hideMark/>
          </w:tcPr>
          <w:p w14:paraId="6D357E7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83,229</w:t>
            </w:r>
          </w:p>
          <w:p w14:paraId="3841B85B"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-438,424</w:t>
            </w:r>
          </w:p>
        </w:tc>
      </w:tr>
      <w:tr w:rsidR="001F675A" w:rsidRPr="009225E6" w14:paraId="0CCA9776" w14:textId="77777777" w:rsidTr="007259D9">
        <w:trPr>
          <w:gridAfter w:val="2"/>
          <w:wAfter w:w="1405" w:type="dxa"/>
          <w:trHeight w:val="588"/>
        </w:trPr>
        <w:tc>
          <w:tcPr>
            <w:tcW w:w="992" w:type="dxa"/>
            <w:tcBorders>
              <w:top w:val="nil"/>
              <w:left w:val="single" w:sz="8" w:space="0" w:color="auto"/>
              <w:bottom w:val="single" w:sz="4" w:space="0" w:color="auto"/>
              <w:right w:val="single" w:sz="4" w:space="0" w:color="auto"/>
            </w:tcBorders>
            <w:noWrap/>
            <w:vAlign w:val="bottom"/>
            <w:hideMark/>
          </w:tcPr>
          <w:p w14:paraId="5A1813B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C4</w:t>
            </w:r>
          </w:p>
        </w:tc>
        <w:tc>
          <w:tcPr>
            <w:tcW w:w="1629" w:type="dxa"/>
            <w:gridSpan w:val="2"/>
            <w:tcBorders>
              <w:top w:val="nil"/>
              <w:left w:val="nil"/>
              <w:bottom w:val="single" w:sz="4" w:space="0" w:color="auto"/>
              <w:right w:val="single" w:sz="4" w:space="0" w:color="auto"/>
            </w:tcBorders>
            <w:vAlign w:val="bottom"/>
            <w:hideMark/>
          </w:tcPr>
          <w:p w14:paraId="68B854E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Creditors Payment Period</w:t>
            </w:r>
          </w:p>
        </w:tc>
        <w:tc>
          <w:tcPr>
            <w:tcW w:w="2964" w:type="dxa"/>
            <w:gridSpan w:val="3"/>
            <w:tcBorders>
              <w:top w:val="nil"/>
              <w:left w:val="nil"/>
              <w:bottom w:val="single" w:sz="4" w:space="0" w:color="auto"/>
              <w:right w:val="single" w:sz="4" w:space="0" w:color="auto"/>
            </w:tcBorders>
            <w:vAlign w:val="bottom"/>
            <w:hideMark/>
          </w:tcPr>
          <w:p w14:paraId="029EE9F5" w14:textId="77777777" w:rsidR="001F675A" w:rsidRPr="009225E6" w:rsidRDefault="001F675A" w:rsidP="00662AC8">
            <w:pPr>
              <w:spacing w:after="0" w:line="240" w:lineRule="auto"/>
              <w:rPr>
                <w:rFonts w:ascii="Times New Roman" w:eastAsia="Times New Roman" w:hAnsi="Times New Roman" w:cs="Times New Roman"/>
                <w:color w:val="000000"/>
                <w:u w:val="single"/>
                <w:lang w:val="en-US"/>
              </w:rPr>
            </w:pPr>
            <w:r w:rsidRPr="009225E6">
              <w:rPr>
                <w:rFonts w:ascii="Times New Roman" w:eastAsia="Times New Roman" w:hAnsi="Times New Roman" w:cs="Times New Roman"/>
                <w:color w:val="000000"/>
                <w:u w:val="single"/>
                <w:lang w:val="en-US"/>
              </w:rPr>
              <w:t xml:space="preserve">Accounts Payable  </w:t>
            </w:r>
            <w:r w:rsidRPr="009225E6">
              <w:rPr>
                <w:rFonts w:ascii="Times New Roman" w:eastAsia="Times New Roman" w:hAnsi="Times New Roman" w:cs="Times New Roman"/>
                <w:color w:val="000000"/>
                <w:lang w:val="en-US"/>
              </w:rPr>
              <w:t xml:space="preserve"> x 365</w:t>
            </w:r>
            <w:r w:rsidRPr="009225E6">
              <w:rPr>
                <w:rFonts w:ascii="Times New Roman" w:eastAsia="Times New Roman" w:hAnsi="Times New Roman" w:cs="Times New Roman"/>
                <w:color w:val="000000"/>
                <w:u w:val="single"/>
                <w:lang w:val="en-US"/>
              </w:rPr>
              <w:br/>
            </w:r>
            <w:r w:rsidRPr="009225E6">
              <w:rPr>
                <w:rFonts w:ascii="Times New Roman" w:eastAsia="Times New Roman" w:hAnsi="Times New Roman" w:cs="Times New Roman"/>
                <w:color w:val="000000"/>
                <w:lang w:val="en-US"/>
              </w:rPr>
              <w:t xml:space="preserve">Cost of sales </w:t>
            </w:r>
          </w:p>
        </w:tc>
        <w:tc>
          <w:tcPr>
            <w:tcW w:w="1315" w:type="dxa"/>
            <w:tcBorders>
              <w:top w:val="nil"/>
              <w:left w:val="nil"/>
              <w:bottom w:val="single" w:sz="4" w:space="0" w:color="auto"/>
              <w:right w:val="single" w:sz="4" w:space="0" w:color="auto"/>
            </w:tcBorders>
            <w:noWrap/>
            <w:vAlign w:val="bottom"/>
            <w:hideMark/>
          </w:tcPr>
          <w:p w14:paraId="25821806"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Days</w:t>
            </w:r>
          </w:p>
        </w:tc>
        <w:tc>
          <w:tcPr>
            <w:tcW w:w="2392" w:type="dxa"/>
            <w:tcBorders>
              <w:top w:val="nil"/>
              <w:left w:val="nil"/>
              <w:bottom w:val="single" w:sz="4" w:space="0" w:color="auto"/>
              <w:right w:val="single" w:sz="4" w:space="0" w:color="auto"/>
            </w:tcBorders>
            <w:noWrap/>
            <w:vAlign w:val="bottom"/>
            <w:hideMark/>
          </w:tcPr>
          <w:p w14:paraId="0AE0649E"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64</w:t>
            </w:r>
          </w:p>
        </w:tc>
        <w:tc>
          <w:tcPr>
            <w:tcW w:w="1255" w:type="dxa"/>
            <w:gridSpan w:val="2"/>
            <w:tcBorders>
              <w:top w:val="nil"/>
              <w:left w:val="nil"/>
              <w:bottom w:val="single" w:sz="4" w:space="0" w:color="auto"/>
              <w:right w:val="single" w:sz="4" w:space="0" w:color="auto"/>
            </w:tcBorders>
            <w:noWrap/>
            <w:vAlign w:val="bottom"/>
            <w:hideMark/>
          </w:tcPr>
          <w:p w14:paraId="5D80C1FC"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67</w:t>
            </w:r>
          </w:p>
        </w:tc>
        <w:tc>
          <w:tcPr>
            <w:tcW w:w="1107" w:type="dxa"/>
            <w:gridSpan w:val="2"/>
            <w:tcBorders>
              <w:top w:val="nil"/>
              <w:left w:val="nil"/>
              <w:bottom w:val="single" w:sz="4" w:space="0" w:color="auto"/>
              <w:right w:val="single" w:sz="4" w:space="0" w:color="auto"/>
            </w:tcBorders>
            <w:noWrap/>
            <w:vAlign w:val="bottom"/>
            <w:hideMark/>
          </w:tcPr>
          <w:p w14:paraId="2F9ED06B"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79</w:t>
            </w:r>
          </w:p>
        </w:tc>
        <w:tc>
          <w:tcPr>
            <w:tcW w:w="1255" w:type="dxa"/>
            <w:gridSpan w:val="2"/>
            <w:tcBorders>
              <w:top w:val="nil"/>
              <w:left w:val="nil"/>
              <w:bottom w:val="single" w:sz="4" w:space="0" w:color="auto"/>
              <w:right w:val="single" w:sz="8" w:space="0" w:color="auto"/>
            </w:tcBorders>
            <w:noWrap/>
            <w:vAlign w:val="bottom"/>
            <w:hideMark/>
          </w:tcPr>
          <w:p w14:paraId="7AAE539D"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69</w:t>
            </w:r>
          </w:p>
        </w:tc>
      </w:tr>
      <w:tr w:rsidR="001F675A" w:rsidRPr="009225E6" w14:paraId="049B734B" w14:textId="77777777" w:rsidTr="007259D9">
        <w:trPr>
          <w:gridAfter w:val="11"/>
          <w:wAfter w:w="9705"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53215339"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w:t>
            </w:r>
          </w:p>
        </w:tc>
        <w:tc>
          <w:tcPr>
            <w:tcW w:w="1255" w:type="dxa"/>
            <w:tcBorders>
              <w:top w:val="nil"/>
              <w:left w:val="nil"/>
              <w:bottom w:val="single" w:sz="4" w:space="0" w:color="auto"/>
              <w:right w:val="single" w:sz="4" w:space="0" w:color="auto"/>
            </w:tcBorders>
            <w:noWrap/>
            <w:vAlign w:val="bottom"/>
            <w:hideMark/>
          </w:tcPr>
          <w:p w14:paraId="408284E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107" w:type="dxa"/>
            <w:gridSpan w:val="2"/>
            <w:tcBorders>
              <w:top w:val="nil"/>
              <w:left w:val="nil"/>
              <w:bottom w:val="single" w:sz="4" w:space="0" w:color="auto"/>
              <w:right w:val="single" w:sz="4" w:space="0" w:color="auto"/>
            </w:tcBorders>
            <w:noWrap/>
            <w:vAlign w:val="bottom"/>
            <w:hideMark/>
          </w:tcPr>
          <w:p w14:paraId="6A30770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tcBorders>
              <w:top w:val="nil"/>
              <w:left w:val="nil"/>
              <w:bottom w:val="single" w:sz="4" w:space="0" w:color="auto"/>
              <w:right w:val="single" w:sz="8" w:space="0" w:color="auto"/>
            </w:tcBorders>
            <w:noWrap/>
            <w:vAlign w:val="bottom"/>
            <w:hideMark/>
          </w:tcPr>
          <w:p w14:paraId="6053A986"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490127E4"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5AA2B02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2E4CB2F1"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964" w:type="dxa"/>
            <w:gridSpan w:val="3"/>
            <w:tcBorders>
              <w:top w:val="nil"/>
              <w:left w:val="nil"/>
              <w:bottom w:val="single" w:sz="4" w:space="0" w:color="auto"/>
              <w:right w:val="single" w:sz="4" w:space="0" w:color="auto"/>
            </w:tcBorders>
            <w:noWrap/>
            <w:vAlign w:val="bottom"/>
            <w:hideMark/>
          </w:tcPr>
          <w:p w14:paraId="4F799B2C"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0742B5BD"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2542C377"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-15,297</w:t>
            </w:r>
          </w:p>
          <w:p w14:paraId="0D5181B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-3,361</w:t>
            </w:r>
          </w:p>
        </w:tc>
        <w:tc>
          <w:tcPr>
            <w:tcW w:w="1255" w:type="dxa"/>
            <w:gridSpan w:val="2"/>
            <w:tcBorders>
              <w:top w:val="nil"/>
              <w:left w:val="nil"/>
              <w:bottom w:val="single" w:sz="4" w:space="0" w:color="auto"/>
              <w:right w:val="single" w:sz="4" w:space="0" w:color="auto"/>
            </w:tcBorders>
            <w:noWrap/>
            <w:hideMark/>
          </w:tcPr>
          <w:p w14:paraId="0AEA79B7"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-85,301</w:t>
            </w:r>
          </w:p>
          <w:p w14:paraId="604C1D59"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-4,332</w:t>
            </w:r>
          </w:p>
        </w:tc>
        <w:tc>
          <w:tcPr>
            <w:tcW w:w="1255" w:type="dxa"/>
            <w:gridSpan w:val="2"/>
            <w:tcBorders>
              <w:top w:val="nil"/>
              <w:left w:val="nil"/>
              <w:bottom w:val="single" w:sz="4" w:space="0" w:color="auto"/>
              <w:right w:val="single" w:sz="4" w:space="0" w:color="auto"/>
            </w:tcBorders>
            <w:noWrap/>
            <w:hideMark/>
          </w:tcPr>
          <w:p w14:paraId="630EBE30"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14,548</w:t>
            </w:r>
            <w:r w:rsidRPr="009225E6">
              <w:rPr>
                <w:rFonts w:ascii="Times New Roman" w:hAnsi="Times New Roman" w:cs="Times New Roman"/>
                <w:u w:val="single"/>
              </w:rPr>
              <w:tab/>
            </w:r>
          </w:p>
          <w:p w14:paraId="47A335FE"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-2,200</w:t>
            </w:r>
          </w:p>
        </w:tc>
        <w:tc>
          <w:tcPr>
            <w:tcW w:w="1107" w:type="dxa"/>
            <w:gridSpan w:val="2"/>
            <w:tcBorders>
              <w:top w:val="nil"/>
              <w:left w:val="nil"/>
              <w:bottom w:val="single" w:sz="4" w:space="0" w:color="auto"/>
              <w:right w:val="single" w:sz="4" w:space="0" w:color="auto"/>
            </w:tcBorders>
            <w:noWrap/>
            <w:hideMark/>
          </w:tcPr>
          <w:p w14:paraId="5B5B231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23,253</w:t>
            </w:r>
          </w:p>
          <w:p w14:paraId="525E370B"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-566</w:t>
            </w:r>
          </w:p>
        </w:tc>
        <w:tc>
          <w:tcPr>
            <w:tcW w:w="1255" w:type="dxa"/>
            <w:tcBorders>
              <w:top w:val="nil"/>
              <w:left w:val="nil"/>
              <w:bottom w:val="single" w:sz="4" w:space="0" w:color="auto"/>
              <w:right w:val="single" w:sz="8" w:space="0" w:color="auto"/>
            </w:tcBorders>
            <w:noWrap/>
            <w:hideMark/>
          </w:tcPr>
          <w:p w14:paraId="03728D59"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37,267</w:t>
            </w:r>
          </w:p>
          <w:p w14:paraId="5CA5357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1,422</w:t>
            </w:r>
          </w:p>
        </w:tc>
      </w:tr>
      <w:tr w:rsidR="001F675A" w:rsidRPr="009225E6" w14:paraId="2F04DDCC" w14:textId="77777777" w:rsidTr="007259D9">
        <w:trPr>
          <w:trHeight w:val="392"/>
        </w:trPr>
        <w:tc>
          <w:tcPr>
            <w:tcW w:w="992" w:type="dxa"/>
            <w:tcBorders>
              <w:top w:val="nil"/>
              <w:left w:val="single" w:sz="8" w:space="0" w:color="auto"/>
              <w:bottom w:val="single" w:sz="4" w:space="0" w:color="auto"/>
              <w:right w:val="single" w:sz="4" w:space="0" w:color="auto"/>
            </w:tcBorders>
            <w:noWrap/>
            <w:vAlign w:val="bottom"/>
            <w:hideMark/>
          </w:tcPr>
          <w:p w14:paraId="4C6433D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D1</w:t>
            </w:r>
          </w:p>
        </w:tc>
        <w:tc>
          <w:tcPr>
            <w:tcW w:w="1629" w:type="dxa"/>
            <w:gridSpan w:val="2"/>
            <w:tcBorders>
              <w:top w:val="nil"/>
              <w:left w:val="nil"/>
              <w:bottom w:val="single" w:sz="4" w:space="0" w:color="auto"/>
              <w:right w:val="single" w:sz="4" w:space="0" w:color="auto"/>
            </w:tcBorders>
            <w:vAlign w:val="bottom"/>
            <w:hideMark/>
          </w:tcPr>
          <w:p w14:paraId="3B267D8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Interest Coverage Ratio</w:t>
            </w:r>
          </w:p>
        </w:tc>
        <w:tc>
          <w:tcPr>
            <w:tcW w:w="2964" w:type="dxa"/>
            <w:gridSpan w:val="3"/>
            <w:tcBorders>
              <w:top w:val="nil"/>
              <w:left w:val="nil"/>
              <w:bottom w:val="single" w:sz="4" w:space="0" w:color="auto"/>
              <w:right w:val="single" w:sz="4" w:space="0" w:color="auto"/>
            </w:tcBorders>
            <w:vAlign w:val="bottom"/>
            <w:hideMark/>
          </w:tcPr>
          <w:p w14:paraId="4EAB6303"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u w:val="single"/>
                <w:lang w:val="en-US"/>
              </w:rPr>
              <w:t xml:space="preserve">Operating Profit </w:t>
            </w:r>
            <w:r w:rsidRPr="009225E6">
              <w:rPr>
                <w:rFonts w:ascii="Times New Roman" w:eastAsia="Times New Roman" w:hAnsi="Times New Roman" w:cs="Times New Roman"/>
                <w:color w:val="000000"/>
                <w:lang w:val="en-US"/>
              </w:rPr>
              <w:br/>
              <w:t>Interest Payable</w:t>
            </w:r>
          </w:p>
        </w:tc>
        <w:tc>
          <w:tcPr>
            <w:tcW w:w="1315" w:type="dxa"/>
            <w:tcBorders>
              <w:top w:val="nil"/>
              <w:left w:val="nil"/>
              <w:bottom w:val="single" w:sz="4" w:space="0" w:color="auto"/>
              <w:right w:val="single" w:sz="4" w:space="0" w:color="auto"/>
            </w:tcBorders>
            <w:noWrap/>
            <w:vAlign w:val="bottom"/>
            <w:hideMark/>
          </w:tcPr>
          <w:p w14:paraId="20024D4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541" w:type="dxa"/>
            <w:gridSpan w:val="2"/>
            <w:tcBorders>
              <w:top w:val="nil"/>
              <w:left w:val="nil"/>
              <w:bottom w:val="single" w:sz="4" w:space="0" w:color="auto"/>
              <w:right w:val="single" w:sz="4" w:space="0" w:color="auto"/>
            </w:tcBorders>
            <w:noWrap/>
            <w:vAlign w:val="bottom"/>
            <w:hideMark/>
          </w:tcPr>
          <w:p w14:paraId="135C22F8"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4.551324</w:t>
            </w:r>
          </w:p>
        </w:tc>
        <w:tc>
          <w:tcPr>
            <w:tcW w:w="1255" w:type="dxa"/>
            <w:gridSpan w:val="2"/>
            <w:tcBorders>
              <w:top w:val="nil"/>
              <w:left w:val="nil"/>
              <w:bottom w:val="single" w:sz="4" w:space="0" w:color="auto"/>
              <w:right w:val="single" w:sz="4" w:space="0" w:color="auto"/>
            </w:tcBorders>
            <w:noWrap/>
            <w:vAlign w:val="bottom"/>
            <w:hideMark/>
          </w:tcPr>
          <w:p w14:paraId="50B64D13"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19.6909</w:t>
            </w:r>
          </w:p>
        </w:tc>
        <w:tc>
          <w:tcPr>
            <w:tcW w:w="1255" w:type="dxa"/>
            <w:gridSpan w:val="2"/>
            <w:tcBorders>
              <w:top w:val="nil"/>
              <w:left w:val="nil"/>
              <w:bottom w:val="single" w:sz="4" w:space="0" w:color="auto"/>
              <w:right w:val="single" w:sz="4" w:space="0" w:color="auto"/>
            </w:tcBorders>
            <w:noWrap/>
            <w:vAlign w:val="bottom"/>
            <w:hideMark/>
          </w:tcPr>
          <w:p w14:paraId="7CB7A897"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-6.61273</w:t>
            </w:r>
          </w:p>
        </w:tc>
        <w:tc>
          <w:tcPr>
            <w:tcW w:w="1107" w:type="dxa"/>
            <w:gridSpan w:val="2"/>
            <w:tcBorders>
              <w:top w:val="nil"/>
              <w:left w:val="nil"/>
              <w:bottom w:val="single" w:sz="4" w:space="0" w:color="auto"/>
              <w:right w:val="single" w:sz="4" w:space="0" w:color="auto"/>
            </w:tcBorders>
            <w:noWrap/>
            <w:vAlign w:val="bottom"/>
            <w:hideMark/>
          </w:tcPr>
          <w:p w14:paraId="2CCBAF21"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-41.083</w:t>
            </w:r>
          </w:p>
        </w:tc>
        <w:tc>
          <w:tcPr>
            <w:tcW w:w="1255" w:type="dxa"/>
            <w:tcBorders>
              <w:top w:val="nil"/>
              <w:left w:val="nil"/>
              <w:bottom w:val="single" w:sz="4" w:space="0" w:color="auto"/>
              <w:right w:val="single" w:sz="8" w:space="0" w:color="auto"/>
            </w:tcBorders>
            <w:noWrap/>
            <w:vAlign w:val="bottom"/>
            <w:hideMark/>
          </w:tcPr>
          <w:p w14:paraId="1D0A4BA6" w14:textId="77777777" w:rsidR="001F675A" w:rsidRPr="009225E6" w:rsidRDefault="001F675A" w:rsidP="00662AC8">
            <w:pPr>
              <w:spacing w:after="0" w:line="240" w:lineRule="auto"/>
              <w:jc w:val="center"/>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-26.2075</w:t>
            </w:r>
          </w:p>
        </w:tc>
      </w:tr>
      <w:tr w:rsidR="001F675A" w:rsidRPr="009225E6" w14:paraId="709A4FEA"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68BDA15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4DE281D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vAlign w:val="bottom"/>
            <w:hideMark/>
          </w:tcPr>
          <w:p w14:paraId="059BA75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315" w:type="dxa"/>
            <w:tcBorders>
              <w:top w:val="nil"/>
              <w:left w:val="nil"/>
              <w:bottom w:val="single" w:sz="4" w:space="0" w:color="auto"/>
              <w:right w:val="single" w:sz="4" w:space="0" w:color="auto"/>
            </w:tcBorders>
            <w:noWrap/>
            <w:vAlign w:val="bottom"/>
            <w:hideMark/>
          </w:tcPr>
          <w:p w14:paraId="3F6E8739"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541" w:type="dxa"/>
            <w:gridSpan w:val="2"/>
            <w:tcBorders>
              <w:top w:val="nil"/>
              <w:left w:val="nil"/>
              <w:bottom w:val="single" w:sz="4" w:space="0" w:color="auto"/>
              <w:right w:val="single" w:sz="4" w:space="0" w:color="auto"/>
            </w:tcBorders>
            <w:noWrap/>
            <w:hideMark/>
          </w:tcPr>
          <w:p w14:paraId="0E466369"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11,958</w:t>
            </w:r>
          </w:p>
          <w:p w14:paraId="3D60747C"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323,354</w:t>
            </w:r>
          </w:p>
        </w:tc>
        <w:tc>
          <w:tcPr>
            <w:tcW w:w="1255" w:type="dxa"/>
            <w:gridSpan w:val="2"/>
            <w:tcBorders>
              <w:top w:val="nil"/>
              <w:left w:val="nil"/>
              <w:bottom w:val="single" w:sz="4" w:space="0" w:color="auto"/>
              <w:right w:val="single" w:sz="4" w:space="0" w:color="auto"/>
            </w:tcBorders>
            <w:noWrap/>
            <w:hideMark/>
          </w:tcPr>
          <w:p w14:paraId="38617B82"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15,804</w:t>
            </w:r>
          </w:p>
          <w:p w14:paraId="0ECC087D"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355,872</w:t>
            </w:r>
          </w:p>
        </w:tc>
        <w:tc>
          <w:tcPr>
            <w:tcW w:w="1255" w:type="dxa"/>
            <w:gridSpan w:val="2"/>
            <w:tcBorders>
              <w:top w:val="nil"/>
              <w:left w:val="nil"/>
              <w:bottom w:val="single" w:sz="4" w:space="0" w:color="auto"/>
              <w:right w:val="single" w:sz="4" w:space="0" w:color="auto"/>
            </w:tcBorders>
            <w:noWrap/>
            <w:hideMark/>
          </w:tcPr>
          <w:p w14:paraId="446E6A38"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19,284</w:t>
            </w:r>
          </w:p>
          <w:p w14:paraId="5AEDB2C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504,163</w:t>
            </w:r>
          </w:p>
        </w:tc>
        <w:tc>
          <w:tcPr>
            <w:tcW w:w="1107" w:type="dxa"/>
            <w:gridSpan w:val="2"/>
            <w:tcBorders>
              <w:top w:val="nil"/>
              <w:left w:val="nil"/>
              <w:bottom w:val="single" w:sz="4" w:space="0" w:color="auto"/>
              <w:right w:val="single" w:sz="4" w:space="0" w:color="auto"/>
            </w:tcBorders>
            <w:noWrap/>
            <w:hideMark/>
          </w:tcPr>
          <w:p w14:paraId="6BF013E5"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17,612</w:t>
            </w:r>
          </w:p>
          <w:p w14:paraId="74381A5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510,348</w:t>
            </w:r>
          </w:p>
        </w:tc>
        <w:tc>
          <w:tcPr>
            <w:tcW w:w="1255" w:type="dxa"/>
            <w:tcBorders>
              <w:top w:val="nil"/>
              <w:left w:val="nil"/>
              <w:bottom w:val="single" w:sz="4" w:space="0" w:color="auto"/>
              <w:right w:val="single" w:sz="8" w:space="0" w:color="auto"/>
            </w:tcBorders>
            <w:noWrap/>
            <w:hideMark/>
          </w:tcPr>
          <w:p w14:paraId="2757A060"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17,187</w:t>
            </w:r>
          </w:p>
          <w:p w14:paraId="67B046D5"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510,290</w:t>
            </w:r>
          </w:p>
        </w:tc>
      </w:tr>
      <w:tr w:rsidR="001F675A" w:rsidRPr="009225E6" w14:paraId="64FF30E0" w14:textId="77777777" w:rsidTr="007259D9">
        <w:trPr>
          <w:trHeight w:val="392"/>
        </w:trPr>
        <w:tc>
          <w:tcPr>
            <w:tcW w:w="992" w:type="dxa"/>
            <w:tcBorders>
              <w:top w:val="nil"/>
              <w:left w:val="single" w:sz="8" w:space="0" w:color="auto"/>
              <w:bottom w:val="single" w:sz="4" w:space="0" w:color="auto"/>
              <w:right w:val="single" w:sz="4" w:space="0" w:color="auto"/>
            </w:tcBorders>
            <w:noWrap/>
            <w:vAlign w:val="bottom"/>
            <w:hideMark/>
          </w:tcPr>
          <w:p w14:paraId="6AF8AB7B"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D2</w:t>
            </w:r>
          </w:p>
        </w:tc>
        <w:tc>
          <w:tcPr>
            <w:tcW w:w="1629" w:type="dxa"/>
            <w:gridSpan w:val="2"/>
            <w:tcBorders>
              <w:top w:val="nil"/>
              <w:left w:val="nil"/>
              <w:bottom w:val="single" w:sz="4" w:space="0" w:color="auto"/>
              <w:right w:val="single" w:sz="4" w:space="0" w:color="auto"/>
            </w:tcBorders>
            <w:vAlign w:val="bottom"/>
            <w:hideMark/>
          </w:tcPr>
          <w:p w14:paraId="60D7880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Gearing Ratio</w:t>
            </w:r>
          </w:p>
        </w:tc>
        <w:tc>
          <w:tcPr>
            <w:tcW w:w="2964" w:type="dxa"/>
            <w:gridSpan w:val="3"/>
            <w:tcBorders>
              <w:top w:val="nil"/>
              <w:left w:val="nil"/>
              <w:bottom w:val="single" w:sz="4" w:space="0" w:color="auto"/>
              <w:right w:val="single" w:sz="4" w:space="0" w:color="auto"/>
            </w:tcBorders>
            <w:vAlign w:val="bottom"/>
            <w:hideMark/>
          </w:tcPr>
          <w:p w14:paraId="478AD94D"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u w:val="single"/>
                <w:lang w:val="en-US"/>
              </w:rPr>
              <w:t xml:space="preserve">Long-term Debt  </w:t>
            </w:r>
            <w:r w:rsidRPr="009225E6">
              <w:rPr>
                <w:rFonts w:ascii="Times New Roman" w:eastAsia="Times New Roman" w:hAnsi="Times New Roman" w:cs="Times New Roman"/>
                <w:color w:val="000000"/>
                <w:lang w:val="en-US"/>
              </w:rPr>
              <w:t xml:space="preserve"> x 100</w:t>
            </w:r>
            <w:r w:rsidRPr="009225E6">
              <w:rPr>
                <w:rFonts w:ascii="Times New Roman" w:eastAsia="Times New Roman" w:hAnsi="Times New Roman" w:cs="Times New Roman"/>
                <w:color w:val="000000"/>
                <w:lang w:val="en-US"/>
              </w:rPr>
              <w:br/>
              <w:t>Total Assets</w:t>
            </w:r>
          </w:p>
        </w:tc>
        <w:tc>
          <w:tcPr>
            <w:tcW w:w="1315" w:type="dxa"/>
            <w:tcBorders>
              <w:top w:val="nil"/>
              <w:left w:val="nil"/>
              <w:bottom w:val="single" w:sz="4" w:space="0" w:color="auto"/>
              <w:right w:val="single" w:sz="4" w:space="0" w:color="auto"/>
            </w:tcBorders>
            <w:noWrap/>
            <w:vAlign w:val="bottom"/>
            <w:hideMark/>
          </w:tcPr>
          <w:p w14:paraId="34BF2781"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541" w:type="dxa"/>
            <w:gridSpan w:val="2"/>
            <w:tcBorders>
              <w:top w:val="nil"/>
              <w:left w:val="nil"/>
              <w:bottom w:val="single" w:sz="4" w:space="0" w:color="auto"/>
              <w:right w:val="single" w:sz="4" w:space="0" w:color="auto"/>
            </w:tcBorders>
            <w:noWrap/>
            <w:vAlign w:val="bottom"/>
            <w:hideMark/>
          </w:tcPr>
          <w:p w14:paraId="245B531C"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255" w:type="dxa"/>
            <w:gridSpan w:val="2"/>
            <w:tcBorders>
              <w:top w:val="nil"/>
              <w:left w:val="nil"/>
              <w:bottom w:val="single" w:sz="4" w:space="0" w:color="auto"/>
              <w:right w:val="single" w:sz="4" w:space="0" w:color="auto"/>
            </w:tcBorders>
            <w:noWrap/>
            <w:vAlign w:val="bottom"/>
            <w:hideMark/>
          </w:tcPr>
          <w:p w14:paraId="5E902B71"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255" w:type="dxa"/>
            <w:gridSpan w:val="2"/>
            <w:tcBorders>
              <w:top w:val="nil"/>
              <w:left w:val="nil"/>
              <w:bottom w:val="single" w:sz="4" w:space="0" w:color="auto"/>
              <w:right w:val="single" w:sz="4" w:space="0" w:color="auto"/>
            </w:tcBorders>
            <w:noWrap/>
            <w:vAlign w:val="bottom"/>
            <w:hideMark/>
          </w:tcPr>
          <w:p w14:paraId="5BDF78D2"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107" w:type="dxa"/>
            <w:gridSpan w:val="2"/>
            <w:tcBorders>
              <w:top w:val="nil"/>
              <w:left w:val="nil"/>
              <w:bottom w:val="single" w:sz="4" w:space="0" w:color="auto"/>
              <w:right w:val="single" w:sz="4" w:space="0" w:color="auto"/>
            </w:tcBorders>
            <w:noWrap/>
            <w:vAlign w:val="bottom"/>
            <w:hideMark/>
          </w:tcPr>
          <w:p w14:paraId="272B0A46"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1255" w:type="dxa"/>
            <w:tcBorders>
              <w:top w:val="nil"/>
              <w:left w:val="nil"/>
              <w:bottom w:val="single" w:sz="4" w:space="0" w:color="auto"/>
              <w:right w:val="single" w:sz="8" w:space="0" w:color="auto"/>
            </w:tcBorders>
            <w:noWrap/>
            <w:vAlign w:val="bottom"/>
            <w:hideMark/>
          </w:tcPr>
          <w:p w14:paraId="3935EE2E"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r>
      <w:tr w:rsidR="001F675A" w:rsidRPr="009225E6" w14:paraId="0BC136A1"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2D02FD3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629" w:type="dxa"/>
            <w:gridSpan w:val="2"/>
            <w:tcBorders>
              <w:top w:val="nil"/>
              <w:left w:val="nil"/>
              <w:bottom w:val="single" w:sz="4" w:space="0" w:color="auto"/>
              <w:right w:val="single" w:sz="4" w:space="0" w:color="auto"/>
            </w:tcBorders>
            <w:vAlign w:val="bottom"/>
            <w:hideMark/>
          </w:tcPr>
          <w:p w14:paraId="66B9A3F0"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964" w:type="dxa"/>
            <w:gridSpan w:val="3"/>
            <w:tcBorders>
              <w:top w:val="nil"/>
              <w:left w:val="nil"/>
              <w:bottom w:val="single" w:sz="4" w:space="0" w:color="auto"/>
              <w:right w:val="single" w:sz="4" w:space="0" w:color="auto"/>
            </w:tcBorders>
            <w:noWrap/>
            <w:vAlign w:val="bottom"/>
            <w:hideMark/>
          </w:tcPr>
          <w:p w14:paraId="7AD3106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315" w:type="dxa"/>
            <w:tcBorders>
              <w:top w:val="nil"/>
              <w:left w:val="nil"/>
              <w:bottom w:val="single" w:sz="4" w:space="0" w:color="auto"/>
              <w:right w:val="single" w:sz="4" w:space="0" w:color="auto"/>
            </w:tcBorders>
            <w:noWrap/>
            <w:vAlign w:val="bottom"/>
            <w:hideMark/>
          </w:tcPr>
          <w:p w14:paraId="0E29B7B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541" w:type="dxa"/>
            <w:gridSpan w:val="2"/>
            <w:tcBorders>
              <w:top w:val="nil"/>
              <w:left w:val="nil"/>
              <w:bottom w:val="single" w:sz="4" w:space="0" w:color="auto"/>
              <w:right w:val="single" w:sz="4" w:space="0" w:color="auto"/>
            </w:tcBorders>
            <w:noWrap/>
            <w:vAlign w:val="bottom"/>
            <w:hideMark/>
          </w:tcPr>
          <w:p w14:paraId="717A594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gridSpan w:val="2"/>
            <w:tcBorders>
              <w:top w:val="nil"/>
              <w:left w:val="nil"/>
              <w:bottom w:val="single" w:sz="4" w:space="0" w:color="auto"/>
              <w:right w:val="single" w:sz="4" w:space="0" w:color="auto"/>
            </w:tcBorders>
            <w:noWrap/>
            <w:vAlign w:val="bottom"/>
            <w:hideMark/>
          </w:tcPr>
          <w:p w14:paraId="7DBFB22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gridSpan w:val="2"/>
            <w:tcBorders>
              <w:top w:val="nil"/>
              <w:left w:val="nil"/>
              <w:bottom w:val="single" w:sz="4" w:space="0" w:color="auto"/>
              <w:right w:val="single" w:sz="4" w:space="0" w:color="auto"/>
            </w:tcBorders>
            <w:noWrap/>
            <w:vAlign w:val="bottom"/>
            <w:hideMark/>
          </w:tcPr>
          <w:p w14:paraId="3E23BAA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107" w:type="dxa"/>
            <w:gridSpan w:val="2"/>
            <w:tcBorders>
              <w:top w:val="nil"/>
              <w:left w:val="nil"/>
              <w:bottom w:val="single" w:sz="4" w:space="0" w:color="auto"/>
              <w:right w:val="single" w:sz="4" w:space="0" w:color="auto"/>
            </w:tcBorders>
            <w:noWrap/>
            <w:vAlign w:val="bottom"/>
            <w:hideMark/>
          </w:tcPr>
          <w:p w14:paraId="7BBD2D3A"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1255" w:type="dxa"/>
            <w:tcBorders>
              <w:top w:val="nil"/>
              <w:left w:val="nil"/>
              <w:bottom w:val="single" w:sz="4" w:space="0" w:color="auto"/>
              <w:right w:val="single" w:sz="8" w:space="0" w:color="auto"/>
            </w:tcBorders>
            <w:noWrap/>
            <w:vAlign w:val="bottom"/>
            <w:hideMark/>
          </w:tcPr>
          <w:p w14:paraId="237CF49F"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781F8254" w14:textId="77777777" w:rsidTr="007259D9">
        <w:trPr>
          <w:gridAfter w:val="11"/>
          <w:wAfter w:w="9706" w:type="dxa"/>
          <w:trHeight w:val="196"/>
        </w:trPr>
        <w:tc>
          <w:tcPr>
            <w:tcW w:w="992" w:type="dxa"/>
            <w:tcBorders>
              <w:top w:val="nil"/>
              <w:left w:val="single" w:sz="8" w:space="0" w:color="auto"/>
              <w:bottom w:val="single" w:sz="4" w:space="0" w:color="auto"/>
              <w:right w:val="single" w:sz="4" w:space="0" w:color="auto"/>
            </w:tcBorders>
            <w:noWrap/>
            <w:vAlign w:val="bottom"/>
            <w:hideMark/>
          </w:tcPr>
          <w:p w14:paraId="0E59812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E</w:t>
            </w:r>
          </w:p>
        </w:tc>
        <w:tc>
          <w:tcPr>
            <w:tcW w:w="3616" w:type="dxa"/>
            <w:gridSpan w:val="4"/>
            <w:tcBorders>
              <w:top w:val="nil"/>
              <w:left w:val="nil"/>
              <w:bottom w:val="single" w:sz="4" w:space="0" w:color="auto"/>
              <w:right w:val="single" w:sz="8" w:space="0" w:color="auto"/>
            </w:tcBorders>
            <w:noWrap/>
            <w:vAlign w:val="bottom"/>
            <w:hideMark/>
          </w:tcPr>
          <w:p w14:paraId="1ABD682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p w14:paraId="6F515A9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p w14:paraId="1F0E0697"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1F675A" w:rsidRPr="009225E6" w14:paraId="0B748616" w14:textId="77777777" w:rsidTr="007259D9">
        <w:trPr>
          <w:trHeight w:val="196"/>
        </w:trPr>
        <w:tc>
          <w:tcPr>
            <w:tcW w:w="992" w:type="dxa"/>
            <w:tcBorders>
              <w:top w:val="nil"/>
              <w:left w:val="single" w:sz="8" w:space="0" w:color="auto"/>
              <w:bottom w:val="single" w:sz="4" w:space="0" w:color="auto"/>
              <w:right w:val="single" w:sz="4" w:space="0" w:color="auto"/>
            </w:tcBorders>
            <w:noWrap/>
            <w:vAlign w:val="bottom"/>
            <w:hideMark/>
          </w:tcPr>
          <w:p w14:paraId="6BD7C88C"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4594" w:type="dxa"/>
            <w:gridSpan w:val="5"/>
            <w:tcBorders>
              <w:top w:val="nil"/>
              <w:left w:val="nil"/>
              <w:bottom w:val="single" w:sz="4" w:space="0" w:color="auto"/>
              <w:right w:val="single" w:sz="4" w:space="0" w:color="auto"/>
            </w:tcBorders>
            <w:vAlign w:val="bottom"/>
            <w:hideMark/>
          </w:tcPr>
          <w:p w14:paraId="5035A2C3"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p w14:paraId="34B1EF14"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1315" w:type="dxa"/>
            <w:tcBorders>
              <w:top w:val="nil"/>
              <w:left w:val="nil"/>
              <w:bottom w:val="single" w:sz="4" w:space="0" w:color="auto"/>
              <w:right w:val="single" w:sz="4" w:space="0" w:color="auto"/>
            </w:tcBorders>
            <w:noWrap/>
            <w:vAlign w:val="bottom"/>
            <w:hideMark/>
          </w:tcPr>
          <w:p w14:paraId="292D9CBF" w14:textId="77777777" w:rsidR="001F675A" w:rsidRPr="009225E6" w:rsidRDefault="001F675A" w:rsidP="00662AC8">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w:t>
            </w:r>
          </w:p>
        </w:tc>
        <w:tc>
          <w:tcPr>
            <w:tcW w:w="2541" w:type="dxa"/>
            <w:gridSpan w:val="2"/>
            <w:tcBorders>
              <w:top w:val="nil"/>
              <w:left w:val="nil"/>
              <w:bottom w:val="single" w:sz="4" w:space="0" w:color="auto"/>
              <w:right w:val="single" w:sz="4" w:space="0" w:color="auto"/>
            </w:tcBorders>
            <w:noWrap/>
            <w:hideMark/>
          </w:tcPr>
          <w:p w14:paraId="55E313FE"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w:t>
            </w:r>
            <w:r w:rsidRPr="009225E6">
              <w:rPr>
                <w:rFonts w:ascii="Times New Roman" w:hAnsi="Times New Roman" w:cs="Times New Roman"/>
                <w:u w:val="single"/>
              </w:rPr>
              <w:t>24,029</w:t>
            </w:r>
          </w:p>
          <w:p w14:paraId="0382D17E"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12,959</w:t>
            </w:r>
          </w:p>
        </w:tc>
        <w:tc>
          <w:tcPr>
            <w:tcW w:w="1255" w:type="dxa"/>
            <w:gridSpan w:val="2"/>
            <w:tcBorders>
              <w:top w:val="nil"/>
              <w:left w:val="nil"/>
              <w:bottom w:val="single" w:sz="4" w:space="0" w:color="auto"/>
              <w:right w:val="single" w:sz="4" w:space="0" w:color="auto"/>
            </w:tcBorders>
            <w:noWrap/>
            <w:hideMark/>
          </w:tcPr>
          <w:p w14:paraId="4CAB768F"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-98,238</w:t>
            </w:r>
          </w:p>
          <w:p w14:paraId="68F0371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12,855</w:t>
            </w:r>
          </w:p>
        </w:tc>
        <w:tc>
          <w:tcPr>
            <w:tcW w:w="1255" w:type="dxa"/>
            <w:gridSpan w:val="2"/>
            <w:tcBorders>
              <w:top w:val="nil"/>
              <w:left w:val="nil"/>
              <w:bottom w:val="single" w:sz="4" w:space="0" w:color="auto"/>
              <w:right w:val="single" w:sz="4" w:space="0" w:color="auto"/>
            </w:tcBorders>
            <w:noWrap/>
            <w:hideMark/>
          </w:tcPr>
          <w:p w14:paraId="627E8A2E" w14:textId="77777777" w:rsidR="001F675A" w:rsidRPr="009225E6" w:rsidRDefault="001F675A" w:rsidP="00662AC8">
            <w:pPr>
              <w:rPr>
                <w:rFonts w:ascii="Times New Roman" w:hAnsi="Times New Roman" w:cs="Times New Roman"/>
              </w:rPr>
            </w:pPr>
            <w:r w:rsidRPr="009225E6">
              <w:rPr>
                <w:rFonts w:ascii="Times New Roman" w:hAnsi="Times New Roman" w:cs="Times New Roman"/>
                <w:u w:val="single"/>
              </w:rPr>
              <w:t>407</w:t>
            </w:r>
          </w:p>
          <w:p w14:paraId="2B87E738"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12,703</w:t>
            </w:r>
            <w:r w:rsidRPr="009225E6">
              <w:rPr>
                <w:rFonts w:ascii="Times New Roman" w:hAnsi="Times New Roman" w:cs="Times New Roman"/>
              </w:rPr>
              <w:tab/>
            </w:r>
          </w:p>
        </w:tc>
        <w:tc>
          <w:tcPr>
            <w:tcW w:w="1107" w:type="dxa"/>
            <w:gridSpan w:val="2"/>
            <w:tcBorders>
              <w:top w:val="nil"/>
              <w:left w:val="nil"/>
              <w:bottom w:val="single" w:sz="4" w:space="0" w:color="auto"/>
              <w:right w:val="single" w:sz="4" w:space="0" w:color="auto"/>
            </w:tcBorders>
            <w:noWrap/>
            <w:hideMark/>
          </w:tcPr>
          <w:p w14:paraId="17BE2763"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5,301</w:t>
            </w:r>
          </w:p>
          <w:p w14:paraId="74F9C4D9"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13,465</w:t>
            </w:r>
          </w:p>
        </w:tc>
        <w:tc>
          <w:tcPr>
            <w:tcW w:w="1255" w:type="dxa"/>
            <w:tcBorders>
              <w:top w:val="nil"/>
              <w:left w:val="nil"/>
              <w:bottom w:val="single" w:sz="4" w:space="0" w:color="auto"/>
              <w:right w:val="single" w:sz="8" w:space="0" w:color="auto"/>
            </w:tcBorders>
            <w:noWrap/>
            <w:hideMark/>
          </w:tcPr>
          <w:p w14:paraId="2D01A867" w14:textId="77777777" w:rsidR="001F675A" w:rsidRPr="009225E6" w:rsidRDefault="001F675A" w:rsidP="00662AC8">
            <w:pPr>
              <w:rPr>
                <w:rFonts w:ascii="Times New Roman" w:hAnsi="Times New Roman" w:cs="Times New Roman"/>
                <w:u w:val="single"/>
              </w:rPr>
            </w:pPr>
            <w:r w:rsidRPr="009225E6">
              <w:rPr>
                <w:rFonts w:ascii="Times New Roman" w:hAnsi="Times New Roman" w:cs="Times New Roman"/>
                <w:u w:val="single"/>
              </w:rPr>
              <w:t>38,572</w:t>
            </w:r>
          </w:p>
          <w:p w14:paraId="33A63CBA" w14:textId="77777777" w:rsidR="001F675A" w:rsidRPr="009225E6" w:rsidRDefault="001F675A" w:rsidP="00662AC8">
            <w:pPr>
              <w:rPr>
                <w:rFonts w:ascii="Times New Roman" w:hAnsi="Times New Roman" w:cs="Times New Roman"/>
              </w:rPr>
            </w:pPr>
            <w:r w:rsidRPr="009225E6">
              <w:rPr>
                <w:rFonts w:ascii="Times New Roman" w:hAnsi="Times New Roman" w:cs="Times New Roman"/>
              </w:rPr>
              <w:t>13,893</w:t>
            </w:r>
          </w:p>
        </w:tc>
      </w:tr>
      <w:tr w:rsidR="001F675A" w:rsidRPr="009225E6" w14:paraId="56CF6F5D" w14:textId="77777777" w:rsidTr="007259D9">
        <w:trPr>
          <w:trHeight w:val="598"/>
        </w:trPr>
        <w:tc>
          <w:tcPr>
            <w:tcW w:w="992" w:type="dxa"/>
            <w:tcBorders>
              <w:top w:val="nil"/>
              <w:left w:val="single" w:sz="8" w:space="0" w:color="auto"/>
              <w:bottom w:val="single" w:sz="8" w:space="0" w:color="auto"/>
              <w:right w:val="single" w:sz="4" w:space="0" w:color="auto"/>
            </w:tcBorders>
            <w:noWrap/>
            <w:vAlign w:val="bottom"/>
            <w:hideMark/>
          </w:tcPr>
          <w:p w14:paraId="1048BDA8"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E1</w:t>
            </w:r>
          </w:p>
        </w:tc>
        <w:tc>
          <w:tcPr>
            <w:tcW w:w="1629" w:type="dxa"/>
            <w:gridSpan w:val="2"/>
            <w:tcBorders>
              <w:top w:val="nil"/>
              <w:left w:val="nil"/>
              <w:bottom w:val="single" w:sz="8" w:space="0" w:color="auto"/>
              <w:right w:val="single" w:sz="4" w:space="0" w:color="auto"/>
            </w:tcBorders>
            <w:vAlign w:val="bottom"/>
            <w:hideMark/>
          </w:tcPr>
          <w:p w14:paraId="51A08A55"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Earnings Per Share</w:t>
            </w:r>
          </w:p>
        </w:tc>
        <w:tc>
          <w:tcPr>
            <w:tcW w:w="2964" w:type="dxa"/>
            <w:gridSpan w:val="3"/>
            <w:tcBorders>
              <w:top w:val="nil"/>
              <w:left w:val="nil"/>
              <w:bottom w:val="single" w:sz="8" w:space="0" w:color="auto"/>
              <w:right w:val="single" w:sz="4" w:space="0" w:color="auto"/>
            </w:tcBorders>
            <w:vAlign w:val="bottom"/>
            <w:hideMark/>
          </w:tcPr>
          <w:p w14:paraId="16E7B07B"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u w:val="single"/>
                <w:lang w:val="en-US"/>
              </w:rPr>
              <w:t xml:space="preserve">Net profit after Tax </w:t>
            </w:r>
            <w:r w:rsidRPr="009225E6">
              <w:rPr>
                <w:rFonts w:ascii="Times New Roman" w:eastAsia="Times New Roman" w:hAnsi="Times New Roman" w:cs="Times New Roman"/>
                <w:color w:val="000000"/>
                <w:lang w:val="en-US"/>
              </w:rPr>
              <w:br/>
              <w:t>No of Common Shares outstanding</w:t>
            </w:r>
          </w:p>
        </w:tc>
        <w:tc>
          <w:tcPr>
            <w:tcW w:w="1315" w:type="dxa"/>
            <w:tcBorders>
              <w:top w:val="nil"/>
              <w:left w:val="nil"/>
              <w:bottom w:val="single" w:sz="8" w:space="0" w:color="auto"/>
              <w:right w:val="single" w:sz="4" w:space="0" w:color="auto"/>
            </w:tcBorders>
            <w:noWrap/>
            <w:vAlign w:val="bottom"/>
            <w:hideMark/>
          </w:tcPr>
          <w:p w14:paraId="516A0ABE" w14:textId="77777777" w:rsidR="001F675A" w:rsidRPr="009225E6" w:rsidRDefault="001F675A" w:rsidP="00662AC8">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x</w:t>
            </w:r>
          </w:p>
        </w:tc>
        <w:tc>
          <w:tcPr>
            <w:tcW w:w="2541" w:type="dxa"/>
            <w:gridSpan w:val="2"/>
            <w:tcBorders>
              <w:top w:val="nil"/>
              <w:left w:val="nil"/>
              <w:bottom w:val="single" w:sz="8" w:space="0" w:color="auto"/>
              <w:right w:val="single" w:sz="4" w:space="0" w:color="auto"/>
            </w:tcBorders>
            <w:noWrap/>
            <w:vAlign w:val="bottom"/>
            <w:hideMark/>
          </w:tcPr>
          <w:p w14:paraId="6C2AED5E"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-£1.85</w:t>
            </w:r>
          </w:p>
        </w:tc>
        <w:tc>
          <w:tcPr>
            <w:tcW w:w="1255" w:type="dxa"/>
            <w:gridSpan w:val="2"/>
            <w:tcBorders>
              <w:top w:val="nil"/>
              <w:left w:val="nil"/>
              <w:bottom w:val="single" w:sz="8" w:space="0" w:color="auto"/>
              <w:right w:val="single" w:sz="4" w:space="0" w:color="auto"/>
            </w:tcBorders>
            <w:noWrap/>
            <w:vAlign w:val="bottom"/>
            <w:hideMark/>
          </w:tcPr>
          <w:p w14:paraId="45E120E4"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-£7.64</w:t>
            </w:r>
          </w:p>
        </w:tc>
        <w:tc>
          <w:tcPr>
            <w:tcW w:w="1255" w:type="dxa"/>
            <w:gridSpan w:val="2"/>
            <w:tcBorders>
              <w:top w:val="nil"/>
              <w:left w:val="nil"/>
              <w:bottom w:val="single" w:sz="8" w:space="0" w:color="auto"/>
              <w:right w:val="single" w:sz="4" w:space="0" w:color="auto"/>
            </w:tcBorders>
            <w:noWrap/>
            <w:vAlign w:val="bottom"/>
            <w:hideMark/>
          </w:tcPr>
          <w:p w14:paraId="68B79A7A"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£0.03</w:t>
            </w:r>
          </w:p>
        </w:tc>
        <w:tc>
          <w:tcPr>
            <w:tcW w:w="1107" w:type="dxa"/>
            <w:gridSpan w:val="2"/>
            <w:tcBorders>
              <w:top w:val="nil"/>
              <w:left w:val="nil"/>
              <w:bottom w:val="single" w:sz="8" w:space="0" w:color="auto"/>
              <w:right w:val="single" w:sz="4" w:space="0" w:color="auto"/>
            </w:tcBorders>
            <w:noWrap/>
            <w:vAlign w:val="bottom"/>
            <w:hideMark/>
          </w:tcPr>
          <w:p w14:paraId="66AE1761"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£0.39</w:t>
            </w:r>
          </w:p>
        </w:tc>
        <w:tc>
          <w:tcPr>
            <w:tcW w:w="1255" w:type="dxa"/>
            <w:tcBorders>
              <w:top w:val="nil"/>
              <w:left w:val="nil"/>
              <w:bottom w:val="single" w:sz="8" w:space="0" w:color="auto"/>
              <w:right w:val="single" w:sz="8" w:space="0" w:color="auto"/>
            </w:tcBorders>
            <w:noWrap/>
            <w:vAlign w:val="bottom"/>
            <w:hideMark/>
          </w:tcPr>
          <w:p w14:paraId="3FC3D501" w14:textId="77777777" w:rsidR="001F675A" w:rsidRPr="009225E6" w:rsidRDefault="001F675A" w:rsidP="00662AC8">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£2.78</w:t>
            </w:r>
          </w:p>
        </w:tc>
      </w:tr>
    </w:tbl>
    <w:p w14:paraId="6EF0211E" w14:textId="77777777" w:rsidR="001231DE" w:rsidRPr="009225E6" w:rsidRDefault="001231DE" w:rsidP="001F675A">
      <w:pPr>
        <w:pStyle w:val="NormalWeb"/>
        <w:spacing w:before="0" w:beforeAutospacing="0" w:line="360" w:lineRule="auto"/>
        <w:rPr>
          <w:color w:val="404040"/>
        </w:rPr>
        <w:sectPr w:rsidR="001231DE" w:rsidRPr="009225E6" w:rsidSect="001F675A">
          <w:pgSz w:w="16838" w:h="11906" w:orient="landscape"/>
          <w:pgMar w:top="1440" w:right="1440" w:bottom="1440" w:left="1440" w:header="708" w:footer="708" w:gutter="0"/>
          <w:pgNumType w:start="1"/>
          <w:cols w:space="708"/>
          <w:docGrid w:linePitch="360"/>
        </w:sectPr>
      </w:pPr>
    </w:p>
    <w:p w14:paraId="0D33700A" w14:textId="77777777" w:rsidR="00061153" w:rsidRPr="009225E6" w:rsidRDefault="00987360" w:rsidP="001B761E">
      <w:pPr>
        <w:pStyle w:val="Heading2"/>
        <w:rPr>
          <w:rFonts w:ascii="Times New Roman" w:hAnsi="Times New Roman" w:cs="Times New Roman"/>
        </w:rPr>
      </w:pPr>
      <w:bookmarkStart w:id="36" w:name="_Toc210237864"/>
      <w:r w:rsidRPr="009225E6">
        <w:rPr>
          <w:rFonts w:ascii="Times New Roman" w:hAnsi="Times New Roman" w:cs="Times New Roman"/>
        </w:rPr>
        <w:lastRenderedPageBreak/>
        <w:t xml:space="preserve">Appendix-II </w:t>
      </w:r>
      <w:r w:rsidR="00061153" w:rsidRPr="009225E6">
        <w:rPr>
          <w:rFonts w:ascii="Times New Roman" w:hAnsi="Times New Roman" w:cs="Times New Roman"/>
          <w:lang w:val="en-US"/>
        </w:rPr>
        <w:t>Corporate failure prediction models (Altman Z-Score)</w:t>
      </w:r>
      <w:bookmarkEnd w:id="36"/>
      <w:r w:rsidR="00061153" w:rsidRPr="009225E6">
        <w:rPr>
          <w:rFonts w:ascii="Times New Roman" w:eastAsia="Times New Roman" w:hAnsi="Times New Roman" w:cs="Times New Roman"/>
          <w:color w:val="61666B"/>
          <w:lang w:val="en-US"/>
        </w:rPr>
        <w:t xml:space="preserve"> </w:t>
      </w:r>
    </w:p>
    <w:p w14:paraId="095DF818" w14:textId="77777777" w:rsidR="0081282D" w:rsidRPr="009225E6" w:rsidRDefault="0081282D" w:rsidP="0081282D">
      <w:pPr>
        <w:spacing w:after="0" w:line="240" w:lineRule="auto"/>
        <w:rPr>
          <w:rFonts w:ascii="Times New Roman" w:eastAsia="Times New Roman" w:hAnsi="Times New Roman" w:cs="Times New Roman"/>
          <w:b/>
          <w:bCs/>
          <w:color w:val="61666B"/>
          <w:lang w:val="en-US"/>
        </w:rPr>
      </w:pPr>
      <w:r w:rsidRPr="009225E6">
        <w:rPr>
          <w:rFonts w:ascii="Times New Roman" w:eastAsia="Times New Roman" w:hAnsi="Times New Roman" w:cs="Times New Roman"/>
          <w:b/>
          <w:bCs/>
          <w:color w:val="61666B"/>
          <w:lang w:val="en-US"/>
        </w:rPr>
        <w:t>Z-Score = 1.2A + 1.4B + 3.3C + 0.6D + 1.0E</w:t>
      </w:r>
    </w:p>
    <w:tbl>
      <w:tblPr>
        <w:tblW w:w="7081" w:type="dxa"/>
        <w:tblInd w:w="-27" w:type="dxa"/>
        <w:tblLook w:val="04A0" w:firstRow="1" w:lastRow="0" w:firstColumn="1" w:lastColumn="0" w:noHBand="0" w:noVBand="1"/>
      </w:tblPr>
      <w:tblGrid>
        <w:gridCol w:w="1285"/>
        <w:gridCol w:w="1750"/>
        <w:gridCol w:w="1695"/>
        <w:gridCol w:w="2351"/>
      </w:tblGrid>
      <w:tr w:rsidR="0081282D" w:rsidRPr="009225E6" w14:paraId="13375DA0" w14:textId="77777777" w:rsidTr="0081282D">
        <w:trPr>
          <w:trHeight w:val="914"/>
        </w:trPr>
        <w:tc>
          <w:tcPr>
            <w:tcW w:w="1285" w:type="dxa"/>
            <w:tcBorders>
              <w:top w:val="single" w:sz="8" w:space="0" w:color="auto"/>
              <w:left w:val="single" w:sz="8" w:space="0" w:color="auto"/>
              <w:bottom w:val="double" w:sz="6" w:space="0" w:color="auto"/>
              <w:right w:val="single" w:sz="4" w:space="0" w:color="auto"/>
            </w:tcBorders>
            <w:shd w:val="clear" w:color="000000" w:fill="FFFFFF"/>
            <w:vAlign w:val="center"/>
            <w:hideMark/>
          </w:tcPr>
          <w:p w14:paraId="750356A1"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Year</w:t>
            </w:r>
          </w:p>
        </w:tc>
        <w:tc>
          <w:tcPr>
            <w:tcW w:w="1750" w:type="dxa"/>
            <w:tcBorders>
              <w:top w:val="single" w:sz="8" w:space="0" w:color="auto"/>
              <w:left w:val="nil"/>
              <w:bottom w:val="double" w:sz="6" w:space="0" w:color="auto"/>
              <w:right w:val="single" w:sz="4" w:space="0" w:color="auto"/>
            </w:tcBorders>
            <w:shd w:val="clear" w:color="000000" w:fill="FFFFFF"/>
            <w:vAlign w:val="center"/>
            <w:hideMark/>
          </w:tcPr>
          <w:p w14:paraId="1C1F5B3F" w14:textId="77777777" w:rsidR="0081282D" w:rsidRPr="009225E6" w:rsidRDefault="0081282D" w:rsidP="003F333C">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Current Assets (£m)</w:t>
            </w:r>
          </w:p>
        </w:tc>
        <w:tc>
          <w:tcPr>
            <w:tcW w:w="1695" w:type="dxa"/>
            <w:tcBorders>
              <w:top w:val="single" w:sz="8" w:space="0" w:color="auto"/>
              <w:left w:val="nil"/>
              <w:bottom w:val="double" w:sz="6" w:space="0" w:color="auto"/>
              <w:right w:val="single" w:sz="4" w:space="0" w:color="auto"/>
            </w:tcBorders>
            <w:shd w:val="clear" w:color="000000" w:fill="FFFFFF"/>
            <w:vAlign w:val="center"/>
            <w:hideMark/>
          </w:tcPr>
          <w:p w14:paraId="79FC43FE" w14:textId="77777777" w:rsidR="0081282D" w:rsidRPr="009225E6" w:rsidRDefault="0081282D" w:rsidP="003F333C">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Current Liabilities (£m)</w:t>
            </w:r>
          </w:p>
        </w:tc>
        <w:tc>
          <w:tcPr>
            <w:tcW w:w="2351" w:type="dxa"/>
            <w:tcBorders>
              <w:top w:val="single" w:sz="8" w:space="0" w:color="auto"/>
              <w:left w:val="nil"/>
              <w:bottom w:val="double" w:sz="6" w:space="0" w:color="auto"/>
              <w:right w:val="single" w:sz="8" w:space="0" w:color="auto"/>
            </w:tcBorders>
            <w:shd w:val="clear" w:color="000000" w:fill="FFFFFF"/>
            <w:vAlign w:val="center"/>
            <w:hideMark/>
          </w:tcPr>
          <w:p w14:paraId="5DC96BBF" w14:textId="77777777" w:rsidR="0081282D" w:rsidRPr="009225E6" w:rsidRDefault="0081282D" w:rsidP="003F333C">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Working Capital (£m)</w:t>
            </w:r>
          </w:p>
        </w:tc>
      </w:tr>
      <w:tr w:rsidR="0081282D" w:rsidRPr="009225E6" w14:paraId="5A920BF6" w14:textId="77777777" w:rsidTr="0081282D">
        <w:trPr>
          <w:trHeight w:val="314"/>
        </w:trPr>
        <w:tc>
          <w:tcPr>
            <w:tcW w:w="1285" w:type="dxa"/>
            <w:tcBorders>
              <w:top w:val="nil"/>
              <w:left w:val="single" w:sz="8" w:space="0" w:color="auto"/>
              <w:bottom w:val="single" w:sz="4" w:space="0" w:color="auto"/>
              <w:right w:val="single" w:sz="4" w:space="0" w:color="auto"/>
            </w:tcBorders>
            <w:shd w:val="clear" w:color="000000" w:fill="FFFFFF"/>
            <w:vAlign w:val="center"/>
            <w:hideMark/>
          </w:tcPr>
          <w:p w14:paraId="4E0F716E"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2020</w:t>
            </w:r>
          </w:p>
        </w:tc>
        <w:tc>
          <w:tcPr>
            <w:tcW w:w="1750" w:type="dxa"/>
            <w:tcBorders>
              <w:top w:val="nil"/>
              <w:left w:val="nil"/>
              <w:bottom w:val="single" w:sz="4" w:space="0" w:color="auto"/>
              <w:right w:val="single" w:sz="4" w:space="0" w:color="auto"/>
            </w:tcBorders>
            <w:shd w:val="clear" w:color="000000" w:fill="FFFFFF"/>
            <w:vAlign w:val="center"/>
            <w:hideMark/>
          </w:tcPr>
          <w:p w14:paraId="417F6C8A"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326,843</w:t>
            </w:r>
          </w:p>
        </w:tc>
        <w:tc>
          <w:tcPr>
            <w:tcW w:w="1695" w:type="dxa"/>
            <w:tcBorders>
              <w:top w:val="nil"/>
              <w:left w:val="nil"/>
              <w:bottom w:val="single" w:sz="4" w:space="0" w:color="auto"/>
              <w:right w:val="single" w:sz="4" w:space="0" w:color="auto"/>
            </w:tcBorders>
            <w:shd w:val="clear" w:color="000000" w:fill="FFFFFF"/>
            <w:vAlign w:val="center"/>
            <w:hideMark/>
          </w:tcPr>
          <w:p w14:paraId="5073D355"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179,510</w:t>
            </w:r>
          </w:p>
        </w:tc>
        <w:tc>
          <w:tcPr>
            <w:tcW w:w="2351" w:type="dxa"/>
            <w:tcBorders>
              <w:top w:val="nil"/>
              <w:left w:val="nil"/>
              <w:bottom w:val="single" w:sz="4" w:space="0" w:color="auto"/>
              <w:right w:val="single" w:sz="8" w:space="0" w:color="auto"/>
            </w:tcBorders>
            <w:shd w:val="clear" w:color="000000" w:fill="FFFFFF"/>
            <w:vAlign w:val="center"/>
            <w:hideMark/>
          </w:tcPr>
          <w:p w14:paraId="067F3E9F"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147,333</w:t>
            </w:r>
          </w:p>
        </w:tc>
      </w:tr>
      <w:tr w:rsidR="0081282D" w:rsidRPr="009225E6" w14:paraId="25F69112" w14:textId="77777777" w:rsidTr="0081282D">
        <w:trPr>
          <w:trHeight w:val="300"/>
        </w:trPr>
        <w:tc>
          <w:tcPr>
            <w:tcW w:w="1285" w:type="dxa"/>
            <w:tcBorders>
              <w:top w:val="nil"/>
              <w:left w:val="single" w:sz="8" w:space="0" w:color="auto"/>
              <w:bottom w:val="single" w:sz="4" w:space="0" w:color="auto"/>
              <w:right w:val="single" w:sz="4" w:space="0" w:color="auto"/>
            </w:tcBorders>
            <w:shd w:val="clear" w:color="000000" w:fill="FFFFFF"/>
            <w:vAlign w:val="center"/>
            <w:hideMark/>
          </w:tcPr>
          <w:p w14:paraId="2FE1D108"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2021</w:t>
            </w:r>
          </w:p>
        </w:tc>
        <w:tc>
          <w:tcPr>
            <w:tcW w:w="1750" w:type="dxa"/>
            <w:tcBorders>
              <w:top w:val="nil"/>
              <w:left w:val="nil"/>
              <w:bottom w:val="single" w:sz="4" w:space="0" w:color="auto"/>
              <w:right w:val="single" w:sz="4" w:space="0" w:color="auto"/>
            </w:tcBorders>
            <w:shd w:val="clear" w:color="000000" w:fill="FFFFFF"/>
            <w:vAlign w:val="center"/>
            <w:hideMark/>
          </w:tcPr>
          <w:p w14:paraId="051CF2A2"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337,146</w:t>
            </w:r>
          </w:p>
        </w:tc>
        <w:tc>
          <w:tcPr>
            <w:tcW w:w="1695" w:type="dxa"/>
            <w:tcBorders>
              <w:top w:val="nil"/>
              <w:left w:val="nil"/>
              <w:bottom w:val="single" w:sz="4" w:space="0" w:color="auto"/>
              <w:right w:val="single" w:sz="4" w:space="0" w:color="auto"/>
            </w:tcBorders>
            <w:shd w:val="clear" w:color="000000" w:fill="FFFFFF"/>
            <w:vAlign w:val="center"/>
            <w:hideMark/>
          </w:tcPr>
          <w:p w14:paraId="4294D258"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216,787</w:t>
            </w:r>
          </w:p>
        </w:tc>
        <w:tc>
          <w:tcPr>
            <w:tcW w:w="2351" w:type="dxa"/>
            <w:tcBorders>
              <w:top w:val="nil"/>
              <w:left w:val="nil"/>
              <w:bottom w:val="single" w:sz="4" w:space="0" w:color="auto"/>
              <w:right w:val="single" w:sz="8" w:space="0" w:color="auto"/>
            </w:tcBorders>
            <w:shd w:val="clear" w:color="000000" w:fill="FFFFFF"/>
            <w:vAlign w:val="center"/>
            <w:hideMark/>
          </w:tcPr>
          <w:p w14:paraId="62565B39"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120,359</w:t>
            </w:r>
          </w:p>
        </w:tc>
      </w:tr>
      <w:tr w:rsidR="0081282D" w:rsidRPr="009225E6" w14:paraId="703120CA" w14:textId="77777777" w:rsidTr="0081282D">
        <w:trPr>
          <w:trHeight w:val="300"/>
        </w:trPr>
        <w:tc>
          <w:tcPr>
            <w:tcW w:w="1285" w:type="dxa"/>
            <w:tcBorders>
              <w:top w:val="nil"/>
              <w:left w:val="single" w:sz="8" w:space="0" w:color="auto"/>
              <w:bottom w:val="single" w:sz="4" w:space="0" w:color="auto"/>
              <w:right w:val="single" w:sz="4" w:space="0" w:color="auto"/>
            </w:tcBorders>
            <w:shd w:val="clear" w:color="000000" w:fill="FFFFFF"/>
            <w:vAlign w:val="center"/>
            <w:hideMark/>
          </w:tcPr>
          <w:p w14:paraId="7F282093"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2022</w:t>
            </w:r>
          </w:p>
        </w:tc>
        <w:tc>
          <w:tcPr>
            <w:tcW w:w="1750" w:type="dxa"/>
            <w:tcBorders>
              <w:top w:val="nil"/>
              <w:left w:val="nil"/>
              <w:bottom w:val="single" w:sz="4" w:space="0" w:color="auto"/>
              <w:right w:val="single" w:sz="4" w:space="0" w:color="auto"/>
            </w:tcBorders>
            <w:shd w:val="clear" w:color="000000" w:fill="FFFFFF"/>
            <w:vAlign w:val="center"/>
            <w:hideMark/>
          </w:tcPr>
          <w:p w14:paraId="41769AB8"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338,040</w:t>
            </w:r>
          </w:p>
        </w:tc>
        <w:tc>
          <w:tcPr>
            <w:tcW w:w="1695" w:type="dxa"/>
            <w:tcBorders>
              <w:top w:val="nil"/>
              <w:left w:val="nil"/>
              <w:bottom w:val="single" w:sz="4" w:space="0" w:color="auto"/>
              <w:right w:val="single" w:sz="4" w:space="0" w:color="auto"/>
            </w:tcBorders>
            <w:shd w:val="clear" w:color="000000" w:fill="FFFFFF"/>
            <w:vAlign w:val="center"/>
            <w:hideMark/>
          </w:tcPr>
          <w:p w14:paraId="7E1A4D4C"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216,473</w:t>
            </w:r>
          </w:p>
        </w:tc>
        <w:tc>
          <w:tcPr>
            <w:tcW w:w="2351" w:type="dxa"/>
            <w:tcBorders>
              <w:top w:val="nil"/>
              <w:left w:val="nil"/>
              <w:bottom w:val="single" w:sz="4" w:space="0" w:color="auto"/>
              <w:right w:val="single" w:sz="8" w:space="0" w:color="auto"/>
            </w:tcBorders>
            <w:shd w:val="clear" w:color="000000" w:fill="FFFFFF"/>
            <w:vAlign w:val="center"/>
            <w:hideMark/>
          </w:tcPr>
          <w:p w14:paraId="52144F40"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121,567</w:t>
            </w:r>
          </w:p>
        </w:tc>
      </w:tr>
      <w:tr w:rsidR="0081282D" w:rsidRPr="009225E6" w14:paraId="450262D2" w14:textId="77777777" w:rsidTr="0081282D">
        <w:trPr>
          <w:trHeight w:val="300"/>
        </w:trPr>
        <w:tc>
          <w:tcPr>
            <w:tcW w:w="1285" w:type="dxa"/>
            <w:tcBorders>
              <w:top w:val="nil"/>
              <w:left w:val="single" w:sz="8" w:space="0" w:color="auto"/>
              <w:bottom w:val="single" w:sz="4" w:space="0" w:color="auto"/>
              <w:right w:val="single" w:sz="4" w:space="0" w:color="auto"/>
            </w:tcBorders>
            <w:shd w:val="clear" w:color="000000" w:fill="FFFFFF"/>
            <w:vAlign w:val="center"/>
            <w:hideMark/>
          </w:tcPr>
          <w:p w14:paraId="27C3DDB8"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 xml:space="preserve"> 2023</w:t>
            </w:r>
          </w:p>
        </w:tc>
        <w:tc>
          <w:tcPr>
            <w:tcW w:w="1750" w:type="dxa"/>
            <w:tcBorders>
              <w:top w:val="nil"/>
              <w:left w:val="nil"/>
              <w:bottom w:val="single" w:sz="4" w:space="0" w:color="auto"/>
              <w:right w:val="single" w:sz="4" w:space="0" w:color="auto"/>
            </w:tcBorders>
            <w:shd w:val="clear" w:color="000000" w:fill="FFFFFF"/>
            <w:vAlign w:val="center"/>
            <w:hideMark/>
          </w:tcPr>
          <w:p w14:paraId="201DAAE5"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258,851</w:t>
            </w:r>
          </w:p>
        </w:tc>
        <w:tc>
          <w:tcPr>
            <w:tcW w:w="1695" w:type="dxa"/>
            <w:tcBorders>
              <w:top w:val="nil"/>
              <w:left w:val="nil"/>
              <w:bottom w:val="single" w:sz="4" w:space="0" w:color="auto"/>
              <w:right w:val="single" w:sz="4" w:space="0" w:color="auto"/>
            </w:tcBorders>
            <w:shd w:val="clear" w:color="000000" w:fill="FFFFFF"/>
            <w:vAlign w:val="center"/>
            <w:hideMark/>
          </w:tcPr>
          <w:p w14:paraId="2D31DEDF"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161,148</w:t>
            </w:r>
          </w:p>
        </w:tc>
        <w:tc>
          <w:tcPr>
            <w:tcW w:w="2351" w:type="dxa"/>
            <w:tcBorders>
              <w:top w:val="nil"/>
              <w:left w:val="nil"/>
              <w:bottom w:val="single" w:sz="4" w:space="0" w:color="auto"/>
              <w:right w:val="single" w:sz="8" w:space="0" w:color="auto"/>
            </w:tcBorders>
            <w:shd w:val="clear" w:color="000000" w:fill="FFFFFF"/>
            <w:vAlign w:val="center"/>
            <w:hideMark/>
          </w:tcPr>
          <w:p w14:paraId="6D3FD605"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97,703</w:t>
            </w:r>
          </w:p>
        </w:tc>
      </w:tr>
      <w:tr w:rsidR="0081282D" w:rsidRPr="009225E6" w14:paraId="589B6C98" w14:textId="77777777" w:rsidTr="0081282D">
        <w:trPr>
          <w:trHeight w:val="314"/>
        </w:trPr>
        <w:tc>
          <w:tcPr>
            <w:tcW w:w="1285" w:type="dxa"/>
            <w:tcBorders>
              <w:top w:val="nil"/>
              <w:left w:val="single" w:sz="8" w:space="0" w:color="auto"/>
              <w:bottom w:val="double" w:sz="6" w:space="0" w:color="auto"/>
              <w:right w:val="single" w:sz="4" w:space="0" w:color="auto"/>
            </w:tcBorders>
            <w:shd w:val="clear" w:color="000000" w:fill="FFFFFF"/>
            <w:vAlign w:val="center"/>
            <w:hideMark/>
          </w:tcPr>
          <w:p w14:paraId="0795E670"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2024</w:t>
            </w:r>
          </w:p>
        </w:tc>
        <w:tc>
          <w:tcPr>
            <w:tcW w:w="1750" w:type="dxa"/>
            <w:tcBorders>
              <w:top w:val="nil"/>
              <w:left w:val="nil"/>
              <w:bottom w:val="double" w:sz="6" w:space="0" w:color="auto"/>
              <w:right w:val="single" w:sz="4" w:space="0" w:color="auto"/>
            </w:tcBorders>
            <w:shd w:val="clear" w:color="000000" w:fill="FFFFFF"/>
            <w:vAlign w:val="center"/>
            <w:hideMark/>
          </w:tcPr>
          <w:p w14:paraId="1CB6097E"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242,494</w:t>
            </w:r>
          </w:p>
        </w:tc>
        <w:tc>
          <w:tcPr>
            <w:tcW w:w="1695" w:type="dxa"/>
            <w:tcBorders>
              <w:top w:val="nil"/>
              <w:left w:val="nil"/>
              <w:bottom w:val="double" w:sz="6" w:space="0" w:color="auto"/>
              <w:right w:val="single" w:sz="4" w:space="0" w:color="auto"/>
            </w:tcBorders>
            <w:shd w:val="clear" w:color="000000" w:fill="FFFFFF"/>
            <w:vAlign w:val="center"/>
            <w:hideMark/>
          </w:tcPr>
          <w:p w14:paraId="0E96E019" w14:textId="77777777" w:rsidR="0081282D" w:rsidRPr="009225E6" w:rsidRDefault="0081282D" w:rsidP="0081282D">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158,291</w:t>
            </w:r>
          </w:p>
        </w:tc>
        <w:tc>
          <w:tcPr>
            <w:tcW w:w="2351" w:type="dxa"/>
            <w:tcBorders>
              <w:top w:val="nil"/>
              <w:left w:val="nil"/>
              <w:bottom w:val="double" w:sz="6" w:space="0" w:color="auto"/>
              <w:right w:val="single" w:sz="8" w:space="0" w:color="auto"/>
            </w:tcBorders>
            <w:shd w:val="clear" w:color="000000" w:fill="FFFFFF"/>
            <w:vAlign w:val="center"/>
            <w:hideMark/>
          </w:tcPr>
          <w:p w14:paraId="4D1FD0D5" w14:textId="77777777" w:rsidR="0081282D" w:rsidRPr="009225E6" w:rsidRDefault="0081282D" w:rsidP="0081282D">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84,203</w:t>
            </w:r>
          </w:p>
        </w:tc>
      </w:tr>
    </w:tbl>
    <w:p w14:paraId="5DA1EEAA" w14:textId="77777777" w:rsidR="003F333C" w:rsidRPr="009225E6" w:rsidRDefault="003F333C" w:rsidP="001F675A">
      <w:pPr>
        <w:pStyle w:val="NormalWeb"/>
        <w:spacing w:before="0" w:beforeAutospacing="0" w:line="360" w:lineRule="auto"/>
        <w:rPr>
          <w:color w:val="404040"/>
        </w:rPr>
      </w:pPr>
      <w:r w:rsidRPr="009225E6">
        <w:rPr>
          <w:color w:val="404040"/>
        </w:rPr>
        <w:t xml:space="preserve"> </w:t>
      </w:r>
    </w:p>
    <w:tbl>
      <w:tblPr>
        <w:tblW w:w="7098" w:type="dxa"/>
        <w:tblInd w:w="-27" w:type="dxa"/>
        <w:tblLook w:val="04A0" w:firstRow="1" w:lastRow="0" w:firstColumn="1" w:lastColumn="0" w:noHBand="0" w:noVBand="1"/>
      </w:tblPr>
      <w:tblGrid>
        <w:gridCol w:w="1288"/>
        <w:gridCol w:w="1754"/>
        <w:gridCol w:w="1699"/>
        <w:gridCol w:w="2357"/>
      </w:tblGrid>
      <w:tr w:rsidR="0073108C" w:rsidRPr="009225E6" w14:paraId="6F9E0AE7" w14:textId="77777777" w:rsidTr="0073108C">
        <w:trPr>
          <w:trHeight w:val="1003"/>
        </w:trPr>
        <w:tc>
          <w:tcPr>
            <w:tcW w:w="1288" w:type="dxa"/>
            <w:tcBorders>
              <w:top w:val="single" w:sz="8" w:space="0" w:color="auto"/>
              <w:left w:val="single" w:sz="8" w:space="0" w:color="auto"/>
              <w:bottom w:val="nil"/>
              <w:right w:val="single" w:sz="4" w:space="0" w:color="auto"/>
            </w:tcBorders>
            <w:shd w:val="clear" w:color="000000" w:fill="FFFFFF"/>
            <w:vAlign w:val="center"/>
            <w:hideMark/>
          </w:tcPr>
          <w:p w14:paraId="284DDBBB"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Year</w:t>
            </w:r>
          </w:p>
        </w:tc>
        <w:tc>
          <w:tcPr>
            <w:tcW w:w="1754" w:type="dxa"/>
            <w:tcBorders>
              <w:top w:val="single" w:sz="8" w:space="0" w:color="auto"/>
              <w:left w:val="nil"/>
              <w:bottom w:val="nil"/>
              <w:right w:val="single" w:sz="8" w:space="0" w:color="auto"/>
            </w:tcBorders>
            <w:shd w:val="clear" w:color="000000" w:fill="FFFFFF"/>
            <w:vAlign w:val="center"/>
            <w:hideMark/>
          </w:tcPr>
          <w:p w14:paraId="4DF364F5"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Working Capital (£m)</w:t>
            </w:r>
          </w:p>
        </w:tc>
        <w:tc>
          <w:tcPr>
            <w:tcW w:w="1699" w:type="dxa"/>
            <w:tcBorders>
              <w:top w:val="single" w:sz="8" w:space="0" w:color="auto"/>
              <w:left w:val="nil"/>
              <w:bottom w:val="nil"/>
              <w:right w:val="single" w:sz="4" w:space="0" w:color="auto"/>
            </w:tcBorders>
            <w:shd w:val="clear" w:color="000000" w:fill="FFFFFF"/>
            <w:vAlign w:val="center"/>
            <w:hideMark/>
          </w:tcPr>
          <w:p w14:paraId="0D74E48C"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Assets</w:t>
            </w:r>
          </w:p>
        </w:tc>
        <w:tc>
          <w:tcPr>
            <w:tcW w:w="2357" w:type="dxa"/>
            <w:tcBorders>
              <w:top w:val="single" w:sz="8" w:space="0" w:color="auto"/>
              <w:left w:val="single" w:sz="8" w:space="0" w:color="auto"/>
              <w:bottom w:val="nil"/>
              <w:right w:val="single" w:sz="4" w:space="0" w:color="auto"/>
            </w:tcBorders>
            <w:shd w:val="clear" w:color="000000" w:fill="FFFFFF"/>
            <w:vAlign w:val="center"/>
            <w:hideMark/>
          </w:tcPr>
          <w:p w14:paraId="587084A8"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A=WC/TA</w:t>
            </w:r>
          </w:p>
        </w:tc>
      </w:tr>
      <w:tr w:rsidR="0073108C" w:rsidRPr="009225E6" w14:paraId="5EE6E781" w14:textId="77777777" w:rsidTr="0073108C">
        <w:trPr>
          <w:trHeight w:val="334"/>
        </w:trPr>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153303"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2020</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14:paraId="5152AD91"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147,333</w:t>
            </w:r>
          </w:p>
        </w:tc>
        <w:tc>
          <w:tcPr>
            <w:tcW w:w="1699" w:type="dxa"/>
            <w:tcBorders>
              <w:top w:val="single" w:sz="4" w:space="0" w:color="auto"/>
              <w:left w:val="nil"/>
              <w:bottom w:val="single" w:sz="4" w:space="0" w:color="auto"/>
              <w:right w:val="single" w:sz="4" w:space="0" w:color="auto"/>
            </w:tcBorders>
            <w:vAlign w:val="center"/>
            <w:hideMark/>
          </w:tcPr>
          <w:p w14:paraId="6BD96558"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510,290</w:t>
            </w:r>
          </w:p>
        </w:tc>
        <w:tc>
          <w:tcPr>
            <w:tcW w:w="2357" w:type="dxa"/>
            <w:tcBorders>
              <w:top w:val="single" w:sz="4" w:space="0" w:color="auto"/>
              <w:left w:val="nil"/>
              <w:bottom w:val="single" w:sz="4" w:space="0" w:color="auto"/>
              <w:right w:val="single" w:sz="4" w:space="0" w:color="auto"/>
            </w:tcBorders>
            <w:noWrap/>
            <w:vAlign w:val="bottom"/>
            <w:hideMark/>
          </w:tcPr>
          <w:p w14:paraId="0E11E0BA" w14:textId="77777777" w:rsidR="0073108C" w:rsidRPr="009225E6" w:rsidRDefault="0073108C" w:rsidP="0073108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0.289</w:t>
            </w:r>
          </w:p>
        </w:tc>
      </w:tr>
      <w:tr w:rsidR="0073108C" w:rsidRPr="009225E6" w14:paraId="044B8787" w14:textId="77777777" w:rsidTr="0073108C">
        <w:trPr>
          <w:trHeight w:val="334"/>
        </w:trPr>
        <w:tc>
          <w:tcPr>
            <w:tcW w:w="1288" w:type="dxa"/>
            <w:tcBorders>
              <w:top w:val="nil"/>
              <w:left w:val="single" w:sz="4" w:space="0" w:color="auto"/>
              <w:bottom w:val="single" w:sz="4" w:space="0" w:color="auto"/>
              <w:right w:val="single" w:sz="4" w:space="0" w:color="auto"/>
            </w:tcBorders>
            <w:shd w:val="clear" w:color="000000" w:fill="FFFFFF"/>
            <w:vAlign w:val="center"/>
            <w:hideMark/>
          </w:tcPr>
          <w:p w14:paraId="5B4C38F2"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2021</w:t>
            </w:r>
          </w:p>
        </w:tc>
        <w:tc>
          <w:tcPr>
            <w:tcW w:w="1754" w:type="dxa"/>
            <w:tcBorders>
              <w:top w:val="nil"/>
              <w:left w:val="nil"/>
              <w:bottom w:val="single" w:sz="4" w:space="0" w:color="auto"/>
              <w:right w:val="single" w:sz="4" w:space="0" w:color="auto"/>
            </w:tcBorders>
            <w:shd w:val="clear" w:color="000000" w:fill="FFFFFF"/>
            <w:vAlign w:val="center"/>
            <w:hideMark/>
          </w:tcPr>
          <w:p w14:paraId="16318A23"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120,359</w:t>
            </w:r>
          </w:p>
        </w:tc>
        <w:tc>
          <w:tcPr>
            <w:tcW w:w="1699" w:type="dxa"/>
            <w:tcBorders>
              <w:top w:val="nil"/>
              <w:left w:val="nil"/>
              <w:bottom w:val="single" w:sz="4" w:space="0" w:color="auto"/>
              <w:right w:val="single" w:sz="4" w:space="0" w:color="auto"/>
            </w:tcBorders>
            <w:vAlign w:val="center"/>
            <w:hideMark/>
          </w:tcPr>
          <w:p w14:paraId="058D1B9D"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510,348</w:t>
            </w:r>
          </w:p>
        </w:tc>
        <w:tc>
          <w:tcPr>
            <w:tcW w:w="2357" w:type="dxa"/>
            <w:tcBorders>
              <w:top w:val="nil"/>
              <w:left w:val="nil"/>
              <w:bottom w:val="single" w:sz="4" w:space="0" w:color="auto"/>
              <w:right w:val="single" w:sz="4" w:space="0" w:color="auto"/>
            </w:tcBorders>
            <w:noWrap/>
            <w:vAlign w:val="bottom"/>
            <w:hideMark/>
          </w:tcPr>
          <w:p w14:paraId="116900AC" w14:textId="77777777" w:rsidR="0073108C" w:rsidRPr="009225E6" w:rsidRDefault="0073108C" w:rsidP="0073108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0.236</w:t>
            </w:r>
          </w:p>
        </w:tc>
      </w:tr>
      <w:tr w:rsidR="0073108C" w:rsidRPr="009225E6" w14:paraId="504DD3D0" w14:textId="77777777" w:rsidTr="0073108C">
        <w:trPr>
          <w:trHeight w:val="334"/>
        </w:trPr>
        <w:tc>
          <w:tcPr>
            <w:tcW w:w="1288" w:type="dxa"/>
            <w:tcBorders>
              <w:top w:val="nil"/>
              <w:left w:val="single" w:sz="4" w:space="0" w:color="auto"/>
              <w:bottom w:val="single" w:sz="4" w:space="0" w:color="auto"/>
              <w:right w:val="single" w:sz="4" w:space="0" w:color="auto"/>
            </w:tcBorders>
            <w:shd w:val="clear" w:color="000000" w:fill="FFFFFF"/>
            <w:vAlign w:val="center"/>
            <w:hideMark/>
          </w:tcPr>
          <w:p w14:paraId="609AECA1"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2022</w:t>
            </w:r>
          </w:p>
        </w:tc>
        <w:tc>
          <w:tcPr>
            <w:tcW w:w="1754" w:type="dxa"/>
            <w:tcBorders>
              <w:top w:val="nil"/>
              <w:left w:val="nil"/>
              <w:bottom w:val="single" w:sz="4" w:space="0" w:color="auto"/>
              <w:right w:val="single" w:sz="4" w:space="0" w:color="auto"/>
            </w:tcBorders>
            <w:shd w:val="clear" w:color="000000" w:fill="FFFFFF"/>
            <w:vAlign w:val="center"/>
            <w:hideMark/>
          </w:tcPr>
          <w:p w14:paraId="3274CB3C"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121,567</w:t>
            </w:r>
          </w:p>
        </w:tc>
        <w:tc>
          <w:tcPr>
            <w:tcW w:w="1699" w:type="dxa"/>
            <w:tcBorders>
              <w:top w:val="nil"/>
              <w:left w:val="nil"/>
              <w:bottom w:val="single" w:sz="4" w:space="0" w:color="auto"/>
              <w:right w:val="single" w:sz="4" w:space="0" w:color="auto"/>
            </w:tcBorders>
            <w:vAlign w:val="center"/>
            <w:hideMark/>
          </w:tcPr>
          <w:p w14:paraId="45A5821B"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504,163</w:t>
            </w:r>
          </w:p>
        </w:tc>
        <w:tc>
          <w:tcPr>
            <w:tcW w:w="2357" w:type="dxa"/>
            <w:tcBorders>
              <w:top w:val="nil"/>
              <w:left w:val="nil"/>
              <w:bottom w:val="single" w:sz="4" w:space="0" w:color="auto"/>
              <w:right w:val="single" w:sz="4" w:space="0" w:color="auto"/>
            </w:tcBorders>
            <w:noWrap/>
            <w:vAlign w:val="bottom"/>
            <w:hideMark/>
          </w:tcPr>
          <w:p w14:paraId="797D2052" w14:textId="77777777" w:rsidR="0073108C" w:rsidRPr="009225E6" w:rsidRDefault="0073108C" w:rsidP="0073108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0.241</w:t>
            </w:r>
          </w:p>
        </w:tc>
      </w:tr>
      <w:tr w:rsidR="0073108C" w:rsidRPr="009225E6" w14:paraId="465E7816" w14:textId="77777777" w:rsidTr="0073108C">
        <w:trPr>
          <w:trHeight w:val="334"/>
        </w:trPr>
        <w:tc>
          <w:tcPr>
            <w:tcW w:w="1288" w:type="dxa"/>
            <w:tcBorders>
              <w:top w:val="nil"/>
              <w:left w:val="single" w:sz="4" w:space="0" w:color="auto"/>
              <w:bottom w:val="single" w:sz="4" w:space="0" w:color="auto"/>
              <w:right w:val="single" w:sz="4" w:space="0" w:color="auto"/>
            </w:tcBorders>
            <w:shd w:val="clear" w:color="000000" w:fill="FFFFFF"/>
            <w:vAlign w:val="center"/>
            <w:hideMark/>
          </w:tcPr>
          <w:p w14:paraId="54C3AD4D"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2023</w:t>
            </w:r>
          </w:p>
        </w:tc>
        <w:tc>
          <w:tcPr>
            <w:tcW w:w="1754" w:type="dxa"/>
            <w:tcBorders>
              <w:top w:val="nil"/>
              <w:left w:val="nil"/>
              <w:bottom w:val="single" w:sz="4" w:space="0" w:color="auto"/>
              <w:right w:val="single" w:sz="4" w:space="0" w:color="auto"/>
            </w:tcBorders>
            <w:shd w:val="clear" w:color="000000" w:fill="FFFFFF"/>
            <w:vAlign w:val="center"/>
            <w:hideMark/>
          </w:tcPr>
          <w:p w14:paraId="71DC3B89"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97,703</w:t>
            </w:r>
          </w:p>
        </w:tc>
        <w:tc>
          <w:tcPr>
            <w:tcW w:w="1699" w:type="dxa"/>
            <w:tcBorders>
              <w:top w:val="nil"/>
              <w:left w:val="nil"/>
              <w:bottom w:val="single" w:sz="4" w:space="0" w:color="auto"/>
              <w:right w:val="single" w:sz="4" w:space="0" w:color="auto"/>
            </w:tcBorders>
            <w:vAlign w:val="center"/>
            <w:hideMark/>
          </w:tcPr>
          <w:p w14:paraId="28E4EB6F"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355,872</w:t>
            </w:r>
          </w:p>
        </w:tc>
        <w:tc>
          <w:tcPr>
            <w:tcW w:w="2357" w:type="dxa"/>
            <w:tcBorders>
              <w:top w:val="nil"/>
              <w:left w:val="nil"/>
              <w:bottom w:val="single" w:sz="4" w:space="0" w:color="auto"/>
              <w:right w:val="single" w:sz="4" w:space="0" w:color="auto"/>
            </w:tcBorders>
            <w:noWrap/>
            <w:vAlign w:val="bottom"/>
            <w:hideMark/>
          </w:tcPr>
          <w:p w14:paraId="7128D41E" w14:textId="77777777" w:rsidR="0073108C" w:rsidRPr="009225E6" w:rsidRDefault="0073108C" w:rsidP="0073108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0.275</w:t>
            </w:r>
          </w:p>
        </w:tc>
      </w:tr>
      <w:tr w:rsidR="0073108C" w:rsidRPr="009225E6" w14:paraId="0E1600D5" w14:textId="77777777" w:rsidTr="0073108C">
        <w:trPr>
          <w:trHeight w:val="349"/>
        </w:trPr>
        <w:tc>
          <w:tcPr>
            <w:tcW w:w="1288" w:type="dxa"/>
            <w:tcBorders>
              <w:top w:val="nil"/>
              <w:left w:val="single" w:sz="8" w:space="0" w:color="auto"/>
              <w:bottom w:val="double" w:sz="6" w:space="0" w:color="auto"/>
              <w:right w:val="single" w:sz="4" w:space="0" w:color="auto"/>
            </w:tcBorders>
            <w:shd w:val="clear" w:color="000000" w:fill="FFFFFF"/>
            <w:vAlign w:val="center"/>
            <w:hideMark/>
          </w:tcPr>
          <w:p w14:paraId="3131C121" w14:textId="77777777" w:rsidR="0073108C" w:rsidRPr="009225E6" w:rsidRDefault="0073108C" w:rsidP="0073108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2024</w:t>
            </w:r>
          </w:p>
        </w:tc>
        <w:tc>
          <w:tcPr>
            <w:tcW w:w="1754" w:type="dxa"/>
            <w:tcBorders>
              <w:top w:val="nil"/>
              <w:left w:val="nil"/>
              <w:bottom w:val="double" w:sz="6" w:space="0" w:color="auto"/>
              <w:right w:val="single" w:sz="8" w:space="0" w:color="auto"/>
            </w:tcBorders>
            <w:shd w:val="clear" w:color="000000" w:fill="FFFFFF"/>
            <w:vAlign w:val="center"/>
            <w:hideMark/>
          </w:tcPr>
          <w:p w14:paraId="5CCAE05C"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84,203</w:t>
            </w:r>
          </w:p>
        </w:tc>
        <w:tc>
          <w:tcPr>
            <w:tcW w:w="1699" w:type="dxa"/>
            <w:tcBorders>
              <w:top w:val="nil"/>
              <w:left w:val="nil"/>
              <w:bottom w:val="double" w:sz="6" w:space="0" w:color="auto"/>
              <w:right w:val="single" w:sz="4" w:space="0" w:color="auto"/>
            </w:tcBorders>
            <w:shd w:val="clear" w:color="000000" w:fill="FFFFFF"/>
            <w:vAlign w:val="center"/>
            <w:hideMark/>
          </w:tcPr>
          <w:p w14:paraId="6E0E0D4C" w14:textId="77777777" w:rsidR="0073108C" w:rsidRPr="009225E6" w:rsidRDefault="0073108C" w:rsidP="0073108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323354</w:t>
            </w:r>
          </w:p>
        </w:tc>
        <w:tc>
          <w:tcPr>
            <w:tcW w:w="2357" w:type="dxa"/>
            <w:tcBorders>
              <w:top w:val="nil"/>
              <w:left w:val="nil"/>
              <w:bottom w:val="double" w:sz="6" w:space="0" w:color="auto"/>
              <w:right w:val="single" w:sz="4" w:space="0" w:color="auto"/>
            </w:tcBorders>
            <w:noWrap/>
            <w:vAlign w:val="bottom"/>
            <w:hideMark/>
          </w:tcPr>
          <w:p w14:paraId="2C2121AF" w14:textId="77777777" w:rsidR="0073108C" w:rsidRPr="009225E6" w:rsidRDefault="0073108C" w:rsidP="0073108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0.260</w:t>
            </w:r>
          </w:p>
        </w:tc>
      </w:tr>
    </w:tbl>
    <w:p w14:paraId="7D2A9F13" w14:textId="77777777" w:rsidR="003F333C" w:rsidRPr="009225E6" w:rsidRDefault="003F333C" w:rsidP="001F675A">
      <w:pPr>
        <w:pStyle w:val="NormalWeb"/>
        <w:spacing w:before="0" w:beforeAutospacing="0" w:line="360" w:lineRule="auto"/>
        <w:rPr>
          <w:color w:val="404040"/>
        </w:rPr>
      </w:pPr>
    </w:p>
    <w:tbl>
      <w:tblPr>
        <w:tblW w:w="7065" w:type="dxa"/>
        <w:tblInd w:w="-27" w:type="dxa"/>
        <w:tblLook w:val="04A0" w:firstRow="1" w:lastRow="0" w:firstColumn="1" w:lastColumn="0" w:noHBand="0" w:noVBand="1"/>
      </w:tblPr>
      <w:tblGrid>
        <w:gridCol w:w="1282"/>
        <w:gridCol w:w="1746"/>
        <w:gridCol w:w="1691"/>
        <w:gridCol w:w="2346"/>
      </w:tblGrid>
      <w:tr w:rsidR="0094554C" w:rsidRPr="009225E6" w14:paraId="7AD2F2AB" w14:textId="77777777" w:rsidTr="0094554C">
        <w:trPr>
          <w:trHeight w:val="635"/>
        </w:trPr>
        <w:tc>
          <w:tcPr>
            <w:tcW w:w="1282" w:type="dxa"/>
            <w:tcBorders>
              <w:top w:val="single" w:sz="8" w:space="0" w:color="auto"/>
              <w:left w:val="single" w:sz="8" w:space="0" w:color="auto"/>
              <w:bottom w:val="double" w:sz="6" w:space="0" w:color="auto"/>
              <w:right w:val="single" w:sz="4" w:space="0" w:color="auto"/>
            </w:tcBorders>
            <w:shd w:val="clear" w:color="000000" w:fill="FFFFFF"/>
            <w:vAlign w:val="center"/>
            <w:hideMark/>
          </w:tcPr>
          <w:p w14:paraId="6725A8D7"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Year</w:t>
            </w:r>
          </w:p>
        </w:tc>
        <w:tc>
          <w:tcPr>
            <w:tcW w:w="1746" w:type="dxa"/>
            <w:tcBorders>
              <w:top w:val="single" w:sz="8" w:space="0" w:color="auto"/>
              <w:left w:val="nil"/>
              <w:bottom w:val="double" w:sz="6" w:space="0" w:color="auto"/>
              <w:right w:val="single" w:sz="8" w:space="0" w:color="auto"/>
            </w:tcBorders>
            <w:shd w:val="clear" w:color="000000" w:fill="FFFFFF"/>
            <w:vAlign w:val="center"/>
            <w:hideMark/>
          </w:tcPr>
          <w:p w14:paraId="2ACB3392"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Retained Earnings</w:t>
            </w:r>
          </w:p>
        </w:tc>
        <w:tc>
          <w:tcPr>
            <w:tcW w:w="1691" w:type="dxa"/>
            <w:tcBorders>
              <w:top w:val="single" w:sz="8" w:space="0" w:color="auto"/>
              <w:left w:val="nil"/>
              <w:bottom w:val="double" w:sz="6" w:space="0" w:color="auto"/>
              <w:right w:val="single" w:sz="4" w:space="0" w:color="auto"/>
            </w:tcBorders>
            <w:shd w:val="clear" w:color="000000" w:fill="FFFFFF"/>
            <w:vAlign w:val="center"/>
            <w:hideMark/>
          </w:tcPr>
          <w:p w14:paraId="50863E5B"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Assets</w:t>
            </w:r>
          </w:p>
        </w:tc>
        <w:tc>
          <w:tcPr>
            <w:tcW w:w="2346" w:type="dxa"/>
            <w:tcBorders>
              <w:top w:val="single" w:sz="8" w:space="0" w:color="auto"/>
              <w:left w:val="single" w:sz="8" w:space="0" w:color="auto"/>
              <w:bottom w:val="double" w:sz="6" w:space="0" w:color="auto"/>
              <w:right w:val="single" w:sz="4" w:space="0" w:color="auto"/>
            </w:tcBorders>
            <w:shd w:val="clear" w:color="000000" w:fill="FFFFFF"/>
            <w:vAlign w:val="center"/>
            <w:hideMark/>
          </w:tcPr>
          <w:p w14:paraId="49130C7D"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B=RE/TA</w:t>
            </w:r>
          </w:p>
        </w:tc>
      </w:tr>
      <w:tr w:rsidR="0094554C" w:rsidRPr="009225E6" w14:paraId="183394AF" w14:textId="77777777" w:rsidTr="0094554C">
        <w:trPr>
          <w:trHeight w:val="324"/>
        </w:trPr>
        <w:tc>
          <w:tcPr>
            <w:tcW w:w="1282" w:type="dxa"/>
            <w:tcBorders>
              <w:top w:val="nil"/>
              <w:left w:val="single" w:sz="4" w:space="0" w:color="auto"/>
              <w:bottom w:val="single" w:sz="4" w:space="0" w:color="auto"/>
              <w:right w:val="single" w:sz="4" w:space="0" w:color="auto"/>
            </w:tcBorders>
            <w:shd w:val="clear" w:color="000000" w:fill="FFFFFF"/>
            <w:vAlign w:val="center"/>
            <w:hideMark/>
          </w:tcPr>
          <w:p w14:paraId="09B49378"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2020</w:t>
            </w:r>
          </w:p>
        </w:tc>
        <w:tc>
          <w:tcPr>
            <w:tcW w:w="1746" w:type="dxa"/>
            <w:tcBorders>
              <w:top w:val="nil"/>
              <w:left w:val="nil"/>
              <w:bottom w:val="single" w:sz="4" w:space="0" w:color="auto"/>
              <w:right w:val="single" w:sz="4" w:space="0" w:color="auto"/>
            </w:tcBorders>
            <w:vAlign w:val="center"/>
            <w:hideMark/>
          </w:tcPr>
          <w:p w14:paraId="6F8A141E" w14:textId="77777777" w:rsidR="0094554C" w:rsidRPr="009225E6" w:rsidRDefault="0094554C" w:rsidP="0094554C">
            <w:pPr>
              <w:spacing w:after="0" w:line="240" w:lineRule="auto"/>
              <w:ind w:firstLineChars="100" w:firstLine="220"/>
              <w:rPr>
                <w:rFonts w:ascii="Times New Roman" w:eastAsia="Times New Roman" w:hAnsi="Times New Roman" w:cs="Times New Roman"/>
                <w:color w:val="61666B"/>
                <w:lang w:val="en-US"/>
              </w:rPr>
            </w:pPr>
            <w:r w:rsidRPr="009225E6">
              <w:rPr>
                <w:rFonts w:ascii="Times New Roman" w:eastAsia="Times New Roman" w:hAnsi="Times New Roman" w:cs="Times New Roman"/>
                <w:color w:val="61666B"/>
                <w:lang w:val="en-US"/>
              </w:rPr>
              <w:t>324,990</w:t>
            </w:r>
          </w:p>
        </w:tc>
        <w:tc>
          <w:tcPr>
            <w:tcW w:w="1691" w:type="dxa"/>
            <w:tcBorders>
              <w:top w:val="nil"/>
              <w:left w:val="nil"/>
              <w:bottom w:val="single" w:sz="4" w:space="0" w:color="auto"/>
              <w:right w:val="single" w:sz="4" w:space="0" w:color="auto"/>
            </w:tcBorders>
            <w:vAlign w:val="center"/>
            <w:hideMark/>
          </w:tcPr>
          <w:p w14:paraId="1F32C593" w14:textId="77777777" w:rsidR="0094554C" w:rsidRPr="009225E6" w:rsidRDefault="0094554C" w:rsidP="0094554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510,290</w:t>
            </w:r>
          </w:p>
        </w:tc>
        <w:tc>
          <w:tcPr>
            <w:tcW w:w="2346" w:type="dxa"/>
            <w:tcBorders>
              <w:top w:val="nil"/>
              <w:left w:val="nil"/>
              <w:bottom w:val="single" w:sz="4" w:space="0" w:color="auto"/>
              <w:right w:val="single" w:sz="4" w:space="0" w:color="auto"/>
            </w:tcBorders>
            <w:noWrap/>
            <w:vAlign w:val="bottom"/>
            <w:hideMark/>
          </w:tcPr>
          <w:p w14:paraId="79D269D9" w14:textId="77777777" w:rsidR="0094554C" w:rsidRPr="009225E6" w:rsidRDefault="0094554C" w:rsidP="0094554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0.637</w:t>
            </w:r>
          </w:p>
        </w:tc>
      </w:tr>
      <w:tr w:rsidR="0094554C" w:rsidRPr="009225E6" w14:paraId="04962DBE" w14:textId="77777777" w:rsidTr="0094554C">
        <w:trPr>
          <w:trHeight w:val="310"/>
        </w:trPr>
        <w:tc>
          <w:tcPr>
            <w:tcW w:w="1282" w:type="dxa"/>
            <w:tcBorders>
              <w:top w:val="nil"/>
              <w:left w:val="single" w:sz="4" w:space="0" w:color="auto"/>
              <w:bottom w:val="single" w:sz="4" w:space="0" w:color="auto"/>
              <w:right w:val="single" w:sz="4" w:space="0" w:color="auto"/>
            </w:tcBorders>
            <w:shd w:val="clear" w:color="000000" w:fill="FFFFFF"/>
            <w:vAlign w:val="center"/>
            <w:hideMark/>
          </w:tcPr>
          <w:p w14:paraId="0DDBB1F4"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2021</w:t>
            </w:r>
          </w:p>
        </w:tc>
        <w:tc>
          <w:tcPr>
            <w:tcW w:w="1746" w:type="dxa"/>
            <w:tcBorders>
              <w:top w:val="nil"/>
              <w:left w:val="nil"/>
              <w:bottom w:val="single" w:sz="4" w:space="0" w:color="auto"/>
              <w:right w:val="single" w:sz="4" w:space="0" w:color="auto"/>
            </w:tcBorders>
            <w:vAlign w:val="center"/>
            <w:hideMark/>
          </w:tcPr>
          <w:p w14:paraId="40468FD8" w14:textId="77777777" w:rsidR="0094554C" w:rsidRPr="009225E6" w:rsidRDefault="0094554C" w:rsidP="0094554C">
            <w:pPr>
              <w:spacing w:after="0" w:line="240" w:lineRule="auto"/>
              <w:ind w:firstLineChars="100" w:firstLine="220"/>
              <w:rPr>
                <w:rFonts w:ascii="Times New Roman" w:eastAsia="Times New Roman" w:hAnsi="Times New Roman" w:cs="Times New Roman"/>
                <w:color w:val="61666B"/>
                <w:lang w:val="en-US"/>
              </w:rPr>
            </w:pPr>
            <w:r w:rsidRPr="009225E6">
              <w:rPr>
                <w:rFonts w:ascii="Times New Roman" w:eastAsia="Times New Roman" w:hAnsi="Times New Roman" w:cs="Times New Roman"/>
                <w:color w:val="61666B"/>
                <w:lang w:val="en-US"/>
              </w:rPr>
              <w:t>330,291</w:t>
            </w:r>
          </w:p>
        </w:tc>
        <w:tc>
          <w:tcPr>
            <w:tcW w:w="1691" w:type="dxa"/>
            <w:tcBorders>
              <w:top w:val="nil"/>
              <w:left w:val="nil"/>
              <w:bottom w:val="single" w:sz="4" w:space="0" w:color="auto"/>
              <w:right w:val="single" w:sz="4" w:space="0" w:color="auto"/>
            </w:tcBorders>
            <w:vAlign w:val="center"/>
            <w:hideMark/>
          </w:tcPr>
          <w:p w14:paraId="6E091FC4" w14:textId="77777777" w:rsidR="0094554C" w:rsidRPr="009225E6" w:rsidRDefault="0094554C" w:rsidP="0094554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510,348</w:t>
            </w:r>
          </w:p>
        </w:tc>
        <w:tc>
          <w:tcPr>
            <w:tcW w:w="2346" w:type="dxa"/>
            <w:tcBorders>
              <w:top w:val="nil"/>
              <w:left w:val="nil"/>
              <w:bottom w:val="single" w:sz="4" w:space="0" w:color="auto"/>
              <w:right w:val="single" w:sz="4" w:space="0" w:color="auto"/>
            </w:tcBorders>
            <w:noWrap/>
            <w:vAlign w:val="bottom"/>
            <w:hideMark/>
          </w:tcPr>
          <w:p w14:paraId="6F149B49" w14:textId="77777777" w:rsidR="0094554C" w:rsidRPr="009225E6" w:rsidRDefault="0094554C" w:rsidP="0094554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0.647</w:t>
            </w:r>
          </w:p>
        </w:tc>
      </w:tr>
      <w:tr w:rsidR="0094554C" w:rsidRPr="009225E6" w14:paraId="62C0ED18" w14:textId="77777777" w:rsidTr="0094554C">
        <w:trPr>
          <w:trHeight w:val="310"/>
        </w:trPr>
        <w:tc>
          <w:tcPr>
            <w:tcW w:w="1282" w:type="dxa"/>
            <w:tcBorders>
              <w:top w:val="nil"/>
              <w:left w:val="single" w:sz="4" w:space="0" w:color="auto"/>
              <w:bottom w:val="single" w:sz="4" w:space="0" w:color="auto"/>
              <w:right w:val="single" w:sz="4" w:space="0" w:color="auto"/>
            </w:tcBorders>
            <w:shd w:val="clear" w:color="000000" w:fill="FFFFFF"/>
            <w:vAlign w:val="center"/>
            <w:hideMark/>
          </w:tcPr>
          <w:p w14:paraId="10658CFF"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2022</w:t>
            </w:r>
          </w:p>
        </w:tc>
        <w:tc>
          <w:tcPr>
            <w:tcW w:w="1746" w:type="dxa"/>
            <w:tcBorders>
              <w:top w:val="nil"/>
              <w:left w:val="nil"/>
              <w:bottom w:val="single" w:sz="4" w:space="0" w:color="auto"/>
              <w:right w:val="single" w:sz="4" w:space="0" w:color="auto"/>
            </w:tcBorders>
            <w:vAlign w:val="center"/>
            <w:hideMark/>
          </w:tcPr>
          <w:p w14:paraId="22DEC43E" w14:textId="77777777" w:rsidR="0094554C" w:rsidRPr="009225E6" w:rsidRDefault="0094554C" w:rsidP="0094554C">
            <w:pPr>
              <w:spacing w:after="0" w:line="240" w:lineRule="auto"/>
              <w:ind w:firstLineChars="100" w:firstLine="220"/>
              <w:rPr>
                <w:rFonts w:ascii="Times New Roman" w:eastAsia="Times New Roman" w:hAnsi="Times New Roman" w:cs="Times New Roman"/>
                <w:color w:val="61666B"/>
                <w:lang w:val="en-US"/>
              </w:rPr>
            </w:pPr>
            <w:r w:rsidRPr="009225E6">
              <w:rPr>
                <w:rFonts w:ascii="Times New Roman" w:eastAsia="Times New Roman" w:hAnsi="Times New Roman" w:cs="Times New Roman"/>
                <w:color w:val="61666B"/>
                <w:lang w:val="en-US"/>
              </w:rPr>
              <w:t>330,698</w:t>
            </w:r>
          </w:p>
        </w:tc>
        <w:tc>
          <w:tcPr>
            <w:tcW w:w="1691" w:type="dxa"/>
            <w:tcBorders>
              <w:top w:val="nil"/>
              <w:left w:val="nil"/>
              <w:bottom w:val="single" w:sz="4" w:space="0" w:color="auto"/>
              <w:right w:val="single" w:sz="4" w:space="0" w:color="auto"/>
            </w:tcBorders>
            <w:vAlign w:val="center"/>
            <w:hideMark/>
          </w:tcPr>
          <w:p w14:paraId="571B3B70" w14:textId="77777777" w:rsidR="0094554C" w:rsidRPr="009225E6" w:rsidRDefault="0094554C" w:rsidP="0094554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504,163</w:t>
            </w:r>
          </w:p>
        </w:tc>
        <w:tc>
          <w:tcPr>
            <w:tcW w:w="2346" w:type="dxa"/>
            <w:tcBorders>
              <w:top w:val="nil"/>
              <w:left w:val="nil"/>
              <w:bottom w:val="single" w:sz="4" w:space="0" w:color="auto"/>
              <w:right w:val="single" w:sz="4" w:space="0" w:color="auto"/>
            </w:tcBorders>
            <w:noWrap/>
            <w:vAlign w:val="bottom"/>
            <w:hideMark/>
          </w:tcPr>
          <w:p w14:paraId="4AC42B60" w14:textId="77777777" w:rsidR="0094554C" w:rsidRPr="009225E6" w:rsidRDefault="0094554C" w:rsidP="0094554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0.656</w:t>
            </w:r>
          </w:p>
        </w:tc>
      </w:tr>
      <w:tr w:rsidR="0094554C" w:rsidRPr="009225E6" w14:paraId="555063B7" w14:textId="77777777" w:rsidTr="0094554C">
        <w:trPr>
          <w:trHeight w:val="310"/>
        </w:trPr>
        <w:tc>
          <w:tcPr>
            <w:tcW w:w="1282" w:type="dxa"/>
            <w:tcBorders>
              <w:top w:val="nil"/>
              <w:left w:val="single" w:sz="4" w:space="0" w:color="auto"/>
              <w:bottom w:val="single" w:sz="4" w:space="0" w:color="auto"/>
              <w:right w:val="single" w:sz="4" w:space="0" w:color="auto"/>
            </w:tcBorders>
            <w:shd w:val="clear" w:color="000000" w:fill="FFFFFF"/>
            <w:vAlign w:val="center"/>
            <w:hideMark/>
          </w:tcPr>
          <w:p w14:paraId="1E54AF27"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2023</w:t>
            </w:r>
          </w:p>
        </w:tc>
        <w:tc>
          <w:tcPr>
            <w:tcW w:w="1746" w:type="dxa"/>
            <w:tcBorders>
              <w:top w:val="nil"/>
              <w:left w:val="nil"/>
              <w:bottom w:val="single" w:sz="4" w:space="0" w:color="auto"/>
              <w:right w:val="single" w:sz="4" w:space="0" w:color="auto"/>
            </w:tcBorders>
            <w:vAlign w:val="center"/>
            <w:hideMark/>
          </w:tcPr>
          <w:p w14:paraId="31D02131" w14:textId="77777777" w:rsidR="0094554C" w:rsidRPr="009225E6" w:rsidRDefault="0094554C" w:rsidP="0094554C">
            <w:pPr>
              <w:spacing w:after="0" w:line="240" w:lineRule="auto"/>
              <w:ind w:firstLineChars="100" w:firstLine="220"/>
              <w:rPr>
                <w:rFonts w:ascii="Times New Roman" w:eastAsia="Times New Roman" w:hAnsi="Times New Roman" w:cs="Times New Roman"/>
                <w:color w:val="61666B"/>
                <w:lang w:val="en-US"/>
              </w:rPr>
            </w:pPr>
            <w:r w:rsidRPr="009225E6">
              <w:rPr>
                <w:rFonts w:ascii="Times New Roman" w:eastAsia="Times New Roman" w:hAnsi="Times New Roman" w:cs="Times New Roman"/>
                <w:color w:val="61666B"/>
                <w:lang w:val="en-US"/>
              </w:rPr>
              <w:t>232,460</w:t>
            </w:r>
          </w:p>
        </w:tc>
        <w:tc>
          <w:tcPr>
            <w:tcW w:w="1691" w:type="dxa"/>
            <w:tcBorders>
              <w:top w:val="nil"/>
              <w:left w:val="nil"/>
              <w:bottom w:val="single" w:sz="4" w:space="0" w:color="auto"/>
              <w:right w:val="single" w:sz="4" w:space="0" w:color="auto"/>
            </w:tcBorders>
            <w:vAlign w:val="center"/>
            <w:hideMark/>
          </w:tcPr>
          <w:p w14:paraId="18962D38" w14:textId="77777777" w:rsidR="0094554C" w:rsidRPr="009225E6" w:rsidRDefault="0094554C" w:rsidP="0094554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355,872</w:t>
            </w:r>
          </w:p>
        </w:tc>
        <w:tc>
          <w:tcPr>
            <w:tcW w:w="2346" w:type="dxa"/>
            <w:tcBorders>
              <w:top w:val="nil"/>
              <w:left w:val="nil"/>
              <w:bottom w:val="single" w:sz="4" w:space="0" w:color="auto"/>
              <w:right w:val="single" w:sz="4" w:space="0" w:color="auto"/>
            </w:tcBorders>
            <w:noWrap/>
            <w:vAlign w:val="bottom"/>
            <w:hideMark/>
          </w:tcPr>
          <w:p w14:paraId="54517DB5" w14:textId="77777777" w:rsidR="0094554C" w:rsidRPr="009225E6" w:rsidRDefault="0094554C" w:rsidP="0094554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0.653</w:t>
            </w:r>
          </w:p>
        </w:tc>
      </w:tr>
      <w:tr w:rsidR="0094554C" w:rsidRPr="009225E6" w14:paraId="3A7CC752" w14:textId="77777777" w:rsidTr="0094554C">
        <w:trPr>
          <w:trHeight w:val="324"/>
        </w:trPr>
        <w:tc>
          <w:tcPr>
            <w:tcW w:w="1282" w:type="dxa"/>
            <w:tcBorders>
              <w:top w:val="nil"/>
              <w:left w:val="single" w:sz="8" w:space="0" w:color="auto"/>
              <w:bottom w:val="double" w:sz="6" w:space="0" w:color="auto"/>
              <w:right w:val="single" w:sz="4" w:space="0" w:color="auto"/>
            </w:tcBorders>
            <w:shd w:val="clear" w:color="000000" w:fill="FFFFFF"/>
            <w:vAlign w:val="center"/>
            <w:hideMark/>
          </w:tcPr>
          <w:p w14:paraId="080E50F4" w14:textId="77777777" w:rsidR="0094554C" w:rsidRPr="009225E6" w:rsidRDefault="0094554C" w:rsidP="0094554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2024</w:t>
            </w:r>
          </w:p>
        </w:tc>
        <w:tc>
          <w:tcPr>
            <w:tcW w:w="1746" w:type="dxa"/>
            <w:tcBorders>
              <w:top w:val="nil"/>
              <w:left w:val="nil"/>
              <w:bottom w:val="double" w:sz="6" w:space="0" w:color="auto"/>
              <w:right w:val="single" w:sz="8" w:space="0" w:color="auto"/>
            </w:tcBorders>
            <w:vAlign w:val="center"/>
            <w:hideMark/>
          </w:tcPr>
          <w:p w14:paraId="28446294" w14:textId="77777777" w:rsidR="0094554C" w:rsidRPr="009225E6" w:rsidRDefault="0094554C" w:rsidP="0094554C">
            <w:pPr>
              <w:spacing w:after="0" w:line="240" w:lineRule="auto"/>
              <w:ind w:firstLineChars="100" w:firstLine="220"/>
              <w:rPr>
                <w:rFonts w:ascii="Times New Roman" w:eastAsia="Times New Roman" w:hAnsi="Times New Roman" w:cs="Times New Roman"/>
                <w:color w:val="61666B"/>
                <w:lang w:val="en-US"/>
              </w:rPr>
            </w:pPr>
            <w:r w:rsidRPr="009225E6">
              <w:rPr>
                <w:rFonts w:ascii="Times New Roman" w:eastAsia="Times New Roman" w:hAnsi="Times New Roman" w:cs="Times New Roman"/>
                <w:color w:val="61666B"/>
                <w:lang w:val="en-US"/>
              </w:rPr>
              <w:t>208,431</w:t>
            </w:r>
          </w:p>
        </w:tc>
        <w:tc>
          <w:tcPr>
            <w:tcW w:w="1691" w:type="dxa"/>
            <w:tcBorders>
              <w:top w:val="nil"/>
              <w:left w:val="nil"/>
              <w:bottom w:val="double" w:sz="6" w:space="0" w:color="auto"/>
              <w:right w:val="single" w:sz="4" w:space="0" w:color="auto"/>
            </w:tcBorders>
            <w:shd w:val="clear" w:color="000000" w:fill="FFFFFF"/>
            <w:vAlign w:val="center"/>
            <w:hideMark/>
          </w:tcPr>
          <w:p w14:paraId="62869B9C" w14:textId="77777777" w:rsidR="0094554C" w:rsidRPr="009225E6" w:rsidRDefault="0094554C" w:rsidP="0094554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323354</w:t>
            </w:r>
          </w:p>
        </w:tc>
        <w:tc>
          <w:tcPr>
            <w:tcW w:w="2346" w:type="dxa"/>
            <w:tcBorders>
              <w:top w:val="nil"/>
              <w:left w:val="nil"/>
              <w:bottom w:val="double" w:sz="6" w:space="0" w:color="auto"/>
              <w:right w:val="single" w:sz="4" w:space="0" w:color="auto"/>
            </w:tcBorders>
            <w:noWrap/>
            <w:vAlign w:val="bottom"/>
            <w:hideMark/>
          </w:tcPr>
          <w:p w14:paraId="610C9353" w14:textId="77777777" w:rsidR="0094554C" w:rsidRPr="009225E6" w:rsidRDefault="0094554C" w:rsidP="0094554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0.645</w:t>
            </w:r>
          </w:p>
        </w:tc>
      </w:tr>
    </w:tbl>
    <w:p w14:paraId="5FF76B68" w14:textId="77777777" w:rsidR="0073108C" w:rsidRPr="009225E6" w:rsidRDefault="0094554C" w:rsidP="001F675A">
      <w:pPr>
        <w:pStyle w:val="NormalWeb"/>
        <w:spacing w:before="0" w:beforeAutospacing="0" w:line="360" w:lineRule="auto"/>
        <w:rPr>
          <w:color w:val="404040"/>
        </w:rPr>
      </w:pPr>
      <w:r w:rsidRPr="009225E6">
        <w:rPr>
          <w:color w:val="404040"/>
        </w:rPr>
        <w:t xml:space="preserve"> </w:t>
      </w:r>
    </w:p>
    <w:tbl>
      <w:tblPr>
        <w:tblW w:w="7131" w:type="dxa"/>
        <w:tblInd w:w="-27" w:type="dxa"/>
        <w:tblLook w:val="04A0" w:firstRow="1" w:lastRow="0" w:firstColumn="1" w:lastColumn="0" w:noHBand="0" w:noVBand="1"/>
      </w:tblPr>
      <w:tblGrid>
        <w:gridCol w:w="1294"/>
        <w:gridCol w:w="1762"/>
        <w:gridCol w:w="1707"/>
        <w:gridCol w:w="2368"/>
      </w:tblGrid>
      <w:tr w:rsidR="00E30F9C" w:rsidRPr="009225E6" w14:paraId="53EC5F14" w14:textId="77777777" w:rsidTr="00E30F9C">
        <w:trPr>
          <w:trHeight w:val="667"/>
        </w:trPr>
        <w:tc>
          <w:tcPr>
            <w:tcW w:w="1294" w:type="dxa"/>
            <w:tcBorders>
              <w:top w:val="single" w:sz="8" w:space="0" w:color="auto"/>
              <w:left w:val="single" w:sz="8" w:space="0" w:color="auto"/>
              <w:bottom w:val="double" w:sz="6" w:space="0" w:color="auto"/>
              <w:right w:val="single" w:sz="4" w:space="0" w:color="auto"/>
            </w:tcBorders>
            <w:shd w:val="clear" w:color="000000" w:fill="FFFFFF"/>
            <w:vAlign w:val="center"/>
            <w:hideMark/>
          </w:tcPr>
          <w:p w14:paraId="31E04DB9"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Year</w:t>
            </w:r>
          </w:p>
        </w:tc>
        <w:tc>
          <w:tcPr>
            <w:tcW w:w="1762" w:type="dxa"/>
            <w:tcBorders>
              <w:top w:val="single" w:sz="8" w:space="0" w:color="auto"/>
              <w:left w:val="nil"/>
              <w:bottom w:val="nil"/>
              <w:right w:val="single" w:sz="8" w:space="0" w:color="auto"/>
            </w:tcBorders>
            <w:shd w:val="clear" w:color="000000" w:fill="FFFFFF"/>
            <w:vAlign w:val="center"/>
            <w:hideMark/>
          </w:tcPr>
          <w:p w14:paraId="05127CFD"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EBIT</w:t>
            </w:r>
          </w:p>
        </w:tc>
        <w:tc>
          <w:tcPr>
            <w:tcW w:w="1707" w:type="dxa"/>
            <w:tcBorders>
              <w:top w:val="single" w:sz="8" w:space="0" w:color="auto"/>
              <w:left w:val="nil"/>
              <w:bottom w:val="double" w:sz="6" w:space="0" w:color="auto"/>
              <w:right w:val="single" w:sz="4" w:space="0" w:color="auto"/>
            </w:tcBorders>
            <w:shd w:val="clear" w:color="000000" w:fill="FFFFFF"/>
            <w:vAlign w:val="center"/>
            <w:hideMark/>
          </w:tcPr>
          <w:p w14:paraId="3151B407"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Assets</w:t>
            </w:r>
          </w:p>
        </w:tc>
        <w:tc>
          <w:tcPr>
            <w:tcW w:w="2368" w:type="dxa"/>
            <w:tcBorders>
              <w:top w:val="single" w:sz="8" w:space="0" w:color="auto"/>
              <w:left w:val="single" w:sz="8" w:space="0" w:color="auto"/>
              <w:bottom w:val="double" w:sz="6" w:space="0" w:color="auto"/>
              <w:right w:val="single" w:sz="4" w:space="0" w:color="auto"/>
            </w:tcBorders>
            <w:shd w:val="clear" w:color="000000" w:fill="FFFFFF"/>
            <w:vAlign w:val="center"/>
            <w:hideMark/>
          </w:tcPr>
          <w:p w14:paraId="26743A46"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C=EBIT/TA</w:t>
            </w:r>
          </w:p>
        </w:tc>
      </w:tr>
      <w:tr w:rsidR="00E30F9C" w:rsidRPr="009225E6" w14:paraId="481A8AAF" w14:textId="77777777" w:rsidTr="00E30F9C">
        <w:trPr>
          <w:trHeight w:val="341"/>
        </w:trPr>
        <w:tc>
          <w:tcPr>
            <w:tcW w:w="1294" w:type="dxa"/>
            <w:tcBorders>
              <w:top w:val="nil"/>
              <w:left w:val="single" w:sz="4" w:space="0" w:color="auto"/>
              <w:bottom w:val="single" w:sz="4" w:space="0" w:color="auto"/>
              <w:right w:val="single" w:sz="4" w:space="0" w:color="auto"/>
            </w:tcBorders>
            <w:shd w:val="clear" w:color="000000" w:fill="FFFFFF"/>
            <w:vAlign w:val="center"/>
            <w:hideMark/>
          </w:tcPr>
          <w:p w14:paraId="2E085F54"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2020</w:t>
            </w:r>
          </w:p>
        </w:tc>
        <w:tc>
          <w:tcPr>
            <w:tcW w:w="1762" w:type="dxa"/>
            <w:tcBorders>
              <w:top w:val="single" w:sz="4" w:space="0" w:color="auto"/>
              <w:left w:val="nil"/>
              <w:bottom w:val="single" w:sz="4" w:space="0" w:color="auto"/>
              <w:right w:val="single" w:sz="4" w:space="0" w:color="auto"/>
            </w:tcBorders>
            <w:vAlign w:val="center"/>
            <w:hideMark/>
          </w:tcPr>
          <w:p w14:paraId="123DE3EC"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37,267</w:t>
            </w:r>
          </w:p>
        </w:tc>
        <w:tc>
          <w:tcPr>
            <w:tcW w:w="1707" w:type="dxa"/>
            <w:tcBorders>
              <w:top w:val="nil"/>
              <w:left w:val="nil"/>
              <w:bottom w:val="single" w:sz="4" w:space="0" w:color="auto"/>
              <w:right w:val="single" w:sz="4" w:space="0" w:color="auto"/>
            </w:tcBorders>
            <w:vAlign w:val="center"/>
            <w:hideMark/>
          </w:tcPr>
          <w:p w14:paraId="6B5D965F"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510,290</w:t>
            </w:r>
          </w:p>
        </w:tc>
        <w:tc>
          <w:tcPr>
            <w:tcW w:w="2368" w:type="dxa"/>
            <w:tcBorders>
              <w:top w:val="nil"/>
              <w:left w:val="nil"/>
              <w:bottom w:val="single" w:sz="4" w:space="0" w:color="auto"/>
              <w:right w:val="single" w:sz="4" w:space="0" w:color="auto"/>
            </w:tcBorders>
            <w:noWrap/>
            <w:vAlign w:val="bottom"/>
            <w:hideMark/>
          </w:tcPr>
          <w:p w14:paraId="005E98DA" w14:textId="77777777" w:rsidR="00E30F9C" w:rsidRPr="009225E6" w:rsidRDefault="00E30F9C" w:rsidP="00E30F9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0.073</w:t>
            </w:r>
          </w:p>
        </w:tc>
      </w:tr>
      <w:tr w:rsidR="00E30F9C" w:rsidRPr="009225E6" w14:paraId="72DA1823" w14:textId="77777777" w:rsidTr="00E30F9C">
        <w:trPr>
          <w:trHeight w:val="326"/>
        </w:trPr>
        <w:tc>
          <w:tcPr>
            <w:tcW w:w="1294" w:type="dxa"/>
            <w:tcBorders>
              <w:top w:val="nil"/>
              <w:left w:val="single" w:sz="4" w:space="0" w:color="auto"/>
              <w:bottom w:val="single" w:sz="4" w:space="0" w:color="auto"/>
              <w:right w:val="single" w:sz="4" w:space="0" w:color="auto"/>
            </w:tcBorders>
            <w:shd w:val="clear" w:color="000000" w:fill="FFFFFF"/>
            <w:vAlign w:val="center"/>
            <w:hideMark/>
          </w:tcPr>
          <w:p w14:paraId="3D472ADA"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2021</w:t>
            </w:r>
          </w:p>
        </w:tc>
        <w:tc>
          <w:tcPr>
            <w:tcW w:w="1762" w:type="dxa"/>
            <w:tcBorders>
              <w:top w:val="nil"/>
              <w:left w:val="nil"/>
              <w:bottom w:val="single" w:sz="4" w:space="0" w:color="auto"/>
              <w:right w:val="single" w:sz="4" w:space="0" w:color="auto"/>
            </w:tcBorders>
            <w:vAlign w:val="center"/>
            <w:hideMark/>
          </w:tcPr>
          <w:p w14:paraId="6E43B5CC"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23,253</w:t>
            </w:r>
          </w:p>
        </w:tc>
        <w:tc>
          <w:tcPr>
            <w:tcW w:w="1707" w:type="dxa"/>
            <w:tcBorders>
              <w:top w:val="nil"/>
              <w:left w:val="nil"/>
              <w:bottom w:val="single" w:sz="4" w:space="0" w:color="auto"/>
              <w:right w:val="single" w:sz="4" w:space="0" w:color="auto"/>
            </w:tcBorders>
            <w:vAlign w:val="center"/>
            <w:hideMark/>
          </w:tcPr>
          <w:p w14:paraId="36A253B0"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510,348</w:t>
            </w:r>
          </w:p>
        </w:tc>
        <w:tc>
          <w:tcPr>
            <w:tcW w:w="2368" w:type="dxa"/>
            <w:tcBorders>
              <w:top w:val="nil"/>
              <w:left w:val="nil"/>
              <w:bottom w:val="single" w:sz="4" w:space="0" w:color="auto"/>
              <w:right w:val="single" w:sz="4" w:space="0" w:color="auto"/>
            </w:tcBorders>
            <w:noWrap/>
            <w:vAlign w:val="bottom"/>
            <w:hideMark/>
          </w:tcPr>
          <w:p w14:paraId="0C715517" w14:textId="77777777" w:rsidR="00E30F9C" w:rsidRPr="009225E6" w:rsidRDefault="00E30F9C" w:rsidP="00E30F9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0.046</w:t>
            </w:r>
          </w:p>
        </w:tc>
      </w:tr>
      <w:tr w:rsidR="00E30F9C" w:rsidRPr="009225E6" w14:paraId="5F9163C9" w14:textId="77777777" w:rsidTr="00E30F9C">
        <w:trPr>
          <w:trHeight w:val="326"/>
        </w:trPr>
        <w:tc>
          <w:tcPr>
            <w:tcW w:w="1294" w:type="dxa"/>
            <w:tcBorders>
              <w:top w:val="nil"/>
              <w:left w:val="single" w:sz="4" w:space="0" w:color="auto"/>
              <w:bottom w:val="single" w:sz="4" w:space="0" w:color="auto"/>
              <w:right w:val="single" w:sz="4" w:space="0" w:color="auto"/>
            </w:tcBorders>
            <w:shd w:val="clear" w:color="000000" w:fill="FFFFFF"/>
            <w:vAlign w:val="center"/>
            <w:hideMark/>
          </w:tcPr>
          <w:p w14:paraId="33DCED2D"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2022</w:t>
            </w:r>
          </w:p>
        </w:tc>
        <w:tc>
          <w:tcPr>
            <w:tcW w:w="1762" w:type="dxa"/>
            <w:tcBorders>
              <w:top w:val="nil"/>
              <w:left w:val="nil"/>
              <w:bottom w:val="single" w:sz="4" w:space="0" w:color="auto"/>
              <w:right w:val="single" w:sz="4" w:space="0" w:color="auto"/>
            </w:tcBorders>
            <w:vAlign w:val="center"/>
            <w:hideMark/>
          </w:tcPr>
          <w:p w14:paraId="3D83B7EE"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14,548</w:t>
            </w:r>
          </w:p>
        </w:tc>
        <w:tc>
          <w:tcPr>
            <w:tcW w:w="1707" w:type="dxa"/>
            <w:tcBorders>
              <w:top w:val="nil"/>
              <w:left w:val="nil"/>
              <w:bottom w:val="single" w:sz="4" w:space="0" w:color="auto"/>
              <w:right w:val="single" w:sz="4" w:space="0" w:color="auto"/>
            </w:tcBorders>
            <w:vAlign w:val="center"/>
            <w:hideMark/>
          </w:tcPr>
          <w:p w14:paraId="01340479"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504,163</w:t>
            </w:r>
          </w:p>
        </w:tc>
        <w:tc>
          <w:tcPr>
            <w:tcW w:w="2368" w:type="dxa"/>
            <w:tcBorders>
              <w:top w:val="nil"/>
              <w:left w:val="nil"/>
              <w:bottom w:val="single" w:sz="4" w:space="0" w:color="auto"/>
              <w:right w:val="single" w:sz="4" w:space="0" w:color="auto"/>
            </w:tcBorders>
            <w:noWrap/>
            <w:vAlign w:val="bottom"/>
            <w:hideMark/>
          </w:tcPr>
          <w:p w14:paraId="439C55B9" w14:textId="77777777" w:rsidR="00E30F9C" w:rsidRPr="009225E6" w:rsidRDefault="00E30F9C" w:rsidP="00E30F9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0.029</w:t>
            </w:r>
          </w:p>
        </w:tc>
      </w:tr>
      <w:tr w:rsidR="00E30F9C" w:rsidRPr="009225E6" w14:paraId="2BD734E0" w14:textId="77777777" w:rsidTr="00E30F9C">
        <w:trPr>
          <w:trHeight w:val="326"/>
        </w:trPr>
        <w:tc>
          <w:tcPr>
            <w:tcW w:w="1294" w:type="dxa"/>
            <w:tcBorders>
              <w:top w:val="nil"/>
              <w:left w:val="single" w:sz="4" w:space="0" w:color="auto"/>
              <w:bottom w:val="single" w:sz="4" w:space="0" w:color="auto"/>
              <w:right w:val="single" w:sz="4" w:space="0" w:color="auto"/>
            </w:tcBorders>
            <w:shd w:val="clear" w:color="000000" w:fill="FFFFFF"/>
            <w:vAlign w:val="center"/>
            <w:hideMark/>
          </w:tcPr>
          <w:p w14:paraId="67AE098F"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2023</w:t>
            </w:r>
          </w:p>
        </w:tc>
        <w:tc>
          <w:tcPr>
            <w:tcW w:w="1762" w:type="dxa"/>
            <w:tcBorders>
              <w:top w:val="nil"/>
              <w:left w:val="nil"/>
              <w:bottom w:val="single" w:sz="4" w:space="0" w:color="auto"/>
              <w:right w:val="single" w:sz="4" w:space="0" w:color="auto"/>
            </w:tcBorders>
            <w:vAlign w:val="center"/>
            <w:hideMark/>
          </w:tcPr>
          <w:p w14:paraId="1AB1903D"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-85,301</w:t>
            </w:r>
          </w:p>
        </w:tc>
        <w:tc>
          <w:tcPr>
            <w:tcW w:w="1707" w:type="dxa"/>
            <w:tcBorders>
              <w:top w:val="nil"/>
              <w:left w:val="nil"/>
              <w:bottom w:val="single" w:sz="4" w:space="0" w:color="auto"/>
              <w:right w:val="single" w:sz="4" w:space="0" w:color="auto"/>
            </w:tcBorders>
            <w:vAlign w:val="center"/>
            <w:hideMark/>
          </w:tcPr>
          <w:p w14:paraId="28F72D1B"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355,872</w:t>
            </w:r>
          </w:p>
        </w:tc>
        <w:tc>
          <w:tcPr>
            <w:tcW w:w="2368" w:type="dxa"/>
            <w:tcBorders>
              <w:top w:val="nil"/>
              <w:left w:val="nil"/>
              <w:bottom w:val="single" w:sz="4" w:space="0" w:color="auto"/>
              <w:right w:val="single" w:sz="4" w:space="0" w:color="auto"/>
            </w:tcBorders>
            <w:noWrap/>
            <w:vAlign w:val="bottom"/>
            <w:hideMark/>
          </w:tcPr>
          <w:p w14:paraId="2D8A4073" w14:textId="77777777" w:rsidR="00E30F9C" w:rsidRPr="009225E6" w:rsidRDefault="00E30F9C" w:rsidP="00E30F9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-0.240</w:t>
            </w:r>
          </w:p>
        </w:tc>
      </w:tr>
      <w:tr w:rsidR="00E30F9C" w:rsidRPr="009225E6" w14:paraId="4F6CEA09" w14:textId="77777777" w:rsidTr="00E30F9C">
        <w:trPr>
          <w:trHeight w:val="341"/>
        </w:trPr>
        <w:tc>
          <w:tcPr>
            <w:tcW w:w="1294" w:type="dxa"/>
            <w:tcBorders>
              <w:top w:val="nil"/>
              <w:left w:val="single" w:sz="8" w:space="0" w:color="auto"/>
              <w:bottom w:val="double" w:sz="6" w:space="0" w:color="auto"/>
              <w:right w:val="single" w:sz="4" w:space="0" w:color="auto"/>
            </w:tcBorders>
            <w:shd w:val="clear" w:color="000000" w:fill="FFFFFF"/>
            <w:vAlign w:val="center"/>
            <w:hideMark/>
          </w:tcPr>
          <w:p w14:paraId="7A143895" w14:textId="77777777" w:rsidR="00E30F9C" w:rsidRPr="009225E6" w:rsidRDefault="00E30F9C" w:rsidP="00E30F9C">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2024</w:t>
            </w:r>
          </w:p>
        </w:tc>
        <w:tc>
          <w:tcPr>
            <w:tcW w:w="1762" w:type="dxa"/>
            <w:tcBorders>
              <w:top w:val="nil"/>
              <w:left w:val="nil"/>
              <w:bottom w:val="double" w:sz="6" w:space="0" w:color="auto"/>
              <w:right w:val="nil"/>
            </w:tcBorders>
            <w:vAlign w:val="center"/>
            <w:hideMark/>
          </w:tcPr>
          <w:p w14:paraId="74CBA9B5"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-15,297</w:t>
            </w:r>
          </w:p>
        </w:tc>
        <w:tc>
          <w:tcPr>
            <w:tcW w:w="1707" w:type="dxa"/>
            <w:tcBorders>
              <w:top w:val="nil"/>
              <w:left w:val="single" w:sz="8" w:space="0" w:color="auto"/>
              <w:bottom w:val="double" w:sz="6" w:space="0" w:color="auto"/>
              <w:right w:val="single" w:sz="4" w:space="0" w:color="auto"/>
            </w:tcBorders>
            <w:shd w:val="clear" w:color="000000" w:fill="FFFFFF"/>
            <w:vAlign w:val="center"/>
            <w:hideMark/>
          </w:tcPr>
          <w:p w14:paraId="443A6F14" w14:textId="77777777" w:rsidR="00E30F9C" w:rsidRPr="009225E6" w:rsidRDefault="00E30F9C" w:rsidP="00E30F9C">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323354</w:t>
            </w:r>
          </w:p>
        </w:tc>
        <w:tc>
          <w:tcPr>
            <w:tcW w:w="2368" w:type="dxa"/>
            <w:tcBorders>
              <w:top w:val="nil"/>
              <w:left w:val="nil"/>
              <w:bottom w:val="double" w:sz="6" w:space="0" w:color="auto"/>
              <w:right w:val="single" w:sz="4" w:space="0" w:color="auto"/>
            </w:tcBorders>
            <w:noWrap/>
            <w:vAlign w:val="bottom"/>
            <w:hideMark/>
          </w:tcPr>
          <w:p w14:paraId="10C42284" w14:textId="77777777" w:rsidR="00E30F9C" w:rsidRPr="009225E6" w:rsidRDefault="00E30F9C" w:rsidP="00E30F9C">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-0.047</w:t>
            </w:r>
          </w:p>
        </w:tc>
      </w:tr>
    </w:tbl>
    <w:p w14:paraId="205B2B12" w14:textId="77777777" w:rsidR="00E30F9C" w:rsidRPr="009225E6" w:rsidRDefault="00E30F9C" w:rsidP="001F675A">
      <w:pPr>
        <w:pStyle w:val="NormalWeb"/>
        <w:spacing w:before="0" w:beforeAutospacing="0" w:line="360" w:lineRule="auto"/>
        <w:rPr>
          <w:color w:val="404040"/>
        </w:rPr>
      </w:pPr>
      <w:r w:rsidRPr="009225E6">
        <w:rPr>
          <w:color w:val="404040"/>
        </w:rPr>
        <w:t xml:space="preserve"> </w:t>
      </w:r>
    </w:p>
    <w:tbl>
      <w:tblPr>
        <w:tblW w:w="7749" w:type="dxa"/>
        <w:tblInd w:w="-27" w:type="dxa"/>
        <w:tblLook w:val="04A0" w:firstRow="1" w:lastRow="0" w:firstColumn="1" w:lastColumn="0" w:noHBand="0" w:noVBand="1"/>
      </w:tblPr>
      <w:tblGrid>
        <w:gridCol w:w="1019"/>
        <w:gridCol w:w="2071"/>
        <w:gridCol w:w="1689"/>
        <w:gridCol w:w="2970"/>
      </w:tblGrid>
      <w:tr w:rsidR="0045483F" w:rsidRPr="009225E6" w14:paraId="1C4DAA77" w14:textId="77777777" w:rsidTr="0045483F">
        <w:trPr>
          <w:trHeight w:val="1248"/>
        </w:trPr>
        <w:tc>
          <w:tcPr>
            <w:tcW w:w="1019" w:type="dxa"/>
            <w:tcBorders>
              <w:top w:val="single" w:sz="8" w:space="0" w:color="auto"/>
              <w:left w:val="single" w:sz="8" w:space="0" w:color="auto"/>
              <w:bottom w:val="nil"/>
              <w:right w:val="single" w:sz="4" w:space="0" w:color="auto"/>
            </w:tcBorders>
            <w:shd w:val="clear" w:color="000000" w:fill="FFFFFF"/>
            <w:vAlign w:val="center"/>
            <w:hideMark/>
          </w:tcPr>
          <w:p w14:paraId="6490162C"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lastRenderedPageBreak/>
              <w:t>Year</w:t>
            </w:r>
          </w:p>
        </w:tc>
        <w:tc>
          <w:tcPr>
            <w:tcW w:w="2071" w:type="dxa"/>
            <w:tcBorders>
              <w:top w:val="single" w:sz="8" w:space="0" w:color="auto"/>
              <w:left w:val="nil"/>
              <w:bottom w:val="nil"/>
              <w:right w:val="single" w:sz="8" w:space="0" w:color="auto"/>
            </w:tcBorders>
            <w:shd w:val="clear" w:color="000000" w:fill="FFFFFF"/>
            <w:vAlign w:val="center"/>
            <w:hideMark/>
          </w:tcPr>
          <w:p w14:paraId="06AF7E83"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Shareholder Equity</w:t>
            </w:r>
          </w:p>
        </w:tc>
        <w:tc>
          <w:tcPr>
            <w:tcW w:w="1689" w:type="dxa"/>
            <w:tcBorders>
              <w:top w:val="single" w:sz="8" w:space="0" w:color="auto"/>
              <w:left w:val="nil"/>
              <w:bottom w:val="nil"/>
              <w:right w:val="single" w:sz="4" w:space="0" w:color="auto"/>
            </w:tcBorders>
            <w:shd w:val="clear" w:color="000000" w:fill="FFFFFF"/>
            <w:vAlign w:val="center"/>
            <w:hideMark/>
          </w:tcPr>
          <w:p w14:paraId="159529FB"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Liabilities</w:t>
            </w:r>
          </w:p>
        </w:tc>
        <w:tc>
          <w:tcPr>
            <w:tcW w:w="2970" w:type="dxa"/>
            <w:tcBorders>
              <w:top w:val="single" w:sz="8" w:space="0" w:color="auto"/>
              <w:left w:val="single" w:sz="8" w:space="0" w:color="auto"/>
              <w:bottom w:val="nil"/>
              <w:right w:val="single" w:sz="4" w:space="0" w:color="auto"/>
            </w:tcBorders>
            <w:shd w:val="clear" w:color="000000" w:fill="FFFFFF"/>
            <w:vAlign w:val="center"/>
            <w:hideMark/>
          </w:tcPr>
          <w:p w14:paraId="1678331D"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D=Equity/Liability</w:t>
            </w:r>
          </w:p>
        </w:tc>
      </w:tr>
      <w:tr w:rsidR="0045483F" w:rsidRPr="009225E6" w14:paraId="3D351080" w14:textId="77777777" w:rsidTr="0045483F">
        <w:trPr>
          <w:trHeight w:val="312"/>
        </w:trPr>
        <w:tc>
          <w:tcPr>
            <w:tcW w:w="10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916348"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2020</w:t>
            </w:r>
          </w:p>
        </w:tc>
        <w:tc>
          <w:tcPr>
            <w:tcW w:w="2071" w:type="dxa"/>
            <w:tcBorders>
              <w:top w:val="single" w:sz="4" w:space="0" w:color="auto"/>
              <w:left w:val="nil"/>
              <w:bottom w:val="single" w:sz="4" w:space="0" w:color="auto"/>
              <w:right w:val="single" w:sz="4" w:space="0" w:color="auto"/>
            </w:tcBorders>
            <w:vAlign w:val="center"/>
            <w:hideMark/>
          </w:tcPr>
          <w:p w14:paraId="669AA901"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313,301</w:t>
            </w:r>
          </w:p>
        </w:tc>
        <w:tc>
          <w:tcPr>
            <w:tcW w:w="1689" w:type="dxa"/>
            <w:tcBorders>
              <w:top w:val="single" w:sz="4" w:space="0" w:color="auto"/>
              <w:left w:val="nil"/>
              <w:bottom w:val="single" w:sz="4" w:space="0" w:color="auto"/>
              <w:right w:val="single" w:sz="4" w:space="0" w:color="auto"/>
            </w:tcBorders>
            <w:vAlign w:val="center"/>
            <w:hideMark/>
          </w:tcPr>
          <w:p w14:paraId="56528220"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196,989</w:t>
            </w:r>
          </w:p>
        </w:tc>
        <w:tc>
          <w:tcPr>
            <w:tcW w:w="2970" w:type="dxa"/>
            <w:tcBorders>
              <w:top w:val="single" w:sz="4" w:space="0" w:color="auto"/>
              <w:left w:val="nil"/>
              <w:bottom w:val="single" w:sz="4" w:space="0" w:color="auto"/>
              <w:right w:val="single" w:sz="4" w:space="0" w:color="auto"/>
            </w:tcBorders>
            <w:noWrap/>
            <w:vAlign w:val="bottom"/>
            <w:hideMark/>
          </w:tcPr>
          <w:p w14:paraId="3656DBA5" w14:textId="77777777" w:rsidR="0045483F" w:rsidRPr="009225E6" w:rsidRDefault="0045483F" w:rsidP="0045483F">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1.590</w:t>
            </w:r>
          </w:p>
        </w:tc>
      </w:tr>
      <w:tr w:rsidR="0045483F" w:rsidRPr="009225E6" w14:paraId="77904310" w14:textId="77777777" w:rsidTr="0045483F">
        <w:trPr>
          <w:trHeight w:val="312"/>
        </w:trPr>
        <w:tc>
          <w:tcPr>
            <w:tcW w:w="1019" w:type="dxa"/>
            <w:tcBorders>
              <w:top w:val="nil"/>
              <w:left w:val="single" w:sz="4" w:space="0" w:color="auto"/>
              <w:bottom w:val="single" w:sz="4" w:space="0" w:color="auto"/>
              <w:right w:val="single" w:sz="4" w:space="0" w:color="auto"/>
            </w:tcBorders>
            <w:shd w:val="clear" w:color="000000" w:fill="FFFFFF"/>
            <w:vAlign w:val="center"/>
            <w:hideMark/>
          </w:tcPr>
          <w:p w14:paraId="37C6C3E2"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2021</w:t>
            </w:r>
          </w:p>
        </w:tc>
        <w:tc>
          <w:tcPr>
            <w:tcW w:w="2071" w:type="dxa"/>
            <w:tcBorders>
              <w:top w:val="nil"/>
              <w:left w:val="nil"/>
              <w:bottom w:val="single" w:sz="4" w:space="0" w:color="auto"/>
              <w:right w:val="single" w:sz="4" w:space="0" w:color="auto"/>
            </w:tcBorders>
            <w:vAlign w:val="center"/>
            <w:hideMark/>
          </w:tcPr>
          <w:p w14:paraId="5F559695"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275,949</w:t>
            </w:r>
          </w:p>
        </w:tc>
        <w:tc>
          <w:tcPr>
            <w:tcW w:w="1689" w:type="dxa"/>
            <w:tcBorders>
              <w:top w:val="nil"/>
              <w:left w:val="nil"/>
              <w:bottom w:val="single" w:sz="4" w:space="0" w:color="auto"/>
              <w:right w:val="single" w:sz="4" w:space="0" w:color="auto"/>
            </w:tcBorders>
            <w:vAlign w:val="center"/>
            <w:hideMark/>
          </w:tcPr>
          <w:p w14:paraId="717EB807"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234,399</w:t>
            </w:r>
          </w:p>
        </w:tc>
        <w:tc>
          <w:tcPr>
            <w:tcW w:w="2970" w:type="dxa"/>
            <w:tcBorders>
              <w:top w:val="nil"/>
              <w:left w:val="nil"/>
              <w:bottom w:val="single" w:sz="4" w:space="0" w:color="auto"/>
              <w:right w:val="single" w:sz="4" w:space="0" w:color="auto"/>
            </w:tcBorders>
            <w:noWrap/>
            <w:vAlign w:val="bottom"/>
            <w:hideMark/>
          </w:tcPr>
          <w:p w14:paraId="2566E5F2" w14:textId="77777777" w:rsidR="0045483F" w:rsidRPr="009225E6" w:rsidRDefault="0045483F" w:rsidP="0045483F">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1.177</w:t>
            </w:r>
          </w:p>
        </w:tc>
      </w:tr>
      <w:tr w:rsidR="0045483F" w:rsidRPr="009225E6" w14:paraId="6686DE92" w14:textId="77777777" w:rsidTr="0045483F">
        <w:trPr>
          <w:trHeight w:val="312"/>
        </w:trPr>
        <w:tc>
          <w:tcPr>
            <w:tcW w:w="1019" w:type="dxa"/>
            <w:tcBorders>
              <w:top w:val="nil"/>
              <w:left w:val="single" w:sz="4" w:space="0" w:color="auto"/>
              <w:bottom w:val="single" w:sz="4" w:space="0" w:color="auto"/>
              <w:right w:val="single" w:sz="4" w:space="0" w:color="auto"/>
            </w:tcBorders>
            <w:shd w:val="clear" w:color="000000" w:fill="FFFFFF"/>
            <w:vAlign w:val="center"/>
            <w:hideMark/>
          </w:tcPr>
          <w:p w14:paraId="7469A7F5"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2022</w:t>
            </w:r>
          </w:p>
        </w:tc>
        <w:tc>
          <w:tcPr>
            <w:tcW w:w="2071" w:type="dxa"/>
            <w:tcBorders>
              <w:top w:val="nil"/>
              <w:left w:val="nil"/>
              <w:bottom w:val="single" w:sz="4" w:space="0" w:color="auto"/>
              <w:right w:val="single" w:sz="4" w:space="0" w:color="auto"/>
            </w:tcBorders>
            <w:vAlign w:val="center"/>
            <w:hideMark/>
          </w:tcPr>
          <w:p w14:paraId="145D589E"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268,406</w:t>
            </w:r>
          </w:p>
        </w:tc>
        <w:tc>
          <w:tcPr>
            <w:tcW w:w="1689" w:type="dxa"/>
            <w:tcBorders>
              <w:top w:val="nil"/>
              <w:left w:val="nil"/>
              <w:bottom w:val="single" w:sz="4" w:space="0" w:color="auto"/>
              <w:right w:val="single" w:sz="4" w:space="0" w:color="auto"/>
            </w:tcBorders>
            <w:vAlign w:val="center"/>
            <w:hideMark/>
          </w:tcPr>
          <w:p w14:paraId="5C1D6D8E"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235,757</w:t>
            </w:r>
          </w:p>
        </w:tc>
        <w:tc>
          <w:tcPr>
            <w:tcW w:w="2970" w:type="dxa"/>
            <w:tcBorders>
              <w:top w:val="nil"/>
              <w:left w:val="nil"/>
              <w:bottom w:val="single" w:sz="4" w:space="0" w:color="auto"/>
              <w:right w:val="single" w:sz="4" w:space="0" w:color="auto"/>
            </w:tcBorders>
            <w:noWrap/>
            <w:vAlign w:val="bottom"/>
            <w:hideMark/>
          </w:tcPr>
          <w:p w14:paraId="7000B75A" w14:textId="77777777" w:rsidR="0045483F" w:rsidRPr="009225E6" w:rsidRDefault="0045483F" w:rsidP="0045483F">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1.138</w:t>
            </w:r>
          </w:p>
        </w:tc>
      </w:tr>
      <w:tr w:rsidR="0045483F" w:rsidRPr="009225E6" w14:paraId="3A4CDE14" w14:textId="77777777" w:rsidTr="0045483F">
        <w:trPr>
          <w:trHeight w:val="312"/>
        </w:trPr>
        <w:tc>
          <w:tcPr>
            <w:tcW w:w="1019" w:type="dxa"/>
            <w:tcBorders>
              <w:top w:val="nil"/>
              <w:left w:val="single" w:sz="4" w:space="0" w:color="auto"/>
              <w:bottom w:val="single" w:sz="4" w:space="0" w:color="auto"/>
              <w:right w:val="single" w:sz="4" w:space="0" w:color="auto"/>
            </w:tcBorders>
            <w:shd w:val="clear" w:color="000000" w:fill="FFFFFF"/>
            <w:vAlign w:val="center"/>
            <w:hideMark/>
          </w:tcPr>
          <w:p w14:paraId="5F157003"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2023</w:t>
            </w:r>
          </w:p>
        </w:tc>
        <w:tc>
          <w:tcPr>
            <w:tcW w:w="2071" w:type="dxa"/>
            <w:tcBorders>
              <w:top w:val="nil"/>
              <w:left w:val="nil"/>
              <w:bottom w:val="single" w:sz="4" w:space="0" w:color="auto"/>
              <w:right w:val="single" w:sz="4" w:space="0" w:color="auto"/>
            </w:tcBorders>
            <w:vAlign w:val="center"/>
            <w:hideMark/>
          </w:tcPr>
          <w:p w14:paraId="54770F49"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178,920</w:t>
            </w:r>
          </w:p>
        </w:tc>
        <w:tc>
          <w:tcPr>
            <w:tcW w:w="1689" w:type="dxa"/>
            <w:tcBorders>
              <w:top w:val="nil"/>
              <w:left w:val="nil"/>
              <w:bottom w:val="single" w:sz="4" w:space="0" w:color="auto"/>
              <w:right w:val="single" w:sz="4" w:space="0" w:color="auto"/>
            </w:tcBorders>
            <w:vAlign w:val="center"/>
            <w:hideMark/>
          </w:tcPr>
          <w:p w14:paraId="76924872"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176,952</w:t>
            </w:r>
          </w:p>
        </w:tc>
        <w:tc>
          <w:tcPr>
            <w:tcW w:w="2970" w:type="dxa"/>
            <w:tcBorders>
              <w:top w:val="nil"/>
              <w:left w:val="nil"/>
              <w:bottom w:val="single" w:sz="4" w:space="0" w:color="auto"/>
              <w:right w:val="single" w:sz="4" w:space="0" w:color="auto"/>
            </w:tcBorders>
            <w:noWrap/>
            <w:vAlign w:val="bottom"/>
            <w:hideMark/>
          </w:tcPr>
          <w:p w14:paraId="64F230F4" w14:textId="77777777" w:rsidR="0045483F" w:rsidRPr="009225E6" w:rsidRDefault="0045483F" w:rsidP="0045483F">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1.011</w:t>
            </w:r>
          </w:p>
        </w:tc>
      </w:tr>
      <w:tr w:rsidR="0045483F" w:rsidRPr="009225E6" w14:paraId="14BB1876" w14:textId="77777777" w:rsidTr="0045483F">
        <w:trPr>
          <w:trHeight w:val="326"/>
        </w:trPr>
        <w:tc>
          <w:tcPr>
            <w:tcW w:w="1019" w:type="dxa"/>
            <w:tcBorders>
              <w:top w:val="nil"/>
              <w:left w:val="single" w:sz="4" w:space="0" w:color="auto"/>
              <w:bottom w:val="double" w:sz="6" w:space="0" w:color="auto"/>
              <w:right w:val="single" w:sz="4" w:space="0" w:color="auto"/>
            </w:tcBorders>
            <w:shd w:val="clear" w:color="000000" w:fill="FFFFFF"/>
            <w:vAlign w:val="center"/>
            <w:hideMark/>
          </w:tcPr>
          <w:p w14:paraId="31F06C26" w14:textId="77777777" w:rsidR="0045483F" w:rsidRPr="009225E6" w:rsidRDefault="0045483F" w:rsidP="0045483F">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2024</w:t>
            </w:r>
          </w:p>
        </w:tc>
        <w:tc>
          <w:tcPr>
            <w:tcW w:w="2071" w:type="dxa"/>
            <w:tcBorders>
              <w:top w:val="nil"/>
              <w:left w:val="nil"/>
              <w:bottom w:val="double" w:sz="6" w:space="0" w:color="auto"/>
              <w:right w:val="single" w:sz="4" w:space="0" w:color="auto"/>
            </w:tcBorders>
            <w:vAlign w:val="center"/>
            <w:hideMark/>
          </w:tcPr>
          <w:p w14:paraId="6F71C133"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153,105</w:t>
            </w:r>
          </w:p>
        </w:tc>
        <w:tc>
          <w:tcPr>
            <w:tcW w:w="1689" w:type="dxa"/>
            <w:tcBorders>
              <w:top w:val="nil"/>
              <w:left w:val="nil"/>
              <w:bottom w:val="double" w:sz="6" w:space="0" w:color="auto"/>
              <w:right w:val="single" w:sz="4" w:space="0" w:color="auto"/>
            </w:tcBorders>
            <w:vAlign w:val="center"/>
            <w:hideMark/>
          </w:tcPr>
          <w:p w14:paraId="7A0DA1BB" w14:textId="77777777" w:rsidR="0045483F" w:rsidRPr="009225E6" w:rsidRDefault="0045483F" w:rsidP="0045483F">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170,249</w:t>
            </w:r>
          </w:p>
        </w:tc>
        <w:tc>
          <w:tcPr>
            <w:tcW w:w="2970" w:type="dxa"/>
            <w:tcBorders>
              <w:top w:val="nil"/>
              <w:left w:val="nil"/>
              <w:bottom w:val="double" w:sz="6" w:space="0" w:color="auto"/>
              <w:right w:val="single" w:sz="4" w:space="0" w:color="auto"/>
            </w:tcBorders>
            <w:noWrap/>
            <w:vAlign w:val="bottom"/>
            <w:hideMark/>
          </w:tcPr>
          <w:p w14:paraId="78028BD3" w14:textId="77777777" w:rsidR="0045483F" w:rsidRPr="009225E6" w:rsidRDefault="0045483F" w:rsidP="0045483F">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0.899</w:t>
            </w:r>
          </w:p>
        </w:tc>
      </w:tr>
    </w:tbl>
    <w:p w14:paraId="68A6359D" w14:textId="77777777" w:rsidR="00E30F9C" w:rsidRPr="009225E6" w:rsidRDefault="00E30F9C" w:rsidP="001F675A">
      <w:pPr>
        <w:pStyle w:val="NormalWeb"/>
        <w:spacing w:before="0" w:beforeAutospacing="0" w:line="360" w:lineRule="auto"/>
        <w:rPr>
          <w:color w:val="404040"/>
        </w:rPr>
      </w:pPr>
    </w:p>
    <w:tbl>
      <w:tblPr>
        <w:tblW w:w="7720" w:type="dxa"/>
        <w:tblInd w:w="-27" w:type="dxa"/>
        <w:tblLook w:val="04A0" w:firstRow="1" w:lastRow="0" w:firstColumn="1" w:lastColumn="0" w:noHBand="0" w:noVBand="1"/>
      </w:tblPr>
      <w:tblGrid>
        <w:gridCol w:w="1401"/>
        <w:gridCol w:w="1908"/>
        <w:gridCol w:w="1848"/>
        <w:gridCol w:w="2563"/>
      </w:tblGrid>
      <w:tr w:rsidR="00B42DF3" w:rsidRPr="009225E6" w14:paraId="6BB21A6A" w14:textId="77777777" w:rsidTr="00B42DF3">
        <w:trPr>
          <w:trHeight w:val="633"/>
        </w:trPr>
        <w:tc>
          <w:tcPr>
            <w:tcW w:w="1401" w:type="dxa"/>
            <w:tcBorders>
              <w:top w:val="single" w:sz="8" w:space="0" w:color="auto"/>
              <w:left w:val="single" w:sz="8" w:space="0" w:color="auto"/>
              <w:bottom w:val="nil"/>
              <w:right w:val="single" w:sz="4" w:space="0" w:color="auto"/>
            </w:tcBorders>
            <w:shd w:val="clear" w:color="000000" w:fill="FFFFFF"/>
            <w:vAlign w:val="center"/>
            <w:hideMark/>
          </w:tcPr>
          <w:p w14:paraId="4B63C491"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Year</w:t>
            </w:r>
          </w:p>
        </w:tc>
        <w:tc>
          <w:tcPr>
            <w:tcW w:w="1908" w:type="dxa"/>
            <w:tcBorders>
              <w:top w:val="single" w:sz="8" w:space="0" w:color="auto"/>
              <w:left w:val="nil"/>
              <w:bottom w:val="nil"/>
              <w:right w:val="single" w:sz="8" w:space="0" w:color="auto"/>
            </w:tcBorders>
            <w:shd w:val="clear" w:color="000000" w:fill="FFFFFF"/>
            <w:vAlign w:val="center"/>
            <w:hideMark/>
          </w:tcPr>
          <w:p w14:paraId="4D78C42B"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 xml:space="preserve">Sales </w:t>
            </w:r>
          </w:p>
        </w:tc>
        <w:tc>
          <w:tcPr>
            <w:tcW w:w="1848" w:type="dxa"/>
            <w:tcBorders>
              <w:top w:val="single" w:sz="8" w:space="0" w:color="auto"/>
              <w:left w:val="nil"/>
              <w:bottom w:val="nil"/>
              <w:right w:val="single" w:sz="4" w:space="0" w:color="auto"/>
            </w:tcBorders>
            <w:shd w:val="clear" w:color="000000" w:fill="FFFFFF"/>
            <w:vAlign w:val="center"/>
            <w:hideMark/>
          </w:tcPr>
          <w:p w14:paraId="2D0A8921"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Assets</w:t>
            </w:r>
          </w:p>
        </w:tc>
        <w:tc>
          <w:tcPr>
            <w:tcW w:w="2563" w:type="dxa"/>
            <w:tcBorders>
              <w:top w:val="single" w:sz="8" w:space="0" w:color="auto"/>
              <w:left w:val="single" w:sz="8" w:space="0" w:color="auto"/>
              <w:bottom w:val="nil"/>
              <w:right w:val="single" w:sz="4" w:space="0" w:color="auto"/>
            </w:tcBorders>
            <w:shd w:val="clear" w:color="000000" w:fill="FFFFFF"/>
            <w:vAlign w:val="center"/>
            <w:hideMark/>
          </w:tcPr>
          <w:p w14:paraId="083B72DC"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E=Sales/TA</w:t>
            </w:r>
          </w:p>
        </w:tc>
      </w:tr>
      <w:tr w:rsidR="00B42DF3" w:rsidRPr="009225E6" w14:paraId="40547F5E" w14:textId="77777777" w:rsidTr="00B42DF3">
        <w:trPr>
          <w:trHeight w:val="316"/>
        </w:trPr>
        <w:tc>
          <w:tcPr>
            <w:tcW w:w="14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AC5310"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2020</w:t>
            </w:r>
          </w:p>
        </w:tc>
        <w:tc>
          <w:tcPr>
            <w:tcW w:w="1908" w:type="dxa"/>
            <w:tcBorders>
              <w:top w:val="single" w:sz="4" w:space="0" w:color="auto"/>
              <w:left w:val="nil"/>
              <w:bottom w:val="single" w:sz="4" w:space="0" w:color="auto"/>
              <w:right w:val="single" w:sz="4" w:space="0" w:color="auto"/>
            </w:tcBorders>
            <w:noWrap/>
            <w:vAlign w:val="bottom"/>
            <w:hideMark/>
          </w:tcPr>
          <w:p w14:paraId="2FFB5EB6"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614,680</w:t>
            </w:r>
          </w:p>
        </w:tc>
        <w:tc>
          <w:tcPr>
            <w:tcW w:w="1848" w:type="dxa"/>
            <w:tcBorders>
              <w:top w:val="single" w:sz="4" w:space="0" w:color="auto"/>
              <w:left w:val="nil"/>
              <w:bottom w:val="single" w:sz="4" w:space="0" w:color="auto"/>
              <w:right w:val="single" w:sz="4" w:space="0" w:color="auto"/>
            </w:tcBorders>
            <w:vAlign w:val="center"/>
            <w:hideMark/>
          </w:tcPr>
          <w:p w14:paraId="596D340C" w14:textId="77777777" w:rsidR="00B42DF3" w:rsidRPr="009225E6" w:rsidRDefault="00B42DF3" w:rsidP="00B42DF3">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510,290</w:t>
            </w:r>
          </w:p>
        </w:tc>
        <w:tc>
          <w:tcPr>
            <w:tcW w:w="2563" w:type="dxa"/>
            <w:tcBorders>
              <w:top w:val="single" w:sz="4" w:space="0" w:color="auto"/>
              <w:left w:val="nil"/>
              <w:bottom w:val="single" w:sz="4" w:space="0" w:color="auto"/>
              <w:right w:val="single" w:sz="4" w:space="0" w:color="auto"/>
            </w:tcBorders>
            <w:noWrap/>
            <w:vAlign w:val="bottom"/>
            <w:hideMark/>
          </w:tcPr>
          <w:p w14:paraId="4D729896"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1.205</w:t>
            </w:r>
          </w:p>
        </w:tc>
      </w:tr>
      <w:tr w:rsidR="00B42DF3" w:rsidRPr="009225E6" w14:paraId="0C5B14E3" w14:textId="77777777" w:rsidTr="00B42DF3">
        <w:trPr>
          <w:trHeight w:val="316"/>
        </w:trPr>
        <w:tc>
          <w:tcPr>
            <w:tcW w:w="1401" w:type="dxa"/>
            <w:tcBorders>
              <w:top w:val="nil"/>
              <w:left w:val="single" w:sz="4" w:space="0" w:color="auto"/>
              <w:bottom w:val="single" w:sz="4" w:space="0" w:color="auto"/>
              <w:right w:val="single" w:sz="4" w:space="0" w:color="auto"/>
            </w:tcBorders>
            <w:shd w:val="clear" w:color="000000" w:fill="FFFFFF"/>
            <w:vAlign w:val="center"/>
            <w:hideMark/>
          </w:tcPr>
          <w:p w14:paraId="04A720EE"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2021</w:t>
            </w:r>
          </w:p>
        </w:tc>
        <w:tc>
          <w:tcPr>
            <w:tcW w:w="1908" w:type="dxa"/>
            <w:tcBorders>
              <w:top w:val="nil"/>
              <w:left w:val="nil"/>
              <w:bottom w:val="single" w:sz="4" w:space="0" w:color="auto"/>
              <w:right w:val="single" w:sz="4" w:space="0" w:color="auto"/>
            </w:tcBorders>
            <w:noWrap/>
            <w:vAlign w:val="bottom"/>
            <w:hideMark/>
          </w:tcPr>
          <w:p w14:paraId="1AA6ED88"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601,602</w:t>
            </w:r>
          </w:p>
        </w:tc>
        <w:tc>
          <w:tcPr>
            <w:tcW w:w="1848" w:type="dxa"/>
            <w:tcBorders>
              <w:top w:val="nil"/>
              <w:left w:val="nil"/>
              <w:bottom w:val="single" w:sz="4" w:space="0" w:color="auto"/>
              <w:right w:val="single" w:sz="4" w:space="0" w:color="auto"/>
            </w:tcBorders>
            <w:vAlign w:val="center"/>
            <w:hideMark/>
          </w:tcPr>
          <w:p w14:paraId="10F32E2F" w14:textId="77777777" w:rsidR="00B42DF3" w:rsidRPr="009225E6" w:rsidRDefault="00B42DF3" w:rsidP="00B42DF3">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510,348</w:t>
            </w:r>
          </w:p>
        </w:tc>
        <w:tc>
          <w:tcPr>
            <w:tcW w:w="2563" w:type="dxa"/>
            <w:tcBorders>
              <w:top w:val="nil"/>
              <w:left w:val="nil"/>
              <w:bottom w:val="single" w:sz="4" w:space="0" w:color="auto"/>
              <w:right w:val="single" w:sz="4" w:space="0" w:color="auto"/>
            </w:tcBorders>
            <w:noWrap/>
            <w:vAlign w:val="bottom"/>
            <w:hideMark/>
          </w:tcPr>
          <w:p w14:paraId="5C3F8841"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1.179</w:t>
            </w:r>
          </w:p>
        </w:tc>
      </w:tr>
      <w:tr w:rsidR="00B42DF3" w:rsidRPr="009225E6" w14:paraId="184A62A4" w14:textId="77777777" w:rsidTr="00B42DF3">
        <w:trPr>
          <w:trHeight w:val="316"/>
        </w:trPr>
        <w:tc>
          <w:tcPr>
            <w:tcW w:w="1401" w:type="dxa"/>
            <w:tcBorders>
              <w:top w:val="nil"/>
              <w:left w:val="single" w:sz="4" w:space="0" w:color="auto"/>
              <w:bottom w:val="single" w:sz="4" w:space="0" w:color="auto"/>
              <w:right w:val="single" w:sz="4" w:space="0" w:color="auto"/>
            </w:tcBorders>
            <w:shd w:val="clear" w:color="000000" w:fill="FFFFFF"/>
            <w:vAlign w:val="center"/>
            <w:hideMark/>
          </w:tcPr>
          <w:p w14:paraId="1D3CF1D4"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2022</w:t>
            </w:r>
          </w:p>
        </w:tc>
        <w:tc>
          <w:tcPr>
            <w:tcW w:w="1908" w:type="dxa"/>
            <w:tcBorders>
              <w:top w:val="nil"/>
              <w:left w:val="nil"/>
              <w:bottom w:val="single" w:sz="4" w:space="0" w:color="auto"/>
              <w:right w:val="single" w:sz="4" w:space="0" w:color="auto"/>
            </w:tcBorders>
            <w:noWrap/>
            <w:vAlign w:val="bottom"/>
            <w:hideMark/>
          </w:tcPr>
          <w:p w14:paraId="46160FAE"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542,751</w:t>
            </w:r>
          </w:p>
        </w:tc>
        <w:tc>
          <w:tcPr>
            <w:tcW w:w="1848" w:type="dxa"/>
            <w:tcBorders>
              <w:top w:val="nil"/>
              <w:left w:val="nil"/>
              <w:bottom w:val="single" w:sz="4" w:space="0" w:color="auto"/>
              <w:right w:val="single" w:sz="4" w:space="0" w:color="auto"/>
            </w:tcBorders>
            <w:vAlign w:val="center"/>
            <w:hideMark/>
          </w:tcPr>
          <w:p w14:paraId="576472DB" w14:textId="77777777" w:rsidR="00B42DF3" w:rsidRPr="009225E6" w:rsidRDefault="00B42DF3" w:rsidP="00B42DF3">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504,163</w:t>
            </w:r>
          </w:p>
        </w:tc>
        <w:tc>
          <w:tcPr>
            <w:tcW w:w="2563" w:type="dxa"/>
            <w:tcBorders>
              <w:top w:val="nil"/>
              <w:left w:val="nil"/>
              <w:bottom w:val="single" w:sz="4" w:space="0" w:color="auto"/>
              <w:right w:val="single" w:sz="4" w:space="0" w:color="auto"/>
            </w:tcBorders>
            <w:noWrap/>
            <w:vAlign w:val="bottom"/>
            <w:hideMark/>
          </w:tcPr>
          <w:p w14:paraId="439723EF"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1.077</w:t>
            </w:r>
          </w:p>
        </w:tc>
      </w:tr>
      <w:tr w:rsidR="00B42DF3" w:rsidRPr="009225E6" w14:paraId="0F3B70F5" w14:textId="77777777" w:rsidTr="00B42DF3">
        <w:trPr>
          <w:trHeight w:val="316"/>
        </w:trPr>
        <w:tc>
          <w:tcPr>
            <w:tcW w:w="1401" w:type="dxa"/>
            <w:tcBorders>
              <w:top w:val="nil"/>
              <w:left w:val="single" w:sz="4" w:space="0" w:color="auto"/>
              <w:bottom w:val="single" w:sz="4" w:space="0" w:color="auto"/>
              <w:right w:val="single" w:sz="4" w:space="0" w:color="auto"/>
            </w:tcBorders>
            <w:shd w:val="clear" w:color="000000" w:fill="FFFFFF"/>
            <w:vAlign w:val="center"/>
            <w:hideMark/>
          </w:tcPr>
          <w:p w14:paraId="78B6E6BF"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2023</w:t>
            </w:r>
          </w:p>
        </w:tc>
        <w:tc>
          <w:tcPr>
            <w:tcW w:w="1908" w:type="dxa"/>
            <w:tcBorders>
              <w:top w:val="nil"/>
              <w:left w:val="nil"/>
              <w:bottom w:val="single" w:sz="4" w:space="0" w:color="auto"/>
              <w:right w:val="single" w:sz="4" w:space="0" w:color="auto"/>
            </w:tcBorders>
            <w:noWrap/>
            <w:vAlign w:val="bottom"/>
            <w:hideMark/>
          </w:tcPr>
          <w:p w14:paraId="1BBF1DEE"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420,457</w:t>
            </w:r>
          </w:p>
        </w:tc>
        <w:tc>
          <w:tcPr>
            <w:tcW w:w="1848" w:type="dxa"/>
            <w:tcBorders>
              <w:top w:val="nil"/>
              <w:left w:val="nil"/>
              <w:bottom w:val="single" w:sz="4" w:space="0" w:color="auto"/>
              <w:right w:val="single" w:sz="4" w:space="0" w:color="auto"/>
            </w:tcBorders>
            <w:vAlign w:val="center"/>
            <w:hideMark/>
          </w:tcPr>
          <w:p w14:paraId="0DEC06B6" w14:textId="77777777" w:rsidR="00B42DF3" w:rsidRPr="009225E6" w:rsidRDefault="00B42DF3" w:rsidP="00B42DF3">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355,872</w:t>
            </w:r>
          </w:p>
        </w:tc>
        <w:tc>
          <w:tcPr>
            <w:tcW w:w="2563" w:type="dxa"/>
            <w:tcBorders>
              <w:top w:val="nil"/>
              <w:left w:val="nil"/>
              <w:bottom w:val="single" w:sz="4" w:space="0" w:color="auto"/>
              <w:right w:val="single" w:sz="4" w:space="0" w:color="auto"/>
            </w:tcBorders>
            <w:noWrap/>
            <w:vAlign w:val="bottom"/>
            <w:hideMark/>
          </w:tcPr>
          <w:p w14:paraId="32CA2007"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1.181</w:t>
            </w:r>
          </w:p>
        </w:tc>
      </w:tr>
      <w:tr w:rsidR="00B42DF3" w:rsidRPr="009225E6" w14:paraId="72CB0061" w14:textId="77777777" w:rsidTr="00B42DF3">
        <w:trPr>
          <w:trHeight w:val="331"/>
        </w:trPr>
        <w:tc>
          <w:tcPr>
            <w:tcW w:w="1401" w:type="dxa"/>
            <w:tcBorders>
              <w:top w:val="nil"/>
              <w:left w:val="single" w:sz="4" w:space="0" w:color="auto"/>
              <w:bottom w:val="double" w:sz="6" w:space="0" w:color="auto"/>
              <w:right w:val="single" w:sz="4" w:space="0" w:color="auto"/>
            </w:tcBorders>
            <w:shd w:val="clear" w:color="000000" w:fill="FFFFFF"/>
            <w:vAlign w:val="center"/>
            <w:hideMark/>
          </w:tcPr>
          <w:p w14:paraId="76691442" w14:textId="77777777" w:rsidR="00B42DF3" w:rsidRPr="009225E6" w:rsidRDefault="00B42DF3" w:rsidP="00B42DF3">
            <w:pPr>
              <w:spacing w:after="0" w:line="240" w:lineRule="auto"/>
              <w:ind w:firstLineChars="100" w:firstLine="221"/>
              <w:rPr>
                <w:rFonts w:ascii="Times New Roman" w:eastAsia="Times New Roman" w:hAnsi="Times New Roman" w:cs="Times New Roman"/>
                <w:b/>
                <w:bCs/>
                <w:lang w:val="en-US"/>
              </w:rPr>
            </w:pPr>
            <w:r w:rsidRPr="009225E6">
              <w:rPr>
                <w:rFonts w:ascii="Times New Roman" w:eastAsia="Times New Roman" w:hAnsi="Times New Roman" w:cs="Times New Roman"/>
                <w:b/>
                <w:bCs/>
                <w:lang w:val="en-US"/>
              </w:rPr>
              <w:t>2024</w:t>
            </w:r>
          </w:p>
        </w:tc>
        <w:tc>
          <w:tcPr>
            <w:tcW w:w="1908" w:type="dxa"/>
            <w:tcBorders>
              <w:top w:val="nil"/>
              <w:left w:val="nil"/>
              <w:bottom w:val="double" w:sz="6" w:space="0" w:color="auto"/>
              <w:right w:val="single" w:sz="4" w:space="0" w:color="auto"/>
            </w:tcBorders>
            <w:noWrap/>
            <w:vAlign w:val="bottom"/>
            <w:hideMark/>
          </w:tcPr>
          <w:p w14:paraId="383B1D17"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394,879</w:t>
            </w:r>
          </w:p>
        </w:tc>
        <w:tc>
          <w:tcPr>
            <w:tcW w:w="1848" w:type="dxa"/>
            <w:tcBorders>
              <w:top w:val="nil"/>
              <w:left w:val="nil"/>
              <w:bottom w:val="double" w:sz="6" w:space="0" w:color="auto"/>
              <w:right w:val="single" w:sz="4" w:space="0" w:color="auto"/>
            </w:tcBorders>
            <w:shd w:val="clear" w:color="000000" w:fill="FFFFFF"/>
            <w:vAlign w:val="center"/>
            <w:hideMark/>
          </w:tcPr>
          <w:p w14:paraId="4ED7D199" w14:textId="77777777" w:rsidR="00B42DF3" w:rsidRPr="009225E6" w:rsidRDefault="00B42DF3" w:rsidP="00B42DF3">
            <w:pPr>
              <w:spacing w:after="0" w:line="240" w:lineRule="auto"/>
              <w:ind w:firstLineChars="100" w:firstLine="220"/>
              <w:rPr>
                <w:rFonts w:ascii="Times New Roman" w:eastAsia="Times New Roman" w:hAnsi="Times New Roman" w:cs="Times New Roman"/>
                <w:lang w:val="en-US"/>
              </w:rPr>
            </w:pPr>
            <w:r w:rsidRPr="009225E6">
              <w:rPr>
                <w:rFonts w:ascii="Times New Roman" w:eastAsia="Times New Roman" w:hAnsi="Times New Roman" w:cs="Times New Roman"/>
                <w:lang w:val="en-US"/>
              </w:rPr>
              <w:t>323354</w:t>
            </w:r>
          </w:p>
        </w:tc>
        <w:tc>
          <w:tcPr>
            <w:tcW w:w="2563" w:type="dxa"/>
            <w:tcBorders>
              <w:top w:val="nil"/>
              <w:left w:val="nil"/>
              <w:bottom w:val="double" w:sz="6" w:space="0" w:color="auto"/>
              <w:right w:val="single" w:sz="4" w:space="0" w:color="auto"/>
            </w:tcBorders>
            <w:noWrap/>
            <w:vAlign w:val="bottom"/>
            <w:hideMark/>
          </w:tcPr>
          <w:p w14:paraId="4890B70B" w14:textId="77777777" w:rsidR="00B42DF3" w:rsidRPr="009225E6" w:rsidRDefault="00B42DF3" w:rsidP="00B42DF3">
            <w:pPr>
              <w:spacing w:after="0" w:line="240" w:lineRule="auto"/>
              <w:jc w:val="right"/>
              <w:rPr>
                <w:rFonts w:ascii="Times New Roman" w:eastAsia="Times New Roman" w:hAnsi="Times New Roman" w:cs="Times New Roman"/>
                <w:lang w:val="en-US"/>
              </w:rPr>
            </w:pPr>
            <w:r w:rsidRPr="009225E6">
              <w:rPr>
                <w:rFonts w:ascii="Times New Roman" w:eastAsia="Times New Roman" w:hAnsi="Times New Roman" w:cs="Times New Roman"/>
                <w:lang w:val="en-US"/>
              </w:rPr>
              <w:t>1.221</w:t>
            </w:r>
          </w:p>
        </w:tc>
      </w:tr>
    </w:tbl>
    <w:p w14:paraId="70DA6BD7" w14:textId="77777777" w:rsidR="00662AC8" w:rsidRPr="009225E6" w:rsidRDefault="00B42DF3" w:rsidP="001F675A">
      <w:pPr>
        <w:pStyle w:val="NormalWeb"/>
        <w:spacing w:before="0" w:beforeAutospacing="0" w:line="360" w:lineRule="auto"/>
        <w:rPr>
          <w:color w:val="404040"/>
        </w:rPr>
      </w:pPr>
      <w:r w:rsidRPr="009225E6">
        <w:rPr>
          <w:color w:val="404040"/>
        </w:rPr>
        <w:t xml:space="preserve"> </w:t>
      </w:r>
    </w:p>
    <w:p w14:paraId="066818CF" w14:textId="77777777" w:rsidR="00662AC8" w:rsidRPr="009225E6" w:rsidRDefault="00662AC8">
      <w:pPr>
        <w:rPr>
          <w:rFonts w:ascii="Times New Roman" w:hAnsi="Times New Roman" w:cs="Times New Roman"/>
          <w:color w:val="404040"/>
        </w:rPr>
        <w:sectPr w:rsidR="00662AC8" w:rsidRPr="009225E6" w:rsidSect="001231DE">
          <w:pgSz w:w="11906" w:h="16838"/>
          <w:pgMar w:top="1440" w:right="1440" w:bottom="1440" w:left="1440" w:header="708" w:footer="708" w:gutter="0"/>
          <w:pgNumType w:start="1"/>
          <w:cols w:space="708"/>
          <w:docGrid w:linePitch="360"/>
        </w:sectPr>
      </w:pPr>
    </w:p>
    <w:tbl>
      <w:tblPr>
        <w:tblW w:w="15128" w:type="dxa"/>
        <w:tblInd w:w="-27" w:type="dxa"/>
        <w:tblLook w:val="04A0" w:firstRow="1" w:lastRow="0" w:firstColumn="1" w:lastColumn="0" w:noHBand="0" w:noVBand="1"/>
      </w:tblPr>
      <w:tblGrid>
        <w:gridCol w:w="690"/>
        <w:gridCol w:w="1316"/>
        <w:gridCol w:w="1341"/>
        <w:gridCol w:w="1185"/>
        <w:gridCol w:w="1407"/>
        <w:gridCol w:w="1277"/>
        <w:gridCol w:w="861"/>
        <w:gridCol w:w="1237"/>
        <w:gridCol w:w="998"/>
        <w:gridCol w:w="1379"/>
        <w:gridCol w:w="1194"/>
        <w:gridCol w:w="972"/>
        <w:gridCol w:w="1271"/>
      </w:tblGrid>
      <w:tr w:rsidR="00662AC8" w:rsidRPr="009225E6" w14:paraId="2338C3BD" w14:textId="77777777" w:rsidTr="00FE005A">
        <w:trPr>
          <w:trHeight w:val="1036"/>
        </w:trPr>
        <w:tc>
          <w:tcPr>
            <w:tcW w:w="691" w:type="dxa"/>
            <w:tcBorders>
              <w:top w:val="single" w:sz="4" w:space="0" w:color="auto"/>
              <w:left w:val="single" w:sz="4" w:space="0" w:color="auto"/>
              <w:bottom w:val="double" w:sz="6" w:space="0" w:color="auto"/>
              <w:right w:val="single" w:sz="4" w:space="0" w:color="auto"/>
            </w:tcBorders>
            <w:shd w:val="clear" w:color="000000" w:fill="FFFFFF"/>
            <w:vAlign w:val="center"/>
            <w:hideMark/>
          </w:tcPr>
          <w:p w14:paraId="628C80DC" w14:textId="77777777" w:rsidR="00662AC8" w:rsidRPr="009225E6" w:rsidRDefault="00662AC8" w:rsidP="005E3769">
            <w:pPr>
              <w:spacing w:after="0" w:line="240" w:lineRule="auto"/>
              <w:rPr>
                <w:rFonts w:ascii="Times New Roman" w:eastAsia="Times New Roman" w:hAnsi="Times New Roman" w:cs="Times New Roman"/>
                <w:b/>
                <w:bCs/>
                <w:color w:val="0F1115"/>
                <w:lang w:val="en-US"/>
              </w:rPr>
            </w:pPr>
            <w:r w:rsidRPr="009225E6">
              <w:rPr>
                <w:rFonts w:ascii="Times New Roman" w:hAnsi="Times New Roman" w:cs="Times New Roman"/>
                <w:color w:val="404040"/>
              </w:rPr>
              <w:lastRenderedPageBreak/>
              <w:br w:type="page"/>
            </w:r>
            <w:r w:rsidRPr="009225E6">
              <w:rPr>
                <w:rFonts w:ascii="Times New Roman" w:eastAsia="Times New Roman" w:hAnsi="Times New Roman" w:cs="Times New Roman"/>
                <w:b/>
                <w:bCs/>
                <w:color w:val="0F1115"/>
                <w:lang w:val="en-US"/>
              </w:rPr>
              <w:t>Year</w:t>
            </w:r>
          </w:p>
        </w:tc>
        <w:tc>
          <w:tcPr>
            <w:tcW w:w="1319" w:type="dxa"/>
            <w:tcBorders>
              <w:top w:val="single" w:sz="4" w:space="0" w:color="auto"/>
              <w:left w:val="nil"/>
              <w:bottom w:val="double" w:sz="6" w:space="0" w:color="auto"/>
              <w:right w:val="single" w:sz="4" w:space="0" w:color="auto"/>
            </w:tcBorders>
            <w:shd w:val="clear" w:color="000000" w:fill="FFFFFF"/>
            <w:vAlign w:val="center"/>
            <w:hideMark/>
          </w:tcPr>
          <w:p w14:paraId="43385296"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Working Capital (£m)</w:t>
            </w:r>
          </w:p>
        </w:tc>
        <w:tc>
          <w:tcPr>
            <w:tcW w:w="1360" w:type="dxa"/>
            <w:tcBorders>
              <w:top w:val="single" w:sz="4" w:space="0" w:color="auto"/>
              <w:left w:val="nil"/>
              <w:bottom w:val="double" w:sz="6" w:space="0" w:color="auto"/>
              <w:right w:val="single" w:sz="4" w:space="0" w:color="auto"/>
            </w:tcBorders>
            <w:shd w:val="clear" w:color="000000" w:fill="FFFFFF"/>
            <w:vAlign w:val="center"/>
            <w:hideMark/>
          </w:tcPr>
          <w:p w14:paraId="62C51616"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Total Assets (£m)</w:t>
            </w:r>
          </w:p>
        </w:tc>
        <w:tc>
          <w:tcPr>
            <w:tcW w:w="1198" w:type="dxa"/>
            <w:tcBorders>
              <w:top w:val="single" w:sz="4" w:space="0" w:color="auto"/>
              <w:left w:val="nil"/>
              <w:bottom w:val="double" w:sz="6" w:space="0" w:color="auto"/>
              <w:right w:val="single" w:sz="4" w:space="0" w:color="auto"/>
            </w:tcBorders>
            <w:shd w:val="clear" w:color="000000" w:fill="FFFFFF"/>
            <w:vAlign w:val="center"/>
            <w:hideMark/>
          </w:tcPr>
          <w:p w14:paraId="3DED42C7"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A = Working Capital / Total Assets</w:t>
            </w:r>
          </w:p>
        </w:tc>
        <w:tc>
          <w:tcPr>
            <w:tcW w:w="1433" w:type="dxa"/>
            <w:tcBorders>
              <w:top w:val="single" w:sz="4" w:space="0" w:color="auto"/>
              <w:left w:val="nil"/>
              <w:bottom w:val="double" w:sz="6" w:space="0" w:color="auto"/>
              <w:right w:val="single" w:sz="4" w:space="0" w:color="auto"/>
            </w:tcBorders>
            <w:shd w:val="clear" w:color="000000" w:fill="FFFFFF"/>
            <w:vAlign w:val="center"/>
            <w:hideMark/>
          </w:tcPr>
          <w:p w14:paraId="52279EA3" w14:textId="77777777" w:rsidR="00662AC8" w:rsidRPr="009225E6" w:rsidRDefault="00662AC8" w:rsidP="00CC313A">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Retained Earnings (£m)</w:t>
            </w:r>
          </w:p>
        </w:tc>
        <w:tc>
          <w:tcPr>
            <w:tcW w:w="1298" w:type="dxa"/>
            <w:tcBorders>
              <w:top w:val="single" w:sz="4" w:space="0" w:color="auto"/>
              <w:left w:val="nil"/>
              <w:bottom w:val="double" w:sz="6" w:space="0" w:color="auto"/>
              <w:right w:val="single" w:sz="4" w:space="0" w:color="auto"/>
            </w:tcBorders>
            <w:shd w:val="clear" w:color="000000" w:fill="FFFFFF"/>
            <w:vAlign w:val="center"/>
            <w:hideMark/>
          </w:tcPr>
          <w:p w14:paraId="54FDC4F4"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B = Retained Earnings / Total Assets</w:t>
            </w:r>
          </w:p>
        </w:tc>
        <w:tc>
          <w:tcPr>
            <w:tcW w:w="865" w:type="dxa"/>
            <w:tcBorders>
              <w:top w:val="single" w:sz="4" w:space="0" w:color="auto"/>
              <w:left w:val="nil"/>
              <w:bottom w:val="double" w:sz="6" w:space="0" w:color="auto"/>
              <w:right w:val="single" w:sz="4" w:space="0" w:color="auto"/>
            </w:tcBorders>
            <w:shd w:val="clear" w:color="000000" w:fill="FFFFFF"/>
            <w:vAlign w:val="center"/>
            <w:hideMark/>
          </w:tcPr>
          <w:p w14:paraId="2679BA81" w14:textId="77777777" w:rsidR="00662AC8" w:rsidRPr="009225E6" w:rsidRDefault="00662AC8" w:rsidP="00CC313A">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EBIT (£m)</w:t>
            </w:r>
          </w:p>
        </w:tc>
        <w:tc>
          <w:tcPr>
            <w:tcW w:w="1257" w:type="dxa"/>
            <w:tcBorders>
              <w:top w:val="single" w:sz="4" w:space="0" w:color="auto"/>
              <w:left w:val="nil"/>
              <w:bottom w:val="double" w:sz="6" w:space="0" w:color="auto"/>
              <w:right w:val="single" w:sz="4" w:space="0" w:color="auto"/>
            </w:tcBorders>
            <w:shd w:val="clear" w:color="000000" w:fill="FFFFFF"/>
            <w:vAlign w:val="center"/>
            <w:hideMark/>
          </w:tcPr>
          <w:p w14:paraId="26F4B5FD"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C = EBIT / Total Assets</w:t>
            </w:r>
          </w:p>
        </w:tc>
        <w:tc>
          <w:tcPr>
            <w:tcW w:w="1005" w:type="dxa"/>
            <w:tcBorders>
              <w:top w:val="single" w:sz="4" w:space="0" w:color="auto"/>
              <w:left w:val="nil"/>
              <w:bottom w:val="double" w:sz="6" w:space="0" w:color="auto"/>
              <w:right w:val="single" w:sz="4" w:space="0" w:color="auto"/>
            </w:tcBorders>
            <w:shd w:val="clear" w:color="000000" w:fill="FFFFFF"/>
            <w:vAlign w:val="center"/>
            <w:hideMark/>
          </w:tcPr>
          <w:p w14:paraId="14F67D8F" w14:textId="77777777" w:rsidR="00662AC8" w:rsidRPr="009225E6" w:rsidRDefault="00662AC8" w:rsidP="00CC313A">
            <w:pPr>
              <w:spacing w:after="0" w:line="240" w:lineRule="auto"/>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Equity (£m)</w:t>
            </w:r>
          </w:p>
        </w:tc>
        <w:tc>
          <w:tcPr>
            <w:tcW w:w="1234" w:type="dxa"/>
            <w:tcBorders>
              <w:top w:val="single" w:sz="4" w:space="0" w:color="auto"/>
              <w:left w:val="nil"/>
              <w:bottom w:val="double" w:sz="6" w:space="0" w:color="auto"/>
              <w:right w:val="single" w:sz="4" w:space="0" w:color="auto"/>
            </w:tcBorders>
            <w:shd w:val="clear" w:color="000000" w:fill="FFFFFF"/>
            <w:vAlign w:val="center"/>
            <w:hideMark/>
          </w:tcPr>
          <w:p w14:paraId="4F3B97D6"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Liabilities (£m)</w:t>
            </w:r>
          </w:p>
        </w:tc>
        <w:tc>
          <w:tcPr>
            <w:tcW w:w="1198" w:type="dxa"/>
            <w:tcBorders>
              <w:top w:val="single" w:sz="4" w:space="0" w:color="auto"/>
              <w:left w:val="nil"/>
              <w:bottom w:val="double" w:sz="6" w:space="0" w:color="auto"/>
              <w:right w:val="single" w:sz="4" w:space="0" w:color="auto"/>
            </w:tcBorders>
            <w:shd w:val="clear" w:color="000000" w:fill="FFFFFF"/>
            <w:vAlign w:val="center"/>
            <w:hideMark/>
          </w:tcPr>
          <w:p w14:paraId="3C3CD21F"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D = Equity / Liabilities</w:t>
            </w:r>
          </w:p>
        </w:tc>
        <w:tc>
          <w:tcPr>
            <w:tcW w:w="976" w:type="dxa"/>
            <w:tcBorders>
              <w:top w:val="single" w:sz="4" w:space="0" w:color="auto"/>
              <w:left w:val="nil"/>
              <w:bottom w:val="double" w:sz="6" w:space="0" w:color="auto"/>
              <w:right w:val="single" w:sz="4" w:space="0" w:color="auto"/>
            </w:tcBorders>
            <w:shd w:val="clear" w:color="000000" w:fill="FFFFFF"/>
            <w:vAlign w:val="center"/>
            <w:hideMark/>
          </w:tcPr>
          <w:p w14:paraId="0455BFE3"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Sales (£m)</w:t>
            </w:r>
          </w:p>
        </w:tc>
        <w:tc>
          <w:tcPr>
            <w:tcW w:w="1294" w:type="dxa"/>
            <w:tcBorders>
              <w:top w:val="single" w:sz="4" w:space="0" w:color="auto"/>
              <w:left w:val="nil"/>
              <w:bottom w:val="double" w:sz="6" w:space="0" w:color="auto"/>
              <w:right w:val="single" w:sz="4" w:space="0" w:color="auto"/>
            </w:tcBorders>
            <w:shd w:val="clear" w:color="000000" w:fill="FFFFFF"/>
            <w:vAlign w:val="center"/>
            <w:hideMark/>
          </w:tcPr>
          <w:p w14:paraId="68AF2C06" w14:textId="77777777" w:rsidR="00662AC8" w:rsidRPr="009225E6" w:rsidRDefault="00662AC8" w:rsidP="00662AC8">
            <w:pPr>
              <w:spacing w:after="0" w:line="240" w:lineRule="auto"/>
              <w:ind w:firstLineChars="100" w:firstLine="221"/>
              <w:rPr>
                <w:rFonts w:ascii="Times New Roman" w:eastAsia="Times New Roman" w:hAnsi="Times New Roman" w:cs="Times New Roman"/>
                <w:b/>
                <w:bCs/>
                <w:color w:val="0F1115"/>
                <w:lang w:val="en-US"/>
              </w:rPr>
            </w:pPr>
            <w:r w:rsidRPr="009225E6">
              <w:rPr>
                <w:rFonts w:ascii="Times New Roman" w:eastAsia="Times New Roman" w:hAnsi="Times New Roman" w:cs="Times New Roman"/>
                <w:b/>
                <w:bCs/>
                <w:color w:val="0F1115"/>
                <w:lang w:val="en-US"/>
              </w:rPr>
              <w:t>E = Sales / Total Assets</w:t>
            </w:r>
          </w:p>
        </w:tc>
      </w:tr>
      <w:tr w:rsidR="00662AC8" w:rsidRPr="009225E6" w14:paraId="5273151D" w14:textId="77777777" w:rsidTr="00FE005A">
        <w:trPr>
          <w:trHeight w:val="356"/>
        </w:trPr>
        <w:tc>
          <w:tcPr>
            <w:tcW w:w="691" w:type="dxa"/>
            <w:tcBorders>
              <w:top w:val="nil"/>
              <w:left w:val="single" w:sz="4" w:space="0" w:color="auto"/>
              <w:bottom w:val="single" w:sz="4" w:space="0" w:color="auto"/>
              <w:right w:val="single" w:sz="4" w:space="0" w:color="auto"/>
            </w:tcBorders>
            <w:shd w:val="clear" w:color="000000" w:fill="FFFFFF"/>
            <w:vAlign w:val="center"/>
            <w:hideMark/>
          </w:tcPr>
          <w:p w14:paraId="53B9F02B"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2020</w:t>
            </w:r>
          </w:p>
        </w:tc>
        <w:tc>
          <w:tcPr>
            <w:tcW w:w="1319" w:type="dxa"/>
            <w:tcBorders>
              <w:top w:val="nil"/>
              <w:left w:val="nil"/>
              <w:bottom w:val="single" w:sz="4" w:space="0" w:color="auto"/>
              <w:right w:val="single" w:sz="4" w:space="0" w:color="auto"/>
            </w:tcBorders>
            <w:shd w:val="clear" w:color="000000" w:fill="FFFFFF"/>
            <w:vAlign w:val="center"/>
            <w:hideMark/>
          </w:tcPr>
          <w:p w14:paraId="1F3F788A"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147,333</w:t>
            </w:r>
          </w:p>
        </w:tc>
        <w:tc>
          <w:tcPr>
            <w:tcW w:w="1360" w:type="dxa"/>
            <w:tcBorders>
              <w:top w:val="nil"/>
              <w:left w:val="nil"/>
              <w:bottom w:val="single" w:sz="4" w:space="0" w:color="auto"/>
              <w:right w:val="single" w:sz="4" w:space="0" w:color="auto"/>
            </w:tcBorders>
            <w:shd w:val="clear" w:color="000000" w:fill="FFFFFF"/>
            <w:vAlign w:val="center"/>
            <w:hideMark/>
          </w:tcPr>
          <w:p w14:paraId="61001495"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510,290</w:t>
            </w:r>
          </w:p>
        </w:tc>
        <w:tc>
          <w:tcPr>
            <w:tcW w:w="1198" w:type="dxa"/>
            <w:tcBorders>
              <w:top w:val="nil"/>
              <w:left w:val="nil"/>
              <w:bottom w:val="single" w:sz="4" w:space="0" w:color="auto"/>
              <w:right w:val="single" w:sz="4" w:space="0" w:color="auto"/>
            </w:tcBorders>
            <w:shd w:val="clear" w:color="000000" w:fill="FFFFFF"/>
            <w:vAlign w:val="center"/>
            <w:hideMark/>
          </w:tcPr>
          <w:p w14:paraId="5B2278C9"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0.2887</w:t>
            </w:r>
          </w:p>
        </w:tc>
        <w:tc>
          <w:tcPr>
            <w:tcW w:w="1433" w:type="dxa"/>
            <w:tcBorders>
              <w:top w:val="nil"/>
              <w:left w:val="nil"/>
              <w:bottom w:val="single" w:sz="4" w:space="0" w:color="auto"/>
              <w:right w:val="single" w:sz="4" w:space="0" w:color="auto"/>
            </w:tcBorders>
            <w:shd w:val="clear" w:color="000000" w:fill="FFFFFF"/>
            <w:vAlign w:val="center"/>
            <w:hideMark/>
          </w:tcPr>
          <w:p w14:paraId="54809CFF"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324,990</w:t>
            </w:r>
          </w:p>
        </w:tc>
        <w:tc>
          <w:tcPr>
            <w:tcW w:w="1298" w:type="dxa"/>
            <w:tcBorders>
              <w:top w:val="nil"/>
              <w:left w:val="nil"/>
              <w:bottom w:val="single" w:sz="4" w:space="0" w:color="auto"/>
              <w:right w:val="single" w:sz="4" w:space="0" w:color="auto"/>
            </w:tcBorders>
            <w:shd w:val="clear" w:color="000000" w:fill="FFFFFF"/>
            <w:vAlign w:val="center"/>
            <w:hideMark/>
          </w:tcPr>
          <w:p w14:paraId="6513C4A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0.6369</w:t>
            </w:r>
          </w:p>
        </w:tc>
        <w:tc>
          <w:tcPr>
            <w:tcW w:w="865" w:type="dxa"/>
            <w:tcBorders>
              <w:top w:val="nil"/>
              <w:left w:val="nil"/>
              <w:bottom w:val="single" w:sz="4" w:space="0" w:color="auto"/>
              <w:right w:val="single" w:sz="4" w:space="0" w:color="auto"/>
            </w:tcBorders>
            <w:shd w:val="clear" w:color="000000" w:fill="FFFFFF"/>
            <w:vAlign w:val="center"/>
            <w:hideMark/>
          </w:tcPr>
          <w:p w14:paraId="426BB7E5"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37,267</w:t>
            </w:r>
          </w:p>
        </w:tc>
        <w:tc>
          <w:tcPr>
            <w:tcW w:w="1257" w:type="dxa"/>
            <w:tcBorders>
              <w:top w:val="nil"/>
              <w:left w:val="nil"/>
              <w:bottom w:val="single" w:sz="4" w:space="0" w:color="auto"/>
              <w:right w:val="single" w:sz="4" w:space="0" w:color="auto"/>
            </w:tcBorders>
            <w:shd w:val="clear" w:color="000000" w:fill="FFFFFF"/>
            <w:vAlign w:val="center"/>
            <w:hideMark/>
          </w:tcPr>
          <w:p w14:paraId="397AB0BF"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0.073</w:t>
            </w:r>
          </w:p>
        </w:tc>
        <w:tc>
          <w:tcPr>
            <w:tcW w:w="1005" w:type="dxa"/>
            <w:tcBorders>
              <w:top w:val="nil"/>
              <w:left w:val="nil"/>
              <w:bottom w:val="single" w:sz="4" w:space="0" w:color="auto"/>
              <w:right w:val="single" w:sz="4" w:space="0" w:color="auto"/>
            </w:tcBorders>
            <w:shd w:val="clear" w:color="000000" w:fill="FFFFFF"/>
            <w:vAlign w:val="center"/>
            <w:hideMark/>
          </w:tcPr>
          <w:p w14:paraId="32DB6016"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313,301</w:t>
            </w:r>
          </w:p>
        </w:tc>
        <w:tc>
          <w:tcPr>
            <w:tcW w:w="1234" w:type="dxa"/>
            <w:tcBorders>
              <w:top w:val="nil"/>
              <w:left w:val="nil"/>
              <w:bottom w:val="single" w:sz="4" w:space="0" w:color="auto"/>
              <w:right w:val="single" w:sz="4" w:space="0" w:color="auto"/>
            </w:tcBorders>
            <w:shd w:val="clear" w:color="000000" w:fill="FFFFFF"/>
            <w:vAlign w:val="center"/>
            <w:hideMark/>
          </w:tcPr>
          <w:p w14:paraId="2501F786"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196,989</w:t>
            </w:r>
          </w:p>
        </w:tc>
        <w:tc>
          <w:tcPr>
            <w:tcW w:w="1198" w:type="dxa"/>
            <w:tcBorders>
              <w:top w:val="nil"/>
              <w:left w:val="nil"/>
              <w:bottom w:val="single" w:sz="4" w:space="0" w:color="auto"/>
              <w:right w:val="single" w:sz="4" w:space="0" w:color="auto"/>
            </w:tcBorders>
            <w:shd w:val="clear" w:color="000000" w:fill="FFFFFF"/>
            <w:vAlign w:val="center"/>
            <w:hideMark/>
          </w:tcPr>
          <w:p w14:paraId="578186C0"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1.5904</w:t>
            </w:r>
          </w:p>
        </w:tc>
        <w:tc>
          <w:tcPr>
            <w:tcW w:w="976" w:type="dxa"/>
            <w:tcBorders>
              <w:top w:val="nil"/>
              <w:left w:val="nil"/>
              <w:bottom w:val="single" w:sz="4" w:space="0" w:color="auto"/>
              <w:right w:val="single" w:sz="4" w:space="0" w:color="auto"/>
            </w:tcBorders>
            <w:shd w:val="clear" w:color="000000" w:fill="FFFFFF"/>
            <w:vAlign w:val="center"/>
            <w:hideMark/>
          </w:tcPr>
          <w:p w14:paraId="1F1B60FF"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614,680</w:t>
            </w:r>
          </w:p>
        </w:tc>
        <w:tc>
          <w:tcPr>
            <w:tcW w:w="1294" w:type="dxa"/>
            <w:tcBorders>
              <w:top w:val="nil"/>
              <w:left w:val="nil"/>
              <w:bottom w:val="single" w:sz="4" w:space="0" w:color="auto"/>
              <w:right w:val="single" w:sz="4" w:space="0" w:color="auto"/>
            </w:tcBorders>
            <w:shd w:val="clear" w:color="000000" w:fill="FFFFFF"/>
            <w:vAlign w:val="center"/>
            <w:hideMark/>
          </w:tcPr>
          <w:p w14:paraId="7864EA07"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1.2046</w:t>
            </w:r>
          </w:p>
        </w:tc>
      </w:tr>
      <w:tr w:rsidR="00662AC8" w:rsidRPr="009225E6" w14:paraId="2237C2B6" w14:textId="77777777" w:rsidTr="00FE005A">
        <w:trPr>
          <w:trHeight w:val="340"/>
        </w:trPr>
        <w:tc>
          <w:tcPr>
            <w:tcW w:w="691" w:type="dxa"/>
            <w:tcBorders>
              <w:top w:val="nil"/>
              <w:left w:val="single" w:sz="4" w:space="0" w:color="auto"/>
              <w:bottom w:val="single" w:sz="4" w:space="0" w:color="auto"/>
              <w:right w:val="single" w:sz="4" w:space="0" w:color="auto"/>
            </w:tcBorders>
            <w:shd w:val="clear" w:color="000000" w:fill="FFFFFF"/>
            <w:vAlign w:val="center"/>
            <w:hideMark/>
          </w:tcPr>
          <w:p w14:paraId="23FDDC11"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2021</w:t>
            </w:r>
          </w:p>
        </w:tc>
        <w:tc>
          <w:tcPr>
            <w:tcW w:w="1319" w:type="dxa"/>
            <w:tcBorders>
              <w:top w:val="nil"/>
              <w:left w:val="nil"/>
              <w:bottom w:val="single" w:sz="4" w:space="0" w:color="auto"/>
              <w:right w:val="single" w:sz="4" w:space="0" w:color="auto"/>
            </w:tcBorders>
            <w:shd w:val="clear" w:color="000000" w:fill="FFFFFF"/>
            <w:vAlign w:val="center"/>
            <w:hideMark/>
          </w:tcPr>
          <w:p w14:paraId="5CF04C8B"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120,359</w:t>
            </w:r>
          </w:p>
        </w:tc>
        <w:tc>
          <w:tcPr>
            <w:tcW w:w="1360" w:type="dxa"/>
            <w:tcBorders>
              <w:top w:val="nil"/>
              <w:left w:val="nil"/>
              <w:bottom w:val="single" w:sz="4" w:space="0" w:color="auto"/>
              <w:right w:val="single" w:sz="4" w:space="0" w:color="auto"/>
            </w:tcBorders>
            <w:shd w:val="clear" w:color="000000" w:fill="FFFFFF"/>
            <w:vAlign w:val="center"/>
            <w:hideMark/>
          </w:tcPr>
          <w:p w14:paraId="09B55E92"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510,348</w:t>
            </w:r>
          </w:p>
        </w:tc>
        <w:tc>
          <w:tcPr>
            <w:tcW w:w="1198" w:type="dxa"/>
            <w:tcBorders>
              <w:top w:val="nil"/>
              <w:left w:val="nil"/>
              <w:bottom w:val="single" w:sz="4" w:space="0" w:color="auto"/>
              <w:right w:val="single" w:sz="4" w:space="0" w:color="auto"/>
            </w:tcBorders>
            <w:shd w:val="clear" w:color="000000" w:fill="FFFFFF"/>
            <w:vAlign w:val="center"/>
            <w:hideMark/>
          </w:tcPr>
          <w:p w14:paraId="0DF9B400"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0.2359</w:t>
            </w:r>
          </w:p>
        </w:tc>
        <w:tc>
          <w:tcPr>
            <w:tcW w:w="1433" w:type="dxa"/>
            <w:tcBorders>
              <w:top w:val="nil"/>
              <w:left w:val="nil"/>
              <w:bottom w:val="single" w:sz="4" w:space="0" w:color="auto"/>
              <w:right w:val="single" w:sz="4" w:space="0" w:color="auto"/>
            </w:tcBorders>
            <w:shd w:val="clear" w:color="000000" w:fill="FFFFFF"/>
            <w:vAlign w:val="center"/>
            <w:hideMark/>
          </w:tcPr>
          <w:p w14:paraId="3F7B16E0"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330,291</w:t>
            </w:r>
          </w:p>
        </w:tc>
        <w:tc>
          <w:tcPr>
            <w:tcW w:w="1298" w:type="dxa"/>
            <w:tcBorders>
              <w:top w:val="nil"/>
              <w:left w:val="nil"/>
              <w:bottom w:val="single" w:sz="4" w:space="0" w:color="auto"/>
              <w:right w:val="single" w:sz="4" w:space="0" w:color="auto"/>
            </w:tcBorders>
            <w:shd w:val="clear" w:color="000000" w:fill="FFFFFF"/>
            <w:vAlign w:val="center"/>
            <w:hideMark/>
          </w:tcPr>
          <w:p w14:paraId="70297606"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0.6472</w:t>
            </w:r>
          </w:p>
        </w:tc>
        <w:tc>
          <w:tcPr>
            <w:tcW w:w="865" w:type="dxa"/>
            <w:tcBorders>
              <w:top w:val="nil"/>
              <w:left w:val="nil"/>
              <w:bottom w:val="single" w:sz="4" w:space="0" w:color="auto"/>
              <w:right w:val="single" w:sz="4" w:space="0" w:color="auto"/>
            </w:tcBorders>
            <w:shd w:val="clear" w:color="000000" w:fill="FFFFFF"/>
            <w:vAlign w:val="center"/>
            <w:hideMark/>
          </w:tcPr>
          <w:p w14:paraId="01A1BE8B"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23,253</w:t>
            </w:r>
          </w:p>
        </w:tc>
        <w:tc>
          <w:tcPr>
            <w:tcW w:w="1257" w:type="dxa"/>
            <w:tcBorders>
              <w:top w:val="nil"/>
              <w:left w:val="nil"/>
              <w:bottom w:val="single" w:sz="4" w:space="0" w:color="auto"/>
              <w:right w:val="single" w:sz="4" w:space="0" w:color="auto"/>
            </w:tcBorders>
            <w:shd w:val="clear" w:color="000000" w:fill="FFFFFF"/>
            <w:vAlign w:val="center"/>
            <w:hideMark/>
          </w:tcPr>
          <w:p w14:paraId="35177F70"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0.0456</w:t>
            </w:r>
          </w:p>
        </w:tc>
        <w:tc>
          <w:tcPr>
            <w:tcW w:w="1005" w:type="dxa"/>
            <w:tcBorders>
              <w:top w:val="nil"/>
              <w:left w:val="nil"/>
              <w:bottom w:val="single" w:sz="4" w:space="0" w:color="auto"/>
              <w:right w:val="single" w:sz="4" w:space="0" w:color="auto"/>
            </w:tcBorders>
            <w:shd w:val="clear" w:color="000000" w:fill="FFFFFF"/>
            <w:vAlign w:val="center"/>
            <w:hideMark/>
          </w:tcPr>
          <w:p w14:paraId="6180B438"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275,949</w:t>
            </w:r>
          </w:p>
        </w:tc>
        <w:tc>
          <w:tcPr>
            <w:tcW w:w="1234" w:type="dxa"/>
            <w:tcBorders>
              <w:top w:val="nil"/>
              <w:left w:val="nil"/>
              <w:bottom w:val="single" w:sz="4" w:space="0" w:color="auto"/>
              <w:right w:val="single" w:sz="4" w:space="0" w:color="auto"/>
            </w:tcBorders>
            <w:shd w:val="clear" w:color="000000" w:fill="FFFFFF"/>
            <w:vAlign w:val="center"/>
            <w:hideMark/>
          </w:tcPr>
          <w:p w14:paraId="218EA718"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234,399</w:t>
            </w:r>
          </w:p>
        </w:tc>
        <w:tc>
          <w:tcPr>
            <w:tcW w:w="1198" w:type="dxa"/>
            <w:tcBorders>
              <w:top w:val="nil"/>
              <w:left w:val="nil"/>
              <w:bottom w:val="single" w:sz="4" w:space="0" w:color="auto"/>
              <w:right w:val="single" w:sz="4" w:space="0" w:color="auto"/>
            </w:tcBorders>
            <w:shd w:val="clear" w:color="000000" w:fill="FFFFFF"/>
            <w:vAlign w:val="center"/>
            <w:hideMark/>
          </w:tcPr>
          <w:p w14:paraId="78ACFE4F"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1.1773</w:t>
            </w:r>
          </w:p>
        </w:tc>
        <w:tc>
          <w:tcPr>
            <w:tcW w:w="976" w:type="dxa"/>
            <w:tcBorders>
              <w:top w:val="nil"/>
              <w:left w:val="nil"/>
              <w:bottom w:val="single" w:sz="4" w:space="0" w:color="auto"/>
              <w:right w:val="single" w:sz="4" w:space="0" w:color="auto"/>
            </w:tcBorders>
            <w:shd w:val="clear" w:color="000000" w:fill="FFFFFF"/>
            <w:vAlign w:val="center"/>
            <w:hideMark/>
          </w:tcPr>
          <w:p w14:paraId="1FA51E8D"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601,602</w:t>
            </w:r>
          </w:p>
        </w:tc>
        <w:tc>
          <w:tcPr>
            <w:tcW w:w="1294" w:type="dxa"/>
            <w:tcBorders>
              <w:top w:val="nil"/>
              <w:left w:val="nil"/>
              <w:bottom w:val="single" w:sz="4" w:space="0" w:color="auto"/>
              <w:right w:val="single" w:sz="4" w:space="0" w:color="auto"/>
            </w:tcBorders>
            <w:shd w:val="clear" w:color="000000" w:fill="FFFFFF"/>
            <w:vAlign w:val="center"/>
            <w:hideMark/>
          </w:tcPr>
          <w:p w14:paraId="1C91D8D2"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1.1788</w:t>
            </w:r>
          </w:p>
        </w:tc>
      </w:tr>
      <w:tr w:rsidR="00662AC8" w:rsidRPr="009225E6" w14:paraId="582B8580" w14:textId="77777777" w:rsidTr="00FE005A">
        <w:trPr>
          <w:trHeight w:val="340"/>
        </w:trPr>
        <w:tc>
          <w:tcPr>
            <w:tcW w:w="691" w:type="dxa"/>
            <w:tcBorders>
              <w:top w:val="nil"/>
              <w:left w:val="single" w:sz="4" w:space="0" w:color="auto"/>
              <w:bottom w:val="single" w:sz="4" w:space="0" w:color="auto"/>
              <w:right w:val="single" w:sz="4" w:space="0" w:color="auto"/>
            </w:tcBorders>
            <w:shd w:val="clear" w:color="000000" w:fill="FFFFFF"/>
            <w:vAlign w:val="center"/>
            <w:hideMark/>
          </w:tcPr>
          <w:p w14:paraId="50359276"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2022</w:t>
            </w:r>
          </w:p>
        </w:tc>
        <w:tc>
          <w:tcPr>
            <w:tcW w:w="1319" w:type="dxa"/>
            <w:tcBorders>
              <w:top w:val="nil"/>
              <w:left w:val="nil"/>
              <w:bottom w:val="single" w:sz="4" w:space="0" w:color="auto"/>
              <w:right w:val="single" w:sz="4" w:space="0" w:color="auto"/>
            </w:tcBorders>
            <w:shd w:val="clear" w:color="000000" w:fill="FFFFFF"/>
            <w:vAlign w:val="center"/>
            <w:hideMark/>
          </w:tcPr>
          <w:p w14:paraId="3240AA9C"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121,567</w:t>
            </w:r>
          </w:p>
        </w:tc>
        <w:tc>
          <w:tcPr>
            <w:tcW w:w="1360" w:type="dxa"/>
            <w:tcBorders>
              <w:top w:val="nil"/>
              <w:left w:val="nil"/>
              <w:bottom w:val="single" w:sz="4" w:space="0" w:color="auto"/>
              <w:right w:val="single" w:sz="4" w:space="0" w:color="auto"/>
            </w:tcBorders>
            <w:shd w:val="clear" w:color="000000" w:fill="FFFFFF"/>
            <w:vAlign w:val="center"/>
            <w:hideMark/>
          </w:tcPr>
          <w:p w14:paraId="75DDF22B"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504,163</w:t>
            </w:r>
          </w:p>
        </w:tc>
        <w:tc>
          <w:tcPr>
            <w:tcW w:w="1198" w:type="dxa"/>
            <w:tcBorders>
              <w:top w:val="nil"/>
              <w:left w:val="nil"/>
              <w:bottom w:val="single" w:sz="4" w:space="0" w:color="auto"/>
              <w:right w:val="single" w:sz="4" w:space="0" w:color="auto"/>
            </w:tcBorders>
            <w:shd w:val="clear" w:color="000000" w:fill="FFFFFF"/>
            <w:vAlign w:val="center"/>
            <w:hideMark/>
          </w:tcPr>
          <w:p w14:paraId="5EA0511B"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0.2411</w:t>
            </w:r>
          </w:p>
        </w:tc>
        <w:tc>
          <w:tcPr>
            <w:tcW w:w="1433" w:type="dxa"/>
            <w:tcBorders>
              <w:top w:val="nil"/>
              <w:left w:val="nil"/>
              <w:bottom w:val="single" w:sz="4" w:space="0" w:color="auto"/>
              <w:right w:val="single" w:sz="4" w:space="0" w:color="auto"/>
            </w:tcBorders>
            <w:shd w:val="clear" w:color="000000" w:fill="FFFFFF"/>
            <w:vAlign w:val="center"/>
            <w:hideMark/>
          </w:tcPr>
          <w:p w14:paraId="475471D1"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330,698</w:t>
            </w:r>
          </w:p>
        </w:tc>
        <w:tc>
          <w:tcPr>
            <w:tcW w:w="1298" w:type="dxa"/>
            <w:tcBorders>
              <w:top w:val="nil"/>
              <w:left w:val="nil"/>
              <w:bottom w:val="single" w:sz="4" w:space="0" w:color="auto"/>
              <w:right w:val="single" w:sz="4" w:space="0" w:color="auto"/>
            </w:tcBorders>
            <w:shd w:val="clear" w:color="000000" w:fill="FFFFFF"/>
            <w:vAlign w:val="center"/>
            <w:hideMark/>
          </w:tcPr>
          <w:p w14:paraId="0D9F462E"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0.6559</w:t>
            </w:r>
          </w:p>
        </w:tc>
        <w:tc>
          <w:tcPr>
            <w:tcW w:w="865" w:type="dxa"/>
            <w:tcBorders>
              <w:top w:val="nil"/>
              <w:left w:val="nil"/>
              <w:bottom w:val="single" w:sz="4" w:space="0" w:color="auto"/>
              <w:right w:val="single" w:sz="4" w:space="0" w:color="auto"/>
            </w:tcBorders>
            <w:shd w:val="clear" w:color="000000" w:fill="FFFFFF"/>
            <w:vAlign w:val="center"/>
            <w:hideMark/>
          </w:tcPr>
          <w:p w14:paraId="325411BA"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14,548</w:t>
            </w:r>
          </w:p>
        </w:tc>
        <w:tc>
          <w:tcPr>
            <w:tcW w:w="1257" w:type="dxa"/>
            <w:tcBorders>
              <w:top w:val="nil"/>
              <w:left w:val="nil"/>
              <w:bottom w:val="single" w:sz="4" w:space="0" w:color="auto"/>
              <w:right w:val="single" w:sz="4" w:space="0" w:color="auto"/>
            </w:tcBorders>
            <w:shd w:val="clear" w:color="000000" w:fill="FFFFFF"/>
            <w:vAlign w:val="center"/>
            <w:hideMark/>
          </w:tcPr>
          <w:p w14:paraId="5E38DD31"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0.0289</w:t>
            </w:r>
          </w:p>
        </w:tc>
        <w:tc>
          <w:tcPr>
            <w:tcW w:w="1005" w:type="dxa"/>
            <w:tcBorders>
              <w:top w:val="nil"/>
              <w:left w:val="nil"/>
              <w:bottom w:val="single" w:sz="4" w:space="0" w:color="auto"/>
              <w:right w:val="single" w:sz="4" w:space="0" w:color="auto"/>
            </w:tcBorders>
            <w:shd w:val="clear" w:color="000000" w:fill="FFFFFF"/>
            <w:vAlign w:val="center"/>
            <w:hideMark/>
          </w:tcPr>
          <w:p w14:paraId="468A8BB9"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268,406</w:t>
            </w:r>
          </w:p>
        </w:tc>
        <w:tc>
          <w:tcPr>
            <w:tcW w:w="1234" w:type="dxa"/>
            <w:tcBorders>
              <w:top w:val="nil"/>
              <w:left w:val="nil"/>
              <w:bottom w:val="single" w:sz="4" w:space="0" w:color="auto"/>
              <w:right w:val="single" w:sz="4" w:space="0" w:color="auto"/>
            </w:tcBorders>
            <w:shd w:val="clear" w:color="000000" w:fill="FFFFFF"/>
            <w:vAlign w:val="center"/>
            <w:hideMark/>
          </w:tcPr>
          <w:p w14:paraId="4C1F19C3"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235,757</w:t>
            </w:r>
          </w:p>
        </w:tc>
        <w:tc>
          <w:tcPr>
            <w:tcW w:w="1198" w:type="dxa"/>
            <w:tcBorders>
              <w:top w:val="nil"/>
              <w:left w:val="nil"/>
              <w:bottom w:val="single" w:sz="4" w:space="0" w:color="auto"/>
              <w:right w:val="single" w:sz="4" w:space="0" w:color="auto"/>
            </w:tcBorders>
            <w:shd w:val="clear" w:color="000000" w:fill="FFFFFF"/>
            <w:vAlign w:val="center"/>
            <w:hideMark/>
          </w:tcPr>
          <w:p w14:paraId="602C3AB6"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1.1385</w:t>
            </w:r>
          </w:p>
        </w:tc>
        <w:tc>
          <w:tcPr>
            <w:tcW w:w="976" w:type="dxa"/>
            <w:tcBorders>
              <w:top w:val="nil"/>
              <w:left w:val="nil"/>
              <w:bottom w:val="single" w:sz="4" w:space="0" w:color="auto"/>
              <w:right w:val="single" w:sz="4" w:space="0" w:color="auto"/>
            </w:tcBorders>
            <w:shd w:val="clear" w:color="000000" w:fill="FFFFFF"/>
            <w:vAlign w:val="center"/>
            <w:hideMark/>
          </w:tcPr>
          <w:p w14:paraId="1BD52F09"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542,751</w:t>
            </w:r>
          </w:p>
        </w:tc>
        <w:tc>
          <w:tcPr>
            <w:tcW w:w="1294" w:type="dxa"/>
            <w:tcBorders>
              <w:top w:val="nil"/>
              <w:left w:val="nil"/>
              <w:bottom w:val="single" w:sz="4" w:space="0" w:color="auto"/>
              <w:right w:val="single" w:sz="4" w:space="0" w:color="auto"/>
            </w:tcBorders>
            <w:shd w:val="clear" w:color="000000" w:fill="FFFFFF"/>
            <w:vAlign w:val="center"/>
            <w:hideMark/>
          </w:tcPr>
          <w:p w14:paraId="5C7A3AB8"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1.0765</w:t>
            </w:r>
          </w:p>
        </w:tc>
      </w:tr>
      <w:tr w:rsidR="00662AC8" w:rsidRPr="009225E6" w14:paraId="36544C9D" w14:textId="77777777" w:rsidTr="00FE005A">
        <w:trPr>
          <w:trHeight w:val="340"/>
        </w:trPr>
        <w:tc>
          <w:tcPr>
            <w:tcW w:w="691" w:type="dxa"/>
            <w:tcBorders>
              <w:top w:val="nil"/>
              <w:left w:val="single" w:sz="4" w:space="0" w:color="auto"/>
              <w:bottom w:val="single" w:sz="4" w:space="0" w:color="auto"/>
              <w:right w:val="single" w:sz="4" w:space="0" w:color="auto"/>
            </w:tcBorders>
            <w:shd w:val="clear" w:color="000000" w:fill="FFFFFF"/>
            <w:vAlign w:val="center"/>
            <w:hideMark/>
          </w:tcPr>
          <w:p w14:paraId="18AD657B"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2023</w:t>
            </w:r>
          </w:p>
        </w:tc>
        <w:tc>
          <w:tcPr>
            <w:tcW w:w="1319" w:type="dxa"/>
            <w:tcBorders>
              <w:top w:val="nil"/>
              <w:left w:val="nil"/>
              <w:bottom w:val="single" w:sz="4" w:space="0" w:color="auto"/>
              <w:right w:val="single" w:sz="4" w:space="0" w:color="auto"/>
            </w:tcBorders>
            <w:shd w:val="clear" w:color="000000" w:fill="FFFFFF"/>
            <w:vAlign w:val="center"/>
            <w:hideMark/>
          </w:tcPr>
          <w:p w14:paraId="4F1ADB53"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97,703</w:t>
            </w:r>
          </w:p>
        </w:tc>
        <w:tc>
          <w:tcPr>
            <w:tcW w:w="1360" w:type="dxa"/>
            <w:tcBorders>
              <w:top w:val="nil"/>
              <w:left w:val="nil"/>
              <w:bottom w:val="single" w:sz="4" w:space="0" w:color="auto"/>
              <w:right w:val="single" w:sz="4" w:space="0" w:color="auto"/>
            </w:tcBorders>
            <w:shd w:val="clear" w:color="000000" w:fill="FFFFFF"/>
            <w:vAlign w:val="center"/>
            <w:hideMark/>
          </w:tcPr>
          <w:p w14:paraId="545CEF78"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355,872</w:t>
            </w:r>
          </w:p>
        </w:tc>
        <w:tc>
          <w:tcPr>
            <w:tcW w:w="1198" w:type="dxa"/>
            <w:tcBorders>
              <w:top w:val="nil"/>
              <w:left w:val="nil"/>
              <w:bottom w:val="single" w:sz="4" w:space="0" w:color="auto"/>
              <w:right w:val="single" w:sz="4" w:space="0" w:color="auto"/>
            </w:tcBorders>
            <w:shd w:val="clear" w:color="000000" w:fill="FFFFFF"/>
            <w:vAlign w:val="center"/>
            <w:hideMark/>
          </w:tcPr>
          <w:p w14:paraId="0C5BB327"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0.2745</w:t>
            </w:r>
          </w:p>
        </w:tc>
        <w:tc>
          <w:tcPr>
            <w:tcW w:w="1433" w:type="dxa"/>
            <w:tcBorders>
              <w:top w:val="nil"/>
              <w:left w:val="nil"/>
              <w:bottom w:val="single" w:sz="4" w:space="0" w:color="auto"/>
              <w:right w:val="single" w:sz="4" w:space="0" w:color="auto"/>
            </w:tcBorders>
            <w:shd w:val="clear" w:color="000000" w:fill="FFFFFF"/>
            <w:vAlign w:val="center"/>
            <w:hideMark/>
          </w:tcPr>
          <w:p w14:paraId="34F48981"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232,460</w:t>
            </w:r>
          </w:p>
        </w:tc>
        <w:tc>
          <w:tcPr>
            <w:tcW w:w="1298" w:type="dxa"/>
            <w:tcBorders>
              <w:top w:val="nil"/>
              <w:left w:val="nil"/>
              <w:bottom w:val="single" w:sz="4" w:space="0" w:color="auto"/>
              <w:right w:val="single" w:sz="4" w:space="0" w:color="auto"/>
            </w:tcBorders>
            <w:shd w:val="clear" w:color="000000" w:fill="FFFFFF"/>
            <w:vAlign w:val="center"/>
            <w:hideMark/>
          </w:tcPr>
          <w:p w14:paraId="244BE565"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0.6532</w:t>
            </w:r>
          </w:p>
        </w:tc>
        <w:tc>
          <w:tcPr>
            <w:tcW w:w="865" w:type="dxa"/>
            <w:tcBorders>
              <w:top w:val="nil"/>
              <w:left w:val="nil"/>
              <w:bottom w:val="single" w:sz="4" w:space="0" w:color="auto"/>
              <w:right w:val="single" w:sz="4" w:space="0" w:color="auto"/>
            </w:tcBorders>
            <w:shd w:val="clear" w:color="000000" w:fill="FFFFFF"/>
            <w:vAlign w:val="center"/>
            <w:hideMark/>
          </w:tcPr>
          <w:p w14:paraId="0EAC0AC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-85,301</w:t>
            </w:r>
          </w:p>
        </w:tc>
        <w:tc>
          <w:tcPr>
            <w:tcW w:w="1257" w:type="dxa"/>
            <w:tcBorders>
              <w:top w:val="nil"/>
              <w:left w:val="nil"/>
              <w:bottom w:val="single" w:sz="4" w:space="0" w:color="auto"/>
              <w:right w:val="single" w:sz="4" w:space="0" w:color="auto"/>
            </w:tcBorders>
            <w:shd w:val="clear" w:color="000000" w:fill="FFFFFF"/>
            <w:vAlign w:val="center"/>
            <w:hideMark/>
          </w:tcPr>
          <w:p w14:paraId="7925C815"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-0.2397</w:t>
            </w:r>
          </w:p>
        </w:tc>
        <w:tc>
          <w:tcPr>
            <w:tcW w:w="1005" w:type="dxa"/>
            <w:tcBorders>
              <w:top w:val="nil"/>
              <w:left w:val="nil"/>
              <w:bottom w:val="single" w:sz="4" w:space="0" w:color="auto"/>
              <w:right w:val="single" w:sz="4" w:space="0" w:color="auto"/>
            </w:tcBorders>
            <w:shd w:val="clear" w:color="000000" w:fill="FFFFFF"/>
            <w:vAlign w:val="center"/>
            <w:hideMark/>
          </w:tcPr>
          <w:p w14:paraId="3979C763"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178,920</w:t>
            </w:r>
          </w:p>
        </w:tc>
        <w:tc>
          <w:tcPr>
            <w:tcW w:w="1234" w:type="dxa"/>
            <w:tcBorders>
              <w:top w:val="nil"/>
              <w:left w:val="nil"/>
              <w:bottom w:val="single" w:sz="4" w:space="0" w:color="auto"/>
              <w:right w:val="single" w:sz="4" w:space="0" w:color="auto"/>
            </w:tcBorders>
            <w:shd w:val="clear" w:color="000000" w:fill="FFFFFF"/>
            <w:vAlign w:val="center"/>
            <w:hideMark/>
          </w:tcPr>
          <w:p w14:paraId="0FE30140"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176,952</w:t>
            </w:r>
          </w:p>
        </w:tc>
        <w:tc>
          <w:tcPr>
            <w:tcW w:w="1198" w:type="dxa"/>
            <w:tcBorders>
              <w:top w:val="nil"/>
              <w:left w:val="nil"/>
              <w:bottom w:val="single" w:sz="4" w:space="0" w:color="auto"/>
              <w:right w:val="single" w:sz="4" w:space="0" w:color="auto"/>
            </w:tcBorders>
            <w:shd w:val="clear" w:color="000000" w:fill="FFFFFF"/>
            <w:vAlign w:val="center"/>
            <w:hideMark/>
          </w:tcPr>
          <w:p w14:paraId="12B3B76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1.0111</w:t>
            </w:r>
          </w:p>
        </w:tc>
        <w:tc>
          <w:tcPr>
            <w:tcW w:w="976" w:type="dxa"/>
            <w:tcBorders>
              <w:top w:val="nil"/>
              <w:left w:val="nil"/>
              <w:bottom w:val="single" w:sz="4" w:space="0" w:color="auto"/>
              <w:right w:val="single" w:sz="4" w:space="0" w:color="auto"/>
            </w:tcBorders>
            <w:shd w:val="clear" w:color="000000" w:fill="FFFFFF"/>
            <w:vAlign w:val="center"/>
            <w:hideMark/>
          </w:tcPr>
          <w:p w14:paraId="138F2137"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420,457</w:t>
            </w:r>
          </w:p>
        </w:tc>
        <w:tc>
          <w:tcPr>
            <w:tcW w:w="1294" w:type="dxa"/>
            <w:tcBorders>
              <w:top w:val="nil"/>
              <w:left w:val="nil"/>
              <w:bottom w:val="single" w:sz="4" w:space="0" w:color="auto"/>
              <w:right w:val="single" w:sz="4" w:space="0" w:color="auto"/>
            </w:tcBorders>
            <w:shd w:val="clear" w:color="000000" w:fill="FFFFFF"/>
            <w:vAlign w:val="center"/>
            <w:hideMark/>
          </w:tcPr>
          <w:p w14:paraId="74FA030F"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1.1815</w:t>
            </w:r>
          </w:p>
        </w:tc>
      </w:tr>
      <w:tr w:rsidR="00662AC8" w:rsidRPr="009225E6" w14:paraId="42263041" w14:textId="77777777" w:rsidTr="00FE005A">
        <w:trPr>
          <w:trHeight w:val="356"/>
        </w:trPr>
        <w:tc>
          <w:tcPr>
            <w:tcW w:w="691" w:type="dxa"/>
            <w:tcBorders>
              <w:top w:val="nil"/>
              <w:left w:val="single" w:sz="4" w:space="0" w:color="auto"/>
              <w:bottom w:val="double" w:sz="6" w:space="0" w:color="auto"/>
              <w:right w:val="single" w:sz="4" w:space="0" w:color="auto"/>
            </w:tcBorders>
            <w:shd w:val="clear" w:color="000000" w:fill="FFFFFF"/>
            <w:vAlign w:val="center"/>
            <w:hideMark/>
          </w:tcPr>
          <w:p w14:paraId="5B0BE7BE"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2024</w:t>
            </w:r>
          </w:p>
        </w:tc>
        <w:tc>
          <w:tcPr>
            <w:tcW w:w="1319" w:type="dxa"/>
            <w:tcBorders>
              <w:top w:val="nil"/>
              <w:left w:val="nil"/>
              <w:bottom w:val="double" w:sz="6" w:space="0" w:color="auto"/>
              <w:right w:val="single" w:sz="4" w:space="0" w:color="auto"/>
            </w:tcBorders>
            <w:shd w:val="clear" w:color="000000" w:fill="FFFFFF"/>
            <w:vAlign w:val="center"/>
            <w:hideMark/>
          </w:tcPr>
          <w:p w14:paraId="72C6538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84,203</w:t>
            </w:r>
          </w:p>
        </w:tc>
        <w:tc>
          <w:tcPr>
            <w:tcW w:w="1360" w:type="dxa"/>
            <w:tcBorders>
              <w:top w:val="nil"/>
              <w:left w:val="nil"/>
              <w:bottom w:val="double" w:sz="6" w:space="0" w:color="auto"/>
              <w:right w:val="single" w:sz="4" w:space="0" w:color="auto"/>
            </w:tcBorders>
            <w:shd w:val="clear" w:color="000000" w:fill="FFFFFF"/>
            <w:vAlign w:val="center"/>
            <w:hideMark/>
          </w:tcPr>
          <w:p w14:paraId="3D7ED395"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323,354</w:t>
            </w:r>
          </w:p>
        </w:tc>
        <w:tc>
          <w:tcPr>
            <w:tcW w:w="1198" w:type="dxa"/>
            <w:tcBorders>
              <w:top w:val="nil"/>
              <w:left w:val="nil"/>
              <w:bottom w:val="double" w:sz="6" w:space="0" w:color="auto"/>
              <w:right w:val="single" w:sz="4" w:space="0" w:color="auto"/>
            </w:tcBorders>
            <w:shd w:val="clear" w:color="000000" w:fill="FFFFFF"/>
            <w:vAlign w:val="center"/>
            <w:hideMark/>
          </w:tcPr>
          <w:p w14:paraId="4587D2DF"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0.2604</w:t>
            </w:r>
          </w:p>
        </w:tc>
        <w:tc>
          <w:tcPr>
            <w:tcW w:w="1433" w:type="dxa"/>
            <w:tcBorders>
              <w:top w:val="nil"/>
              <w:left w:val="nil"/>
              <w:bottom w:val="double" w:sz="6" w:space="0" w:color="auto"/>
              <w:right w:val="single" w:sz="4" w:space="0" w:color="auto"/>
            </w:tcBorders>
            <w:shd w:val="clear" w:color="000000" w:fill="FFFFFF"/>
            <w:vAlign w:val="center"/>
            <w:hideMark/>
          </w:tcPr>
          <w:p w14:paraId="06B1836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208,431</w:t>
            </w:r>
          </w:p>
        </w:tc>
        <w:tc>
          <w:tcPr>
            <w:tcW w:w="1298" w:type="dxa"/>
            <w:tcBorders>
              <w:top w:val="nil"/>
              <w:left w:val="nil"/>
              <w:bottom w:val="double" w:sz="6" w:space="0" w:color="auto"/>
              <w:right w:val="single" w:sz="4" w:space="0" w:color="auto"/>
            </w:tcBorders>
            <w:shd w:val="clear" w:color="000000" w:fill="FFFFFF"/>
            <w:vAlign w:val="center"/>
            <w:hideMark/>
          </w:tcPr>
          <w:p w14:paraId="630A46A7"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0.6446</w:t>
            </w:r>
          </w:p>
        </w:tc>
        <w:tc>
          <w:tcPr>
            <w:tcW w:w="865" w:type="dxa"/>
            <w:tcBorders>
              <w:top w:val="nil"/>
              <w:left w:val="nil"/>
              <w:bottom w:val="double" w:sz="6" w:space="0" w:color="auto"/>
              <w:right w:val="single" w:sz="4" w:space="0" w:color="auto"/>
            </w:tcBorders>
            <w:shd w:val="clear" w:color="000000" w:fill="FFFFFF"/>
            <w:vAlign w:val="center"/>
            <w:hideMark/>
          </w:tcPr>
          <w:p w14:paraId="1C455EC5"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-15,297</w:t>
            </w:r>
          </w:p>
        </w:tc>
        <w:tc>
          <w:tcPr>
            <w:tcW w:w="1257" w:type="dxa"/>
            <w:tcBorders>
              <w:top w:val="nil"/>
              <w:left w:val="nil"/>
              <w:bottom w:val="double" w:sz="6" w:space="0" w:color="auto"/>
              <w:right w:val="single" w:sz="4" w:space="0" w:color="auto"/>
            </w:tcBorders>
            <w:shd w:val="clear" w:color="000000" w:fill="FFFFFF"/>
            <w:vAlign w:val="center"/>
            <w:hideMark/>
          </w:tcPr>
          <w:p w14:paraId="2C5166D6"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-0.0473</w:t>
            </w:r>
          </w:p>
        </w:tc>
        <w:tc>
          <w:tcPr>
            <w:tcW w:w="1005" w:type="dxa"/>
            <w:tcBorders>
              <w:top w:val="nil"/>
              <w:left w:val="nil"/>
              <w:bottom w:val="double" w:sz="6" w:space="0" w:color="auto"/>
              <w:right w:val="single" w:sz="4" w:space="0" w:color="auto"/>
            </w:tcBorders>
            <w:shd w:val="clear" w:color="000000" w:fill="FFFFFF"/>
            <w:vAlign w:val="center"/>
            <w:hideMark/>
          </w:tcPr>
          <w:p w14:paraId="49E2ED38"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153,105</w:t>
            </w:r>
          </w:p>
        </w:tc>
        <w:tc>
          <w:tcPr>
            <w:tcW w:w="1234" w:type="dxa"/>
            <w:tcBorders>
              <w:top w:val="nil"/>
              <w:left w:val="nil"/>
              <w:bottom w:val="double" w:sz="6" w:space="0" w:color="auto"/>
              <w:right w:val="single" w:sz="4" w:space="0" w:color="auto"/>
            </w:tcBorders>
            <w:shd w:val="clear" w:color="000000" w:fill="FFFFFF"/>
            <w:vAlign w:val="center"/>
            <w:hideMark/>
          </w:tcPr>
          <w:p w14:paraId="21B35024"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170,249</w:t>
            </w:r>
          </w:p>
        </w:tc>
        <w:tc>
          <w:tcPr>
            <w:tcW w:w="1198" w:type="dxa"/>
            <w:tcBorders>
              <w:top w:val="nil"/>
              <w:left w:val="nil"/>
              <w:bottom w:val="double" w:sz="6" w:space="0" w:color="auto"/>
              <w:right w:val="single" w:sz="4" w:space="0" w:color="auto"/>
            </w:tcBorders>
            <w:shd w:val="clear" w:color="000000" w:fill="FFFFFF"/>
            <w:vAlign w:val="center"/>
            <w:hideMark/>
          </w:tcPr>
          <w:p w14:paraId="771643E6"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0.8993</w:t>
            </w:r>
          </w:p>
        </w:tc>
        <w:tc>
          <w:tcPr>
            <w:tcW w:w="976" w:type="dxa"/>
            <w:tcBorders>
              <w:top w:val="nil"/>
              <w:left w:val="nil"/>
              <w:bottom w:val="double" w:sz="6" w:space="0" w:color="auto"/>
              <w:right w:val="single" w:sz="4" w:space="0" w:color="auto"/>
            </w:tcBorders>
            <w:shd w:val="clear" w:color="000000" w:fill="FFFFFF"/>
            <w:vAlign w:val="center"/>
            <w:hideMark/>
          </w:tcPr>
          <w:p w14:paraId="2C37D20E" w14:textId="77777777" w:rsidR="00662AC8" w:rsidRPr="009225E6" w:rsidRDefault="00662AC8" w:rsidP="0095002B">
            <w:pPr>
              <w:spacing w:after="0" w:line="240" w:lineRule="auto"/>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394,879</w:t>
            </w:r>
          </w:p>
        </w:tc>
        <w:tc>
          <w:tcPr>
            <w:tcW w:w="1294" w:type="dxa"/>
            <w:tcBorders>
              <w:top w:val="nil"/>
              <w:left w:val="nil"/>
              <w:bottom w:val="double" w:sz="6" w:space="0" w:color="auto"/>
              <w:right w:val="single" w:sz="4" w:space="0" w:color="auto"/>
            </w:tcBorders>
            <w:shd w:val="clear" w:color="000000" w:fill="FFFFFF"/>
            <w:vAlign w:val="center"/>
            <w:hideMark/>
          </w:tcPr>
          <w:p w14:paraId="74823488" w14:textId="77777777" w:rsidR="00662AC8" w:rsidRPr="009225E6" w:rsidRDefault="00662AC8" w:rsidP="0095002B">
            <w:pPr>
              <w:spacing w:after="0" w:line="240" w:lineRule="auto"/>
              <w:ind w:firstLineChars="100" w:firstLine="220"/>
              <w:rPr>
                <w:rFonts w:ascii="Times New Roman" w:eastAsia="Times New Roman" w:hAnsi="Times New Roman" w:cs="Times New Roman"/>
                <w:color w:val="0F1115"/>
                <w:lang w:val="en-US"/>
              </w:rPr>
            </w:pPr>
            <w:r w:rsidRPr="009225E6">
              <w:rPr>
                <w:rFonts w:ascii="Times New Roman" w:eastAsia="Times New Roman" w:hAnsi="Times New Roman" w:cs="Times New Roman"/>
                <w:color w:val="0F1115"/>
                <w:lang w:val="en-US"/>
              </w:rPr>
              <w:t>1.2212</w:t>
            </w:r>
          </w:p>
        </w:tc>
      </w:tr>
    </w:tbl>
    <w:p w14:paraId="4E16085A" w14:textId="77777777" w:rsidR="00662AC8" w:rsidRPr="009225E6" w:rsidRDefault="00662AC8" w:rsidP="001F675A">
      <w:pPr>
        <w:pStyle w:val="NormalWeb"/>
        <w:spacing w:before="0" w:beforeAutospacing="0" w:line="360" w:lineRule="auto"/>
        <w:rPr>
          <w:color w:val="404040"/>
        </w:rPr>
      </w:pPr>
    </w:p>
    <w:tbl>
      <w:tblPr>
        <w:tblW w:w="11120" w:type="dxa"/>
        <w:tblInd w:w="93" w:type="dxa"/>
        <w:tblLook w:val="04A0" w:firstRow="1" w:lastRow="0" w:firstColumn="1" w:lastColumn="0" w:noHBand="0" w:noVBand="1"/>
      </w:tblPr>
      <w:tblGrid>
        <w:gridCol w:w="696"/>
        <w:gridCol w:w="7587"/>
        <w:gridCol w:w="1658"/>
        <w:gridCol w:w="1179"/>
      </w:tblGrid>
      <w:tr w:rsidR="00CE7101" w:rsidRPr="009225E6" w14:paraId="3EDD2E46" w14:textId="77777777" w:rsidTr="00CE7101">
        <w:trPr>
          <w:trHeight w:val="315"/>
        </w:trPr>
        <w:tc>
          <w:tcPr>
            <w:tcW w:w="680" w:type="dxa"/>
            <w:tcBorders>
              <w:top w:val="single" w:sz="4" w:space="0" w:color="auto"/>
              <w:left w:val="single" w:sz="4" w:space="0" w:color="auto"/>
              <w:bottom w:val="double" w:sz="6" w:space="0" w:color="auto"/>
              <w:right w:val="single" w:sz="4" w:space="0" w:color="auto"/>
            </w:tcBorders>
            <w:shd w:val="clear" w:color="000000" w:fill="948A54"/>
            <w:vAlign w:val="center"/>
            <w:hideMark/>
          </w:tcPr>
          <w:p w14:paraId="3E4B3D43" w14:textId="77777777" w:rsidR="00CE7101" w:rsidRPr="009225E6" w:rsidRDefault="00CE7101" w:rsidP="00CE7101">
            <w:pPr>
              <w:spacing w:after="0" w:line="240" w:lineRule="auto"/>
              <w:jc w:val="both"/>
              <w:rPr>
                <w:rFonts w:ascii="Times New Roman" w:eastAsia="Times New Roman" w:hAnsi="Times New Roman" w:cs="Times New Roman"/>
                <w:color w:val="FFFFFF"/>
                <w:sz w:val="24"/>
                <w:szCs w:val="24"/>
                <w:lang w:val="en-US"/>
              </w:rPr>
            </w:pPr>
            <w:r w:rsidRPr="009225E6">
              <w:rPr>
                <w:rFonts w:ascii="Times New Roman" w:eastAsia="Times New Roman" w:hAnsi="Times New Roman" w:cs="Times New Roman"/>
                <w:color w:val="FFFFFF"/>
                <w:sz w:val="24"/>
                <w:szCs w:val="24"/>
                <w:lang w:val="en-US"/>
              </w:rPr>
              <w:t>Year</w:t>
            </w:r>
          </w:p>
        </w:tc>
        <w:tc>
          <w:tcPr>
            <w:tcW w:w="7600" w:type="dxa"/>
            <w:tcBorders>
              <w:top w:val="single" w:sz="4" w:space="0" w:color="auto"/>
              <w:left w:val="nil"/>
              <w:bottom w:val="double" w:sz="6" w:space="0" w:color="auto"/>
              <w:right w:val="single" w:sz="4" w:space="0" w:color="auto"/>
            </w:tcBorders>
            <w:shd w:val="clear" w:color="000000" w:fill="948A54"/>
            <w:vAlign w:val="center"/>
            <w:hideMark/>
          </w:tcPr>
          <w:p w14:paraId="677A01A3" w14:textId="77777777" w:rsidR="00CE7101" w:rsidRPr="009225E6" w:rsidRDefault="00CE7101" w:rsidP="00CE7101">
            <w:pPr>
              <w:spacing w:after="0" w:line="240" w:lineRule="auto"/>
              <w:jc w:val="both"/>
              <w:rPr>
                <w:rFonts w:ascii="Times New Roman" w:eastAsia="Times New Roman" w:hAnsi="Times New Roman" w:cs="Times New Roman"/>
                <w:color w:val="FFFFFF"/>
                <w:sz w:val="24"/>
                <w:szCs w:val="24"/>
                <w:lang w:val="en-US"/>
              </w:rPr>
            </w:pPr>
            <w:r w:rsidRPr="009225E6">
              <w:rPr>
                <w:rFonts w:ascii="Times New Roman" w:eastAsia="Times New Roman" w:hAnsi="Times New Roman" w:cs="Times New Roman"/>
                <w:color w:val="FFFFFF"/>
                <w:sz w:val="24"/>
                <w:szCs w:val="24"/>
                <w:lang w:val="en-US"/>
              </w:rPr>
              <w:t>Z-Score Calculation</w:t>
            </w:r>
          </w:p>
        </w:tc>
        <w:tc>
          <w:tcPr>
            <w:tcW w:w="1660" w:type="dxa"/>
            <w:tcBorders>
              <w:top w:val="single" w:sz="4" w:space="0" w:color="auto"/>
              <w:left w:val="nil"/>
              <w:bottom w:val="double" w:sz="6" w:space="0" w:color="auto"/>
              <w:right w:val="single" w:sz="4" w:space="0" w:color="auto"/>
            </w:tcBorders>
            <w:shd w:val="clear" w:color="000000" w:fill="948A54"/>
            <w:vAlign w:val="center"/>
            <w:hideMark/>
          </w:tcPr>
          <w:p w14:paraId="4E9DC34C" w14:textId="77777777" w:rsidR="00CE7101" w:rsidRPr="009225E6" w:rsidRDefault="00CE7101" w:rsidP="00CE7101">
            <w:pPr>
              <w:spacing w:after="0" w:line="240" w:lineRule="auto"/>
              <w:jc w:val="both"/>
              <w:rPr>
                <w:rFonts w:ascii="Times New Roman" w:eastAsia="Times New Roman" w:hAnsi="Times New Roman" w:cs="Times New Roman"/>
                <w:color w:val="FFFFFF"/>
                <w:sz w:val="24"/>
                <w:szCs w:val="24"/>
                <w:lang w:val="en-US"/>
              </w:rPr>
            </w:pPr>
            <w:r w:rsidRPr="009225E6">
              <w:rPr>
                <w:rFonts w:ascii="Times New Roman" w:eastAsia="Times New Roman" w:hAnsi="Times New Roman" w:cs="Times New Roman"/>
                <w:color w:val="FFFFFF"/>
                <w:sz w:val="24"/>
                <w:szCs w:val="24"/>
                <w:lang w:val="en-US"/>
              </w:rPr>
              <w:t>Z-Score Value</w:t>
            </w:r>
          </w:p>
        </w:tc>
        <w:tc>
          <w:tcPr>
            <w:tcW w:w="1180" w:type="dxa"/>
            <w:tcBorders>
              <w:top w:val="single" w:sz="4" w:space="0" w:color="auto"/>
              <w:left w:val="nil"/>
              <w:bottom w:val="double" w:sz="6" w:space="0" w:color="auto"/>
              <w:right w:val="single" w:sz="4" w:space="0" w:color="auto"/>
            </w:tcBorders>
            <w:shd w:val="clear" w:color="000000" w:fill="948A54"/>
            <w:vAlign w:val="center"/>
            <w:hideMark/>
          </w:tcPr>
          <w:p w14:paraId="155A28D5" w14:textId="77777777" w:rsidR="00CE7101" w:rsidRPr="009225E6" w:rsidRDefault="00CE7101" w:rsidP="00CE7101">
            <w:pPr>
              <w:spacing w:after="0" w:line="240" w:lineRule="auto"/>
              <w:jc w:val="both"/>
              <w:rPr>
                <w:rFonts w:ascii="Times New Roman" w:eastAsia="Times New Roman" w:hAnsi="Times New Roman" w:cs="Times New Roman"/>
                <w:color w:val="FFFFFF"/>
                <w:sz w:val="24"/>
                <w:szCs w:val="24"/>
                <w:lang w:val="en-US"/>
              </w:rPr>
            </w:pPr>
            <w:r w:rsidRPr="009225E6">
              <w:rPr>
                <w:rFonts w:ascii="Times New Roman" w:eastAsia="Times New Roman" w:hAnsi="Times New Roman" w:cs="Times New Roman"/>
                <w:color w:val="FFFFFF"/>
                <w:sz w:val="24"/>
                <w:szCs w:val="24"/>
                <w:lang w:val="en-US"/>
              </w:rPr>
              <w:t>Risk Zone</w:t>
            </w:r>
          </w:p>
        </w:tc>
      </w:tr>
      <w:tr w:rsidR="00CE7101" w:rsidRPr="009225E6" w14:paraId="7C07A17C" w14:textId="77777777" w:rsidTr="00CE7101">
        <w:trPr>
          <w:trHeight w:val="315"/>
        </w:trPr>
        <w:tc>
          <w:tcPr>
            <w:tcW w:w="680" w:type="dxa"/>
            <w:tcBorders>
              <w:top w:val="nil"/>
              <w:left w:val="single" w:sz="4" w:space="0" w:color="auto"/>
              <w:bottom w:val="single" w:sz="4" w:space="0" w:color="auto"/>
              <w:right w:val="single" w:sz="4" w:space="0" w:color="auto"/>
            </w:tcBorders>
            <w:vAlign w:val="center"/>
            <w:hideMark/>
          </w:tcPr>
          <w:p w14:paraId="4645046D"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2020</w:t>
            </w:r>
          </w:p>
        </w:tc>
        <w:tc>
          <w:tcPr>
            <w:tcW w:w="7600" w:type="dxa"/>
            <w:tcBorders>
              <w:top w:val="nil"/>
              <w:left w:val="nil"/>
              <w:bottom w:val="single" w:sz="4" w:space="0" w:color="auto"/>
              <w:right w:val="single" w:sz="4" w:space="0" w:color="auto"/>
            </w:tcBorders>
            <w:vAlign w:val="center"/>
            <w:hideMark/>
          </w:tcPr>
          <w:p w14:paraId="60C7B0FF"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1.2×0.2887 + 1.4×0.6369 + 3.3×0.0730 + 0.6×1.5904 + 1.0×1.2046</w:t>
            </w:r>
          </w:p>
        </w:tc>
        <w:tc>
          <w:tcPr>
            <w:tcW w:w="1660" w:type="dxa"/>
            <w:tcBorders>
              <w:top w:val="nil"/>
              <w:left w:val="nil"/>
              <w:bottom w:val="single" w:sz="4" w:space="0" w:color="auto"/>
              <w:right w:val="single" w:sz="4" w:space="0" w:color="auto"/>
            </w:tcBorders>
            <w:vAlign w:val="center"/>
            <w:hideMark/>
          </w:tcPr>
          <w:p w14:paraId="67DE19F3"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3.64</w:t>
            </w:r>
          </w:p>
        </w:tc>
        <w:tc>
          <w:tcPr>
            <w:tcW w:w="1180" w:type="dxa"/>
            <w:tcBorders>
              <w:top w:val="nil"/>
              <w:left w:val="nil"/>
              <w:bottom w:val="single" w:sz="4" w:space="0" w:color="auto"/>
              <w:right w:val="single" w:sz="4" w:space="0" w:color="auto"/>
            </w:tcBorders>
            <w:vAlign w:val="center"/>
            <w:hideMark/>
          </w:tcPr>
          <w:p w14:paraId="4E966E05"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Safe</w:t>
            </w:r>
          </w:p>
        </w:tc>
      </w:tr>
      <w:tr w:rsidR="00CE7101" w:rsidRPr="009225E6" w14:paraId="591D8745" w14:textId="77777777" w:rsidTr="00CE7101">
        <w:trPr>
          <w:trHeight w:val="300"/>
        </w:trPr>
        <w:tc>
          <w:tcPr>
            <w:tcW w:w="680" w:type="dxa"/>
            <w:tcBorders>
              <w:top w:val="nil"/>
              <w:left w:val="single" w:sz="4" w:space="0" w:color="auto"/>
              <w:bottom w:val="single" w:sz="4" w:space="0" w:color="auto"/>
              <w:right w:val="single" w:sz="4" w:space="0" w:color="auto"/>
            </w:tcBorders>
            <w:vAlign w:val="center"/>
            <w:hideMark/>
          </w:tcPr>
          <w:p w14:paraId="4BCB12EC"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2021</w:t>
            </w:r>
          </w:p>
        </w:tc>
        <w:tc>
          <w:tcPr>
            <w:tcW w:w="7600" w:type="dxa"/>
            <w:tcBorders>
              <w:top w:val="nil"/>
              <w:left w:val="nil"/>
              <w:bottom w:val="single" w:sz="4" w:space="0" w:color="auto"/>
              <w:right w:val="single" w:sz="4" w:space="0" w:color="auto"/>
            </w:tcBorders>
            <w:vAlign w:val="center"/>
            <w:hideMark/>
          </w:tcPr>
          <w:p w14:paraId="48A1D1C2"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1.2×0.2359 + 1.4×0.6472 + 3.3×0.0456 + 0.6×1.1773 + 1.0×1.1788</w:t>
            </w:r>
          </w:p>
        </w:tc>
        <w:tc>
          <w:tcPr>
            <w:tcW w:w="1660" w:type="dxa"/>
            <w:tcBorders>
              <w:top w:val="nil"/>
              <w:left w:val="nil"/>
              <w:bottom w:val="single" w:sz="4" w:space="0" w:color="auto"/>
              <w:right w:val="single" w:sz="4" w:space="0" w:color="auto"/>
            </w:tcBorders>
            <w:vAlign w:val="center"/>
            <w:hideMark/>
          </w:tcPr>
          <w:p w14:paraId="02F8DA25"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3.22</w:t>
            </w:r>
          </w:p>
        </w:tc>
        <w:tc>
          <w:tcPr>
            <w:tcW w:w="1180" w:type="dxa"/>
            <w:tcBorders>
              <w:top w:val="nil"/>
              <w:left w:val="nil"/>
              <w:bottom w:val="single" w:sz="4" w:space="0" w:color="auto"/>
              <w:right w:val="single" w:sz="4" w:space="0" w:color="auto"/>
            </w:tcBorders>
            <w:vAlign w:val="center"/>
            <w:hideMark/>
          </w:tcPr>
          <w:p w14:paraId="1FD568AD"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Safe</w:t>
            </w:r>
          </w:p>
        </w:tc>
      </w:tr>
      <w:tr w:rsidR="00CE7101" w:rsidRPr="009225E6" w14:paraId="3178B490" w14:textId="77777777" w:rsidTr="00CE7101">
        <w:trPr>
          <w:trHeight w:val="300"/>
        </w:trPr>
        <w:tc>
          <w:tcPr>
            <w:tcW w:w="680" w:type="dxa"/>
            <w:tcBorders>
              <w:top w:val="nil"/>
              <w:left w:val="single" w:sz="4" w:space="0" w:color="auto"/>
              <w:bottom w:val="single" w:sz="4" w:space="0" w:color="auto"/>
              <w:right w:val="single" w:sz="4" w:space="0" w:color="auto"/>
            </w:tcBorders>
            <w:vAlign w:val="center"/>
            <w:hideMark/>
          </w:tcPr>
          <w:p w14:paraId="5CDB4B6A"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2022</w:t>
            </w:r>
          </w:p>
        </w:tc>
        <w:tc>
          <w:tcPr>
            <w:tcW w:w="7600" w:type="dxa"/>
            <w:tcBorders>
              <w:top w:val="nil"/>
              <w:left w:val="nil"/>
              <w:bottom w:val="single" w:sz="4" w:space="0" w:color="auto"/>
              <w:right w:val="single" w:sz="4" w:space="0" w:color="auto"/>
            </w:tcBorders>
            <w:vAlign w:val="center"/>
            <w:hideMark/>
          </w:tcPr>
          <w:p w14:paraId="63E90A2E"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1.2×0.2411 + 1.4×0.6559 + 3.3×0.0289 + 0.6×1.1385 + 1.0×1.0765</w:t>
            </w:r>
          </w:p>
        </w:tc>
        <w:tc>
          <w:tcPr>
            <w:tcW w:w="1660" w:type="dxa"/>
            <w:tcBorders>
              <w:top w:val="nil"/>
              <w:left w:val="nil"/>
              <w:bottom w:val="single" w:sz="4" w:space="0" w:color="auto"/>
              <w:right w:val="single" w:sz="4" w:space="0" w:color="auto"/>
            </w:tcBorders>
            <w:vAlign w:val="center"/>
            <w:hideMark/>
          </w:tcPr>
          <w:p w14:paraId="7E387D65"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3.06</w:t>
            </w:r>
          </w:p>
        </w:tc>
        <w:tc>
          <w:tcPr>
            <w:tcW w:w="1180" w:type="dxa"/>
            <w:tcBorders>
              <w:top w:val="nil"/>
              <w:left w:val="nil"/>
              <w:bottom w:val="single" w:sz="4" w:space="0" w:color="auto"/>
              <w:right w:val="single" w:sz="4" w:space="0" w:color="auto"/>
            </w:tcBorders>
            <w:vAlign w:val="center"/>
            <w:hideMark/>
          </w:tcPr>
          <w:p w14:paraId="582F811A"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Safe</w:t>
            </w:r>
          </w:p>
        </w:tc>
      </w:tr>
      <w:tr w:rsidR="00CE7101" w:rsidRPr="009225E6" w14:paraId="0F1B582B" w14:textId="77777777" w:rsidTr="00CE7101">
        <w:trPr>
          <w:trHeight w:val="300"/>
        </w:trPr>
        <w:tc>
          <w:tcPr>
            <w:tcW w:w="680" w:type="dxa"/>
            <w:tcBorders>
              <w:top w:val="nil"/>
              <w:left w:val="single" w:sz="4" w:space="0" w:color="auto"/>
              <w:bottom w:val="single" w:sz="4" w:space="0" w:color="auto"/>
              <w:right w:val="single" w:sz="4" w:space="0" w:color="auto"/>
            </w:tcBorders>
            <w:vAlign w:val="center"/>
            <w:hideMark/>
          </w:tcPr>
          <w:p w14:paraId="7EB3C449"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2023</w:t>
            </w:r>
          </w:p>
        </w:tc>
        <w:tc>
          <w:tcPr>
            <w:tcW w:w="7600" w:type="dxa"/>
            <w:tcBorders>
              <w:top w:val="nil"/>
              <w:left w:val="nil"/>
              <w:bottom w:val="single" w:sz="4" w:space="0" w:color="auto"/>
              <w:right w:val="single" w:sz="4" w:space="0" w:color="auto"/>
            </w:tcBorders>
            <w:vAlign w:val="center"/>
            <w:hideMark/>
          </w:tcPr>
          <w:p w14:paraId="517E2BC4"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1.2×0.2745 + 1.4×0.6532 + 3.3×(-0.2397) + 0.6×1.0111 + 1.0×1.1815</w:t>
            </w:r>
          </w:p>
        </w:tc>
        <w:tc>
          <w:tcPr>
            <w:tcW w:w="1660" w:type="dxa"/>
            <w:tcBorders>
              <w:top w:val="nil"/>
              <w:left w:val="nil"/>
              <w:bottom w:val="single" w:sz="4" w:space="0" w:color="auto"/>
              <w:right w:val="single" w:sz="4" w:space="0" w:color="auto"/>
            </w:tcBorders>
            <w:vAlign w:val="center"/>
            <w:hideMark/>
          </w:tcPr>
          <w:p w14:paraId="7061D2CB"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2.24</w:t>
            </w:r>
          </w:p>
        </w:tc>
        <w:tc>
          <w:tcPr>
            <w:tcW w:w="1180" w:type="dxa"/>
            <w:tcBorders>
              <w:top w:val="nil"/>
              <w:left w:val="nil"/>
              <w:bottom w:val="single" w:sz="4" w:space="0" w:color="auto"/>
              <w:right w:val="single" w:sz="4" w:space="0" w:color="auto"/>
            </w:tcBorders>
            <w:vAlign w:val="center"/>
            <w:hideMark/>
          </w:tcPr>
          <w:p w14:paraId="73E0B8B8" w14:textId="77777777" w:rsidR="00CE7101" w:rsidRPr="009225E6" w:rsidRDefault="00D745FF"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Gray</w:t>
            </w:r>
          </w:p>
        </w:tc>
      </w:tr>
      <w:tr w:rsidR="00CE7101" w:rsidRPr="009225E6" w14:paraId="0C7CB9EF" w14:textId="77777777" w:rsidTr="00CE7101">
        <w:trPr>
          <w:trHeight w:val="315"/>
        </w:trPr>
        <w:tc>
          <w:tcPr>
            <w:tcW w:w="680" w:type="dxa"/>
            <w:tcBorders>
              <w:top w:val="nil"/>
              <w:left w:val="single" w:sz="4" w:space="0" w:color="auto"/>
              <w:bottom w:val="double" w:sz="6" w:space="0" w:color="auto"/>
              <w:right w:val="single" w:sz="4" w:space="0" w:color="auto"/>
            </w:tcBorders>
            <w:vAlign w:val="center"/>
            <w:hideMark/>
          </w:tcPr>
          <w:p w14:paraId="27121DB3"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2024</w:t>
            </w:r>
          </w:p>
        </w:tc>
        <w:tc>
          <w:tcPr>
            <w:tcW w:w="7600" w:type="dxa"/>
            <w:tcBorders>
              <w:top w:val="nil"/>
              <w:left w:val="nil"/>
              <w:bottom w:val="double" w:sz="6" w:space="0" w:color="auto"/>
              <w:right w:val="single" w:sz="4" w:space="0" w:color="auto"/>
            </w:tcBorders>
            <w:vAlign w:val="center"/>
            <w:hideMark/>
          </w:tcPr>
          <w:p w14:paraId="7D0A18B7"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1.2×0.2604 + 1.4×0.6446 + 3.3×(-0.0473) + 0.6×0.8993 + 1.0×1.2212</w:t>
            </w:r>
          </w:p>
        </w:tc>
        <w:tc>
          <w:tcPr>
            <w:tcW w:w="1660" w:type="dxa"/>
            <w:tcBorders>
              <w:top w:val="nil"/>
              <w:left w:val="nil"/>
              <w:bottom w:val="double" w:sz="6" w:space="0" w:color="auto"/>
              <w:right w:val="single" w:sz="4" w:space="0" w:color="auto"/>
            </w:tcBorders>
            <w:vAlign w:val="center"/>
            <w:hideMark/>
          </w:tcPr>
          <w:p w14:paraId="076329A2"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2.82</w:t>
            </w:r>
          </w:p>
        </w:tc>
        <w:tc>
          <w:tcPr>
            <w:tcW w:w="1180" w:type="dxa"/>
            <w:tcBorders>
              <w:top w:val="nil"/>
              <w:left w:val="nil"/>
              <w:bottom w:val="double" w:sz="6" w:space="0" w:color="auto"/>
              <w:right w:val="single" w:sz="4" w:space="0" w:color="auto"/>
            </w:tcBorders>
            <w:vAlign w:val="center"/>
            <w:hideMark/>
          </w:tcPr>
          <w:p w14:paraId="0240D6CA" w14:textId="77777777" w:rsidR="00CE7101" w:rsidRPr="009225E6" w:rsidRDefault="00CE7101" w:rsidP="00CE7101">
            <w:pPr>
              <w:spacing w:after="0" w:line="240" w:lineRule="auto"/>
              <w:jc w:val="both"/>
              <w:rPr>
                <w:rFonts w:ascii="Times New Roman" w:eastAsia="Times New Roman" w:hAnsi="Times New Roman" w:cs="Times New Roman"/>
                <w:color w:val="000000"/>
                <w:sz w:val="24"/>
                <w:szCs w:val="24"/>
                <w:lang w:val="en-US"/>
              </w:rPr>
            </w:pPr>
            <w:r w:rsidRPr="009225E6">
              <w:rPr>
                <w:rFonts w:ascii="Times New Roman" w:eastAsia="Times New Roman" w:hAnsi="Times New Roman" w:cs="Times New Roman"/>
                <w:color w:val="000000"/>
                <w:sz w:val="24"/>
                <w:szCs w:val="24"/>
                <w:lang w:val="en-US"/>
              </w:rPr>
              <w:t>Gray</w:t>
            </w:r>
          </w:p>
        </w:tc>
      </w:tr>
    </w:tbl>
    <w:p w14:paraId="27F5C24C" w14:textId="77777777" w:rsidR="00CE7101" w:rsidRPr="009225E6" w:rsidRDefault="00CE7101" w:rsidP="00CE7101">
      <w:pPr>
        <w:pStyle w:val="NormalWeb"/>
        <w:spacing w:before="0" w:beforeAutospacing="0" w:line="360" w:lineRule="auto"/>
        <w:rPr>
          <w:color w:val="404040"/>
        </w:rPr>
        <w:sectPr w:rsidR="00CE7101" w:rsidRPr="009225E6" w:rsidSect="00662AC8">
          <w:pgSz w:w="16838" w:h="11906" w:orient="landscape"/>
          <w:pgMar w:top="1440" w:right="1440" w:bottom="1440" w:left="1440" w:header="708" w:footer="708" w:gutter="0"/>
          <w:pgNumType w:start="1"/>
          <w:cols w:space="708"/>
          <w:docGrid w:linePitch="360"/>
        </w:sectPr>
      </w:pPr>
    </w:p>
    <w:p w14:paraId="1A2B981F" w14:textId="77777777" w:rsidR="0045483F" w:rsidRPr="009225E6" w:rsidRDefault="0045483F" w:rsidP="00CE7101">
      <w:pPr>
        <w:pStyle w:val="NormalWeb"/>
        <w:spacing w:before="0" w:beforeAutospacing="0" w:line="360" w:lineRule="auto"/>
        <w:rPr>
          <w:color w:val="404040"/>
        </w:rPr>
      </w:pPr>
    </w:p>
    <w:p w14:paraId="1577A289" w14:textId="77777777" w:rsidR="00987360" w:rsidRPr="009225E6" w:rsidRDefault="00987360">
      <w:pPr>
        <w:rPr>
          <w:rFonts w:ascii="Times New Roman" w:hAnsi="Times New Roman" w:cs="Times New Roman"/>
          <w:color w:val="404040"/>
        </w:rPr>
        <w:sectPr w:rsidR="00987360" w:rsidRPr="009225E6" w:rsidSect="00CE7101">
          <w:type w:val="continuous"/>
          <w:pgSz w:w="16838" w:h="11906" w:orient="landscape"/>
          <w:pgMar w:top="1440" w:right="1440" w:bottom="1440" w:left="1440" w:header="708" w:footer="708" w:gutter="0"/>
          <w:pgNumType w:start="1"/>
          <w:cols w:space="708"/>
          <w:docGrid w:linePitch="360"/>
        </w:sectPr>
      </w:pPr>
      <w:r w:rsidRPr="009225E6">
        <w:rPr>
          <w:rFonts w:ascii="Times New Roman" w:hAnsi="Times New Roman" w:cs="Times New Roman"/>
          <w:color w:val="404040"/>
        </w:rPr>
        <w:br w:type="page"/>
      </w:r>
    </w:p>
    <w:p w14:paraId="29A3259E" w14:textId="77777777" w:rsidR="00987360" w:rsidRPr="009225E6" w:rsidRDefault="00987360" w:rsidP="00987360">
      <w:pPr>
        <w:pStyle w:val="Heading2"/>
        <w:rPr>
          <w:rFonts w:ascii="Times New Roman" w:hAnsi="Times New Roman" w:cs="Times New Roman"/>
        </w:rPr>
      </w:pPr>
      <w:bookmarkStart w:id="37" w:name="_Toc210237865"/>
      <w:r w:rsidRPr="009225E6">
        <w:rPr>
          <w:rFonts w:ascii="Times New Roman" w:hAnsi="Times New Roman" w:cs="Times New Roman"/>
        </w:rPr>
        <w:lastRenderedPageBreak/>
        <w:t>Appendix-III Capital Budgeting and investment appraisal’</w:t>
      </w:r>
      <w:bookmarkEnd w:id="37"/>
    </w:p>
    <w:p w14:paraId="72E6F74C" w14:textId="77777777" w:rsidR="00987360" w:rsidRPr="009225E6" w:rsidRDefault="00987360" w:rsidP="00987360">
      <w:pPr>
        <w:spacing w:line="360" w:lineRule="auto"/>
        <w:jc w:val="both"/>
        <w:rPr>
          <w:rFonts w:ascii="Times New Roman" w:hAnsi="Times New Roman" w:cs="Times New Roman"/>
          <w:color w:val="5B9BD5" w:themeColor="accent1"/>
          <w:sz w:val="24"/>
          <w:szCs w:val="24"/>
          <w:lang w:val="en-US"/>
        </w:rPr>
      </w:pPr>
      <w:r w:rsidRPr="009225E6">
        <w:rPr>
          <w:rFonts w:ascii="Times New Roman" w:hAnsi="Times New Roman" w:cs="Times New Roman"/>
          <w:color w:val="5B9BD5" w:themeColor="accent1"/>
          <w:sz w:val="24"/>
          <w:szCs w:val="24"/>
          <w:lang w:val="en-US"/>
        </w:rPr>
        <w:t>Payback Period</w:t>
      </w:r>
    </w:p>
    <w:p w14:paraId="21AA1F73" w14:textId="77777777" w:rsidR="00987360" w:rsidRPr="009225E6" w:rsidRDefault="00987360" w:rsidP="00987360">
      <w:pPr>
        <w:spacing w:line="36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Project A</w:t>
      </w:r>
    </w:p>
    <w:tbl>
      <w:tblPr>
        <w:tblW w:w="4240" w:type="dxa"/>
        <w:tblInd w:w="93" w:type="dxa"/>
        <w:tblLook w:val="04A0" w:firstRow="1" w:lastRow="0" w:firstColumn="1" w:lastColumn="0" w:noHBand="0" w:noVBand="1"/>
      </w:tblPr>
      <w:tblGrid>
        <w:gridCol w:w="960"/>
        <w:gridCol w:w="960"/>
        <w:gridCol w:w="2320"/>
      </w:tblGrid>
      <w:tr w:rsidR="00987360" w:rsidRPr="009225E6" w14:paraId="4A9A753F" w14:textId="77777777" w:rsidTr="00BD023E">
        <w:trPr>
          <w:trHeight w:val="315"/>
        </w:trPr>
        <w:tc>
          <w:tcPr>
            <w:tcW w:w="960" w:type="dxa"/>
            <w:tcBorders>
              <w:top w:val="single" w:sz="4" w:space="0" w:color="auto"/>
              <w:left w:val="single" w:sz="4" w:space="0" w:color="auto"/>
              <w:bottom w:val="double" w:sz="6" w:space="0" w:color="auto"/>
              <w:right w:val="single" w:sz="4" w:space="0" w:color="auto"/>
            </w:tcBorders>
            <w:noWrap/>
            <w:vAlign w:val="bottom"/>
            <w:hideMark/>
          </w:tcPr>
          <w:p w14:paraId="1685522D"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Year </w:t>
            </w:r>
          </w:p>
        </w:tc>
        <w:tc>
          <w:tcPr>
            <w:tcW w:w="960" w:type="dxa"/>
            <w:tcBorders>
              <w:top w:val="single" w:sz="4" w:space="0" w:color="auto"/>
              <w:left w:val="nil"/>
              <w:bottom w:val="double" w:sz="6" w:space="0" w:color="auto"/>
              <w:right w:val="single" w:sz="4" w:space="0" w:color="auto"/>
            </w:tcBorders>
            <w:noWrap/>
            <w:vAlign w:val="bottom"/>
            <w:hideMark/>
          </w:tcPr>
          <w:p w14:paraId="13AE4232"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Net Cash Inflow</w:t>
            </w:r>
          </w:p>
        </w:tc>
        <w:tc>
          <w:tcPr>
            <w:tcW w:w="2320" w:type="dxa"/>
            <w:tcBorders>
              <w:top w:val="single" w:sz="4" w:space="0" w:color="auto"/>
              <w:left w:val="nil"/>
              <w:bottom w:val="double" w:sz="6" w:space="0" w:color="auto"/>
              <w:right w:val="single" w:sz="4" w:space="0" w:color="auto"/>
            </w:tcBorders>
            <w:noWrap/>
            <w:vAlign w:val="bottom"/>
            <w:hideMark/>
          </w:tcPr>
          <w:p w14:paraId="1F2E3455"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Cumulative cash flow</w:t>
            </w:r>
          </w:p>
        </w:tc>
      </w:tr>
      <w:tr w:rsidR="00987360" w:rsidRPr="009225E6" w14:paraId="3EF51CFB"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2290DFF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960" w:type="dxa"/>
            <w:tcBorders>
              <w:top w:val="nil"/>
              <w:left w:val="nil"/>
              <w:bottom w:val="single" w:sz="4" w:space="0" w:color="auto"/>
              <w:right w:val="single" w:sz="4" w:space="0" w:color="auto"/>
            </w:tcBorders>
            <w:noWrap/>
            <w:vAlign w:val="bottom"/>
            <w:hideMark/>
          </w:tcPr>
          <w:p w14:paraId="2AEC8D53"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20" w:type="dxa"/>
            <w:tcBorders>
              <w:top w:val="nil"/>
              <w:left w:val="nil"/>
              <w:bottom w:val="single" w:sz="4" w:space="0" w:color="auto"/>
              <w:right w:val="single" w:sz="4" w:space="0" w:color="auto"/>
            </w:tcBorders>
            <w:noWrap/>
            <w:vAlign w:val="bottom"/>
            <w:hideMark/>
          </w:tcPr>
          <w:p w14:paraId="4FF6826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w:t>
            </w:r>
          </w:p>
        </w:tc>
      </w:tr>
      <w:tr w:rsidR="00987360" w:rsidRPr="009225E6" w14:paraId="3037AAE7"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5C659D2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960" w:type="dxa"/>
            <w:tcBorders>
              <w:top w:val="nil"/>
              <w:left w:val="nil"/>
              <w:bottom w:val="single" w:sz="4" w:space="0" w:color="auto"/>
              <w:right w:val="single" w:sz="4" w:space="0" w:color="auto"/>
            </w:tcBorders>
            <w:noWrap/>
            <w:vAlign w:val="bottom"/>
            <w:hideMark/>
          </w:tcPr>
          <w:p w14:paraId="414BB8F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2320" w:type="dxa"/>
            <w:tcBorders>
              <w:top w:val="nil"/>
              <w:left w:val="nil"/>
              <w:bottom w:val="single" w:sz="4" w:space="0" w:color="auto"/>
              <w:right w:val="single" w:sz="4" w:space="0" w:color="auto"/>
            </w:tcBorders>
            <w:noWrap/>
            <w:vAlign w:val="bottom"/>
            <w:hideMark/>
          </w:tcPr>
          <w:p w14:paraId="1102B71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w:t>
            </w:r>
          </w:p>
        </w:tc>
      </w:tr>
      <w:tr w:rsidR="00987360" w:rsidRPr="009225E6" w14:paraId="65CEB6E5"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62A431D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960" w:type="dxa"/>
            <w:tcBorders>
              <w:top w:val="nil"/>
              <w:left w:val="nil"/>
              <w:bottom w:val="single" w:sz="4" w:space="0" w:color="auto"/>
              <w:right w:val="single" w:sz="4" w:space="0" w:color="auto"/>
            </w:tcBorders>
            <w:noWrap/>
            <w:vAlign w:val="bottom"/>
            <w:hideMark/>
          </w:tcPr>
          <w:p w14:paraId="5017E6D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w:t>
            </w:r>
          </w:p>
        </w:tc>
        <w:tc>
          <w:tcPr>
            <w:tcW w:w="2320" w:type="dxa"/>
            <w:tcBorders>
              <w:top w:val="nil"/>
              <w:left w:val="nil"/>
              <w:bottom w:val="single" w:sz="4" w:space="0" w:color="auto"/>
              <w:right w:val="single" w:sz="4" w:space="0" w:color="auto"/>
            </w:tcBorders>
            <w:noWrap/>
            <w:vAlign w:val="bottom"/>
            <w:hideMark/>
          </w:tcPr>
          <w:p w14:paraId="400047C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-18</w:t>
            </w:r>
          </w:p>
        </w:tc>
      </w:tr>
      <w:tr w:rsidR="00987360" w:rsidRPr="009225E6" w14:paraId="7DBE2E78"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464B56F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960" w:type="dxa"/>
            <w:tcBorders>
              <w:top w:val="nil"/>
              <w:left w:val="nil"/>
              <w:bottom w:val="single" w:sz="4" w:space="0" w:color="auto"/>
              <w:right w:val="single" w:sz="4" w:space="0" w:color="auto"/>
            </w:tcBorders>
            <w:noWrap/>
            <w:vAlign w:val="bottom"/>
            <w:hideMark/>
          </w:tcPr>
          <w:p w14:paraId="5354318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w:t>
            </w:r>
          </w:p>
        </w:tc>
        <w:tc>
          <w:tcPr>
            <w:tcW w:w="2320" w:type="dxa"/>
            <w:tcBorders>
              <w:top w:val="nil"/>
              <w:left w:val="nil"/>
              <w:bottom w:val="single" w:sz="4" w:space="0" w:color="auto"/>
              <w:right w:val="single" w:sz="4" w:space="0" w:color="auto"/>
            </w:tcBorders>
            <w:noWrap/>
            <w:vAlign w:val="bottom"/>
            <w:hideMark/>
          </w:tcPr>
          <w:p w14:paraId="5FFCBBD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r>
      <w:tr w:rsidR="00987360" w:rsidRPr="009225E6" w14:paraId="1D50B0A7"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0409A0D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960" w:type="dxa"/>
            <w:tcBorders>
              <w:top w:val="nil"/>
              <w:left w:val="nil"/>
              <w:bottom w:val="single" w:sz="4" w:space="0" w:color="auto"/>
              <w:right w:val="single" w:sz="4" w:space="0" w:color="auto"/>
            </w:tcBorders>
            <w:noWrap/>
            <w:vAlign w:val="bottom"/>
            <w:hideMark/>
          </w:tcPr>
          <w:p w14:paraId="006D0E1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2320" w:type="dxa"/>
            <w:tcBorders>
              <w:top w:val="nil"/>
              <w:left w:val="nil"/>
              <w:bottom w:val="single" w:sz="4" w:space="0" w:color="auto"/>
              <w:right w:val="single" w:sz="4" w:space="0" w:color="auto"/>
            </w:tcBorders>
            <w:noWrap/>
            <w:vAlign w:val="bottom"/>
            <w:hideMark/>
          </w:tcPr>
          <w:p w14:paraId="72C226A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750C5E2D" w14:textId="77777777" w:rsidTr="00BD023E">
        <w:trPr>
          <w:trHeight w:val="315"/>
        </w:trPr>
        <w:tc>
          <w:tcPr>
            <w:tcW w:w="960" w:type="dxa"/>
            <w:tcBorders>
              <w:top w:val="nil"/>
              <w:left w:val="single" w:sz="4" w:space="0" w:color="auto"/>
              <w:bottom w:val="double" w:sz="6" w:space="0" w:color="auto"/>
              <w:right w:val="single" w:sz="4" w:space="0" w:color="auto"/>
            </w:tcBorders>
            <w:noWrap/>
            <w:vAlign w:val="bottom"/>
            <w:hideMark/>
          </w:tcPr>
          <w:p w14:paraId="3B95C4A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960" w:type="dxa"/>
            <w:tcBorders>
              <w:top w:val="nil"/>
              <w:left w:val="nil"/>
              <w:bottom w:val="double" w:sz="6" w:space="0" w:color="auto"/>
              <w:right w:val="single" w:sz="4" w:space="0" w:color="auto"/>
            </w:tcBorders>
            <w:noWrap/>
            <w:vAlign w:val="bottom"/>
            <w:hideMark/>
          </w:tcPr>
          <w:p w14:paraId="7BA6B15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w:t>
            </w:r>
          </w:p>
        </w:tc>
        <w:tc>
          <w:tcPr>
            <w:tcW w:w="2320" w:type="dxa"/>
            <w:tcBorders>
              <w:top w:val="nil"/>
              <w:left w:val="nil"/>
              <w:bottom w:val="double" w:sz="6" w:space="0" w:color="auto"/>
              <w:right w:val="single" w:sz="4" w:space="0" w:color="auto"/>
            </w:tcBorders>
            <w:noWrap/>
            <w:vAlign w:val="bottom"/>
            <w:hideMark/>
          </w:tcPr>
          <w:p w14:paraId="44EDE23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w:t>
            </w:r>
          </w:p>
        </w:tc>
      </w:tr>
    </w:tbl>
    <w:p w14:paraId="7685CA66" w14:textId="77777777" w:rsidR="00987360" w:rsidRPr="009225E6" w:rsidRDefault="00987360" w:rsidP="00987360">
      <w:pPr>
        <w:spacing w:line="360" w:lineRule="auto"/>
        <w:jc w:val="both"/>
        <w:rPr>
          <w:rFonts w:ascii="Times New Roman" w:hAnsi="Times New Roman" w:cs="Times New Roman"/>
          <w:sz w:val="24"/>
          <w:szCs w:val="24"/>
          <w:lang w:val="en-US"/>
        </w:rPr>
      </w:pPr>
    </w:p>
    <w:p w14:paraId="05B2942F"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sz w:val="24"/>
          <w:szCs w:val="24"/>
          <w:lang w:val="en-US"/>
        </w:rPr>
        <w:t>PBP =</w:t>
      </w:r>
      <w:r w:rsidRPr="009225E6">
        <w:rPr>
          <w:rFonts w:ascii="Times New Roman" w:hAnsi="Times New Roman" w:cs="Times New Roman"/>
          <w:color w:val="001D35"/>
          <w:shd w:val="clear" w:color="auto" w:fill="FFFFFF"/>
        </w:rPr>
        <w:t>Year before full recovery + (Unrecovered cost at the start of the year / Cash flow during that year)</w:t>
      </w:r>
    </w:p>
    <w:p w14:paraId="2EEB7C8F"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(4/10)</w:t>
      </w:r>
    </w:p>
    <w:p w14:paraId="1B16373E"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+ 0.4</w:t>
      </w:r>
    </w:p>
    <w:p w14:paraId="3E520F54" w14:textId="77777777" w:rsidR="00987360" w:rsidRPr="009225E6" w:rsidRDefault="00987360" w:rsidP="00987360">
      <w:pPr>
        <w:spacing w:line="360" w:lineRule="auto"/>
        <w:jc w:val="both"/>
        <w:rPr>
          <w:rFonts w:ascii="Times New Roman" w:hAnsi="Times New Roman" w:cs="Times New Roman"/>
          <w:sz w:val="24"/>
          <w:szCs w:val="24"/>
          <w:lang w:val="en-US"/>
        </w:rPr>
      </w:pPr>
      <w:r w:rsidRPr="009225E6">
        <w:rPr>
          <w:rFonts w:ascii="Times New Roman" w:hAnsi="Times New Roman" w:cs="Times New Roman"/>
          <w:color w:val="001D35"/>
          <w:shd w:val="clear" w:color="auto" w:fill="FFFFFF"/>
        </w:rPr>
        <w:t>PBP = 3.4 Years</w:t>
      </w:r>
    </w:p>
    <w:p w14:paraId="6D22E021" w14:textId="77777777" w:rsidR="00987360" w:rsidRPr="009225E6" w:rsidRDefault="00987360" w:rsidP="00987360">
      <w:pPr>
        <w:rPr>
          <w:rFonts w:ascii="Times New Roman" w:hAnsi="Times New Roman" w:cs="Times New Roman"/>
          <w:b/>
          <w:sz w:val="24"/>
          <w:szCs w:val="24"/>
          <w:lang w:val="en-US"/>
        </w:rPr>
      </w:pPr>
      <w:r w:rsidRPr="009225E6">
        <w:rPr>
          <w:rFonts w:ascii="Times New Roman" w:hAnsi="Times New Roman" w:cs="Times New Roman"/>
          <w:b/>
        </w:rPr>
        <w:t>Project B</w:t>
      </w:r>
    </w:p>
    <w:tbl>
      <w:tblPr>
        <w:tblW w:w="1920" w:type="dxa"/>
        <w:tblInd w:w="93" w:type="dxa"/>
        <w:tblLook w:val="04A0" w:firstRow="1" w:lastRow="0" w:firstColumn="1" w:lastColumn="0" w:noHBand="0" w:noVBand="1"/>
      </w:tblPr>
      <w:tblGrid>
        <w:gridCol w:w="960"/>
        <w:gridCol w:w="960"/>
      </w:tblGrid>
      <w:tr w:rsidR="00987360" w:rsidRPr="009225E6" w14:paraId="53AD2B9A" w14:textId="77777777" w:rsidTr="00BD023E">
        <w:trPr>
          <w:trHeight w:val="315"/>
        </w:trPr>
        <w:tc>
          <w:tcPr>
            <w:tcW w:w="960" w:type="dxa"/>
            <w:tcBorders>
              <w:top w:val="single" w:sz="4" w:space="0" w:color="auto"/>
              <w:left w:val="single" w:sz="4" w:space="0" w:color="auto"/>
              <w:bottom w:val="double" w:sz="6" w:space="0" w:color="auto"/>
              <w:right w:val="single" w:sz="4" w:space="0" w:color="auto"/>
            </w:tcBorders>
            <w:noWrap/>
            <w:vAlign w:val="bottom"/>
            <w:hideMark/>
          </w:tcPr>
          <w:p w14:paraId="6DFD514A"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Year </w:t>
            </w:r>
          </w:p>
        </w:tc>
        <w:tc>
          <w:tcPr>
            <w:tcW w:w="960" w:type="dxa"/>
            <w:tcBorders>
              <w:top w:val="single" w:sz="4" w:space="0" w:color="auto"/>
              <w:left w:val="nil"/>
              <w:bottom w:val="double" w:sz="6" w:space="0" w:color="auto"/>
              <w:right w:val="single" w:sz="4" w:space="0" w:color="auto"/>
            </w:tcBorders>
            <w:noWrap/>
            <w:vAlign w:val="bottom"/>
            <w:hideMark/>
          </w:tcPr>
          <w:p w14:paraId="2A24751A"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Net Cash Inflow</w:t>
            </w:r>
          </w:p>
        </w:tc>
      </w:tr>
      <w:tr w:rsidR="00987360" w:rsidRPr="009225E6" w14:paraId="2CAD0D10"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356EA5E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960" w:type="dxa"/>
            <w:tcBorders>
              <w:top w:val="nil"/>
              <w:left w:val="nil"/>
              <w:bottom w:val="single" w:sz="4" w:space="0" w:color="auto"/>
              <w:right w:val="single" w:sz="4" w:space="0" w:color="auto"/>
            </w:tcBorders>
            <w:noWrap/>
            <w:vAlign w:val="bottom"/>
            <w:hideMark/>
          </w:tcPr>
          <w:p w14:paraId="70DEC15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w:t>
            </w:r>
          </w:p>
        </w:tc>
      </w:tr>
      <w:tr w:rsidR="00987360" w:rsidRPr="009225E6" w14:paraId="7B8774BE"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05DAF77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960" w:type="dxa"/>
            <w:tcBorders>
              <w:top w:val="nil"/>
              <w:left w:val="nil"/>
              <w:bottom w:val="single" w:sz="4" w:space="0" w:color="auto"/>
              <w:right w:val="single" w:sz="4" w:space="0" w:color="auto"/>
            </w:tcBorders>
            <w:noWrap/>
            <w:vAlign w:val="bottom"/>
            <w:hideMark/>
          </w:tcPr>
          <w:p w14:paraId="3C53F26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79CC9D1B"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16968B9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960" w:type="dxa"/>
            <w:tcBorders>
              <w:top w:val="nil"/>
              <w:left w:val="nil"/>
              <w:bottom w:val="single" w:sz="4" w:space="0" w:color="auto"/>
              <w:right w:val="single" w:sz="4" w:space="0" w:color="auto"/>
            </w:tcBorders>
            <w:noWrap/>
            <w:vAlign w:val="bottom"/>
            <w:hideMark/>
          </w:tcPr>
          <w:p w14:paraId="28770A2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03D19090"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39B3FE1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960" w:type="dxa"/>
            <w:tcBorders>
              <w:top w:val="nil"/>
              <w:left w:val="nil"/>
              <w:bottom w:val="single" w:sz="4" w:space="0" w:color="auto"/>
              <w:right w:val="single" w:sz="4" w:space="0" w:color="auto"/>
            </w:tcBorders>
            <w:noWrap/>
            <w:vAlign w:val="bottom"/>
            <w:hideMark/>
          </w:tcPr>
          <w:p w14:paraId="49274D6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0FF07AC9"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19A3888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960" w:type="dxa"/>
            <w:tcBorders>
              <w:top w:val="nil"/>
              <w:left w:val="nil"/>
              <w:bottom w:val="single" w:sz="4" w:space="0" w:color="auto"/>
              <w:right w:val="single" w:sz="4" w:space="0" w:color="auto"/>
            </w:tcBorders>
            <w:noWrap/>
            <w:vAlign w:val="bottom"/>
            <w:hideMark/>
          </w:tcPr>
          <w:p w14:paraId="31B88C7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0116821A" w14:textId="77777777" w:rsidTr="00BD023E">
        <w:trPr>
          <w:trHeight w:val="315"/>
        </w:trPr>
        <w:tc>
          <w:tcPr>
            <w:tcW w:w="960" w:type="dxa"/>
            <w:tcBorders>
              <w:top w:val="nil"/>
              <w:left w:val="single" w:sz="4" w:space="0" w:color="auto"/>
              <w:bottom w:val="double" w:sz="6" w:space="0" w:color="auto"/>
              <w:right w:val="single" w:sz="4" w:space="0" w:color="auto"/>
            </w:tcBorders>
            <w:noWrap/>
            <w:vAlign w:val="bottom"/>
            <w:hideMark/>
          </w:tcPr>
          <w:p w14:paraId="17A3192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960" w:type="dxa"/>
            <w:tcBorders>
              <w:top w:val="nil"/>
              <w:left w:val="nil"/>
              <w:bottom w:val="double" w:sz="6" w:space="0" w:color="auto"/>
              <w:right w:val="single" w:sz="4" w:space="0" w:color="auto"/>
            </w:tcBorders>
            <w:noWrap/>
            <w:vAlign w:val="bottom"/>
            <w:hideMark/>
          </w:tcPr>
          <w:p w14:paraId="6709E15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bl>
    <w:p w14:paraId="5789DB76" w14:textId="77777777" w:rsidR="00987360" w:rsidRPr="009225E6" w:rsidRDefault="00987360" w:rsidP="00987360">
      <w:pPr>
        <w:rPr>
          <w:rFonts w:ascii="Times New Roman" w:hAnsi="Times New Roman" w:cs="Times New Roman"/>
          <w:sz w:val="24"/>
          <w:szCs w:val="24"/>
          <w:lang w:val="en-US"/>
        </w:rPr>
      </w:pPr>
    </w:p>
    <w:p w14:paraId="5EB52AAA"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PBP =</m:t>
          </m:r>
          <m:f>
            <m:fPr>
              <m:ctrlPr>
                <w:rPr>
                  <w:rFonts w:ascii="Cambria Math" w:hAnsi="Cambria Math" w:cs="Times New Roman"/>
                  <w:sz w:val="24"/>
                  <w:szCs w:val="24"/>
                  <w:lang w:val="en-US"/>
                </w:rPr>
              </m:ctrlPr>
            </m:fPr>
            <m:num>
              <m:r>
                <m:rPr>
                  <m:sty m:val="p"/>
                </m:rPr>
                <w:rPr>
                  <w:rFonts w:ascii="Cambria Math" w:hAnsi="Cambria Math" w:cs="Times New Roman"/>
                  <w:sz w:val="24"/>
                  <w:szCs w:val="24"/>
                </w:rPr>
                <m:t>Initial Cost</m:t>
              </m:r>
            </m:num>
            <m:den>
              <m:r>
                <m:rPr>
                  <m:sty m:val="p"/>
                </m:rPr>
                <w:rPr>
                  <w:rFonts w:ascii="Cambria Math" w:hAnsi="Cambria Math" w:cs="Times New Roman"/>
                  <w:sz w:val="24"/>
                  <w:szCs w:val="24"/>
                </w:rPr>
                <m:t>Annual Net Cash Flow</m:t>
              </m:r>
            </m:den>
          </m:f>
        </m:oMath>
      </m:oMathPara>
    </w:p>
    <w:p w14:paraId="6732972B"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PBP =</m:t>
          </m:r>
          <m:f>
            <m:fPr>
              <m:ctrlPr>
                <w:rPr>
                  <w:rFonts w:ascii="Cambria Math" w:hAnsi="Cambria Math" w:cs="Times New Roman"/>
                  <w:sz w:val="24"/>
                  <w:szCs w:val="24"/>
                  <w:lang w:val="en-US"/>
                </w:rPr>
              </m:ctrlPr>
            </m:fPr>
            <m:num>
              <m:r>
                <m:rPr>
                  <m:sty m:val="p"/>
                </m:rPr>
                <w:rPr>
                  <w:rFonts w:ascii="Cambria Math" w:hAnsi="Cambria Math" w:cs="Times New Roman"/>
                  <w:sz w:val="24"/>
                  <w:szCs w:val="24"/>
                </w:rPr>
                <m:t>30</m:t>
              </m:r>
            </m:num>
            <m:den>
              <m:r>
                <m:rPr>
                  <m:sty m:val="p"/>
                </m:rPr>
                <w:rPr>
                  <w:rFonts w:ascii="Cambria Math" w:hAnsi="Cambria Math" w:cs="Times New Roman"/>
                  <w:sz w:val="24"/>
                  <w:szCs w:val="24"/>
                </w:rPr>
                <m:t>6</m:t>
              </m:r>
            </m:den>
          </m:f>
        </m:oMath>
      </m:oMathPara>
    </w:p>
    <w:p w14:paraId="1ADE3D8A"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PBP =5 Years</m:t>
          </m:r>
        </m:oMath>
      </m:oMathPara>
    </w:p>
    <w:p w14:paraId="5AEBA6B5" w14:textId="77777777" w:rsidR="00987360" w:rsidRPr="009225E6" w:rsidRDefault="00987360" w:rsidP="00987360">
      <w:pPr>
        <w:rPr>
          <w:rFonts w:ascii="Times New Roman" w:hAnsi="Times New Roman" w:cs="Times New Roman"/>
          <w:sz w:val="24"/>
          <w:szCs w:val="24"/>
          <w:lang w:val="en-US"/>
        </w:rPr>
      </w:pPr>
      <w:r w:rsidRPr="009225E6">
        <w:rPr>
          <w:rFonts w:ascii="Times New Roman" w:hAnsi="Times New Roman" w:cs="Times New Roman"/>
          <w:sz w:val="24"/>
          <w:szCs w:val="24"/>
          <w:lang w:val="en-US"/>
        </w:rPr>
        <w:t>Project C</w:t>
      </w:r>
    </w:p>
    <w:tbl>
      <w:tblPr>
        <w:tblW w:w="4880" w:type="dxa"/>
        <w:tblInd w:w="93" w:type="dxa"/>
        <w:tblLook w:val="04A0" w:firstRow="1" w:lastRow="0" w:firstColumn="1" w:lastColumn="0" w:noHBand="0" w:noVBand="1"/>
      </w:tblPr>
      <w:tblGrid>
        <w:gridCol w:w="960"/>
        <w:gridCol w:w="1600"/>
        <w:gridCol w:w="2320"/>
      </w:tblGrid>
      <w:tr w:rsidR="00987360" w:rsidRPr="009225E6" w14:paraId="1680B76F" w14:textId="77777777" w:rsidTr="00BD023E">
        <w:trPr>
          <w:trHeight w:val="315"/>
        </w:trPr>
        <w:tc>
          <w:tcPr>
            <w:tcW w:w="960" w:type="dxa"/>
            <w:tcBorders>
              <w:top w:val="single" w:sz="4" w:space="0" w:color="auto"/>
              <w:left w:val="single" w:sz="4" w:space="0" w:color="auto"/>
              <w:bottom w:val="double" w:sz="6" w:space="0" w:color="auto"/>
              <w:right w:val="single" w:sz="4" w:space="0" w:color="auto"/>
            </w:tcBorders>
            <w:noWrap/>
            <w:vAlign w:val="bottom"/>
            <w:hideMark/>
          </w:tcPr>
          <w:p w14:paraId="1D6743D9"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Year </w:t>
            </w:r>
          </w:p>
        </w:tc>
        <w:tc>
          <w:tcPr>
            <w:tcW w:w="1600" w:type="dxa"/>
            <w:tcBorders>
              <w:top w:val="single" w:sz="4" w:space="0" w:color="auto"/>
              <w:left w:val="nil"/>
              <w:bottom w:val="double" w:sz="6" w:space="0" w:color="auto"/>
              <w:right w:val="single" w:sz="4" w:space="0" w:color="auto"/>
            </w:tcBorders>
            <w:noWrap/>
            <w:vAlign w:val="bottom"/>
            <w:hideMark/>
          </w:tcPr>
          <w:p w14:paraId="1DA2AA5C"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Net Cash </w:t>
            </w:r>
            <w:r w:rsidRPr="009225E6">
              <w:rPr>
                <w:rFonts w:ascii="Times New Roman" w:eastAsia="Times New Roman" w:hAnsi="Times New Roman" w:cs="Times New Roman"/>
                <w:b/>
                <w:bCs/>
                <w:color w:val="000000"/>
                <w:lang w:val="en-US"/>
              </w:rPr>
              <w:lastRenderedPageBreak/>
              <w:t>Inflow</w:t>
            </w:r>
          </w:p>
        </w:tc>
        <w:tc>
          <w:tcPr>
            <w:tcW w:w="2320" w:type="dxa"/>
            <w:tcBorders>
              <w:top w:val="single" w:sz="4" w:space="0" w:color="auto"/>
              <w:left w:val="nil"/>
              <w:bottom w:val="double" w:sz="6" w:space="0" w:color="auto"/>
              <w:right w:val="single" w:sz="4" w:space="0" w:color="auto"/>
            </w:tcBorders>
            <w:noWrap/>
            <w:vAlign w:val="bottom"/>
            <w:hideMark/>
          </w:tcPr>
          <w:p w14:paraId="046E4CB0"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lastRenderedPageBreak/>
              <w:t>Cumulative cash flow</w:t>
            </w:r>
          </w:p>
        </w:tc>
      </w:tr>
      <w:tr w:rsidR="00987360" w:rsidRPr="009225E6" w14:paraId="1D712EB9"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6309D95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1600" w:type="dxa"/>
            <w:tcBorders>
              <w:top w:val="nil"/>
              <w:left w:val="nil"/>
              <w:bottom w:val="single" w:sz="4" w:space="0" w:color="auto"/>
              <w:right w:val="single" w:sz="4" w:space="0" w:color="auto"/>
            </w:tcBorders>
            <w:noWrap/>
            <w:vAlign w:val="bottom"/>
            <w:hideMark/>
          </w:tcPr>
          <w:p w14:paraId="0BE3CB68"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20" w:type="dxa"/>
            <w:tcBorders>
              <w:top w:val="nil"/>
              <w:left w:val="nil"/>
              <w:bottom w:val="single" w:sz="4" w:space="0" w:color="auto"/>
              <w:right w:val="single" w:sz="4" w:space="0" w:color="auto"/>
            </w:tcBorders>
            <w:noWrap/>
            <w:vAlign w:val="bottom"/>
            <w:hideMark/>
          </w:tcPr>
          <w:p w14:paraId="3CFEFE5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w:t>
            </w:r>
          </w:p>
        </w:tc>
      </w:tr>
      <w:tr w:rsidR="00987360" w:rsidRPr="009225E6" w14:paraId="29A89288"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1A1A292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1600" w:type="dxa"/>
            <w:tcBorders>
              <w:top w:val="nil"/>
              <w:left w:val="nil"/>
              <w:bottom w:val="single" w:sz="4" w:space="0" w:color="auto"/>
              <w:right w:val="single" w:sz="4" w:space="0" w:color="auto"/>
            </w:tcBorders>
            <w:noWrap/>
            <w:vAlign w:val="bottom"/>
            <w:hideMark/>
          </w:tcPr>
          <w:p w14:paraId="78A89A1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2320" w:type="dxa"/>
            <w:tcBorders>
              <w:top w:val="nil"/>
              <w:left w:val="nil"/>
              <w:bottom w:val="single" w:sz="4" w:space="0" w:color="auto"/>
              <w:right w:val="single" w:sz="4" w:space="0" w:color="auto"/>
            </w:tcBorders>
            <w:noWrap/>
            <w:vAlign w:val="bottom"/>
            <w:hideMark/>
          </w:tcPr>
          <w:p w14:paraId="772D8DD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w:t>
            </w:r>
          </w:p>
        </w:tc>
      </w:tr>
      <w:tr w:rsidR="00987360" w:rsidRPr="009225E6" w14:paraId="2E7A45CC"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430A424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1600" w:type="dxa"/>
            <w:tcBorders>
              <w:top w:val="nil"/>
              <w:left w:val="nil"/>
              <w:bottom w:val="single" w:sz="4" w:space="0" w:color="auto"/>
              <w:right w:val="single" w:sz="4" w:space="0" w:color="auto"/>
            </w:tcBorders>
            <w:noWrap/>
            <w:vAlign w:val="bottom"/>
            <w:hideMark/>
          </w:tcPr>
          <w:p w14:paraId="7B9C58B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2320" w:type="dxa"/>
            <w:tcBorders>
              <w:top w:val="nil"/>
              <w:left w:val="nil"/>
              <w:bottom w:val="single" w:sz="4" w:space="0" w:color="auto"/>
              <w:right w:val="single" w:sz="4" w:space="0" w:color="auto"/>
            </w:tcBorders>
            <w:noWrap/>
            <w:vAlign w:val="bottom"/>
            <w:hideMark/>
          </w:tcPr>
          <w:p w14:paraId="3804E2B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-35</w:t>
            </w:r>
          </w:p>
        </w:tc>
      </w:tr>
      <w:tr w:rsidR="00987360" w:rsidRPr="009225E6" w14:paraId="07D41F06"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23D4693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1600" w:type="dxa"/>
            <w:tcBorders>
              <w:top w:val="nil"/>
              <w:left w:val="nil"/>
              <w:bottom w:val="single" w:sz="4" w:space="0" w:color="auto"/>
              <w:right w:val="single" w:sz="4" w:space="0" w:color="auto"/>
            </w:tcBorders>
            <w:noWrap/>
            <w:vAlign w:val="bottom"/>
            <w:hideMark/>
          </w:tcPr>
          <w:p w14:paraId="26D649F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2320" w:type="dxa"/>
            <w:tcBorders>
              <w:top w:val="nil"/>
              <w:left w:val="nil"/>
              <w:bottom w:val="single" w:sz="4" w:space="0" w:color="auto"/>
              <w:right w:val="single" w:sz="4" w:space="0" w:color="auto"/>
            </w:tcBorders>
            <w:noWrap/>
            <w:vAlign w:val="bottom"/>
            <w:hideMark/>
          </w:tcPr>
          <w:p w14:paraId="05E0456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w:t>
            </w:r>
          </w:p>
        </w:tc>
      </w:tr>
      <w:tr w:rsidR="00987360" w:rsidRPr="009225E6" w14:paraId="2455A370"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6FB6D40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600" w:type="dxa"/>
            <w:tcBorders>
              <w:top w:val="nil"/>
              <w:left w:val="nil"/>
              <w:bottom w:val="single" w:sz="4" w:space="0" w:color="auto"/>
              <w:right w:val="single" w:sz="4" w:space="0" w:color="auto"/>
            </w:tcBorders>
            <w:noWrap/>
            <w:vAlign w:val="bottom"/>
            <w:hideMark/>
          </w:tcPr>
          <w:p w14:paraId="53F1599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w:t>
            </w:r>
          </w:p>
        </w:tc>
        <w:tc>
          <w:tcPr>
            <w:tcW w:w="2320" w:type="dxa"/>
            <w:tcBorders>
              <w:top w:val="nil"/>
              <w:left w:val="nil"/>
              <w:bottom w:val="single" w:sz="4" w:space="0" w:color="auto"/>
              <w:right w:val="single" w:sz="4" w:space="0" w:color="auto"/>
            </w:tcBorders>
            <w:noWrap/>
            <w:vAlign w:val="bottom"/>
            <w:hideMark/>
          </w:tcPr>
          <w:p w14:paraId="6D06436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44FC5458" w14:textId="77777777" w:rsidTr="00BD023E">
        <w:trPr>
          <w:trHeight w:val="315"/>
        </w:trPr>
        <w:tc>
          <w:tcPr>
            <w:tcW w:w="960" w:type="dxa"/>
            <w:tcBorders>
              <w:top w:val="nil"/>
              <w:left w:val="single" w:sz="4" w:space="0" w:color="auto"/>
              <w:bottom w:val="double" w:sz="6" w:space="0" w:color="auto"/>
              <w:right w:val="single" w:sz="4" w:space="0" w:color="auto"/>
            </w:tcBorders>
            <w:noWrap/>
            <w:vAlign w:val="bottom"/>
            <w:hideMark/>
          </w:tcPr>
          <w:p w14:paraId="046BB67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1600" w:type="dxa"/>
            <w:tcBorders>
              <w:top w:val="nil"/>
              <w:left w:val="nil"/>
              <w:bottom w:val="double" w:sz="6" w:space="0" w:color="auto"/>
              <w:right w:val="single" w:sz="4" w:space="0" w:color="auto"/>
            </w:tcBorders>
            <w:noWrap/>
            <w:vAlign w:val="bottom"/>
            <w:hideMark/>
          </w:tcPr>
          <w:p w14:paraId="33439E3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w:t>
            </w:r>
          </w:p>
        </w:tc>
        <w:tc>
          <w:tcPr>
            <w:tcW w:w="2320" w:type="dxa"/>
            <w:tcBorders>
              <w:top w:val="nil"/>
              <w:left w:val="nil"/>
              <w:bottom w:val="double" w:sz="6" w:space="0" w:color="auto"/>
              <w:right w:val="single" w:sz="4" w:space="0" w:color="auto"/>
            </w:tcBorders>
            <w:noWrap/>
            <w:vAlign w:val="bottom"/>
            <w:hideMark/>
          </w:tcPr>
          <w:p w14:paraId="441A6E0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w:t>
            </w:r>
          </w:p>
        </w:tc>
      </w:tr>
    </w:tbl>
    <w:p w14:paraId="1F3C7E3A" w14:textId="77777777" w:rsidR="00987360" w:rsidRPr="009225E6" w:rsidRDefault="00987360" w:rsidP="00987360">
      <w:pPr>
        <w:rPr>
          <w:rFonts w:ascii="Times New Roman" w:hAnsi="Times New Roman" w:cs="Times New Roman"/>
          <w:sz w:val="24"/>
          <w:szCs w:val="24"/>
          <w:lang w:val="en-US"/>
        </w:rPr>
      </w:pPr>
    </w:p>
    <w:p w14:paraId="6EC32AC5"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sz w:val="24"/>
          <w:szCs w:val="24"/>
          <w:lang w:val="en-US"/>
        </w:rPr>
        <w:t>PBP =</w:t>
      </w:r>
      <w:r w:rsidRPr="009225E6">
        <w:rPr>
          <w:rFonts w:ascii="Times New Roman" w:hAnsi="Times New Roman" w:cs="Times New Roman"/>
          <w:color w:val="001D35"/>
          <w:shd w:val="clear" w:color="auto" w:fill="FFFFFF"/>
        </w:rPr>
        <w:t>Year before full recovery + (Unrecovered cost at the start of the year / Cash flow during that year)</w:t>
      </w:r>
    </w:p>
    <w:p w14:paraId="504CAE24"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(15/25)</w:t>
      </w:r>
    </w:p>
    <w:p w14:paraId="28C18E8B"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+ 0.6</w:t>
      </w:r>
    </w:p>
    <w:p w14:paraId="248640D1"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3.6 Years</w:t>
      </w:r>
    </w:p>
    <w:p w14:paraId="4D714EFE" w14:textId="77777777" w:rsidR="00987360" w:rsidRPr="009225E6" w:rsidRDefault="00987360">
      <w:pPr>
        <w:rPr>
          <w:rFonts w:ascii="Times New Roman" w:eastAsia="Times New Roman" w:hAnsi="Times New Roman" w:cs="Times New Roman"/>
          <w:color w:val="5B9BD5" w:themeColor="accent1"/>
          <w:sz w:val="24"/>
          <w:szCs w:val="24"/>
          <w:lang w:val="en-US"/>
        </w:rPr>
      </w:pPr>
      <w:r w:rsidRPr="009225E6">
        <w:rPr>
          <w:rFonts w:ascii="Times New Roman" w:eastAsia="Times New Roman" w:hAnsi="Times New Roman" w:cs="Times New Roman"/>
          <w:color w:val="5B9BD5" w:themeColor="accent1"/>
          <w:sz w:val="24"/>
          <w:szCs w:val="24"/>
          <w:lang w:val="en-US"/>
        </w:rPr>
        <w:t>Accounting Rate of Return</w:t>
      </w:r>
    </w:p>
    <w:p w14:paraId="0EF0418A" w14:textId="77777777" w:rsidR="00987360" w:rsidRPr="009225E6" w:rsidRDefault="00987360" w:rsidP="00987360">
      <w:pPr>
        <w:spacing w:line="360" w:lineRule="auto"/>
        <w:jc w:val="both"/>
        <w:rPr>
          <w:rFonts w:ascii="Times New Roman" w:hAnsi="Times New Roman" w:cs="Times New Roman"/>
          <w:b/>
          <w:sz w:val="24"/>
          <w:szCs w:val="24"/>
          <w:lang w:val="en-US"/>
        </w:rPr>
      </w:pPr>
      <w:r w:rsidRPr="009225E6">
        <w:rPr>
          <w:rFonts w:ascii="Times New Roman" w:hAnsi="Times New Roman" w:cs="Times New Roman"/>
          <w:b/>
          <w:sz w:val="24"/>
          <w:szCs w:val="24"/>
          <w:lang w:val="en-US"/>
        </w:rPr>
        <w:t>Project A</w:t>
      </w:r>
    </w:p>
    <w:p w14:paraId="320F07C0" w14:textId="77777777" w:rsidR="00987360" w:rsidRPr="009225E6" w:rsidRDefault="00987360" w:rsidP="00987360">
      <w:pPr>
        <w:spacing w:line="36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Discounted Cash Flows</w:t>
      </w:r>
    </w:p>
    <w:tbl>
      <w:tblPr>
        <w:tblW w:w="6340" w:type="dxa"/>
        <w:tblInd w:w="93" w:type="dxa"/>
        <w:tblLook w:val="04A0" w:firstRow="1" w:lastRow="0" w:firstColumn="1" w:lastColumn="0" w:noHBand="0" w:noVBand="1"/>
      </w:tblPr>
      <w:tblGrid>
        <w:gridCol w:w="1540"/>
        <w:gridCol w:w="928"/>
        <w:gridCol w:w="928"/>
        <w:gridCol w:w="928"/>
        <w:gridCol w:w="928"/>
        <w:gridCol w:w="1088"/>
      </w:tblGrid>
      <w:tr w:rsidR="00987360" w:rsidRPr="009225E6" w14:paraId="44544D62" w14:textId="77777777" w:rsidTr="00BD023E">
        <w:trPr>
          <w:trHeight w:val="315"/>
        </w:trPr>
        <w:tc>
          <w:tcPr>
            <w:tcW w:w="1540" w:type="dxa"/>
            <w:vMerge w:val="restart"/>
            <w:tcBorders>
              <w:top w:val="single" w:sz="4" w:space="0" w:color="auto"/>
              <w:left w:val="single" w:sz="4" w:space="0" w:color="auto"/>
              <w:bottom w:val="single" w:sz="4" w:space="0" w:color="000000"/>
              <w:right w:val="single" w:sz="4" w:space="0" w:color="auto"/>
            </w:tcBorders>
            <w:noWrap/>
            <w:vAlign w:val="bottom"/>
            <w:hideMark/>
          </w:tcPr>
          <w:p w14:paraId="05A92892"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4800" w:type="dxa"/>
            <w:gridSpan w:val="5"/>
            <w:tcBorders>
              <w:top w:val="single" w:sz="4" w:space="0" w:color="auto"/>
              <w:left w:val="nil"/>
              <w:bottom w:val="single" w:sz="4" w:space="0" w:color="auto"/>
              <w:right w:val="single" w:sz="4" w:space="0" w:color="auto"/>
            </w:tcBorders>
            <w:noWrap/>
            <w:vAlign w:val="bottom"/>
            <w:hideMark/>
          </w:tcPr>
          <w:p w14:paraId="45861805"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987360" w:rsidRPr="009225E6" w14:paraId="5C1D0B5A" w14:textId="77777777" w:rsidTr="00BD023E">
        <w:trPr>
          <w:trHeight w:val="315"/>
        </w:trPr>
        <w:tc>
          <w:tcPr>
            <w:tcW w:w="1540" w:type="dxa"/>
            <w:vMerge/>
            <w:tcBorders>
              <w:top w:val="single" w:sz="4" w:space="0" w:color="auto"/>
              <w:left w:val="single" w:sz="4" w:space="0" w:color="auto"/>
              <w:bottom w:val="single" w:sz="4" w:space="0" w:color="000000"/>
              <w:right w:val="single" w:sz="4" w:space="0" w:color="auto"/>
            </w:tcBorders>
            <w:vAlign w:val="center"/>
            <w:hideMark/>
          </w:tcPr>
          <w:p w14:paraId="71299312"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928" w:type="dxa"/>
            <w:tcBorders>
              <w:top w:val="nil"/>
              <w:left w:val="nil"/>
              <w:bottom w:val="single" w:sz="4" w:space="0" w:color="auto"/>
              <w:right w:val="single" w:sz="4" w:space="0" w:color="auto"/>
            </w:tcBorders>
            <w:noWrap/>
            <w:vAlign w:val="bottom"/>
            <w:hideMark/>
          </w:tcPr>
          <w:p w14:paraId="62FC1E0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928" w:type="dxa"/>
            <w:tcBorders>
              <w:top w:val="nil"/>
              <w:left w:val="nil"/>
              <w:bottom w:val="single" w:sz="4" w:space="0" w:color="auto"/>
              <w:right w:val="single" w:sz="4" w:space="0" w:color="auto"/>
            </w:tcBorders>
            <w:noWrap/>
            <w:vAlign w:val="bottom"/>
            <w:hideMark/>
          </w:tcPr>
          <w:p w14:paraId="7D18385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928" w:type="dxa"/>
            <w:tcBorders>
              <w:top w:val="nil"/>
              <w:left w:val="nil"/>
              <w:bottom w:val="single" w:sz="4" w:space="0" w:color="auto"/>
              <w:right w:val="single" w:sz="4" w:space="0" w:color="auto"/>
            </w:tcBorders>
            <w:noWrap/>
            <w:vAlign w:val="bottom"/>
            <w:hideMark/>
          </w:tcPr>
          <w:p w14:paraId="25359CD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928" w:type="dxa"/>
            <w:tcBorders>
              <w:top w:val="nil"/>
              <w:left w:val="nil"/>
              <w:bottom w:val="single" w:sz="4" w:space="0" w:color="auto"/>
              <w:right w:val="single" w:sz="4" w:space="0" w:color="auto"/>
            </w:tcBorders>
            <w:noWrap/>
            <w:vAlign w:val="bottom"/>
            <w:hideMark/>
          </w:tcPr>
          <w:p w14:paraId="14CE080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088" w:type="dxa"/>
            <w:tcBorders>
              <w:top w:val="nil"/>
              <w:left w:val="nil"/>
              <w:bottom w:val="single" w:sz="4" w:space="0" w:color="auto"/>
              <w:right w:val="single" w:sz="4" w:space="0" w:color="auto"/>
            </w:tcBorders>
            <w:noWrap/>
            <w:vAlign w:val="bottom"/>
            <w:hideMark/>
          </w:tcPr>
          <w:p w14:paraId="3F16789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r>
      <w:tr w:rsidR="00987360" w:rsidRPr="009225E6" w14:paraId="0017718C" w14:textId="77777777" w:rsidTr="00BD023E">
        <w:trPr>
          <w:trHeight w:val="315"/>
        </w:trPr>
        <w:tc>
          <w:tcPr>
            <w:tcW w:w="1540" w:type="dxa"/>
            <w:vMerge/>
            <w:tcBorders>
              <w:top w:val="single" w:sz="4" w:space="0" w:color="auto"/>
              <w:left w:val="single" w:sz="4" w:space="0" w:color="auto"/>
              <w:bottom w:val="single" w:sz="4" w:space="0" w:color="000000"/>
              <w:right w:val="single" w:sz="4" w:space="0" w:color="auto"/>
            </w:tcBorders>
            <w:vAlign w:val="center"/>
            <w:hideMark/>
          </w:tcPr>
          <w:p w14:paraId="61495502"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928" w:type="dxa"/>
            <w:tcBorders>
              <w:top w:val="nil"/>
              <w:left w:val="nil"/>
              <w:bottom w:val="single" w:sz="4" w:space="0" w:color="auto"/>
              <w:right w:val="single" w:sz="4" w:space="0" w:color="auto"/>
            </w:tcBorders>
            <w:noWrap/>
            <w:vAlign w:val="bottom"/>
            <w:hideMark/>
          </w:tcPr>
          <w:p w14:paraId="554F1B5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928" w:type="dxa"/>
            <w:tcBorders>
              <w:top w:val="nil"/>
              <w:left w:val="nil"/>
              <w:bottom w:val="single" w:sz="4" w:space="0" w:color="auto"/>
              <w:right w:val="single" w:sz="4" w:space="0" w:color="auto"/>
            </w:tcBorders>
            <w:noWrap/>
            <w:vAlign w:val="bottom"/>
            <w:hideMark/>
          </w:tcPr>
          <w:p w14:paraId="56D8F53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£12.00</w:t>
            </w:r>
          </w:p>
        </w:tc>
        <w:tc>
          <w:tcPr>
            <w:tcW w:w="928" w:type="dxa"/>
            <w:tcBorders>
              <w:top w:val="nil"/>
              <w:left w:val="nil"/>
              <w:bottom w:val="single" w:sz="4" w:space="0" w:color="auto"/>
              <w:right w:val="single" w:sz="4" w:space="0" w:color="auto"/>
            </w:tcBorders>
            <w:noWrap/>
            <w:vAlign w:val="bottom"/>
            <w:hideMark/>
          </w:tcPr>
          <w:p w14:paraId="5C43BDD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£14.00</w:t>
            </w:r>
          </w:p>
        </w:tc>
        <w:tc>
          <w:tcPr>
            <w:tcW w:w="928" w:type="dxa"/>
            <w:tcBorders>
              <w:top w:val="nil"/>
              <w:left w:val="nil"/>
              <w:bottom w:val="single" w:sz="4" w:space="0" w:color="auto"/>
              <w:right w:val="single" w:sz="4" w:space="0" w:color="auto"/>
            </w:tcBorders>
            <w:noWrap/>
            <w:vAlign w:val="bottom"/>
            <w:hideMark/>
          </w:tcPr>
          <w:p w14:paraId="2DD75EF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088" w:type="dxa"/>
            <w:tcBorders>
              <w:top w:val="nil"/>
              <w:left w:val="nil"/>
              <w:bottom w:val="single" w:sz="4" w:space="0" w:color="auto"/>
              <w:right w:val="single" w:sz="4" w:space="0" w:color="auto"/>
            </w:tcBorders>
            <w:noWrap/>
            <w:vAlign w:val="bottom"/>
            <w:hideMark/>
          </w:tcPr>
          <w:p w14:paraId="3A62EC7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£8.00</w:t>
            </w:r>
          </w:p>
        </w:tc>
      </w:tr>
      <w:tr w:rsidR="00987360" w:rsidRPr="009225E6" w14:paraId="03A9D6AD" w14:textId="77777777" w:rsidTr="00BD023E">
        <w:trPr>
          <w:trHeight w:val="300"/>
        </w:trPr>
        <w:tc>
          <w:tcPr>
            <w:tcW w:w="1540" w:type="dxa"/>
            <w:tcBorders>
              <w:top w:val="nil"/>
              <w:left w:val="single" w:sz="4" w:space="0" w:color="auto"/>
              <w:bottom w:val="single" w:sz="4" w:space="0" w:color="auto"/>
              <w:right w:val="single" w:sz="4" w:space="0" w:color="auto"/>
            </w:tcBorders>
            <w:noWrap/>
            <w:vAlign w:val="bottom"/>
            <w:hideMark/>
          </w:tcPr>
          <w:p w14:paraId="1E6BBE2F"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928" w:type="dxa"/>
            <w:tcBorders>
              <w:top w:val="nil"/>
              <w:left w:val="nil"/>
              <w:bottom w:val="single" w:sz="4" w:space="0" w:color="auto"/>
              <w:right w:val="single" w:sz="4" w:space="0" w:color="auto"/>
            </w:tcBorders>
            <w:noWrap/>
            <w:vAlign w:val="bottom"/>
            <w:hideMark/>
          </w:tcPr>
          <w:p w14:paraId="266BDF0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1356E6E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07E4247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56571A0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88" w:type="dxa"/>
            <w:tcBorders>
              <w:top w:val="nil"/>
              <w:left w:val="nil"/>
              <w:bottom w:val="single" w:sz="4" w:space="0" w:color="auto"/>
              <w:right w:val="single" w:sz="4" w:space="0" w:color="auto"/>
            </w:tcBorders>
            <w:noWrap/>
            <w:vAlign w:val="bottom"/>
            <w:hideMark/>
          </w:tcPr>
          <w:p w14:paraId="668E7EF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23175404" w14:textId="77777777" w:rsidTr="00BD023E">
        <w:trPr>
          <w:trHeight w:val="300"/>
        </w:trPr>
        <w:tc>
          <w:tcPr>
            <w:tcW w:w="1540" w:type="dxa"/>
            <w:tcBorders>
              <w:top w:val="nil"/>
              <w:left w:val="single" w:sz="4" w:space="0" w:color="auto"/>
              <w:bottom w:val="single" w:sz="4" w:space="0" w:color="auto"/>
              <w:right w:val="single" w:sz="4" w:space="0" w:color="auto"/>
            </w:tcBorders>
            <w:noWrap/>
            <w:vAlign w:val="bottom"/>
            <w:hideMark/>
          </w:tcPr>
          <w:p w14:paraId="259D5183"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928" w:type="dxa"/>
            <w:tcBorders>
              <w:top w:val="nil"/>
              <w:left w:val="nil"/>
              <w:bottom w:val="single" w:sz="4" w:space="0" w:color="auto"/>
              <w:right w:val="single" w:sz="4" w:space="0" w:color="auto"/>
            </w:tcBorders>
            <w:noWrap/>
            <w:vAlign w:val="bottom"/>
            <w:hideMark/>
          </w:tcPr>
          <w:p w14:paraId="1F4CDDF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928" w:type="dxa"/>
            <w:tcBorders>
              <w:top w:val="nil"/>
              <w:left w:val="nil"/>
              <w:bottom w:val="single" w:sz="4" w:space="0" w:color="auto"/>
              <w:right w:val="single" w:sz="4" w:space="0" w:color="auto"/>
            </w:tcBorders>
            <w:noWrap/>
            <w:vAlign w:val="bottom"/>
            <w:hideMark/>
          </w:tcPr>
          <w:p w14:paraId="62EB27B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928" w:type="dxa"/>
            <w:tcBorders>
              <w:top w:val="nil"/>
              <w:left w:val="nil"/>
              <w:bottom w:val="single" w:sz="4" w:space="0" w:color="auto"/>
              <w:right w:val="single" w:sz="4" w:space="0" w:color="auto"/>
            </w:tcBorders>
            <w:noWrap/>
            <w:vAlign w:val="bottom"/>
            <w:hideMark/>
          </w:tcPr>
          <w:p w14:paraId="7260588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928" w:type="dxa"/>
            <w:tcBorders>
              <w:top w:val="nil"/>
              <w:left w:val="nil"/>
              <w:bottom w:val="single" w:sz="4" w:space="0" w:color="auto"/>
              <w:right w:val="single" w:sz="4" w:space="0" w:color="auto"/>
            </w:tcBorders>
            <w:noWrap/>
            <w:vAlign w:val="bottom"/>
            <w:hideMark/>
          </w:tcPr>
          <w:p w14:paraId="7531D95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088" w:type="dxa"/>
            <w:tcBorders>
              <w:top w:val="nil"/>
              <w:left w:val="nil"/>
              <w:bottom w:val="single" w:sz="4" w:space="0" w:color="auto"/>
              <w:right w:val="single" w:sz="4" w:space="0" w:color="auto"/>
            </w:tcBorders>
            <w:noWrap/>
            <w:vAlign w:val="bottom"/>
            <w:hideMark/>
          </w:tcPr>
          <w:p w14:paraId="146C8AD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987360" w:rsidRPr="009225E6" w14:paraId="1D143959" w14:textId="77777777" w:rsidTr="00BD023E">
        <w:trPr>
          <w:trHeight w:val="315"/>
        </w:trPr>
        <w:tc>
          <w:tcPr>
            <w:tcW w:w="1540" w:type="dxa"/>
            <w:tcBorders>
              <w:top w:val="nil"/>
              <w:left w:val="single" w:sz="4" w:space="0" w:color="auto"/>
              <w:bottom w:val="double" w:sz="6" w:space="0" w:color="auto"/>
              <w:right w:val="single" w:sz="4" w:space="0" w:color="auto"/>
            </w:tcBorders>
            <w:noWrap/>
            <w:vAlign w:val="bottom"/>
            <w:hideMark/>
          </w:tcPr>
          <w:p w14:paraId="50FEE53C"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928" w:type="dxa"/>
            <w:tcBorders>
              <w:top w:val="nil"/>
              <w:left w:val="nil"/>
              <w:bottom w:val="double" w:sz="6" w:space="0" w:color="auto"/>
              <w:right w:val="single" w:sz="4" w:space="0" w:color="auto"/>
            </w:tcBorders>
            <w:noWrap/>
            <w:vAlign w:val="bottom"/>
            <w:hideMark/>
          </w:tcPr>
          <w:p w14:paraId="5DAD091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$9.09</w:t>
            </w:r>
          </w:p>
        </w:tc>
        <w:tc>
          <w:tcPr>
            <w:tcW w:w="928" w:type="dxa"/>
            <w:tcBorders>
              <w:top w:val="nil"/>
              <w:left w:val="nil"/>
              <w:bottom w:val="double" w:sz="6" w:space="0" w:color="auto"/>
              <w:right w:val="single" w:sz="4" w:space="0" w:color="auto"/>
            </w:tcBorders>
            <w:noWrap/>
            <w:vAlign w:val="bottom"/>
            <w:hideMark/>
          </w:tcPr>
          <w:p w14:paraId="5242661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$9.92</w:t>
            </w:r>
          </w:p>
        </w:tc>
        <w:tc>
          <w:tcPr>
            <w:tcW w:w="928" w:type="dxa"/>
            <w:tcBorders>
              <w:top w:val="nil"/>
              <w:left w:val="nil"/>
              <w:bottom w:val="double" w:sz="6" w:space="0" w:color="auto"/>
              <w:right w:val="single" w:sz="4" w:space="0" w:color="auto"/>
            </w:tcBorders>
            <w:noWrap/>
            <w:vAlign w:val="bottom"/>
            <w:hideMark/>
          </w:tcPr>
          <w:p w14:paraId="5854273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$10.52</w:t>
            </w:r>
          </w:p>
        </w:tc>
        <w:tc>
          <w:tcPr>
            <w:tcW w:w="928" w:type="dxa"/>
            <w:tcBorders>
              <w:top w:val="nil"/>
              <w:left w:val="nil"/>
              <w:bottom w:val="double" w:sz="6" w:space="0" w:color="auto"/>
              <w:right w:val="single" w:sz="4" w:space="0" w:color="auto"/>
            </w:tcBorders>
            <w:noWrap/>
            <w:vAlign w:val="bottom"/>
            <w:hideMark/>
          </w:tcPr>
          <w:p w14:paraId="2F70A00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$6.83</w:t>
            </w:r>
          </w:p>
        </w:tc>
        <w:tc>
          <w:tcPr>
            <w:tcW w:w="1088" w:type="dxa"/>
            <w:tcBorders>
              <w:top w:val="nil"/>
              <w:left w:val="nil"/>
              <w:bottom w:val="double" w:sz="6" w:space="0" w:color="auto"/>
              <w:right w:val="single" w:sz="4" w:space="0" w:color="auto"/>
            </w:tcBorders>
            <w:noWrap/>
            <w:vAlign w:val="bottom"/>
            <w:hideMark/>
          </w:tcPr>
          <w:p w14:paraId="0EB6FCF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$4.97</w:t>
            </w:r>
          </w:p>
        </w:tc>
      </w:tr>
    </w:tbl>
    <w:p w14:paraId="2BE8D118" w14:textId="77777777" w:rsidR="00987360" w:rsidRPr="009225E6" w:rsidRDefault="00987360" w:rsidP="00987360">
      <w:pPr>
        <w:spacing w:line="360" w:lineRule="auto"/>
        <w:jc w:val="both"/>
        <w:rPr>
          <w:rFonts w:ascii="Times New Roman" w:hAnsi="Times New Roman" w:cs="Times New Roman"/>
          <w:sz w:val="24"/>
          <w:szCs w:val="24"/>
          <w:lang w:val="en-US"/>
        </w:rPr>
      </w:pPr>
    </w:p>
    <w:tbl>
      <w:tblPr>
        <w:tblW w:w="4880" w:type="dxa"/>
        <w:tblInd w:w="93" w:type="dxa"/>
        <w:tblLook w:val="04A0" w:firstRow="1" w:lastRow="0" w:firstColumn="1" w:lastColumn="0" w:noHBand="0" w:noVBand="1"/>
      </w:tblPr>
      <w:tblGrid>
        <w:gridCol w:w="960"/>
        <w:gridCol w:w="1600"/>
        <w:gridCol w:w="2320"/>
      </w:tblGrid>
      <w:tr w:rsidR="00987360" w:rsidRPr="009225E6" w14:paraId="18CAA4BB" w14:textId="77777777" w:rsidTr="00BD023E">
        <w:trPr>
          <w:trHeight w:val="315"/>
        </w:trPr>
        <w:tc>
          <w:tcPr>
            <w:tcW w:w="960" w:type="dxa"/>
            <w:tcBorders>
              <w:top w:val="single" w:sz="4" w:space="0" w:color="auto"/>
              <w:left w:val="single" w:sz="4" w:space="0" w:color="auto"/>
              <w:bottom w:val="double" w:sz="6" w:space="0" w:color="auto"/>
              <w:right w:val="single" w:sz="4" w:space="0" w:color="auto"/>
            </w:tcBorders>
            <w:noWrap/>
            <w:vAlign w:val="bottom"/>
            <w:hideMark/>
          </w:tcPr>
          <w:p w14:paraId="1DAA3D51"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Year </w:t>
            </w:r>
          </w:p>
        </w:tc>
        <w:tc>
          <w:tcPr>
            <w:tcW w:w="1600" w:type="dxa"/>
            <w:tcBorders>
              <w:top w:val="single" w:sz="4" w:space="0" w:color="auto"/>
              <w:left w:val="nil"/>
              <w:bottom w:val="double" w:sz="6" w:space="0" w:color="auto"/>
              <w:right w:val="single" w:sz="4" w:space="0" w:color="auto"/>
            </w:tcBorders>
            <w:noWrap/>
            <w:vAlign w:val="bottom"/>
            <w:hideMark/>
          </w:tcPr>
          <w:p w14:paraId="26FF1DBA"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Net Cash Inflow</w:t>
            </w:r>
          </w:p>
        </w:tc>
        <w:tc>
          <w:tcPr>
            <w:tcW w:w="2320" w:type="dxa"/>
            <w:tcBorders>
              <w:top w:val="single" w:sz="4" w:space="0" w:color="auto"/>
              <w:left w:val="nil"/>
              <w:bottom w:val="double" w:sz="6" w:space="0" w:color="auto"/>
              <w:right w:val="single" w:sz="4" w:space="0" w:color="auto"/>
            </w:tcBorders>
            <w:noWrap/>
            <w:vAlign w:val="bottom"/>
            <w:hideMark/>
          </w:tcPr>
          <w:p w14:paraId="24241F1F"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roofErr w:type="spellStart"/>
            <w:r w:rsidRPr="009225E6">
              <w:rPr>
                <w:rFonts w:ascii="Times New Roman" w:eastAsia="Times New Roman" w:hAnsi="Times New Roman" w:cs="Times New Roman"/>
                <w:b/>
                <w:bCs/>
                <w:color w:val="000000"/>
                <w:lang w:val="en-US"/>
              </w:rPr>
              <w:t>Cummulative</w:t>
            </w:r>
            <w:proofErr w:type="spellEnd"/>
            <w:r w:rsidRPr="009225E6">
              <w:rPr>
                <w:rFonts w:ascii="Times New Roman" w:eastAsia="Times New Roman" w:hAnsi="Times New Roman" w:cs="Times New Roman"/>
                <w:b/>
                <w:bCs/>
                <w:color w:val="000000"/>
                <w:lang w:val="en-US"/>
              </w:rPr>
              <w:t xml:space="preserve"> cash flow</w:t>
            </w:r>
          </w:p>
        </w:tc>
      </w:tr>
      <w:tr w:rsidR="00987360" w:rsidRPr="009225E6" w14:paraId="0BEB7348"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311E63D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1600" w:type="dxa"/>
            <w:tcBorders>
              <w:top w:val="nil"/>
              <w:left w:val="nil"/>
              <w:bottom w:val="single" w:sz="4" w:space="0" w:color="auto"/>
              <w:right w:val="single" w:sz="4" w:space="0" w:color="auto"/>
            </w:tcBorders>
            <w:noWrap/>
            <w:vAlign w:val="bottom"/>
            <w:hideMark/>
          </w:tcPr>
          <w:p w14:paraId="75E80025"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320" w:type="dxa"/>
            <w:tcBorders>
              <w:top w:val="nil"/>
              <w:left w:val="nil"/>
              <w:bottom w:val="single" w:sz="4" w:space="0" w:color="auto"/>
              <w:right w:val="single" w:sz="4" w:space="0" w:color="auto"/>
            </w:tcBorders>
            <w:noWrap/>
            <w:vAlign w:val="bottom"/>
            <w:hideMark/>
          </w:tcPr>
          <w:p w14:paraId="605A869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w:t>
            </w:r>
          </w:p>
        </w:tc>
      </w:tr>
      <w:tr w:rsidR="00987360" w:rsidRPr="009225E6" w14:paraId="6C1EE606"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62B24BC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1600" w:type="dxa"/>
            <w:tcBorders>
              <w:top w:val="nil"/>
              <w:left w:val="nil"/>
              <w:bottom w:val="single" w:sz="4" w:space="0" w:color="auto"/>
              <w:right w:val="single" w:sz="4" w:space="0" w:color="auto"/>
            </w:tcBorders>
            <w:noWrap/>
            <w:vAlign w:val="bottom"/>
            <w:hideMark/>
          </w:tcPr>
          <w:p w14:paraId="6D10E03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w:t>
            </w:r>
          </w:p>
        </w:tc>
        <w:tc>
          <w:tcPr>
            <w:tcW w:w="2320" w:type="dxa"/>
            <w:tcBorders>
              <w:top w:val="nil"/>
              <w:left w:val="nil"/>
              <w:bottom w:val="single" w:sz="4" w:space="0" w:color="auto"/>
              <w:right w:val="single" w:sz="4" w:space="0" w:color="auto"/>
            </w:tcBorders>
            <w:noWrap/>
            <w:vAlign w:val="bottom"/>
            <w:hideMark/>
          </w:tcPr>
          <w:p w14:paraId="3B7755A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-31</w:t>
            </w:r>
          </w:p>
        </w:tc>
      </w:tr>
      <w:tr w:rsidR="00987360" w:rsidRPr="009225E6" w14:paraId="701EAC0A" w14:textId="77777777" w:rsidTr="00BD023E">
        <w:trPr>
          <w:trHeight w:val="300"/>
        </w:trPr>
        <w:tc>
          <w:tcPr>
            <w:tcW w:w="960" w:type="dxa"/>
            <w:tcBorders>
              <w:top w:val="nil"/>
              <w:left w:val="single" w:sz="4" w:space="0" w:color="auto"/>
              <w:bottom w:val="single" w:sz="4" w:space="0" w:color="auto"/>
              <w:right w:val="single" w:sz="4" w:space="0" w:color="auto"/>
            </w:tcBorders>
            <w:noWrap/>
            <w:vAlign w:val="bottom"/>
            <w:hideMark/>
          </w:tcPr>
          <w:p w14:paraId="786B710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1600" w:type="dxa"/>
            <w:tcBorders>
              <w:top w:val="nil"/>
              <w:left w:val="nil"/>
              <w:bottom w:val="single" w:sz="4" w:space="0" w:color="auto"/>
              <w:right w:val="single" w:sz="4" w:space="0" w:color="auto"/>
            </w:tcBorders>
            <w:noWrap/>
            <w:vAlign w:val="bottom"/>
            <w:hideMark/>
          </w:tcPr>
          <w:p w14:paraId="4CDB4B3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2320" w:type="dxa"/>
            <w:tcBorders>
              <w:top w:val="nil"/>
              <w:left w:val="nil"/>
              <w:bottom w:val="single" w:sz="4" w:space="0" w:color="auto"/>
              <w:right w:val="single" w:sz="4" w:space="0" w:color="auto"/>
            </w:tcBorders>
            <w:noWrap/>
            <w:vAlign w:val="bottom"/>
            <w:hideMark/>
          </w:tcPr>
          <w:p w14:paraId="13E26A8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-21</w:t>
            </w:r>
          </w:p>
        </w:tc>
      </w:tr>
      <w:tr w:rsidR="00987360" w:rsidRPr="009225E6" w14:paraId="41BFBF03"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63BAEF6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1600" w:type="dxa"/>
            <w:tcBorders>
              <w:top w:val="nil"/>
              <w:left w:val="nil"/>
              <w:bottom w:val="single" w:sz="4" w:space="0" w:color="auto"/>
              <w:right w:val="single" w:sz="4" w:space="0" w:color="auto"/>
            </w:tcBorders>
            <w:noWrap/>
            <w:vAlign w:val="bottom"/>
            <w:hideMark/>
          </w:tcPr>
          <w:p w14:paraId="157EE7F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2320" w:type="dxa"/>
            <w:tcBorders>
              <w:top w:val="nil"/>
              <w:left w:val="nil"/>
              <w:bottom w:val="single" w:sz="4" w:space="0" w:color="auto"/>
              <w:right w:val="single" w:sz="4" w:space="0" w:color="auto"/>
            </w:tcBorders>
            <w:noWrap/>
            <w:vAlign w:val="bottom"/>
            <w:hideMark/>
          </w:tcPr>
          <w:p w14:paraId="40957BE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3BEB5EC0" w14:textId="77777777" w:rsidTr="00BD023E">
        <w:trPr>
          <w:trHeight w:val="315"/>
        </w:trPr>
        <w:tc>
          <w:tcPr>
            <w:tcW w:w="960" w:type="dxa"/>
            <w:tcBorders>
              <w:top w:val="nil"/>
              <w:left w:val="single" w:sz="4" w:space="0" w:color="auto"/>
              <w:bottom w:val="single" w:sz="4" w:space="0" w:color="auto"/>
              <w:right w:val="single" w:sz="4" w:space="0" w:color="auto"/>
            </w:tcBorders>
            <w:noWrap/>
            <w:vAlign w:val="bottom"/>
            <w:hideMark/>
          </w:tcPr>
          <w:p w14:paraId="740FAB5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600" w:type="dxa"/>
            <w:tcBorders>
              <w:top w:val="nil"/>
              <w:left w:val="nil"/>
              <w:bottom w:val="single" w:sz="4" w:space="0" w:color="auto"/>
              <w:right w:val="single" w:sz="4" w:space="0" w:color="auto"/>
            </w:tcBorders>
            <w:noWrap/>
            <w:vAlign w:val="bottom"/>
            <w:hideMark/>
          </w:tcPr>
          <w:p w14:paraId="182DB70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w:t>
            </w:r>
          </w:p>
        </w:tc>
        <w:tc>
          <w:tcPr>
            <w:tcW w:w="2320" w:type="dxa"/>
            <w:tcBorders>
              <w:top w:val="nil"/>
              <w:left w:val="nil"/>
              <w:bottom w:val="single" w:sz="4" w:space="0" w:color="auto"/>
              <w:right w:val="single" w:sz="4" w:space="0" w:color="auto"/>
            </w:tcBorders>
            <w:noWrap/>
            <w:vAlign w:val="bottom"/>
            <w:hideMark/>
          </w:tcPr>
          <w:p w14:paraId="2CD3297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r>
      <w:tr w:rsidR="00987360" w:rsidRPr="009225E6" w14:paraId="312E1C87" w14:textId="77777777" w:rsidTr="00BD023E">
        <w:trPr>
          <w:trHeight w:val="315"/>
        </w:trPr>
        <w:tc>
          <w:tcPr>
            <w:tcW w:w="960" w:type="dxa"/>
            <w:tcBorders>
              <w:top w:val="nil"/>
              <w:left w:val="single" w:sz="4" w:space="0" w:color="auto"/>
              <w:bottom w:val="double" w:sz="6" w:space="0" w:color="auto"/>
              <w:right w:val="single" w:sz="4" w:space="0" w:color="auto"/>
            </w:tcBorders>
            <w:noWrap/>
            <w:vAlign w:val="bottom"/>
            <w:hideMark/>
          </w:tcPr>
          <w:p w14:paraId="4F9ECA6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1600" w:type="dxa"/>
            <w:tcBorders>
              <w:top w:val="nil"/>
              <w:left w:val="nil"/>
              <w:bottom w:val="double" w:sz="6" w:space="0" w:color="auto"/>
              <w:right w:val="single" w:sz="4" w:space="0" w:color="auto"/>
            </w:tcBorders>
            <w:noWrap/>
            <w:vAlign w:val="bottom"/>
            <w:hideMark/>
          </w:tcPr>
          <w:p w14:paraId="19C6FB4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2320" w:type="dxa"/>
            <w:tcBorders>
              <w:top w:val="nil"/>
              <w:left w:val="nil"/>
              <w:bottom w:val="double" w:sz="6" w:space="0" w:color="auto"/>
              <w:right w:val="single" w:sz="4" w:space="0" w:color="auto"/>
            </w:tcBorders>
            <w:noWrap/>
            <w:vAlign w:val="bottom"/>
            <w:hideMark/>
          </w:tcPr>
          <w:p w14:paraId="01A1A47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r>
    </w:tbl>
    <w:p w14:paraId="51093797" w14:textId="77777777" w:rsidR="00987360" w:rsidRPr="009225E6" w:rsidRDefault="00987360" w:rsidP="00987360">
      <w:pPr>
        <w:spacing w:line="360" w:lineRule="auto"/>
        <w:jc w:val="both"/>
        <w:rPr>
          <w:rFonts w:ascii="Times New Roman" w:hAnsi="Times New Roman" w:cs="Times New Roman"/>
          <w:sz w:val="24"/>
          <w:szCs w:val="24"/>
          <w:lang w:val="en-US"/>
        </w:rPr>
      </w:pPr>
    </w:p>
    <w:p w14:paraId="69A68B4F"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sz w:val="24"/>
          <w:szCs w:val="24"/>
          <w:lang w:val="en-US"/>
        </w:rPr>
        <w:t>ARR =</w:t>
      </w:r>
      <w:r w:rsidRPr="009225E6">
        <w:rPr>
          <w:rFonts w:ascii="Times New Roman" w:hAnsi="Times New Roman" w:cs="Times New Roman"/>
          <w:color w:val="001D35"/>
          <w:shd w:val="clear" w:color="auto" w:fill="FFFFFF"/>
        </w:rPr>
        <w:t>Year before full recovery + (Unrecovered cost at the start of the year / Cash flow during that year)</w:t>
      </w:r>
    </w:p>
    <w:p w14:paraId="353B49FD"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lastRenderedPageBreak/>
        <w:t>PBP = 4 + (3/5)</w:t>
      </w:r>
    </w:p>
    <w:p w14:paraId="3E924527"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4 + 0.6</w:t>
      </w:r>
    </w:p>
    <w:p w14:paraId="0C73C5A2"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4.6 Years</w:t>
      </w:r>
    </w:p>
    <w:p w14:paraId="507190DF" w14:textId="77777777" w:rsidR="00987360" w:rsidRPr="009225E6" w:rsidRDefault="00987360" w:rsidP="00987360">
      <w:pPr>
        <w:spacing w:line="360" w:lineRule="auto"/>
        <w:jc w:val="both"/>
        <w:rPr>
          <w:rFonts w:ascii="Times New Roman" w:hAnsi="Times New Roman" w:cs="Times New Roman"/>
          <w:b/>
          <w:sz w:val="24"/>
          <w:szCs w:val="24"/>
          <w:lang w:val="en-US"/>
        </w:rPr>
      </w:pPr>
      <w:r w:rsidRPr="009225E6">
        <w:rPr>
          <w:rFonts w:ascii="Times New Roman" w:hAnsi="Times New Roman" w:cs="Times New Roman"/>
          <w:b/>
          <w:sz w:val="24"/>
          <w:szCs w:val="24"/>
          <w:lang w:val="en-US"/>
        </w:rPr>
        <w:t>Project B</w:t>
      </w:r>
    </w:p>
    <w:p w14:paraId="2FCF9D9E"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ARR =</m:t>
          </m:r>
          <m:f>
            <m:fPr>
              <m:ctrlPr>
                <w:rPr>
                  <w:rFonts w:ascii="Cambria Math" w:hAnsi="Cambria Math" w:cs="Times New Roman"/>
                  <w:sz w:val="24"/>
                  <w:szCs w:val="24"/>
                  <w:lang w:val="en-US"/>
                </w:rPr>
              </m:ctrlPr>
            </m:fPr>
            <m:num>
              <m:r>
                <m:rPr>
                  <m:sty m:val="p"/>
                </m:rPr>
                <w:rPr>
                  <w:rFonts w:ascii="Cambria Math" w:hAnsi="Cambria Math" w:cs="Times New Roman"/>
                  <w:sz w:val="24"/>
                  <w:szCs w:val="24"/>
                  <w:lang w:val="en-US"/>
                </w:rPr>
                <m:t>Average Annual Net Cash Flows</m:t>
              </m:r>
            </m:num>
            <m:den>
              <m:r>
                <m:rPr>
                  <m:sty m:val="p"/>
                </m:rPr>
                <w:rPr>
                  <w:rFonts w:ascii="Cambria Math" w:hAnsi="Cambria Math" w:cs="Times New Roman"/>
                  <w:sz w:val="24"/>
                  <w:szCs w:val="24"/>
                  <w:lang w:val="en-US"/>
                </w:rPr>
                <m:t>Initial Investment</m:t>
              </m:r>
            </m:den>
          </m:f>
        </m:oMath>
      </m:oMathPara>
    </w:p>
    <w:p w14:paraId="4ADE91BC" w14:textId="77777777" w:rsidR="00987360" w:rsidRPr="009225E6" w:rsidRDefault="00987360" w:rsidP="00987360">
      <w:pPr>
        <w:spacing w:line="360" w:lineRule="auto"/>
        <w:jc w:val="both"/>
        <w:rPr>
          <w:rFonts w:ascii="Times New Roman" w:hAnsi="Times New Roman" w:cs="Times New Roman"/>
          <w:sz w:val="24"/>
          <w:szCs w:val="24"/>
          <w:lang w:val="en-US"/>
        </w:rPr>
      </w:pPr>
    </w:p>
    <w:tbl>
      <w:tblPr>
        <w:tblW w:w="4493" w:type="dxa"/>
        <w:tblInd w:w="93" w:type="dxa"/>
        <w:tblLook w:val="04A0" w:firstRow="1" w:lastRow="0" w:firstColumn="1" w:lastColumn="0" w:noHBand="0" w:noVBand="1"/>
      </w:tblPr>
      <w:tblGrid>
        <w:gridCol w:w="1685"/>
        <w:gridCol w:w="2808"/>
      </w:tblGrid>
      <w:tr w:rsidR="00987360" w:rsidRPr="009225E6" w14:paraId="2D72F8D9" w14:textId="77777777" w:rsidTr="00BD023E">
        <w:trPr>
          <w:trHeight w:val="296"/>
        </w:trPr>
        <w:tc>
          <w:tcPr>
            <w:tcW w:w="1685" w:type="dxa"/>
            <w:tcBorders>
              <w:top w:val="single" w:sz="4" w:space="0" w:color="auto"/>
              <w:left w:val="single" w:sz="4" w:space="0" w:color="auto"/>
              <w:bottom w:val="double" w:sz="6" w:space="0" w:color="auto"/>
              <w:right w:val="single" w:sz="4" w:space="0" w:color="auto"/>
            </w:tcBorders>
            <w:noWrap/>
            <w:vAlign w:val="bottom"/>
            <w:hideMark/>
          </w:tcPr>
          <w:p w14:paraId="5789C33F"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 xml:space="preserve">Year </w:t>
            </w:r>
          </w:p>
        </w:tc>
        <w:tc>
          <w:tcPr>
            <w:tcW w:w="2808" w:type="dxa"/>
            <w:tcBorders>
              <w:top w:val="single" w:sz="4" w:space="0" w:color="auto"/>
              <w:left w:val="nil"/>
              <w:bottom w:val="double" w:sz="6" w:space="0" w:color="auto"/>
              <w:right w:val="single" w:sz="4" w:space="0" w:color="auto"/>
            </w:tcBorders>
            <w:noWrap/>
            <w:vAlign w:val="bottom"/>
            <w:hideMark/>
          </w:tcPr>
          <w:p w14:paraId="5B141B95"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Net Cash Inflow</w:t>
            </w:r>
          </w:p>
        </w:tc>
      </w:tr>
      <w:tr w:rsidR="00987360" w:rsidRPr="009225E6" w14:paraId="7A10B14A" w14:textId="77777777" w:rsidTr="00BD023E">
        <w:trPr>
          <w:trHeight w:val="296"/>
        </w:trPr>
        <w:tc>
          <w:tcPr>
            <w:tcW w:w="1685" w:type="dxa"/>
            <w:tcBorders>
              <w:top w:val="nil"/>
              <w:left w:val="single" w:sz="4" w:space="0" w:color="auto"/>
              <w:bottom w:val="single" w:sz="4" w:space="0" w:color="auto"/>
              <w:right w:val="single" w:sz="4" w:space="0" w:color="auto"/>
            </w:tcBorders>
            <w:noWrap/>
            <w:vAlign w:val="bottom"/>
            <w:hideMark/>
          </w:tcPr>
          <w:p w14:paraId="2EC16EE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2808" w:type="dxa"/>
            <w:tcBorders>
              <w:top w:val="nil"/>
              <w:left w:val="nil"/>
              <w:bottom w:val="single" w:sz="4" w:space="0" w:color="auto"/>
              <w:right w:val="single" w:sz="4" w:space="0" w:color="auto"/>
            </w:tcBorders>
            <w:noWrap/>
            <w:vAlign w:val="bottom"/>
            <w:hideMark/>
          </w:tcPr>
          <w:p w14:paraId="4DC7839B"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r>
      <w:tr w:rsidR="00987360" w:rsidRPr="009225E6" w14:paraId="24F9F40C" w14:textId="77777777" w:rsidTr="00BD023E">
        <w:trPr>
          <w:trHeight w:val="282"/>
        </w:trPr>
        <w:tc>
          <w:tcPr>
            <w:tcW w:w="1685" w:type="dxa"/>
            <w:tcBorders>
              <w:top w:val="nil"/>
              <w:left w:val="single" w:sz="4" w:space="0" w:color="auto"/>
              <w:bottom w:val="single" w:sz="4" w:space="0" w:color="auto"/>
              <w:right w:val="single" w:sz="4" w:space="0" w:color="auto"/>
            </w:tcBorders>
            <w:noWrap/>
            <w:vAlign w:val="bottom"/>
            <w:hideMark/>
          </w:tcPr>
          <w:p w14:paraId="6D6E57D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2808" w:type="dxa"/>
            <w:tcBorders>
              <w:top w:val="nil"/>
              <w:left w:val="nil"/>
              <w:bottom w:val="single" w:sz="4" w:space="0" w:color="auto"/>
              <w:right w:val="single" w:sz="4" w:space="0" w:color="auto"/>
            </w:tcBorders>
            <w:noWrap/>
            <w:vAlign w:val="bottom"/>
            <w:hideMark/>
          </w:tcPr>
          <w:p w14:paraId="3D2DE6B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45327BD3" w14:textId="77777777" w:rsidTr="00BD023E">
        <w:trPr>
          <w:trHeight w:val="282"/>
        </w:trPr>
        <w:tc>
          <w:tcPr>
            <w:tcW w:w="1685" w:type="dxa"/>
            <w:tcBorders>
              <w:top w:val="nil"/>
              <w:left w:val="single" w:sz="4" w:space="0" w:color="auto"/>
              <w:bottom w:val="single" w:sz="4" w:space="0" w:color="auto"/>
              <w:right w:val="single" w:sz="4" w:space="0" w:color="auto"/>
            </w:tcBorders>
            <w:noWrap/>
            <w:vAlign w:val="bottom"/>
            <w:hideMark/>
          </w:tcPr>
          <w:p w14:paraId="24142ED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2808" w:type="dxa"/>
            <w:tcBorders>
              <w:top w:val="nil"/>
              <w:left w:val="nil"/>
              <w:bottom w:val="single" w:sz="4" w:space="0" w:color="auto"/>
              <w:right w:val="single" w:sz="4" w:space="0" w:color="auto"/>
            </w:tcBorders>
            <w:noWrap/>
            <w:vAlign w:val="bottom"/>
            <w:hideMark/>
          </w:tcPr>
          <w:p w14:paraId="3556276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527EB55E" w14:textId="77777777" w:rsidTr="00BD023E">
        <w:trPr>
          <w:trHeight w:val="282"/>
        </w:trPr>
        <w:tc>
          <w:tcPr>
            <w:tcW w:w="1685" w:type="dxa"/>
            <w:tcBorders>
              <w:top w:val="nil"/>
              <w:left w:val="single" w:sz="4" w:space="0" w:color="auto"/>
              <w:bottom w:val="single" w:sz="4" w:space="0" w:color="auto"/>
              <w:right w:val="single" w:sz="4" w:space="0" w:color="auto"/>
            </w:tcBorders>
            <w:noWrap/>
            <w:vAlign w:val="bottom"/>
            <w:hideMark/>
          </w:tcPr>
          <w:p w14:paraId="3CC52C9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2808" w:type="dxa"/>
            <w:tcBorders>
              <w:top w:val="nil"/>
              <w:left w:val="nil"/>
              <w:bottom w:val="single" w:sz="4" w:space="0" w:color="auto"/>
              <w:right w:val="single" w:sz="4" w:space="0" w:color="auto"/>
            </w:tcBorders>
            <w:noWrap/>
            <w:vAlign w:val="bottom"/>
            <w:hideMark/>
          </w:tcPr>
          <w:p w14:paraId="734C55A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67F63C2E" w14:textId="77777777" w:rsidTr="00BD023E">
        <w:trPr>
          <w:trHeight w:val="282"/>
        </w:trPr>
        <w:tc>
          <w:tcPr>
            <w:tcW w:w="1685" w:type="dxa"/>
            <w:tcBorders>
              <w:top w:val="nil"/>
              <w:left w:val="single" w:sz="4" w:space="0" w:color="auto"/>
              <w:bottom w:val="single" w:sz="4" w:space="0" w:color="auto"/>
              <w:right w:val="single" w:sz="4" w:space="0" w:color="auto"/>
            </w:tcBorders>
            <w:noWrap/>
            <w:vAlign w:val="bottom"/>
            <w:hideMark/>
          </w:tcPr>
          <w:p w14:paraId="6200BEE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2808" w:type="dxa"/>
            <w:tcBorders>
              <w:top w:val="nil"/>
              <w:left w:val="nil"/>
              <w:bottom w:val="single" w:sz="4" w:space="0" w:color="auto"/>
              <w:right w:val="single" w:sz="4" w:space="0" w:color="auto"/>
            </w:tcBorders>
            <w:noWrap/>
            <w:vAlign w:val="bottom"/>
            <w:hideMark/>
          </w:tcPr>
          <w:p w14:paraId="51A9538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3D3C37E7" w14:textId="77777777" w:rsidTr="00BD023E">
        <w:trPr>
          <w:trHeight w:val="282"/>
        </w:trPr>
        <w:tc>
          <w:tcPr>
            <w:tcW w:w="1685" w:type="dxa"/>
            <w:tcBorders>
              <w:top w:val="nil"/>
              <w:left w:val="single" w:sz="4" w:space="0" w:color="auto"/>
              <w:bottom w:val="nil"/>
              <w:right w:val="single" w:sz="4" w:space="0" w:color="auto"/>
            </w:tcBorders>
            <w:noWrap/>
            <w:vAlign w:val="bottom"/>
            <w:hideMark/>
          </w:tcPr>
          <w:p w14:paraId="6C6F9E4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2808" w:type="dxa"/>
            <w:tcBorders>
              <w:top w:val="nil"/>
              <w:left w:val="nil"/>
              <w:bottom w:val="nil"/>
              <w:right w:val="single" w:sz="4" w:space="0" w:color="auto"/>
            </w:tcBorders>
            <w:noWrap/>
            <w:vAlign w:val="bottom"/>
            <w:hideMark/>
          </w:tcPr>
          <w:p w14:paraId="111712E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w:t>
            </w:r>
          </w:p>
        </w:tc>
      </w:tr>
      <w:tr w:rsidR="00987360" w:rsidRPr="009225E6" w14:paraId="078FD224" w14:textId="77777777" w:rsidTr="00BD023E">
        <w:trPr>
          <w:trHeight w:val="296"/>
        </w:trPr>
        <w:tc>
          <w:tcPr>
            <w:tcW w:w="1685" w:type="dxa"/>
            <w:tcBorders>
              <w:top w:val="single" w:sz="4" w:space="0" w:color="auto"/>
              <w:left w:val="single" w:sz="4" w:space="0" w:color="auto"/>
              <w:bottom w:val="double" w:sz="6" w:space="0" w:color="auto"/>
              <w:right w:val="single" w:sz="4" w:space="0" w:color="auto"/>
            </w:tcBorders>
            <w:noWrap/>
            <w:vAlign w:val="bottom"/>
            <w:hideMark/>
          </w:tcPr>
          <w:p w14:paraId="4A395D8D"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2808" w:type="dxa"/>
            <w:tcBorders>
              <w:top w:val="single" w:sz="4" w:space="0" w:color="auto"/>
              <w:left w:val="nil"/>
              <w:bottom w:val="double" w:sz="6" w:space="0" w:color="auto"/>
              <w:right w:val="single" w:sz="4" w:space="0" w:color="auto"/>
            </w:tcBorders>
            <w:noWrap/>
            <w:vAlign w:val="bottom"/>
            <w:hideMark/>
          </w:tcPr>
          <w:p w14:paraId="15C6D2C0"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36/6 =£6</w:t>
            </w:r>
          </w:p>
        </w:tc>
      </w:tr>
    </w:tbl>
    <w:p w14:paraId="337D6002" w14:textId="77777777" w:rsidR="00987360" w:rsidRPr="009225E6" w:rsidRDefault="00987360" w:rsidP="00987360">
      <w:pPr>
        <w:spacing w:line="360" w:lineRule="auto"/>
        <w:jc w:val="both"/>
        <w:rPr>
          <w:rFonts w:ascii="Times New Roman" w:hAnsi="Times New Roman" w:cs="Times New Roman"/>
          <w:sz w:val="24"/>
          <w:szCs w:val="24"/>
          <w:lang w:val="en-US"/>
        </w:rPr>
      </w:pPr>
    </w:p>
    <w:p w14:paraId="6BD8F7A7"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ARR =</m:t>
          </m:r>
          <m:f>
            <m:fPr>
              <m:ctrlPr>
                <w:rPr>
                  <w:rFonts w:ascii="Cambria Math" w:hAnsi="Cambria Math" w:cs="Times New Roman"/>
                  <w:sz w:val="24"/>
                  <w:szCs w:val="24"/>
                  <w:lang w:val="en-US"/>
                </w:rPr>
              </m:ctrlPr>
            </m:fPr>
            <m:num>
              <m:r>
                <m:rPr>
                  <m:sty m:val="p"/>
                </m:rPr>
                <w:rPr>
                  <w:rFonts w:ascii="Cambria Math" w:hAnsi="Cambria Math" w:cs="Times New Roman"/>
                  <w:sz w:val="24"/>
                  <w:szCs w:val="24"/>
                  <w:lang w:val="en-US"/>
                </w:rPr>
                <m:t>6</m:t>
              </m:r>
            </m:num>
            <m:den>
              <m:r>
                <m:rPr>
                  <m:sty m:val="p"/>
                </m:rPr>
                <w:rPr>
                  <w:rFonts w:ascii="Cambria Math" w:hAnsi="Cambria Math" w:cs="Times New Roman"/>
                  <w:sz w:val="24"/>
                  <w:szCs w:val="24"/>
                  <w:lang w:val="en-US"/>
                </w:rPr>
                <m:t>30</m:t>
              </m:r>
            </m:den>
          </m:f>
        </m:oMath>
      </m:oMathPara>
    </w:p>
    <w:p w14:paraId="7DA1B414" w14:textId="77777777" w:rsidR="00987360" w:rsidRPr="009225E6" w:rsidRDefault="00987360" w:rsidP="00987360">
      <w:pPr>
        <w:rPr>
          <w:rFonts w:ascii="Times New Roman" w:hAnsi="Times New Roman" w:cs="Times New Roman"/>
          <w:sz w:val="24"/>
          <w:szCs w:val="24"/>
          <w:lang w:val="en-US"/>
        </w:rPr>
      </w:pPr>
    </w:p>
    <w:p w14:paraId="3F86718E"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ARR =0.2*100</m:t>
          </m:r>
        </m:oMath>
      </m:oMathPara>
    </w:p>
    <w:p w14:paraId="23BF2C08" w14:textId="77777777" w:rsidR="00987360" w:rsidRPr="009225E6" w:rsidRDefault="00987360" w:rsidP="00987360">
      <w:pPr>
        <w:rPr>
          <w:rFonts w:ascii="Times New Roman" w:hAnsi="Times New Roman" w:cs="Times New Roman"/>
          <w:sz w:val="24"/>
          <w:szCs w:val="24"/>
          <w:lang w:val="en-US"/>
        </w:rPr>
      </w:pPr>
    </w:p>
    <w:p w14:paraId="7808E168" w14:textId="77777777" w:rsidR="00987360" w:rsidRPr="009225E6" w:rsidRDefault="00987360" w:rsidP="00987360">
      <w:pPr>
        <w:rPr>
          <w:rFonts w:ascii="Times New Roman" w:hAnsi="Times New Roman" w:cs="Times New Roman"/>
          <w:sz w:val="24"/>
          <w:szCs w:val="24"/>
          <w:lang w:val="en-US"/>
        </w:rPr>
      </w:pPr>
      <m:oMathPara>
        <m:oMathParaPr>
          <m:jc m:val="left"/>
        </m:oMathParaPr>
        <m:oMath>
          <m:r>
            <m:rPr>
              <m:sty m:val="p"/>
            </m:rPr>
            <w:rPr>
              <w:rFonts w:ascii="Cambria Math" w:hAnsi="Cambria Math" w:cs="Times New Roman"/>
              <w:sz w:val="24"/>
              <w:szCs w:val="24"/>
              <w:lang w:val="en-US"/>
            </w:rPr>
            <m:t>ARR =20%</m:t>
          </m:r>
        </m:oMath>
      </m:oMathPara>
    </w:p>
    <w:p w14:paraId="07BC3CF5" w14:textId="77777777" w:rsidR="00987360" w:rsidRPr="009225E6" w:rsidRDefault="00987360" w:rsidP="00987360">
      <w:pPr>
        <w:jc w:val="center"/>
        <w:rPr>
          <w:rFonts w:ascii="Times New Roman" w:hAnsi="Times New Roman" w:cs="Times New Roman"/>
          <w:sz w:val="24"/>
          <w:szCs w:val="24"/>
          <w:lang w:val="en-US"/>
        </w:rPr>
      </w:pPr>
    </w:p>
    <w:p w14:paraId="5B7B4550" w14:textId="77777777" w:rsidR="00987360" w:rsidRPr="009225E6" w:rsidRDefault="00987360" w:rsidP="00987360">
      <w:pPr>
        <w:rPr>
          <w:rFonts w:ascii="Times New Roman" w:hAnsi="Times New Roman" w:cs="Times New Roman"/>
          <w:b/>
          <w:sz w:val="24"/>
          <w:szCs w:val="24"/>
          <w:lang w:val="en-US"/>
        </w:rPr>
      </w:pPr>
    </w:p>
    <w:p w14:paraId="231F04C0" w14:textId="77777777" w:rsidR="00987360" w:rsidRPr="009225E6" w:rsidRDefault="00987360" w:rsidP="00987360">
      <w:pPr>
        <w:rPr>
          <w:rFonts w:ascii="Times New Roman" w:hAnsi="Times New Roman" w:cs="Times New Roman"/>
          <w:b/>
          <w:sz w:val="24"/>
          <w:szCs w:val="24"/>
          <w:lang w:val="en-US"/>
        </w:rPr>
      </w:pPr>
      <w:r w:rsidRPr="009225E6">
        <w:rPr>
          <w:rFonts w:ascii="Times New Roman" w:hAnsi="Times New Roman" w:cs="Times New Roman"/>
          <w:b/>
          <w:sz w:val="24"/>
          <w:szCs w:val="24"/>
          <w:lang w:val="en-US"/>
        </w:rPr>
        <w:t>Project C</w:t>
      </w:r>
    </w:p>
    <w:p w14:paraId="780608CC" w14:textId="77777777" w:rsidR="00987360" w:rsidRPr="009225E6" w:rsidRDefault="00987360" w:rsidP="00987360">
      <w:pPr>
        <w:spacing w:line="360" w:lineRule="auto"/>
        <w:jc w:val="both"/>
        <w:rPr>
          <w:rFonts w:ascii="Times New Roman" w:hAnsi="Times New Roman" w:cs="Times New Roman"/>
          <w:sz w:val="24"/>
          <w:szCs w:val="24"/>
          <w:lang w:val="en-US"/>
        </w:rPr>
      </w:pPr>
      <w:r w:rsidRPr="009225E6">
        <w:rPr>
          <w:rFonts w:ascii="Times New Roman" w:hAnsi="Times New Roman" w:cs="Times New Roman"/>
          <w:sz w:val="24"/>
          <w:szCs w:val="24"/>
          <w:lang w:val="en-US"/>
        </w:rPr>
        <w:t>Discounted Cash Flows</w:t>
      </w:r>
    </w:p>
    <w:tbl>
      <w:tblPr>
        <w:tblW w:w="7943" w:type="dxa"/>
        <w:tblInd w:w="93" w:type="dxa"/>
        <w:tblLook w:val="04A0" w:firstRow="1" w:lastRow="0" w:firstColumn="1" w:lastColumn="0" w:noHBand="0" w:noVBand="1"/>
      </w:tblPr>
      <w:tblGrid>
        <w:gridCol w:w="1929"/>
        <w:gridCol w:w="995"/>
        <w:gridCol w:w="1203"/>
        <w:gridCol w:w="1203"/>
        <w:gridCol w:w="1203"/>
        <w:gridCol w:w="1410"/>
      </w:tblGrid>
      <w:tr w:rsidR="00987360" w:rsidRPr="009225E6" w14:paraId="4C273818" w14:textId="77777777" w:rsidTr="00BD023E">
        <w:trPr>
          <w:trHeight w:val="327"/>
        </w:trPr>
        <w:tc>
          <w:tcPr>
            <w:tcW w:w="1929" w:type="dxa"/>
            <w:vMerge w:val="restart"/>
            <w:tcBorders>
              <w:top w:val="single" w:sz="4" w:space="0" w:color="auto"/>
              <w:left w:val="single" w:sz="4" w:space="0" w:color="auto"/>
              <w:bottom w:val="single" w:sz="4" w:space="0" w:color="000000"/>
              <w:right w:val="single" w:sz="4" w:space="0" w:color="auto"/>
            </w:tcBorders>
            <w:noWrap/>
            <w:vAlign w:val="bottom"/>
            <w:hideMark/>
          </w:tcPr>
          <w:p w14:paraId="1A8C6C27"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6013" w:type="dxa"/>
            <w:gridSpan w:val="5"/>
            <w:tcBorders>
              <w:top w:val="single" w:sz="4" w:space="0" w:color="auto"/>
              <w:left w:val="nil"/>
              <w:bottom w:val="single" w:sz="4" w:space="0" w:color="auto"/>
              <w:right w:val="single" w:sz="4" w:space="0" w:color="auto"/>
            </w:tcBorders>
            <w:noWrap/>
            <w:vAlign w:val="bottom"/>
            <w:hideMark/>
          </w:tcPr>
          <w:p w14:paraId="181DD954"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987360" w:rsidRPr="009225E6" w14:paraId="1239637C" w14:textId="77777777" w:rsidTr="00BD023E">
        <w:trPr>
          <w:trHeight w:val="327"/>
        </w:trPr>
        <w:tc>
          <w:tcPr>
            <w:tcW w:w="1929" w:type="dxa"/>
            <w:vMerge/>
            <w:tcBorders>
              <w:top w:val="single" w:sz="4" w:space="0" w:color="auto"/>
              <w:left w:val="single" w:sz="4" w:space="0" w:color="auto"/>
              <w:bottom w:val="single" w:sz="4" w:space="0" w:color="000000"/>
              <w:right w:val="single" w:sz="4" w:space="0" w:color="auto"/>
            </w:tcBorders>
            <w:vAlign w:val="center"/>
            <w:hideMark/>
          </w:tcPr>
          <w:p w14:paraId="179FBCA0"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995" w:type="dxa"/>
            <w:tcBorders>
              <w:top w:val="nil"/>
              <w:left w:val="nil"/>
              <w:bottom w:val="single" w:sz="4" w:space="0" w:color="auto"/>
              <w:right w:val="single" w:sz="4" w:space="0" w:color="auto"/>
            </w:tcBorders>
            <w:noWrap/>
            <w:vAlign w:val="bottom"/>
            <w:hideMark/>
          </w:tcPr>
          <w:p w14:paraId="6613F9A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1203" w:type="dxa"/>
            <w:tcBorders>
              <w:top w:val="nil"/>
              <w:left w:val="nil"/>
              <w:bottom w:val="single" w:sz="4" w:space="0" w:color="auto"/>
              <w:right w:val="single" w:sz="4" w:space="0" w:color="auto"/>
            </w:tcBorders>
            <w:noWrap/>
            <w:vAlign w:val="bottom"/>
            <w:hideMark/>
          </w:tcPr>
          <w:p w14:paraId="275E3A7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1203" w:type="dxa"/>
            <w:tcBorders>
              <w:top w:val="nil"/>
              <w:left w:val="nil"/>
              <w:bottom w:val="single" w:sz="4" w:space="0" w:color="auto"/>
              <w:right w:val="single" w:sz="4" w:space="0" w:color="auto"/>
            </w:tcBorders>
            <w:noWrap/>
            <w:vAlign w:val="bottom"/>
            <w:hideMark/>
          </w:tcPr>
          <w:p w14:paraId="64F6A2A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1203" w:type="dxa"/>
            <w:tcBorders>
              <w:top w:val="nil"/>
              <w:left w:val="nil"/>
              <w:bottom w:val="single" w:sz="4" w:space="0" w:color="auto"/>
              <w:right w:val="single" w:sz="4" w:space="0" w:color="auto"/>
            </w:tcBorders>
            <w:noWrap/>
            <w:vAlign w:val="bottom"/>
            <w:hideMark/>
          </w:tcPr>
          <w:p w14:paraId="64CBBBC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1410" w:type="dxa"/>
            <w:tcBorders>
              <w:top w:val="nil"/>
              <w:left w:val="nil"/>
              <w:bottom w:val="single" w:sz="4" w:space="0" w:color="auto"/>
              <w:right w:val="single" w:sz="4" w:space="0" w:color="auto"/>
            </w:tcBorders>
            <w:noWrap/>
            <w:vAlign w:val="bottom"/>
            <w:hideMark/>
          </w:tcPr>
          <w:p w14:paraId="76F0E2C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r>
      <w:tr w:rsidR="00987360" w:rsidRPr="009225E6" w14:paraId="18682EDE" w14:textId="77777777" w:rsidTr="00BD023E">
        <w:trPr>
          <w:trHeight w:val="327"/>
        </w:trPr>
        <w:tc>
          <w:tcPr>
            <w:tcW w:w="1929" w:type="dxa"/>
            <w:vMerge/>
            <w:tcBorders>
              <w:top w:val="single" w:sz="4" w:space="0" w:color="auto"/>
              <w:left w:val="single" w:sz="4" w:space="0" w:color="auto"/>
              <w:bottom w:val="single" w:sz="4" w:space="0" w:color="000000"/>
              <w:right w:val="single" w:sz="4" w:space="0" w:color="auto"/>
            </w:tcBorders>
            <w:vAlign w:val="center"/>
            <w:hideMark/>
          </w:tcPr>
          <w:p w14:paraId="3EAA4884"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995" w:type="dxa"/>
            <w:tcBorders>
              <w:top w:val="nil"/>
              <w:left w:val="nil"/>
              <w:bottom w:val="single" w:sz="4" w:space="0" w:color="auto"/>
              <w:right w:val="single" w:sz="4" w:space="0" w:color="auto"/>
            </w:tcBorders>
            <w:noWrap/>
            <w:vAlign w:val="bottom"/>
            <w:hideMark/>
          </w:tcPr>
          <w:p w14:paraId="25ACB9D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w:t>
            </w:r>
          </w:p>
        </w:tc>
        <w:tc>
          <w:tcPr>
            <w:tcW w:w="1203" w:type="dxa"/>
            <w:tcBorders>
              <w:top w:val="nil"/>
              <w:left w:val="nil"/>
              <w:bottom w:val="single" w:sz="4" w:space="0" w:color="auto"/>
              <w:right w:val="single" w:sz="4" w:space="0" w:color="auto"/>
            </w:tcBorders>
            <w:noWrap/>
            <w:vAlign w:val="bottom"/>
            <w:hideMark/>
          </w:tcPr>
          <w:p w14:paraId="6E61FDF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203" w:type="dxa"/>
            <w:tcBorders>
              <w:top w:val="nil"/>
              <w:left w:val="nil"/>
              <w:bottom w:val="single" w:sz="4" w:space="0" w:color="auto"/>
              <w:right w:val="single" w:sz="4" w:space="0" w:color="auto"/>
            </w:tcBorders>
            <w:noWrap/>
            <w:vAlign w:val="bottom"/>
            <w:hideMark/>
          </w:tcPr>
          <w:p w14:paraId="4058C18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£20.00</w:t>
            </w:r>
          </w:p>
        </w:tc>
        <w:tc>
          <w:tcPr>
            <w:tcW w:w="1203" w:type="dxa"/>
            <w:tcBorders>
              <w:top w:val="nil"/>
              <w:left w:val="nil"/>
              <w:bottom w:val="single" w:sz="4" w:space="0" w:color="auto"/>
              <w:right w:val="single" w:sz="4" w:space="0" w:color="auto"/>
            </w:tcBorders>
            <w:noWrap/>
            <w:vAlign w:val="bottom"/>
            <w:hideMark/>
          </w:tcPr>
          <w:p w14:paraId="2806096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£25.00</w:t>
            </w:r>
          </w:p>
        </w:tc>
        <w:tc>
          <w:tcPr>
            <w:tcW w:w="1410" w:type="dxa"/>
            <w:tcBorders>
              <w:top w:val="nil"/>
              <w:left w:val="nil"/>
              <w:bottom w:val="single" w:sz="4" w:space="0" w:color="auto"/>
              <w:right w:val="single" w:sz="4" w:space="0" w:color="auto"/>
            </w:tcBorders>
            <w:noWrap/>
            <w:vAlign w:val="bottom"/>
            <w:hideMark/>
          </w:tcPr>
          <w:p w14:paraId="0AA288D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£15.00</w:t>
            </w:r>
          </w:p>
        </w:tc>
      </w:tr>
      <w:tr w:rsidR="00987360" w:rsidRPr="009225E6" w14:paraId="0E69DEAE" w14:textId="77777777" w:rsidTr="00BD023E">
        <w:trPr>
          <w:trHeight w:val="311"/>
        </w:trPr>
        <w:tc>
          <w:tcPr>
            <w:tcW w:w="1929" w:type="dxa"/>
            <w:tcBorders>
              <w:top w:val="nil"/>
              <w:left w:val="single" w:sz="4" w:space="0" w:color="auto"/>
              <w:bottom w:val="single" w:sz="4" w:space="0" w:color="auto"/>
              <w:right w:val="single" w:sz="4" w:space="0" w:color="auto"/>
            </w:tcBorders>
            <w:noWrap/>
            <w:vAlign w:val="bottom"/>
            <w:hideMark/>
          </w:tcPr>
          <w:p w14:paraId="6FDACC2B"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995" w:type="dxa"/>
            <w:tcBorders>
              <w:top w:val="nil"/>
              <w:left w:val="nil"/>
              <w:bottom w:val="single" w:sz="4" w:space="0" w:color="auto"/>
              <w:right w:val="single" w:sz="4" w:space="0" w:color="auto"/>
            </w:tcBorders>
            <w:noWrap/>
            <w:vAlign w:val="bottom"/>
            <w:hideMark/>
          </w:tcPr>
          <w:p w14:paraId="37D77F7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03" w:type="dxa"/>
            <w:tcBorders>
              <w:top w:val="nil"/>
              <w:left w:val="nil"/>
              <w:bottom w:val="single" w:sz="4" w:space="0" w:color="auto"/>
              <w:right w:val="single" w:sz="4" w:space="0" w:color="auto"/>
            </w:tcBorders>
            <w:noWrap/>
            <w:vAlign w:val="bottom"/>
            <w:hideMark/>
          </w:tcPr>
          <w:p w14:paraId="6140C23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03" w:type="dxa"/>
            <w:tcBorders>
              <w:top w:val="nil"/>
              <w:left w:val="nil"/>
              <w:bottom w:val="single" w:sz="4" w:space="0" w:color="auto"/>
              <w:right w:val="single" w:sz="4" w:space="0" w:color="auto"/>
            </w:tcBorders>
            <w:noWrap/>
            <w:vAlign w:val="bottom"/>
            <w:hideMark/>
          </w:tcPr>
          <w:p w14:paraId="0C68236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03" w:type="dxa"/>
            <w:tcBorders>
              <w:top w:val="nil"/>
              <w:left w:val="nil"/>
              <w:bottom w:val="single" w:sz="4" w:space="0" w:color="auto"/>
              <w:right w:val="single" w:sz="4" w:space="0" w:color="auto"/>
            </w:tcBorders>
            <w:noWrap/>
            <w:vAlign w:val="bottom"/>
            <w:hideMark/>
          </w:tcPr>
          <w:p w14:paraId="12231BA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410" w:type="dxa"/>
            <w:tcBorders>
              <w:top w:val="nil"/>
              <w:left w:val="nil"/>
              <w:bottom w:val="single" w:sz="4" w:space="0" w:color="auto"/>
              <w:right w:val="single" w:sz="4" w:space="0" w:color="auto"/>
            </w:tcBorders>
            <w:noWrap/>
            <w:vAlign w:val="bottom"/>
            <w:hideMark/>
          </w:tcPr>
          <w:p w14:paraId="67E9C65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7BF0FAE6" w14:textId="77777777" w:rsidTr="00BD023E">
        <w:trPr>
          <w:trHeight w:val="311"/>
        </w:trPr>
        <w:tc>
          <w:tcPr>
            <w:tcW w:w="1929" w:type="dxa"/>
            <w:tcBorders>
              <w:top w:val="nil"/>
              <w:left w:val="single" w:sz="4" w:space="0" w:color="auto"/>
              <w:bottom w:val="single" w:sz="4" w:space="0" w:color="auto"/>
              <w:right w:val="single" w:sz="4" w:space="0" w:color="auto"/>
            </w:tcBorders>
            <w:noWrap/>
            <w:vAlign w:val="bottom"/>
            <w:hideMark/>
          </w:tcPr>
          <w:p w14:paraId="0E90771B"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995" w:type="dxa"/>
            <w:tcBorders>
              <w:top w:val="nil"/>
              <w:left w:val="nil"/>
              <w:bottom w:val="single" w:sz="4" w:space="0" w:color="auto"/>
              <w:right w:val="single" w:sz="4" w:space="0" w:color="auto"/>
            </w:tcBorders>
            <w:noWrap/>
            <w:vAlign w:val="bottom"/>
            <w:hideMark/>
          </w:tcPr>
          <w:p w14:paraId="5735FBA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1203" w:type="dxa"/>
            <w:tcBorders>
              <w:top w:val="nil"/>
              <w:left w:val="nil"/>
              <w:bottom w:val="single" w:sz="4" w:space="0" w:color="auto"/>
              <w:right w:val="single" w:sz="4" w:space="0" w:color="auto"/>
            </w:tcBorders>
            <w:noWrap/>
            <w:vAlign w:val="bottom"/>
            <w:hideMark/>
          </w:tcPr>
          <w:p w14:paraId="4D0351D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1203" w:type="dxa"/>
            <w:tcBorders>
              <w:top w:val="nil"/>
              <w:left w:val="nil"/>
              <w:bottom w:val="single" w:sz="4" w:space="0" w:color="auto"/>
              <w:right w:val="single" w:sz="4" w:space="0" w:color="auto"/>
            </w:tcBorders>
            <w:noWrap/>
            <w:vAlign w:val="bottom"/>
            <w:hideMark/>
          </w:tcPr>
          <w:p w14:paraId="1368673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203" w:type="dxa"/>
            <w:tcBorders>
              <w:top w:val="nil"/>
              <w:left w:val="nil"/>
              <w:bottom w:val="single" w:sz="4" w:space="0" w:color="auto"/>
              <w:right w:val="single" w:sz="4" w:space="0" w:color="auto"/>
            </w:tcBorders>
            <w:noWrap/>
            <w:vAlign w:val="bottom"/>
            <w:hideMark/>
          </w:tcPr>
          <w:p w14:paraId="274CCAA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410" w:type="dxa"/>
            <w:tcBorders>
              <w:top w:val="nil"/>
              <w:left w:val="nil"/>
              <w:bottom w:val="single" w:sz="4" w:space="0" w:color="auto"/>
              <w:right w:val="single" w:sz="4" w:space="0" w:color="auto"/>
            </w:tcBorders>
            <w:noWrap/>
            <w:vAlign w:val="bottom"/>
            <w:hideMark/>
          </w:tcPr>
          <w:p w14:paraId="480827F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987360" w:rsidRPr="009225E6" w14:paraId="6776241D" w14:textId="77777777" w:rsidTr="00BD023E">
        <w:trPr>
          <w:trHeight w:val="327"/>
        </w:trPr>
        <w:tc>
          <w:tcPr>
            <w:tcW w:w="1929" w:type="dxa"/>
            <w:tcBorders>
              <w:top w:val="nil"/>
              <w:left w:val="single" w:sz="4" w:space="0" w:color="auto"/>
              <w:bottom w:val="double" w:sz="6" w:space="0" w:color="auto"/>
              <w:right w:val="single" w:sz="4" w:space="0" w:color="auto"/>
            </w:tcBorders>
            <w:noWrap/>
            <w:vAlign w:val="bottom"/>
            <w:hideMark/>
          </w:tcPr>
          <w:p w14:paraId="66D64C27"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995" w:type="dxa"/>
            <w:tcBorders>
              <w:top w:val="nil"/>
              <w:left w:val="nil"/>
              <w:bottom w:val="double" w:sz="6" w:space="0" w:color="auto"/>
              <w:right w:val="single" w:sz="4" w:space="0" w:color="auto"/>
            </w:tcBorders>
            <w:noWrap/>
            <w:vAlign w:val="bottom"/>
            <w:hideMark/>
          </w:tcPr>
          <w:p w14:paraId="4634651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$4.55</w:t>
            </w:r>
          </w:p>
        </w:tc>
        <w:tc>
          <w:tcPr>
            <w:tcW w:w="1203" w:type="dxa"/>
            <w:tcBorders>
              <w:top w:val="nil"/>
              <w:left w:val="nil"/>
              <w:bottom w:val="double" w:sz="6" w:space="0" w:color="auto"/>
              <w:right w:val="single" w:sz="4" w:space="0" w:color="auto"/>
            </w:tcBorders>
            <w:noWrap/>
            <w:vAlign w:val="bottom"/>
            <w:hideMark/>
          </w:tcPr>
          <w:p w14:paraId="6316CC9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$8.26</w:t>
            </w:r>
          </w:p>
        </w:tc>
        <w:tc>
          <w:tcPr>
            <w:tcW w:w="1203" w:type="dxa"/>
            <w:tcBorders>
              <w:top w:val="nil"/>
              <w:left w:val="nil"/>
              <w:bottom w:val="double" w:sz="6" w:space="0" w:color="auto"/>
              <w:right w:val="single" w:sz="4" w:space="0" w:color="auto"/>
            </w:tcBorders>
            <w:noWrap/>
            <w:vAlign w:val="bottom"/>
            <w:hideMark/>
          </w:tcPr>
          <w:p w14:paraId="7CB2ACC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$15.03</w:t>
            </w:r>
          </w:p>
        </w:tc>
        <w:tc>
          <w:tcPr>
            <w:tcW w:w="1203" w:type="dxa"/>
            <w:tcBorders>
              <w:top w:val="nil"/>
              <w:left w:val="nil"/>
              <w:bottom w:val="double" w:sz="6" w:space="0" w:color="auto"/>
              <w:right w:val="single" w:sz="4" w:space="0" w:color="auto"/>
            </w:tcBorders>
            <w:noWrap/>
            <w:vAlign w:val="bottom"/>
            <w:hideMark/>
          </w:tcPr>
          <w:p w14:paraId="6D9AD01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$17.08</w:t>
            </w:r>
          </w:p>
        </w:tc>
        <w:tc>
          <w:tcPr>
            <w:tcW w:w="1410" w:type="dxa"/>
            <w:tcBorders>
              <w:top w:val="nil"/>
              <w:left w:val="nil"/>
              <w:bottom w:val="double" w:sz="6" w:space="0" w:color="auto"/>
              <w:right w:val="single" w:sz="4" w:space="0" w:color="auto"/>
            </w:tcBorders>
            <w:noWrap/>
            <w:vAlign w:val="bottom"/>
            <w:hideMark/>
          </w:tcPr>
          <w:p w14:paraId="672DE9F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$9.31</w:t>
            </w:r>
          </w:p>
        </w:tc>
      </w:tr>
    </w:tbl>
    <w:p w14:paraId="3A5455E3" w14:textId="77777777" w:rsidR="00987360" w:rsidRPr="009225E6" w:rsidRDefault="00987360" w:rsidP="00987360">
      <w:pPr>
        <w:spacing w:line="360" w:lineRule="auto"/>
        <w:jc w:val="both"/>
        <w:rPr>
          <w:rFonts w:ascii="Times New Roman" w:hAnsi="Times New Roman" w:cs="Times New Roman"/>
          <w:sz w:val="24"/>
          <w:szCs w:val="24"/>
          <w:lang w:val="en-US"/>
        </w:rPr>
      </w:pPr>
    </w:p>
    <w:tbl>
      <w:tblPr>
        <w:tblW w:w="7143" w:type="dxa"/>
        <w:tblInd w:w="93" w:type="dxa"/>
        <w:tblLook w:val="04A0" w:firstRow="1" w:lastRow="0" w:firstColumn="1" w:lastColumn="0" w:noHBand="0" w:noVBand="1"/>
      </w:tblPr>
      <w:tblGrid>
        <w:gridCol w:w="1405"/>
        <w:gridCol w:w="2342"/>
        <w:gridCol w:w="3396"/>
      </w:tblGrid>
      <w:tr w:rsidR="00987360" w:rsidRPr="009225E6" w14:paraId="7F808874" w14:textId="77777777" w:rsidTr="00BD023E">
        <w:trPr>
          <w:trHeight w:val="298"/>
        </w:trPr>
        <w:tc>
          <w:tcPr>
            <w:tcW w:w="1405" w:type="dxa"/>
            <w:tcBorders>
              <w:top w:val="single" w:sz="4" w:space="0" w:color="auto"/>
              <w:left w:val="single" w:sz="4" w:space="0" w:color="auto"/>
              <w:bottom w:val="double" w:sz="6" w:space="0" w:color="auto"/>
              <w:right w:val="single" w:sz="4" w:space="0" w:color="auto"/>
            </w:tcBorders>
            <w:noWrap/>
            <w:vAlign w:val="bottom"/>
            <w:hideMark/>
          </w:tcPr>
          <w:p w14:paraId="506FA7C7"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lastRenderedPageBreak/>
              <w:t xml:space="preserve">Year </w:t>
            </w:r>
          </w:p>
        </w:tc>
        <w:tc>
          <w:tcPr>
            <w:tcW w:w="2342" w:type="dxa"/>
            <w:tcBorders>
              <w:top w:val="single" w:sz="4" w:space="0" w:color="auto"/>
              <w:left w:val="nil"/>
              <w:bottom w:val="double" w:sz="6" w:space="0" w:color="auto"/>
              <w:right w:val="single" w:sz="4" w:space="0" w:color="auto"/>
            </w:tcBorders>
            <w:noWrap/>
            <w:vAlign w:val="bottom"/>
            <w:hideMark/>
          </w:tcPr>
          <w:p w14:paraId="66844D9D"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Net Cash Inflow</w:t>
            </w:r>
          </w:p>
        </w:tc>
        <w:tc>
          <w:tcPr>
            <w:tcW w:w="3396" w:type="dxa"/>
            <w:tcBorders>
              <w:top w:val="single" w:sz="4" w:space="0" w:color="auto"/>
              <w:left w:val="nil"/>
              <w:bottom w:val="double" w:sz="6" w:space="0" w:color="auto"/>
              <w:right w:val="single" w:sz="4" w:space="0" w:color="auto"/>
            </w:tcBorders>
            <w:noWrap/>
            <w:vAlign w:val="bottom"/>
            <w:hideMark/>
          </w:tcPr>
          <w:p w14:paraId="7CA27572"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Cumulative cash flow</w:t>
            </w:r>
          </w:p>
        </w:tc>
      </w:tr>
      <w:tr w:rsidR="00987360" w:rsidRPr="009225E6" w14:paraId="77C8ECC8" w14:textId="77777777" w:rsidTr="00BD023E">
        <w:trPr>
          <w:trHeight w:val="298"/>
        </w:trPr>
        <w:tc>
          <w:tcPr>
            <w:tcW w:w="1405" w:type="dxa"/>
            <w:tcBorders>
              <w:top w:val="nil"/>
              <w:left w:val="single" w:sz="4" w:space="0" w:color="auto"/>
              <w:bottom w:val="single" w:sz="4" w:space="0" w:color="auto"/>
              <w:right w:val="single" w:sz="4" w:space="0" w:color="auto"/>
            </w:tcBorders>
            <w:noWrap/>
            <w:vAlign w:val="bottom"/>
            <w:hideMark/>
          </w:tcPr>
          <w:p w14:paraId="00FFB5A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w:t>
            </w:r>
          </w:p>
        </w:tc>
        <w:tc>
          <w:tcPr>
            <w:tcW w:w="2342" w:type="dxa"/>
            <w:tcBorders>
              <w:top w:val="nil"/>
              <w:left w:val="nil"/>
              <w:bottom w:val="single" w:sz="4" w:space="0" w:color="auto"/>
              <w:right w:val="single" w:sz="4" w:space="0" w:color="auto"/>
            </w:tcBorders>
            <w:noWrap/>
            <w:vAlign w:val="bottom"/>
            <w:hideMark/>
          </w:tcPr>
          <w:p w14:paraId="6CE90768"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w:t>
            </w:r>
          </w:p>
        </w:tc>
        <w:tc>
          <w:tcPr>
            <w:tcW w:w="3396" w:type="dxa"/>
            <w:tcBorders>
              <w:top w:val="nil"/>
              <w:left w:val="nil"/>
              <w:bottom w:val="single" w:sz="4" w:space="0" w:color="auto"/>
              <w:right w:val="single" w:sz="4" w:space="0" w:color="auto"/>
            </w:tcBorders>
            <w:noWrap/>
            <w:vAlign w:val="bottom"/>
            <w:hideMark/>
          </w:tcPr>
          <w:p w14:paraId="42CE1A0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w:t>
            </w:r>
          </w:p>
        </w:tc>
      </w:tr>
      <w:tr w:rsidR="00987360" w:rsidRPr="009225E6" w14:paraId="09DC827C" w14:textId="77777777" w:rsidTr="00BD023E">
        <w:trPr>
          <w:trHeight w:val="284"/>
        </w:trPr>
        <w:tc>
          <w:tcPr>
            <w:tcW w:w="1405" w:type="dxa"/>
            <w:tcBorders>
              <w:top w:val="nil"/>
              <w:left w:val="single" w:sz="4" w:space="0" w:color="auto"/>
              <w:bottom w:val="single" w:sz="4" w:space="0" w:color="auto"/>
              <w:right w:val="single" w:sz="4" w:space="0" w:color="auto"/>
            </w:tcBorders>
            <w:noWrap/>
            <w:vAlign w:val="bottom"/>
            <w:hideMark/>
          </w:tcPr>
          <w:p w14:paraId="7230B2F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w:t>
            </w:r>
          </w:p>
        </w:tc>
        <w:tc>
          <w:tcPr>
            <w:tcW w:w="2342" w:type="dxa"/>
            <w:tcBorders>
              <w:top w:val="nil"/>
              <w:left w:val="nil"/>
              <w:bottom w:val="single" w:sz="4" w:space="0" w:color="auto"/>
              <w:right w:val="single" w:sz="4" w:space="0" w:color="auto"/>
            </w:tcBorders>
            <w:noWrap/>
            <w:vAlign w:val="bottom"/>
            <w:hideMark/>
          </w:tcPr>
          <w:p w14:paraId="514F50F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4.55</w:t>
            </w:r>
          </w:p>
        </w:tc>
        <w:tc>
          <w:tcPr>
            <w:tcW w:w="3396" w:type="dxa"/>
            <w:tcBorders>
              <w:top w:val="nil"/>
              <w:left w:val="nil"/>
              <w:bottom w:val="single" w:sz="4" w:space="0" w:color="auto"/>
              <w:right w:val="single" w:sz="4" w:space="0" w:color="auto"/>
            </w:tcBorders>
            <w:noWrap/>
            <w:vAlign w:val="bottom"/>
            <w:hideMark/>
          </w:tcPr>
          <w:p w14:paraId="6AE2622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-35.45</w:t>
            </w:r>
          </w:p>
        </w:tc>
      </w:tr>
      <w:tr w:rsidR="00987360" w:rsidRPr="009225E6" w14:paraId="5A6527BC" w14:textId="77777777" w:rsidTr="00BD023E">
        <w:trPr>
          <w:trHeight w:val="284"/>
        </w:trPr>
        <w:tc>
          <w:tcPr>
            <w:tcW w:w="1405" w:type="dxa"/>
            <w:tcBorders>
              <w:top w:val="nil"/>
              <w:left w:val="single" w:sz="4" w:space="0" w:color="auto"/>
              <w:bottom w:val="single" w:sz="4" w:space="0" w:color="auto"/>
              <w:right w:val="single" w:sz="4" w:space="0" w:color="auto"/>
            </w:tcBorders>
            <w:noWrap/>
            <w:vAlign w:val="bottom"/>
            <w:hideMark/>
          </w:tcPr>
          <w:p w14:paraId="6B867C8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w:t>
            </w:r>
          </w:p>
        </w:tc>
        <w:tc>
          <w:tcPr>
            <w:tcW w:w="2342" w:type="dxa"/>
            <w:tcBorders>
              <w:top w:val="nil"/>
              <w:left w:val="nil"/>
              <w:bottom w:val="single" w:sz="4" w:space="0" w:color="auto"/>
              <w:right w:val="single" w:sz="4" w:space="0" w:color="auto"/>
            </w:tcBorders>
            <w:noWrap/>
            <w:vAlign w:val="bottom"/>
            <w:hideMark/>
          </w:tcPr>
          <w:p w14:paraId="21642AB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8.26</w:t>
            </w:r>
          </w:p>
        </w:tc>
        <w:tc>
          <w:tcPr>
            <w:tcW w:w="3396" w:type="dxa"/>
            <w:tcBorders>
              <w:top w:val="nil"/>
              <w:left w:val="nil"/>
              <w:bottom w:val="single" w:sz="4" w:space="0" w:color="auto"/>
              <w:right w:val="single" w:sz="4" w:space="0" w:color="auto"/>
            </w:tcBorders>
            <w:noWrap/>
            <w:vAlign w:val="bottom"/>
            <w:hideMark/>
          </w:tcPr>
          <w:p w14:paraId="1AC6DEF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-27.19</w:t>
            </w:r>
          </w:p>
        </w:tc>
      </w:tr>
      <w:tr w:rsidR="00987360" w:rsidRPr="009225E6" w14:paraId="0326B85E" w14:textId="77777777" w:rsidTr="00BD023E">
        <w:trPr>
          <w:trHeight w:val="298"/>
        </w:trPr>
        <w:tc>
          <w:tcPr>
            <w:tcW w:w="1405" w:type="dxa"/>
            <w:tcBorders>
              <w:top w:val="nil"/>
              <w:left w:val="single" w:sz="4" w:space="0" w:color="auto"/>
              <w:bottom w:val="single" w:sz="4" w:space="0" w:color="auto"/>
              <w:right w:val="single" w:sz="4" w:space="0" w:color="auto"/>
            </w:tcBorders>
            <w:noWrap/>
            <w:vAlign w:val="bottom"/>
            <w:hideMark/>
          </w:tcPr>
          <w:p w14:paraId="75B24E5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w:t>
            </w:r>
          </w:p>
        </w:tc>
        <w:tc>
          <w:tcPr>
            <w:tcW w:w="2342" w:type="dxa"/>
            <w:tcBorders>
              <w:top w:val="nil"/>
              <w:left w:val="nil"/>
              <w:bottom w:val="single" w:sz="4" w:space="0" w:color="auto"/>
              <w:right w:val="single" w:sz="4" w:space="0" w:color="auto"/>
            </w:tcBorders>
            <w:noWrap/>
            <w:vAlign w:val="bottom"/>
            <w:hideMark/>
          </w:tcPr>
          <w:p w14:paraId="5474EAF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w:t>
            </w:r>
          </w:p>
        </w:tc>
        <w:tc>
          <w:tcPr>
            <w:tcW w:w="3396" w:type="dxa"/>
            <w:tcBorders>
              <w:top w:val="nil"/>
              <w:left w:val="nil"/>
              <w:bottom w:val="single" w:sz="4" w:space="0" w:color="auto"/>
              <w:right w:val="single" w:sz="4" w:space="0" w:color="auto"/>
            </w:tcBorders>
            <w:noWrap/>
            <w:vAlign w:val="bottom"/>
            <w:hideMark/>
          </w:tcPr>
          <w:p w14:paraId="246649B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-12.19</w:t>
            </w:r>
          </w:p>
        </w:tc>
      </w:tr>
      <w:tr w:rsidR="00987360" w:rsidRPr="009225E6" w14:paraId="088ECA75" w14:textId="77777777" w:rsidTr="00BD023E">
        <w:trPr>
          <w:trHeight w:val="298"/>
        </w:trPr>
        <w:tc>
          <w:tcPr>
            <w:tcW w:w="1405" w:type="dxa"/>
            <w:tcBorders>
              <w:top w:val="nil"/>
              <w:left w:val="single" w:sz="4" w:space="0" w:color="auto"/>
              <w:bottom w:val="single" w:sz="4" w:space="0" w:color="auto"/>
              <w:right w:val="single" w:sz="4" w:space="0" w:color="auto"/>
            </w:tcBorders>
            <w:noWrap/>
            <w:vAlign w:val="bottom"/>
            <w:hideMark/>
          </w:tcPr>
          <w:p w14:paraId="7F7B9B2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w:t>
            </w:r>
          </w:p>
        </w:tc>
        <w:tc>
          <w:tcPr>
            <w:tcW w:w="2342" w:type="dxa"/>
            <w:tcBorders>
              <w:top w:val="nil"/>
              <w:left w:val="nil"/>
              <w:bottom w:val="single" w:sz="4" w:space="0" w:color="auto"/>
              <w:right w:val="single" w:sz="4" w:space="0" w:color="auto"/>
            </w:tcBorders>
            <w:noWrap/>
            <w:vAlign w:val="bottom"/>
            <w:hideMark/>
          </w:tcPr>
          <w:p w14:paraId="43FD13E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17</w:t>
            </w:r>
          </w:p>
        </w:tc>
        <w:tc>
          <w:tcPr>
            <w:tcW w:w="3396" w:type="dxa"/>
            <w:tcBorders>
              <w:top w:val="nil"/>
              <w:left w:val="nil"/>
              <w:bottom w:val="single" w:sz="4" w:space="0" w:color="auto"/>
              <w:right w:val="single" w:sz="4" w:space="0" w:color="auto"/>
            </w:tcBorders>
            <w:noWrap/>
            <w:vAlign w:val="bottom"/>
            <w:hideMark/>
          </w:tcPr>
          <w:p w14:paraId="5EF217F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4.81</w:t>
            </w:r>
          </w:p>
        </w:tc>
      </w:tr>
      <w:tr w:rsidR="00987360" w:rsidRPr="009225E6" w14:paraId="49B93754" w14:textId="77777777" w:rsidTr="00BD023E">
        <w:trPr>
          <w:trHeight w:val="298"/>
        </w:trPr>
        <w:tc>
          <w:tcPr>
            <w:tcW w:w="1405" w:type="dxa"/>
            <w:tcBorders>
              <w:top w:val="nil"/>
              <w:left w:val="single" w:sz="4" w:space="0" w:color="auto"/>
              <w:bottom w:val="double" w:sz="6" w:space="0" w:color="auto"/>
              <w:right w:val="single" w:sz="4" w:space="0" w:color="auto"/>
            </w:tcBorders>
            <w:noWrap/>
            <w:vAlign w:val="bottom"/>
            <w:hideMark/>
          </w:tcPr>
          <w:p w14:paraId="68F9AEE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w:t>
            </w:r>
          </w:p>
        </w:tc>
        <w:tc>
          <w:tcPr>
            <w:tcW w:w="2342" w:type="dxa"/>
            <w:tcBorders>
              <w:top w:val="nil"/>
              <w:left w:val="nil"/>
              <w:bottom w:val="double" w:sz="6" w:space="0" w:color="auto"/>
              <w:right w:val="single" w:sz="4" w:space="0" w:color="auto"/>
            </w:tcBorders>
            <w:noWrap/>
            <w:vAlign w:val="bottom"/>
            <w:hideMark/>
          </w:tcPr>
          <w:p w14:paraId="4DB81AA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w:t>
            </w:r>
          </w:p>
        </w:tc>
        <w:tc>
          <w:tcPr>
            <w:tcW w:w="3396" w:type="dxa"/>
            <w:tcBorders>
              <w:top w:val="nil"/>
              <w:left w:val="nil"/>
              <w:bottom w:val="double" w:sz="6" w:space="0" w:color="auto"/>
              <w:right w:val="single" w:sz="4" w:space="0" w:color="auto"/>
            </w:tcBorders>
            <w:noWrap/>
            <w:vAlign w:val="bottom"/>
            <w:hideMark/>
          </w:tcPr>
          <w:p w14:paraId="2AE2613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13.81</w:t>
            </w:r>
          </w:p>
        </w:tc>
      </w:tr>
    </w:tbl>
    <w:p w14:paraId="618C6702" w14:textId="77777777" w:rsidR="00987360" w:rsidRPr="009225E6" w:rsidRDefault="00987360" w:rsidP="00987360">
      <w:pPr>
        <w:spacing w:line="360" w:lineRule="auto"/>
        <w:jc w:val="both"/>
        <w:rPr>
          <w:rFonts w:ascii="Times New Roman" w:hAnsi="Times New Roman" w:cs="Times New Roman"/>
          <w:sz w:val="24"/>
          <w:szCs w:val="24"/>
          <w:lang w:val="en-US"/>
        </w:rPr>
      </w:pPr>
    </w:p>
    <w:p w14:paraId="62589B3B"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sz w:val="24"/>
          <w:szCs w:val="24"/>
          <w:lang w:val="en-US"/>
        </w:rPr>
        <w:t>ARR =</w:t>
      </w:r>
      <w:r w:rsidRPr="009225E6">
        <w:rPr>
          <w:rFonts w:ascii="Times New Roman" w:hAnsi="Times New Roman" w:cs="Times New Roman"/>
          <w:color w:val="001D35"/>
          <w:shd w:val="clear" w:color="auto" w:fill="FFFFFF"/>
        </w:rPr>
        <w:t>Year before full recovery + (Unrecovered cost at the start of the year / Cash flow during that year)</w:t>
      </w:r>
    </w:p>
    <w:p w14:paraId="7C4808A9"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(12/17)</w:t>
      </w:r>
    </w:p>
    <w:p w14:paraId="7281409D"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 + 0.71</w:t>
      </w:r>
    </w:p>
    <w:p w14:paraId="6398C5BD" w14:textId="77777777" w:rsidR="00987360" w:rsidRPr="009225E6" w:rsidRDefault="00987360" w:rsidP="00987360">
      <w:pPr>
        <w:spacing w:line="360" w:lineRule="auto"/>
        <w:jc w:val="both"/>
        <w:rPr>
          <w:rFonts w:ascii="Times New Roman" w:hAnsi="Times New Roman" w:cs="Times New Roman"/>
          <w:color w:val="001D35"/>
          <w:shd w:val="clear" w:color="auto" w:fill="FFFFFF"/>
        </w:rPr>
      </w:pPr>
      <w:r w:rsidRPr="009225E6">
        <w:rPr>
          <w:rFonts w:ascii="Times New Roman" w:hAnsi="Times New Roman" w:cs="Times New Roman"/>
          <w:color w:val="001D35"/>
          <w:shd w:val="clear" w:color="auto" w:fill="FFFFFF"/>
        </w:rPr>
        <w:t>PBP = 3.7 Years</w:t>
      </w:r>
    </w:p>
    <w:p w14:paraId="76E6C37E" w14:textId="77777777" w:rsidR="00987360" w:rsidRPr="009225E6" w:rsidRDefault="00987360" w:rsidP="00CE7101">
      <w:pPr>
        <w:pStyle w:val="NormalWeb"/>
        <w:spacing w:before="0" w:beforeAutospacing="0" w:line="360" w:lineRule="auto"/>
        <w:rPr>
          <w:color w:val="5B9BD5" w:themeColor="accent1"/>
        </w:rPr>
      </w:pPr>
      <w:r w:rsidRPr="009225E6">
        <w:rPr>
          <w:color w:val="5B9BD5" w:themeColor="accent1"/>
        </w:rPr>
        <w:t>Net Present Value</w:t>
      </w:r>
    </w:p>
    <w:p w14:paraId="0DE69ED4" w14:textId="77777777" w:rsidR="00987360" w:rsidRPr="009225E6" w:rsidRDefault="00987360" w:rsidP="00987360">
      <w:pPr>
        <w:tabs>
          <w:tab w:val="left" w:pos="201"/>
        </w:tabs>
        <w:rPr>
          <w:rFonts w:ascii="Times New Roman" w:hAnsi="Times New Roman" w:cs="Times New Roman"/>
          <w:sz w:val="24"/>
          <w:szCs w:val="24"/>
          <w:lang w:val="en-US"/>
        </w:rPr>
      </w:pPr>
      <w:r w:rsidRPr="009225E6">
        <w:rPr>
          <w:rFonts w:ascii="Times New Roman" w:hAnsi="Times New Roman" w:cs="Times New Roman"/>
          <w:sz w:val="24"/>
          <w:szCs w:val="24"/>
          <w:lang w:val="en-US"/>
        </w:rPr>
        <w:t>Project A</w:t>
      </w:r>
    </w:p>
    <w:tbl>
      <w:tblPr>
        <w:tblW w:w="7706" w:type="dxa"/>
        <w:tblInd w:w="93" w:type="dxa"/>
        <w:tblLook w:val="04A0" w:firstRow="1" w:lastRow="0" w:firstColumn="1" w:lastColumn="0" w:noHBand="0" w:noVBand="1"/>
      </w:tblPr>
      <w:tblGrid>
        <w:gridCol w:w="2234"/>
        <w:gridCol w:w="1058"/>
        <w:gridCol w:w="1058"/>
        <w:gridCol w:w="1058"/>
        <w:gridCol w:w="1058"/>
        <w:gridCol w:w="1240"/>
      </w:tblGrid>
      <w:tr w:rsidR="00987360" w:rsidRPr="009225E6" w14:paraId="67C3A57F" w14:textId="77777777" w:rsidTr="00BD023E">
        <w:trPr>
          <w:trHeight w:val="283"/>
        </w:trPr>
        <w:tc>
          <w:tcPr>
            <w:tcW w:w="2234" w:type="dxa"/>
            <w:vMerge w:val="restart"/>
            <w:tcBorders>
              <w:top w:val="single" w:sz="4" w:space="0" w:color="auto"/>
              <w:left w:val="single" w:sz="4" w:space="0" w:color="auto"/>
              <w:bottom w:val="single" w:sz="4" w:space="0" w:color="000000"/>
              <w:right w:val="single" w:sz="4" w:space="0" w:color="auto"/>
            </w:tcBorders>
            <w:noWrap/>
            <w:vAlign w:val="bottom"/>
            <w:hideMark/>
          </w:tcPr>
          <w:p w14:paraId="6367EDC6"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470" w:type="dxa"/>
            <w:gridSpan w:val="5"/>
            <w:tcBorders>
              <w:top w:val="single" w:sz="4" w:space="0" w:color="auto"/>
              <w:left w:val="nil"/>
              <w:bottom w:val="single" w:sz="4" w:space="0" w:color="auto"/>
              <w:right w:val="single" w:sz="4" w:space="0" w:color="auto"/>
            </w:tcBorders>
            <w:noWrap/>
            <w:vAlign w:val="bottom"/>
            <w:hideMark/>
          </w:tcPr>
          <w:p w14:paraId="2519BF11"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987360" w:rsidRPr="009225E6" w14:paraId="7301B92E" w14:textId="77777777" w:rsidTr="00BD023E">
        <w:trPr>
          <w:trHeight w:val="283"/>
        </w:trPr>
        <w:tc>
          <w:tcPr>
            <w:tcW w:w="2234" w:type="dxa"/>
            <w:vMerge/>
            <w:tcBorders>
              <w:top w:val="single" w:sz="4" w:space="0" w:color="auto"/>
              <w:left w:val="single" w:sz="4" w:space="0" w:color="auto"/>
              <w:bottom w:val="single" w:sz="4" w:space="0" w:color="000000"/>
              <w:right w:val="single" w:sz="4" w:space="0" w:color="auto"/>
            </w:tcBorders>
            <w:vAlign w:val="center"/>
            <w:hideMark/>
          </w:tcPr>
          <w:p w14:paraId="57B0ED6D"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058" w:type="dxa"/>
            <w:tcBorders>
              <w:top w:val="nil"/>
              <w:left w:val="nil"/>
              <w:bottom w:val="single" w:sz="4" w:space="0" w:color="auto"/>
              <w:right w:val="single" w:sz="4" w:space="0" w:color="auto"/>
            </w:tcBorders>
            <w:noWrap/>
            <w:vAlign w:val="bottom"/>
            <w:hideMark/>
          </w:tcPr>
          <w:p w14:paraId="399144D7"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1058" w:type="dxa"/>
            <w:tcBorders>
              <w:top w:val="nil"/>
              <w:left w:val="nil"/>
              <w:bottom w:val="single" w:sz="4" w:space="0" w:color="auto"/>
              <w:right w:val="single" w:sz="4" w:space="0" w:color="auto"/>
            </w:tcBorders>
            <w:noWrap/>
            <w:vAlign w:val="bottom"/>
            <w:hideMark/>
          </w:tcPr>
          <w:p w14:paraId="150AC892"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1058" w:type="dxa"/>
            <w:tcBorders>
              <w:top w:val="nil"/>
              <w:left w:val="nil"/>
              <w:bottom w:val="single" w:sz="4" w:space="0" w:color="auto"/>
              <w:right w:val="single" w:sz="4" w:space="0" w:color="auto"/>
            </w:tcBorders>
            <w:noWrap/>
            <w:vAlign w:val="bottom"/>
            <w:hideMark/>
          </w:tcPr>
          <w:p w14:paraId="59BD420F"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058" w:type="dxa"/>
            <w:tcBorders>
              <w:top w:val="nil"/>
              <w:left w:val="nil"/>
              <w:bottom w:val="single" w:sz="4" w:space="0" w:color="auto"/>
              <w:right w:val="single" w:sz="4" w:space="0" w:color="auto"/>
            </w:tcBorders>
            <w:noWrap/>
            <w:vAlign w:val="bottom"/>
            <w:hideMark/>
          </w:tcPr>
          <w:p w14:paraId="4C9C1C0E"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240" w:type="dxa"/>
            <w:tcBorders>
              <w:top w:val="nil"/>
              <w:left w:val="nil"/>
              <w:bottom w:val="single" w:sz="4" w:space="0" w:color="auto"/>
              <w:right w:val="single" w:sz="4" w:space="0" w:color="auto"/>
            </w:tcBorders>
            <w:noWrap/>
            <w:vAlign w:val="bottom"/>
            <w:hideMark/>
          </w:tcPr>
          <w:p w14:paraId="1BED206D"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987360" w:rsidRPr="009225E6" w14:paraId="33506657" w14:textId="77777777" w:rsidTr="00BD023E">
        <w:trPr>
          <w:trHeight w:val="283"/>
        </w:trPr>
        <w:tc>
          <w:tcPr>
            <w:tcW w:w="2234" w:type="dxa"/>
            <w:vMerge/>
            <w:tcBorders>
              <w:top w:val="single" w:sz="4" w:space="0" w:color="auto"/>
              <w:left w:val="single" w:sz="4" w:space="0" w:color="auto"/>
              <w:bottom w:val="single" w:sz="4" w:space="0" w:color="000000"/>
              <w:right w:val="single" w:sz="4" w:space="0" w:color="auto"/>
            </w:tcBorders>
            <w:vAlign w:val="center"/>
            <w:hideMark/>
          </w:tcPr>
          <w:p w14:paraId="242A13C5"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058" w:type="dxa"/>
            <w:tcBorders>
              <w:top w:val="nil"/>
              <w:left w:val="nil"/>
              <w:bottom w:val="single" w:sz="4" w:space="0" w:color="auto"/>
              <w:right w:val="single" w:sz="4" w:space="0" w:color="auto"/>
            </w:tcBorders>
            <w:noWrap/>
            <w:vAlign w:val="bottom"/>
            <w:hideMark/>
          </w:tcPr>
          <w:p w14:paraId="7D45425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058" w:type="dxa"/>
            <w:tcBorders>
              <w:top w:val="nil"/>
              <w:left w:val="nil"/>
              <w:bottom w:val="single" w:sz="4" w:space="0" w:color="auto"/>
              <w:right w:val="single" w:sz="4" w:space="0" w:color="auto"/>
            </w:tcBorders>
            <w:noWrap/>
            <w:vAlign w:val="bottom"/>
            <w:hideMark/>
          </w:tcPr>
          <w:p w14:paraId="650F9C6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£12.00</w:t>
            </w:r>
          </w:p>
        </w:tc>
        <w:tc>
          <w:tcPr>
            <w:tcW w:w="1058" w:type="dxa"/>
            <w:tcBorders>
              <w:top w:val="nil"/>
              <w:left w:val="nil"/>
              <w:bottom w:val="single" w:sz="4" w:space="0" w:color="auto"/>
              <w:right w:val="single" w:sz="4" w:space="0" w:color="auto"/>
            </w:tcBorders>
            <w:noWrap/>
            <w:vAlign w:val="bottom"/>
            <w:hideMark/>
          </w:tcPr>
          <w:p w14:paraId="22F1467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£14.00</w:t>
            </w:r>
          </w:p>
        </w:tc>
        <w:tc>
          <w:tcPr>
            <w:tcW w:w="1058" w:type="dxa"/>
            <w:tcBorders>
              <w:top w:val="nil"/>
              <w:left w:val="nil"/>
              <w:bottom w:val="single" w:sz="4" w:space="0" w:color="auto"/>
              <w:right w:val="single" w:sz="4" w:space="0" w:color="auto"/>
            </w:tcBorders>
            <w:noWrap/>
            <w:vAlign w:val="bottom"/>
            <w:hideMark/>
          </w:tcPr>
          <w:p w14:paraId="1D27F0A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240" w:type="dxa"/>
            <w:tcBorders>
              <w:top w:val="nil"/>
              <w:left w:val="nil"/>
              <w:bottom w:val="single" w:sz="4" w:space="0" w:color="auto"/>
              <w:right w:val="single" w:sz="4" w:space="0" w:color="auto"/>
            </w:tcBorders>
            <w:noWrap/>
            <w:vAlign w:val="bottom"/>
            <w:hideMark/>
          </w:tcPr>
          <w:p w14:paraId="204933A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£8.00</w:t>
            </w:r>
          </w:p>
        </w:tc>
      </w:tr>
      <w:tr w:rsidR="00987360" w:rsidRPr="009225E6" w14:paraId="56A5188B" w14:textId="77777777" w:rsidTr="00BD023E">
        <w:trPr>
          <w:trHeight w:val="270"/>
        </w:trPr>
        <w:tc>
          <w:tcPr>
            <w:tcW w:w="2234" w:type="dxa"/>
            <w:tcBorders>
              <w:top w:val="nil"/>
              <w:left w:val="single" w:sz="4" w:space="0" w:color="auto"/>
              <w:bottom w:val="single" w:sz="4" w:space="0" w:color="auto"/>
              <w:right w:val="single" w:sz="4" w:space="0" w:color="auto"/>
            </w:tcBorders>
            <w:noWrap/>
            <w:vAlign w:val="bottom"/>
            <w:hideMark/>
          </w:tcPr>
          <w:p w14:paraId="2E72E010"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058" w:type="dxa"/>
            <w:tcBorders>
              <w:top w:val="nil"/>
              <w:left w:val="nil"/>
              <w:bottom w:val="single" w:sz="4" w:space="0" w:color="auto"/>
              <w:right w:val="single" w:sz="4" w:space="0" w:color="auto"/>
            </w:tcBorders>
            <w:noWrap/>
            <w:vAlign w:val="bottom"/>
            <w:hideMark/>
          </w:tcPr>
          <w:p w14:paraId="080A921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58" w:type="dxa"/>
            <w:tcBorders>
              <w:top w:val="nil"/>
              <w:left w:val="nil"/>
              <w:bottom w:val="single" w:sz="4" w:space="0" w:color="auto"/>
              <w:right w:val="single" w:sz="4" w:space="0" w:color="auto"/>
            </w:tcBorders>
            <w:noWrap/>
            <w:vAlign w:val="bottom"/>
            <w:hideMark/>
          </w:tcPr>
          <w:p w14:paraId="189352C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58" w:type="dxa"/>
            <w:tcBorders>
              <w:top w:val="nil"/>
              <w:left w:val="nil"/>
              <w:bottom w:val="single" w:sz="4" w:space="0" w:color="auto"/>
              <w:right w:val="single" w:sz="4" w:space="0" w:color="auto"/>
            </w:tcBorders>
            <w:noWrap/>
            <w:vAlign w:val="bottom"/>
            <w:hideMark/>
          </w:tcPr>
          <w:p w14:paraId="66DA53C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58" w:type="dxa"/>
            <w:tcBorders>
              <w:top w:val="nil"/>
              <w:left w:val="nil"/>
              <w:bottom w:val="single" w:sz="4" w:space="0" w:color="auto"/>
              <w:right w:val="single" w:sz="4" w:space="0" w:color="auto"/>
            </w:tcBorders>
            <w:noWrap/>
            <w:vAlign w:val="bottom"/>
            <w:hideMark/>
          </w:tcPr>
          <w:p w14:paraId="60CD1D2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40" w:type="dxa"/>
            <w:tcBorders>
              <w:top w:val="nil"/>
              <w:left w:val="nil"/>
              <w:bottom w:val="single" w:sz="4" w:space="0" w:color="auto"/>
              <w:right w:val="single" w:sz="4" w:space="0" w:color="auto"/>
            </w:tcBorders>
            <w:noWrap/>
            <w:vAlign w:val="bottom"/>
            <w:hideMark/>
          </w:tcPr>
          <w:p w14:paraId="37E4914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60032BDF" w14:textId="77777777" w:rsidTr="00BD023E">
        <w:trPr>
          <w:trHeight w:val="270"/>
        </w:trPr>
        <w:tc>
          <w:tcPr>
            <w:tcW w:w="2234" w:type="dxa"/>
            <w:tcBorders>
              <w:top w:val="nil"/>
              <w:left w:val="single" w:sz="4" w:space="0" w:color="auto"/>
              <w:bottom w:val="single" w:sz="4" w:space="0" w:color="auto"/>
              <w:right w:val="single" w:sz="4" w:space="0" w:color="auto"/>
            </w:tcBorders>
            <w:noWrap/>
            <w:vAlign w:val="bottom"/>
            <w:hideMark/>
          </w:tcPr>
          <w:p w14:paraId="16AB739A"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058" w:type="dxa"/>
            <w:tcBorders>
              <w:top w:val="nil"/>
              <w:left w:val="nil"/>
              <w:bottom w:val="single" w:sz="4" w:space="0" w:color="auto"/>
              <w:right w:val="single" w:sz="4" w:space="0" w:color="auto"/>
            </w:tcBorders>
            <w:noWrap/>
            <w:vAlign w:val="bottom"/>
            <w:hideMark/>
          </w:tcPr>
          <w:p w14:paraId="4A7E8C0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1058" w:type="dxa"/>
            <w:tcBorders>
              <w:top w:val="nil"/>
              <w:left w:val="nil"/>
              <w:bottom w:val="single" w:sz="4" w:space="0" w:color="auto"/>
              <w:right w:val="single" w:sz="4" w:space="0" w:color="auto"/>
            </w:tcBorders>
            <w:noWrap/>
            <w:vAlign w:val="bottom"/>
            <w:hideMark/>
          </w:tcPr>
          <w:p w14:paraId="73CE9B0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1058" w:type="dxa"/>
            <w:tcBorders>
              <w:top w:val="nil"/>
              <w:left w:val="nil"/>
              <w:bottom w:val="single" w:sz="4" w:space="0" w:color="auto"/>
              <w:right w:val="single" w:sz="4" w:space="0" w:color="auto"/>
            </w:tcBorders>
            <w:noWrap/>
            <w:vAlign w:val="bottom"/>
            <w:hideMark/>
          </w:tcPr>
          <w:p w14:paraId="581EDF2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058" w:type="dxa"/>
            <w:tcBorders>
              <w:top w:val="nil"/>
              <w:left w:val="nil"/>
              <w:bottom w:val="single" w:sz="4" w:space="0" w:color="auto"/>
              <w:right w:val="single" w:sz="4" w:space="0" w:color="auto"/>
            </w:tcBorders>
            <w:noWrap/>
            <w:vAlign w:val="bottom"/>
            <w:hideMark/>
          </w:tcPr>
          <w:p w14:paraId="33645D4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240" w:type="dxa"/>
            <w:tcBorders>
              <w:top w:val="nil"/>
              <w:left w:val="nil"/>
              <w:bottom w:val="single" w:sz="4" w:space="0" w:color="auto"/>
              <w:right w:val="single" w:sz="4" w:space="0" w:color="auto"/>
            </w:tcBorders>
            <w:noWrap/>
            <w:vAlign w:val="bottom"/>
            <w:hideMark/>
          </w:tcPr>
          <w:p w14:paraId="2C5BFCE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987360" w:rsidRPr="009225E6" w14:paraId="14E1B1CC" w14:textId="77777777" w:rsidTr="00BD023E">
        <w:trPr>
          <w:trHeight w:val="270"/>
        </w:trPr>
        <w:tc>
          <w:tcPr>
            <w:tcW w:w="2234" w:type="dxa"/>
            <w:tcBorders>
              <w:top w:val="nil"/>
              <w:left w:val="single" w:sz="4" w:space="0" w:color="auto"/>
              <w:bottom w:val="nil"/>
              <w:right w:val="single" w:sz="4" w:space="0" w:color="auto"/>
            </w:tcBorders>
            <w:noWrap/>
            <w:vAlign w:val="bottom"/>
            <w:hideMark/>
          </w:tcPr>
          <w:p w14:paraId="74B6FC0D"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058" w:type="dxa"/>
            <w:tcBorders>
              <w:top w:val="nil"/>
              <w:left w:val="nil"/>
              <w:bottom w:val="nil"/>
              <w:right w:val="single" w:sz="4" w:space="0" w:color="auto"/>
            </w:tcBorders>
            <w:noWrap/>
            <w:vAlign w:val="bottom"/>
            <w:hideMark/>
          </w:tcPr>
          <w:p w14:paraId="2AF06A1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$9.09</w:t>
            </w:r>
          </w:p>
        </w:tc>
        <w:tc>
          <w:tcPr>
            <w:tcW w:w="1058" w:type="dxa"/>
            <w:tcBorders>
              <w:top w:val="nil"/>
              <w:left w:val="nil"/>
              <w:bottom w:val="nil"/>
              <w:right w:val="single" w:sz="4" w:space="0" w:color="auto"/>
            </w:tcBorders>
            <w:noWrap/>
            <w:vAlign w:val="bottom"/>
            <w:hideMark/>
          </w:tcPr>
          <w:p w14:paraId="6422FFC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$9.92</w:t>
            </w:r>
          </w:p>
        </w:tc>
        <w:tc>
          <w:tcPr>
            <w:tcW w:w="1058" w:type="dxa"/>
            <w:tcBorders>
              <w:top w:val="nil"/>
              <w:left w:val="nil"/>
              <w:bottom w:val="nil"/>
              <w:right w:val="single" w:sz="4" w:space="0" w:color="auto"/>
            </w:tcBorders>
            <w:noWrap/>
            <w:vAlign w:val="bottom"/>
            <w:hideMark/>
          </w:tcPr>
          <w:p w14:paraId="2DBC103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$10.52</w:t>
            </w:r>
          </w:p>
        </w:tc>
        <w:tc>
          <w:tcPr>
            <w:tcW w:w="1058" w:type="dxa"/>
            <w:tcBorders>
              <w:top w:val="nil"/>
              <w:left w:val="nil"/>
              <w:bottom w:val="nil"/>
              <w:right w:val="single" w:sz="4" w:space="0" w:color="auto"/>
            </w:tcBorders>
            <w:noWrap/>
            <w:vAlign w:val="bottom"/>
            <w:hideMark/>
          </w:tcPr>
          <w:p w14:paraId="22C72FC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$6.83</w:t>
            </w:r>
          </w:p>
        </w:tc>
        <w:tc>
          <w:tcPr>
            <w:tcW w:w="1240" w:type="dxa"/>
            <w:tcBorders>
              <w:top w:val="nil"/>
              <w:left w:val="nil"/>
              <w:bottom w:val="nil"/>
              <w:right w:val="single" w:sz="4" w:space="0" w:color="auto"/>
            </w:tcBorders>
            <w:noWrap/>
            <w:vAlign w:val="bottom"/>
            <w:hideMark/>
          </w:tcPr>
          <w:p w14:paraId="4E7FB8C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$4.97</w:t>
            </w:r>
          </w:p>
        </w:tc>
      </w:tr>
      <w:tr w:rsidR="00987360" w:rsidRPr="009225E6" w14:paraId="0384E030" w14:textId="77777777" w:rsidTr="00BD023E">
        <w:trPr>
          <w:trHeight w:val="270"/>
        </w:trPr>
        <w:tc>
          <w:tcPr>
            <w:tcW w:w="2234" w:type="dxa"/>
            <w:tcBorders>
              <w:top w:val="single" w:sz="4" w:space="0" w:color="auto"/>
              <w:left w:val="single" w:sz="4" w:space="0" w:color="auto"/>
              <w:bottom w:val="single" w:sz="4" w:space="0" w:color="auto"/>
              <w:right w:val="single" w:sz="4" w:space="0" w:color="auto"/>
            </w:tcBorders>
            <w:noWrap/>
            <w:vAlign w:val="bottom"/>
            <w:hideMark/>
          </w:tcPr>
          <w:p w14:paraId="316E955C"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058" w:type="dxa"/>
            <w:tcBorders>
              <w:top w:val="single" w:sz="4" w:space="0" w:color="auto"/>
              <w:left w:val="nil"/>
              <w:bottom w:val="single" w:sz="4" w:space="0" w:color="auto"/>
              <w:right w:val="single" w:sz="4" w:space="0" w:color="auto"/>
            </w:tcBorders>
            <w:noWrap/>
            <w:vAlign w:val="bottom"/>
            <w:hideMark/>
          </w:tcPr>
          <w:p w14:paraId="7A64B16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$41.32</w:t>
            </w:r>
          </w:p>
        </w:tc>
        <w:tc>
          <w:tcPr>
            <w:tcW w:w="4413" w:type="dxa"/>
            <w:gridSpan w:val="4"/>
            <w:vMerge w:val="restart"/>
            <w:tcBorders>
              <w:top w:val="single" w:sz="4" w:space="0" w:color="auto"/>
              <w:left w:val="single" w:sz="4" w:space="0" w:color="auto"/>
              <w:bottom w:val="double" w:sz="6" w:space="0" w:color="000000"/>
              <w:right w:val="single" w:sz="4" w:space="0" w:color="000000"/>
            </w:tcBorders>
            <w:hideMark/>
          </w:tcPr>
          <w:p w14:paraId="03F5B09B"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xml:space="preserve">Project A generates £1.32 positive Cash </w:t>
            </w:r>
            <w:r w:rsidRPr="009225E6">
              <w:rPr>
                <w:rFonts w:ascii="Times New Roman" w:eastAsia="Times New Roman" w:hAnsi="Times New Roman" w:cs="Times New Roman"/>
                <w:color w:val="000000"/>
                <w:lang w:val="en-US"/>
              </w:rPr>
              <w:br/>
              <w:t>Flows</w:t>
            </w:r>
          </w:p>
        </w:tc>
      </w:tr>
      <w:tr w:rsidR="00987360" w:rsidRPr="009225E6" w14:paraId="3EC42A9B" w14:textId="77777777" w:rsidTr="00BD023E">
        <w:trPr>
          <w:trHeight w:val="283"/>
        </w:trPr>
        <w:tc>
          <w:tcPr>
            <w:tcW w:w="2234" w:type="dxa"/>
            <w:tcBorders>
              <w:top w:val="nil"/>
              <w:left w:val="single" w:sz="4" w:space="0" w:color="auto"/>
              <w:bottom w:val="single" w:sz="4" w:space="0" w:color="auto"/>
              <w:right w:val="single" w:sz="4" w:space="0" w:color="auto"/>
            </w:tcBorders>
            <w:noWrap/>
            <w:vAlign w:val="bottom"/>
            <w:hideMark/>
          </w:tcPr>
          <w:p w14:paraId="1B99358E"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058" w:type="dxa"/>
            <w:tcBorders>
              <w:top w:val="nil"/>
              <w:left w:val="nil"/>
              <w:bottom w:val="single" w:sz="4" w:space="0" w:color="auto"/>
              <w:right w:val="single" w:sz="4" w:space="0" w:color="auto"/>
            </w:tcBorders>
            <w:noWrap/>
            <w:vAlign w:val="bottom"/>
            <w:hideMark/>
          </w:tcPr>
          <w:p w14:paraId="5FA8513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$40.00</w:t>
            </w:r>
          </w:p>
        </w:tc>
        <w:tc>
          <w:tcPr>
            <w:tcW w:w="4413" w:type="dxa"/>
            <w:gridSpan w:val="4"/>
            <w:vMerge/>
            <w:tcBorders>
              <w:top w:val="nil"/>
              <w:left w:val="nil"/>
              <w:bottom w:val="single" w:sz="4" w:space="0" w:color="auto"/>
              <w:right w:val="single" w:sz="4" w:space="0" w:color="auto"/>
            </w:tcBorders>
            <w:vAlign w:val="center"/>
            <w:hideMark/>
          </w:tcPr>
          <w:p w14:paraId="573F9F03"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r w:rsidR="00987360" w:rsidRPr="009225E6" w14:paraId="3D39915E" w14:textId="77777777" w:rsidTr="00BD023E">
        <w:trPr>
          <w:trHeight w:val="297"/>
        </w:trPr>
        <w:tc>
          <w:tcPr>
            <w:tcW w:w="2234" w:type="dxa"/>
            <w:tcBorders>
              <w:top w:val="nil"/>
              <w:left w:val="single" w:sz="4" w:space="0" w:color="auto"/>
              <w:bottom w:val="double" w:sz="6" w:space="0" w:color="auto"/>
              <w:right w:val="single" w:sz="4" w:space="0" w:color="auto"/>
            </w:tcBorders>
            <w:noWrap/>
            <w:vAlign w:val="bottom"/>
            <w:hideMark/>
          </w:tcPr>
          <w:p w14:paraId="06A34119"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058" w:type="dxa"/>
            <w:tcBorders>
              <w:top w:val="nil"/>
              <w:left w:val="nil"/>
              <w:bottom w:val="double" w:sz="6" w:space="0" w:color="auto"/>
              <w:right w:val="single" w:sz="4" w:space="0" w:color="auto"/>
            </w:tcBorders>
            <w:noWrap/>
            <w:vAlign w:val="bottom"/>
            <w:hideMark/>
          </w:tcPr>
          <w:p w14:paraId="400505D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$1.32</w:t>
            </w:r>
          </w:p>
        </w:tc>
        <w:tc>
          <w:tcPr>
            <w:tcW w:w="4413" w:type="dxa"/>
            <w:gridSpan w:val="4"/>
            <w:vMerge/>
            <w:tcBorders>
              <w:top w:val="nil"/>
              <w:left w:val="nil"/>
              <w:bottom w:val="double" w:sz="6" w:space="0" w:color="auto"/>
              <w:right w:val="single" w:sz="4" w:space="0" w:color="auto"/>
            </w:tcBorders>
            <w:vAlign w:val="center"/>
            <w:hideMark/>
          </w:tcPr>
          <w:p w14:paraId="1BBD0370"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bl>
    <w:p w14:paraId="648A8708" w14:textId="77777777" w:rsidR="00987360" w:rsidRPr="009225E6" w:rsidRDefault="00987360" w:rsidP="00987360">
      <w:pPr>
        <w:tabs>
          <w:tab w:val="left" w:pos="201"/>
        </w:tabs>
        <w:rPr>
          <w:rFonts w:ascii="Times New Roman" w:hAnsi="Times New Roman" w:cs="Times New Roman"/>
          <w:sz w:val="24"/>
          <w:szCs w:val="24"/>
          <w:lang w:val="en-US"/>
        </w:rPr>
      </w:pPr>
      <w:r w:rsidRPr="009225E6">
        <w:rPr>
          <w:rFonts w:ascii="Times New Roman" w:hAnsi="Times New Roman" w:cs="Times New Roman"/>
          <w:sz w:val="24"/>
          <w:szCs w:val="24"/>
          <w:lang w:val="en-US"/>
        </w:rPr>
        <w:t>Project B</w:t>
      </w:r>
    </w:p>
    <w:tbl>
      <w:tblPr>
        <w:tblW w:w="7957" w:type="dxa"/>
        <w:tblInd w:w="93" w:type="dxa"/>
        <w:tblLook w:val="04A0" w:firstRow="1" w:lastRow="0" w:firstColumn="1" w:lastColumn="0" w:noHBand="0" w:noVBand="1"/>
      </w:tblPr>
      <w:tblGrid>
        <w:gridCol w:w="2307"/>
        <w:gridCol w:w="1171"/>
        <w:gridCol w:w="968"/>
        <w:gridCol w:w="968"/>
        <w:gridCol w:w="1171"/>
        <w:gridCol w:w="1372"/>
      </w:tblGrid>
      <w:tr w:rsidR="00987360" w:rsidRPr="009225E6" w14:paraId="11B72922" w14:textId="77777777" w:rsidTr="00BD023E">
        <w:trPr>
          <w:trHeight w:val="324"/>
        </w:trPr>
        <w:tc>
          <w:tcPr>
            <w:tcW w:w="2307" w:type="dxa"/>
            <w:vMerge w:val="restart"/>
            <w:tcBorders>
              <w:top w:val="single" w:sz="4" w:space="0" w:color="auto"/>
              <w:left w:val="single" w:sz="4" w:space="0" w:color="auto"/>
              <w:bottom w:val="single" w:sz="4" w:space="0" w:color="000000"/>
              <w:right w:val="single" w:sz="4" w:space="0" w:color="auto"/>
            </w:tcBorders>
            <w:noWrap/>
            <w:vAlign w:val="bottom"/>
            <w:hideMark/>
          </w:tcPr>
          <w:p w14:paraId="316B2D7A"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650" w:type="dxa"/>
            <w:gridSpan w:val="5"/>
            <w:tcBorders>
              <w:top w:val="single" w:sz="4" w:space="0" w:color="auto"/>
              <w:left w:val="nil"/>
              <w:bottom w:val="single" w:sz="4" w:space="0" w:color="auto"/>
              <w:right w:val="single" w:sz="4" w:space="0" w:color="auto"/>
            </w:tcBorders>
            <w:noWrap/>
            <w:vAlign w:val="bottom"/>
            <w:hideMark/>
          </w:tcPr>
          <w:p w14:paraId="77BC668D"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987360" w:rsidRPr="009225E6" w14:paraId="5B0C96E8" w14:textId="77777777" w:rsidTr="00BD023E">
        <w:trPr>
          <w:trHeight w:val="309"/>
        </w:trPr>
        <w:tc>
          <w:tcPr>
            <w:tcW w:w="2307" w:type="dxa"/>
            <w:vMerge/>
            <w:tcBorders>
              <w:top w:val="single" w:sz="4" w:space="0" w:color="auto"/>
              <w:left w:val="single" w:sz="4" w:space="0" w:color="auto"/>
              <w:bottom w:val="single" w:sz="4" w:space="0" w:color="000000"/>
              <w:right w:val="single" w:sz="4" w:space="0" w:color="auto"/>
            </w:tcBorders>
            <w:vAlign w:val="center"/>
            <w:hideMark/>
          </w:tcPr>
          <w:p w14:paraId="3AB1C535"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171" w:type="dxa"/>
            <w:tcBorders>
              <w:top w:val="nil"/>
              <w:left w:val="nil"/>
              <w:bottom w:val="single" w:sz="4" w:space="0" w:color="auto"/>
              <w:right w:val="single" w:sz="4" w:space="0" w:color="auto"/>
            </w:tcBorders>
            <w:noWrap/>
            <w:vAlign w:val="bottom"/>
            <w:hideMark/>
          </w:tcPr>
          <w:p w14:paraId="50E76383"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968" w:type="dxa"/>
            <w:tcBorders>
              <w:top w:val="nil"/>
              <w:left w:val="nil"/>
              <w:bottom w:val="single" w:sz="4" w:space="0" w:color="auto"/>
              <w:right w:val="single" w:sz="4" w:space="0" w:color="auto"/>
            </w:tcBorders>
            <w:noWrap/>
            <w:vAlign w:val="bottom"/>
            <w:hideMark/>
          </w:tcPr>
          <w:p w14:paraId="57E16996"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968" w:type="dxa"/>
            <w:tcBorders>
              <w:top w:val="nil"/>
              <w:left w:val="nil"/>
              <w:bottom w:val="single" w:sz="4" w:space="0" w:color="auto"/>
              <w:right w:val="single" w:sz="4" w:space="0" w:color="auto"/>
            </w:tcBorders>
            <w:noWrap/>
            <w:vAlign w:val="bottom"/>
            <w:hideMark/>
          </w:tcPr>
          <w:p w14:paraId="7D9C86E4"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171" w:type="dxa"/>
            <w:tcBorders>
              <w:top w:val="nil"/>
              <w:left w:val="nil"/>
              <w:bottom w:val="single" w:sz="4" w:space="0" w:color="auto"/>
              <w:right w:val="single" w:sz="4" w:space="0" w:color="auto"/>
            </w:tcBorders>
            <w:noWrap/>
            <w:vAlign w:val="bottom"/>
            <w:hideMark/>
          </w:tcPr>
          <w:p w14:paraId="78EFCC24"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372" w:type="dxa"/>
            <w:tcBorders>
              <w:top w:val="nil"/>
              <w:left w:val="nil"/>
              <w:bottom w:val="single" w:sz="4" w:space="0" w:color="auto"/>
              <w:right w:val="single" w:sz="4" w:space="0" w:color="auto"/>
            </w:tcBorders>
            <w:noWrap/>
            <w:vAlign w:val="bottom"/>
            <w:hideMark/>
          </w:tcPr>
          <w:p w14:paraId="22776FE6"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987360" w:rsidRPr="009225E6" w14:paraId="512F3E88" w14:textId="77777777" w:rsidTr="00BD023E">
        <w:trPr>
          <w:trHeight w:val="309"/>
        </w:trPr>
        <w:tc>
          <w:tcPr>
            <w:tcW w:w="2307" w:type="dxa"/>
            <w:vMerge/>
            <w:tcBorders>
              <w:top w:val="single" w:sz="4" w:space="0" w:color="auto"/>
              <w:left w:val="single" w:sz="4" w:space="0" w:color="auto"/>
              <w:bottom w:val="single" w:sz="4" w:space="0" w:color="000000"/>
              <w:right w:val="single" w:sz="4" w:space="0" w:color="auto"/>
            </w:tcBorders>
            <w:vAlign w:val="center"/>
            <w:hideMark/>
          </w:tcPr>
          <w:p w14:paraId="0D061FA5"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171" w:type="dxa"/>
            <w:tcBorders>
              <w:top w:val="nil"/>
              <w:left w:val="nil"/>
              <w:bottom w:val="single" w:sz="4" w:space="0" w:color="auto"/>
              <w:right w:val="single" w:sz="4" w:space="0" w:color="auto"/>
            </w:tcBorders>
            <w:noWrap/>
            <w:vAlign w:val="bottom"/>
            <w:hideMark/>
          </w:tcPr>
          <w:p w14:paraId="3EF8BCD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968" w:type="dxa"/>
            <w:tcBorders>
              <w:top w:val="nil"/>
              <w:left w:val="nil"/>
              <w:bottom w:val="single" w:sz="4" w:space="0" w:color="auto"/>
              <w:right w:val="single" w:sz="4" w:space="0" w:color="auto"/>
            </w:tcBorders>
            <w:noWrap/>
            <w:vAlign w:val="bottom"/>
            <w:hideMark/>
          </w:tcPr>
          <w:p w14:paraId="6771F51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968" w:type="dxa"/>
            <w:tcBorders>
              <w:top w:val="nil"/>
              <w:left w:val="nil"/>
              <w:bottom w:val="single" w:sz="4" w:space="0" w:color="auto"/>
              <w:right w:val="single" w:sz="4" w:space="0" w:color="auto"/>
            </w:tcBorders>
            <w:noWrap/>
            <w:vAlign w:val="bottom"/>
            <w:hideMark/>
          </w:tcPr>
          <w:p w14:paraId="19D3B9B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171" w:type="dxa"/>
            <w:tcBorders>
              <w:top w:val="nil"/>
              <w:left w:val="nil"/>
              <w:bottom w:val="single" w:sz="4" w:space="0" w:color="auto"/>
              <w:right w:val="single" w:sz="4" w:space="0" w:color="auto"/>
            </w:tcBorders>
            <w:noWrap/>
            <w:vAlign w:val="bottom"/>
            <w:hideMark/>
          </w:tcPr>
          <w:p w14:paraId="6A89475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372" w:type="dxa"/>
            <w:tcBorders>
              <w:top w:val="nil"/>
              <w:left w:val="nil"/>
              <w:bottom w:val="single" w:sz="4" w:space="0" w:color="auto"/>
              <w:right w:val="single" w:sz="4" w:space="0" w:color="auto"/>
            </w:tcBorders>
            <w:noWrap/>
            <w:vAlign w:val="bottom"/>
            <w:hideMark/>
          </w:tcPr>
          <w:p w14:paraId="2F830A4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r>
      <w:tr w:rsidR="00987360" w:rsidRPr="009225E6" w14:paraId="32F12E42" w14:textId="77777777" w:rsidTr="00BD023E">
        <w:trPr>
          <w:trHeight w:val="309"/>
        </w:trPr>
        <w:tc>
          <w:tcPr>
            <w:tcW w:w="2307" w:type="dxa"/>
            <w:tcBorders>
              <w:top w:val="nil"/>
              <w:left w:val="single" w:sz="4" w:space="0" w:color="auto"/>
              <w:bottom w:val="single" w:sz="4" w:space="0" w:color="auto"/>
              <w:right w:val="single" w:sz="4" w:space="0" w:color="auto"/>
            </w:tcBorders>
            <w:noWrap/>
            <w:vAlign w:val="bottom"/>
            <w:hideMark/>
          </w:tcPr>
          <w:p w14:paraId="1C7ECC56"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171" w:type="dxa"/>
            <w:tcBorders>
              <w:top w:val="nil"/>
              <w:left w:val="nil"/>
              <w:bottom w:val="single" w:sz="4" w:space="0" w:color="auto"/>
              <w:right w:val="single" w:sz="4" w:space="0" w:color="auto"/>
            </w:tcBorders>
            <w:noWrap/>
            <w:vAlign w:val="bottom"/>
            <w:hideMark/>
          </w:tcPr>
          <w:p w14:paraId="4771CC6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68" w:type="dxa"/>
            <w:tcBorders>
              <w:top w:val="nil"/>
              <w:left w:val="nil"/>
              <w:bottom w:val="single" w:sz="4" w:space="0" w:color="auto"/>
              <w:right w:val="single" w:sz="4" w:space="0" w:color="auto"/>
            </w:tcBorders>
            <w:noWrap/>
            <w:vAlign w:val="bottom"/>
            <w:hideMark/>
          </w:tcPr>
          <w:p w14:paraId="73BC022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68" w:type="dxa"/>
            <w:tcBorders>
              <w:top w:val="nil"/>
              <w:left w:val="nil"/>
              <w:bottom w:val="single" w:sz="4" w:space="0" w:color="auto"/>
              <w:right w:val="single" w:sz="4" w:space="0" w:color="auto"/>
            </w:tcBorders>
            <w:noWrap/>
            <w:vAlign w:val="bottom"/>
            <w:hideMark/>
          </w:tcPr>
          <w:p w14:paraId="0EAB97D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171" w:type="dxa"/>
            <w:tcBorders>
              <w:top w:val="nil"/>
              <w:left w:val="nil"/>
              <w:bottom w:val="single" w:sz="4" w:space="0" w:color="auto"/>
              <w:right w:val="single" w:sz="4" w:space="0" w:color="auto"/>
            </w:tcBorders>
            <w:noWrap/>
            <w:vAlign w:val="bottom"/>
            <w:hideMark/>
          </w:tcPr>
          <w:p w14:paraId="67ECEEB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372" w:type="dxa"/>
            <w:tcBorders>
              <w:top w:val="nil"/>
              <w:left w:val="nil"/>
              <w:bottom w:val="single" w:sz="4" w:space="0" w:color="auto"/>
              <w:right w:val="single" w:sz="4" w:space="0" w:color="auto"/>
            </w:tcBorders>
            <w:noWrap/>
            <w:vAlign w:val="bottom"/>
            <w:hideMark/>
          </w:tcPr>
          <w:p w14:paraId="078FCE7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3BFEE240" w14:textId="77777777" w:rsidTr="00BD023E">
        <w:trPr>
          <w:trHeight w:val="309"/>
        </w:trPr>
        <w:tc>
          <w:tcPr>
            <w:tcW w:w="2307" w:type="dxa"/>
            <w:tcBorders>
              <w:top w:val="nil"/>
              <w:left w:val="single" w:sz="4" w:space="0" w:color="auto"/>
              <w:bottom w:val="single" w:sz="4" w:space="0" w:color="auto"/>
              <w:right w:val="single" w:sz="4" w:space="0" w:color="auto"/>
            </w:tcBorders>
            <w:noWrap/>
            <w:vAlign w:val="bottom"/>
            <w:hideMark/>
          </w:tcPr>
          <w:p w14:paraId="69887131"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171" w:type="dxa"/>
            <w:tcBorders>
              <w:top w:val="nil"/>
              <w:left w:val="nil"/>
              <w:bottom w:val="single" w:sz="4" w:space="0" w:color="auto"/>
              <w:right w:val="single" w:sz="4" w:space="0" w:color="auto"/>
            </w:tcBorders>
            <w:noWrap/>
            <w:vAlign w:val="bottom"/>
            <w:hideMark/>
          </w:tcPr>
          <w:p w14:paraId="326B4F20"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968" w:type="dxa"/>
            <w:tcBorders>
              <w:top w:val="nil"/>
              <w:left w:val="nil"/>
              <w:bottom w:val="single" w:sz="4" w:space="0" w:color="auto"/>
              <w:right w:val="single" w:sz="4" w:space="0" w:color="auto"/>
            </w:tcBorders>
            <w:noWrap/>
            <w:vAlign w:val="bottom"/>
            <w:hideMark/>
          </w:tcPr>
          <w:p w14:paraId="59C74EC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968" w:type="dxa"/>
            <w:tcBorders>
              <w:top w:val="nil"/>
              <w:left w:val="nil"/>
              <w:bottom w:val="single" w:sz="4" w:space="0" w:color="auto"/>
              <w:right w:val="single" w:sz="4" w:space="0" w:color="auto"/>
            </w:tcBorders>
            <w:noWrap/>
            <w:vAlign w:val="bottom"/>
            <w:hideMark/>
          </w:tcPr>
          <w:p w14:paraId="4E26CF9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171" w:type="dxa"/>
            <w:tcBorders>
              <w:top w:val="nil"/>
              <w:left w:val="nil"/>
              <w:bottom w:val="single" w:sz="4" w:space="0" w:color="auto"/>
              <w:right w:val="single" w:sz="4" w:space="0" w:color="auto"/>
            </w:tcBorders>
            <w:noWrap/>
            <w:vAlign w:val="bottom"/>
            <w:hideMark/>
          </w:tcPr>
          <w:p w14:paraId="41F6816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372" w:type="dxa"/>
            <w:tcBorders>
              <w:top w:val="nil"/>
              <w:left w:val="nil"/>
              <w:bottom w:val="single" w:sz="4" w:space="0" w:color="auto"/>
              <w:right w:val="single" w:sz="4" w:space="0" w:color="auto"/>
            </w:tcBorders>
            <w:noWrap/>
            <w:vAlign w:val="bottom"/>
            <w:hideMark/>
          </w:tcPr>
          <w:p w14:paraId="28CF83C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987360" w:rsidRPr="009225E6" w14:paraId="706EA791" w14:textId="77777777" w:rsidTr="00BD023E">
        <w:trPr>
          <w:trHeight w:val="309"/>
        </w:trPr>
        <w:tc>
          <w:tcPr>
            <w:tcW w:w="2307" w:type="dxa"/>
            <w:tcBorders>
              <w:top w:val="nil"/>
              <w:left w:val="single" w:sz="4" w:space="0" w:color="auto"/>
              <w:bottom w:val="nil"/>
              <w:right w:val="single" w:sz="4" w:space="0" w:color="auto"/>
            </w:tcBorders>
            <w:noWrap/>
            <w:vAlign w:val="bottom"/>
            <w:hideMark/>
          </w:tcPr>
          <w:p w14:paraId="3C3A883E"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171" w:type="dxa"/>
            <w:tcBorders>
              <w:top w:val="nil"/>
              <w:left w:val="nil"/>
              <w:bottom w:val="nil"/>
              <w:right w:val="single" w:sz="4" w:space="0" w:color="auto"/>
            </w:tcBorders>
            <w:noWrap/>
            <w:vAlign w:val="bottom"/>
            <w:hideMark/>
          </w:tcPr>
          <w:p w14:paraId="2C8987F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$5.45</w:t>
            </w:r>
          </w:p>
        </w:tc>
        <w:tc>
          <w:tcPr>
            <w:tcW w:w="968" w:type="dxa"/>
            <w:tcBorders>
              <w:top w:val="nil"/>
              <w:left w:val="nil"/>
              <w:bottom w:val="nil"/>
              <w:right w:val="single" w:sz="4" w:space="0" w:color="auto"/>
            </w:tcBorders>
            <w:noWrap/>
            <w:vAlign w:val="bottom"/>
            <w:hideMark/>
          </w:tcPr>
          <w:p w14:paraId="3331051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$4.96</w:t>
            </w:r>
          </w:p>
        </w:tc>
        <w:tc>
          <w:tcPr>
            <w:tcW w:w="968" w:type="dxa"/>
            <w:tcBorders>
              <w:top w:val="nil"/>
              <w:left w:val="nil"/>
              <w:bottom w:val="nil"/>
              <w:right w:val="single" w:sz="4" w:space="0" w:color="auto"/>
            </w:tcBorders>
            <w:noWrap/>
            <w:vAlign w:val="bottom"/>
            <w:hideMark/>
          </w:tcPr>
          <w:p w14:paraId="7A9D0357"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$4.51</w:t>
            </w:r>
          </w:p>
        </w:tc>
        <w:tc>
          <w:tcPr>
            <w:tcW w:w="1171" w:type="dxa"/>
            <w:tcBorders>
              <w:top w:val="nil"/>
              <w:left w:val="nil"/>
              <w:bottom w:val="nil"/>
              <w:right w:val="single" w:sz="4" w:space="0" w:color="auto"/>
            </w:tcBorders>
            <w:noWrap/>
            <w:vAlign w:val="bottom"/>
            <w:hideMark/>
          </w:tcPr>
          <w:p w14:paraId="7496257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$4.10</w:t>
            </w:r>
          </w:p>
        </w:tc>
        <w:tc>
          <w:tcPr>
            <w:tcW w:w="1372" w:type="dxa"/>
            <w:tcBorders>
              <w:top w:val="nil"/>
              <w:left w:val="nil"/>
              <w:bottom w:val="nil"/>
              <w:right w:val="single" w:sz="4" w:space="0" w:color="auto"/>
            </w:tcBorders>
            <w:noWrap/>
            <w:vAlign w:val="bottom"/>
            <w:hideMark/>
          </w:tcPr>
          <w:p w14:paraId="3F27AEEE"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$3.73</w:t>
            </w:r>
          </w:p>
        </w:tc>
      </w:tr>
      <w:tr w:rsidR="00987360" w:rsidRPr="009225E6" w14:paraId="26BD1050" w14:textId="77777777" w:rsidTr="00BD023E">
        <w:trPr>
          <w:trHeight w:val="324"/>
        </w:trPr>
        <w:tc>
          <w:tcPr>
            <w:tcW w:w="2307" w:type="dxa"/>
            <w:tcBorders>
              <w:top w:val="single" w:sz="4" w:space="0" w:color="auto"/>
              <w:left w:val="single" w:sz="4" w:space="0" w:color="auto"/>
              <w:bottom w:val="single" w:sz="4" w:space="0" w:color="auto"/>
              <w:right w:val="single" w:sz="4" w:space="0" w:color="auto"/>
            </w:tcBorders>
            <w:noWrap/>
            <w:vAlign w:val="bottom"/>
            <w:hideMark/>
          </w:tcPr>
          <w:p w14:paraId="601F4DF9"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171" w:type="dxa"/>
            <w:tcBorders>
              <w:top w:val="single" w:sz="4" w:space="0" w:color="auto"/>
              <w:left w:val="nil"/>
              <w:bottom w:val="single" w:sz="4" w:space="0" w:color="auto"/>
              <w:right w:val="single" w:sz="4" w:space="0" w:color="auto"/>
            </w:tcBorders>
            <w:noWrap/>
            <w:vAlign w:val="bottom"/>
            <w:hideMark/>
          </w:tcPr>
          <w:p w14:paraId="2BFF43A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$22.74</w:t>
            </w:r>
          </w:p>
        </w:tc>
        <w:tc>
          <w:tcPr>
            <w:tcW w:w="4479" w:type="dxa"/>
            <w:gridSpan w:val="4"/>
            <w:vMerge w:val="restart"/>
            <w:tcBorders>
              <w:top w:val="single" w:sz="4" w:space="0" w:color="auto"/>
              <w:left w:val="single" w:sz="4" w:space="0" w:color="auto"/>
              <w:bottom w:val="double" w:sz="6" w:space="0" w:color="000000"/>
              <w:right w:val="single" w:sz="4" w:space="0" w:color="000000"/>
            </w:tcBorders>
            <w:hideMark/>
          </w:tcPr>
          <w:p w14:paraId="7AD3B469"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xml:space="preserve">Project A generates £7.26 Negative Cash </w:t>
            </w:r>
            <w:r w:rsidRPr="009225E6">
              <w:rPr>
                <w:rFonts w:ascii="Times New Roman" w:eastAsia="Times New Roman" w:hAnsi="Times New Roman" w:cs="Times New Roman"/>
                <w:color w:val="000000"/>
                <w:lang w:val="en-US"/>
              </w:rPr>
              <w:br/>
              <w:t>Flows</w:t>
            </w:r>
          </w:p>
        </w:tc>
      </w:tr>
      <w:tr w:rsidR="00987360" w:rsidRPr="009225E6" w14:paraId="6137CD98" w14:textId="77777777" w:rsidTr="00BD023E">
        <w:trPr>
          <w:trHeight w:val="324"/>
        </w:trPr>
        <w:tc>
          <w:tcPr>
            <w:tcW w:w="2307" w:type="dxa"/>
            <w:tcBorders>
              <w:top w:val="nil"/>
              <w:left w:val="single" w:sz="4" w:space="0" w:color="auto"/>
              <w:bottom w:val="single" w:sz="4" w:space="0" w:color="auto"/>
              <w:right w:val="single" w:sz="4" w:space="0" w:color="auto"/>
            </w:tcBorders>
            <w:noWrap/>
            <w:vAlign w:val="bottom"/>
            <w:hideMark/>
          </w:tcPr>
          <w:p w14:paraId="3E27A3C1"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171" w:type="dxa"/>
            <w:tcBorders>
              <w:top w:val="nil"/>
              <w:left w:val="nil"/>
              <w:bottom w:val="single" w:sz="4" w:space="0" w:color="auto"/>
              <w:right w:val="single" w:sz="4" w:space="0" w:color="auto"/>
            </w:tcBorders>
            <w:noWrap/>
            <w:vAlign w:val="bottom"/>
            <w:hideMark/>
          </w:tcPr>
          <w:p w14:paraId="11C20306"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$30.00</w:t>
            </w:r>
          </w:p>
        </w:tc>
        <w:tc>
          <w:tcPr>
            <w:tcW w:w="4479" w:type="dxa"/>
            <w:gridSpan w:val="4"/>
            <w:vMerge/>
            <w:tcBorders>
              <w:top w:val="nil"/>
              <w:left w:val="nil"/>
              <w:bottom w:val="single" w:sz="4" w:space="0" w:color="auto"/>
              <w:right w:val="single" w:sz="4" w:space="0" w:color="auto"/>
            </w:tcBorders>
            <w:vAlign w:val="center"/>
            <w:hideMark/>
          </w:tcPr>
          <w:p w14:paraId="5AFAC3D6"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r w:rsidR="00987360" w:rsidRPr="009225E6" w14:paraId="519FC895" w14:textId="77777777" w:rsidTr="00BD023E">
        <w:trPr>
          <w:trHeight w:val="324"/>
        </w:trPr>
        <w:tc>
          <w:tcPr>
            <w:tcW w:w="2307" w:type="dxa"/>
            <w:tcBorders>
              <w:top w:val="nil"/>
              <w:left w:val="single" w:sz="4" w:space="0" w:color="auto"/>
              <w:bottom w:val="double" w:sz="6" w:space="0" w:color="auto"/>
              <w:right w:val="single" w:sz="4" w:space="0" w:color="auto"/>
            </w:tcBorders>
            <w:noWrap/>
            <w:vAlign w:val="bottom"/>
            <w:hideMark/>
          </w:tcPr>
          <w:p w14:paraId="34D72CCA"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171" w:type="dxa"/>
            <w:tcBorders>
              <w:top w:val="nil"/>
              <w:left w:val="nil"/>
              <w:bottom w:val="double" w:sz="6" w:space="0" w:color="auto"/>
              <w:right w:val="single" w:sz="4" w:space="0" w:color="auto"/>
            </w:tcBorders>
            <w:noWrap/>
            <w:vAlign w:val="bottom"/>
            <w:hideMark/>
          </w:tcPr>
          <w:p w14:paraId="3DDE22CA"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-$7.26</w:t>
            </w:r>
          </w:p>
        </w:tc>
        <w:tc>
          <w:tcPr>
            <w:tcW w:w="4479" w:type="dxa"/>
            <w:gridSpan w:val="4"/>
            <w:vMerge/>
            <w:tcBorders>
              <w:top w:val="nil"/>
              <w:left w:val="nil"/>
              <w:bottom w:val="double" w:sz="6" w:space="0" w:color="auto"/>
              <w:right w:val="single" w:sz="4" w:space="0" w:color="auto"/>
            </w:tcBorders>
            <w:vAlign w:val="center"/>
            <w:hideMark/>
          </w:tcPr>
          <w:p w14:paraId="0DE97E52"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bl>
    <w:p w14:paraId="79DEF031" w14:textId="77777777" w:rsidR="00987360" w:rsidRPr="009225E6" w:rsidRDefault="00987360" w:rsidP="00987360">
      <w:pPr>
        <w:tabs>
          <w:tab w:val="left" w:pos="201"/>
        </w:tabs>
        <w:rPr>
          <w:rFonts w:ascii="Times New Roman" w:hAnsi="Times New Roman" w:cs="Times New Roman"/>
          <w:sz w:val="24"/>
          <w:szCs w:val="24"/>
          <w:lang w:val="en-US"/>
        </w:rPr>
      </w:pPr>
      <w:r w:rsidRPr="009225E6">
        <w:rPr>
          <w:rFonts w:ascii="Times New Roman" w:hAnsi="Times New Roman" w:cs="Times New Roman"/>
          <w:sz w:val="24"/>
          <w:szCs w:val="24"/>
          <w:lang w:val="en-US"/>
        </w:rPr>
        <w:t xml:space="preserve"> </w:t>
      </w:r>
    </w:p>
    <w:p w14:paraId="78B16F80" w14:textId="77777777" w:rsidR="00987360" w:rsidRPr="009225E6" w:rsidRDefault="00987360" w:rsidP="00987360">
      <w:pPr>
        <w:rPr>
          <w:rFonts w:ascii="Times New Roman" w:hAnsi="Times New Roman" w:cs="Times New Roman"/>
        </w:rPr>
      </w:pPr>
      <w:r w:rsidRPr="009225E6">
        <w:rPr>
          <w:rFonts w:ascii="Times New Roman" w:hAnsi="Times New Roman" w:cs="Times New Roman"/>
        </w:rPr>
        <w:t>Project C</w:t>
      </w:r>
    </w:p>
    <w:tbl>
      <w:tblPr>
        <w:tblW w:w="7940" w:type="dxa"/>
        <w:tblInd w:w="93" w:type="dxa"/>
        <w:tblLook w:val="04A0" w:firstRow="1" w:lastRow="0" w:firstColumn="1" w:lastColumn="0" w:noHBand="0" w:noVBand="1"/>
      </w:tblPr>
      <w:tblGrid>
        <w:gridCol w:w="2302"/>
        <w:gridCol w:w="1090"/>
        <w:gridCol w:w="1090"/>
        <w:gridCol w:w="1090"/>
        <w:gridCol w:w="1090"/>
        <w:gridCol w:w="1278"/>
      </w:tblGrid>
      <w:tr w:rsidR="00987360" w:rsidRPr="009225E6" w14:paraId="5241192F" w14:textId="77777777" w:rsidTr="00BD023E">
        <w:trPr>
          <w:trHeight w:val="309"/>
        </w:trPr>
        <w:tc>
          <w:tcPr>
            <w:tcW w:w="2302" w:type="dxa"/>
            <w:vMerge w:val="restart"/>
            <w:tcBorders>
              <w:top w:val="single" w:sz="4" w:space="0" w:color="auto"/>
              <w:left w:val="single" w:sz="4" w:space="0" w:color="auto"/>
              <w:bottom w:val="single" w:sz="4" w:space="0" w:color="000000"/>
              <w:right w:val="single" w:sz="4" w:space="0" w:color="auto"/>
            </w:tcBorders>
            <w:noWrap/>
            <w:vAlign w:val="bottom"/>
            <w:hideMark/>
          </w:tcPr>
          <w:p w14:paraId="4A0F6A53"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638" w:type="dxa"/>
            <w:gridSpan w:val="5"/>
            <w:tcBorders>
              <w:top w:val="single" w:sz="4" w:space="0" w:color="auto"/>
              <w:left w:val="nil"/>
              <w:bottom w:val="single" w:sz="4" w:space="0" w:color="auto"/>
              <w:right w:val="single" w:sz="4" w:space="0" w:color="auto"/>
            </w:tcBorders>
            <w:noWrap/>
            <w:vAlign w:val="bottom"/>
            <w:hideMark/>
          </w:tcPr>
          <w:p w14:paraId="4C6ED07D" w14:textId="77777777" w:rsidR="00987360" w:rsidRPr="009225E6" w:rsidRDefault="00987360"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987360" w:rsidRPr="009225E6" w14:paraId="3B780ED1" w14:textId="77777777" w:rsidTr="00BD023E">
        <w:trPr>
          <w:trHeight w:val="309"/>
        </w:trPr>
        <w:tc>
          <w:tcPr>
            <w:tcW w:w="2302" w:type="dxa"/>
            <w:vMerge/>
            <w:tcBorders>
              <w:top w:val="single" w:sz="4" w:space="0" w:color="auto"/>
              <w:left w:val="single" w:sz="4" w:space="0" w:color="auto"/>
              <w:bottom w:val="single" w:sz="4" w:space="0" w:color="000000"/>
              <w:right w:val="single" w:sz="4" w:space="0" w:color="auto"/>
            </w:tcBorders>
            <w:vAlign w:val="center"/>
            <w:hideMark/>
          </w:tcPr>
          <w:p w14:paraId="26700EBF"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090" w:type="dxa"/>
            <w:tcBorders>
              <w:top w:val="nil"/>
              <w:left w:val="nil"/>
              <w:bottom w:val="single" w:sz="4" w:space="0" w:color="auto"/>
              <w:right w:val="single" w:sz="4" w:space="0" w:color="auto"/>
            </w:tcBorders>
            <w:noWrap/>
            <w:vAlign w:val="bottom"/>
            <w:hideMark/>
          </w:tcPr>
          <w:p w14:paraId="33F273BA"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1090" w:type="dxa"/>
            <w:tcBorders>
              <w:top w:val="nil"/>
              <w:left w:val="nil"/>
              <w:bottom w:val="single" w:sz="4" w:space="0" w:color="auto"/>
              <w:right w:val="single" w:sz="4" w:space="0" w:color="auto"/>
            </w:tcBorders>
            <w:noWrap/>
            <w:vAlign w:val="bottom"/>
            <w:hideMark/>
          </w:tcPr>
          <w:p w14:paraId="774E8534"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1090" w:type="dxa"/>
            <w:tcBorders>
              <w:top w:val="nil"/>
              <w:left w:val="nil"/>
              <w:bottom w:val="single" w:sz="4" w:space="0" w:color="auto"/>
              <w:right w:val="single" w:sz="4" w:space="0" w:color="auto"/>
            </w:tcBorders>
            <w:noWrap/>
            <w:vAlign w:val="bottom"/>
            <w:hideMark/>
          </w:tcPr>
          <w:p w14:paraId="1A59058B"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090" w:type="dxa"/>
            <w:tcBorders>
              <w:top w:val="nil"/>
              <w:left w:val="nil"/>
              <w:bottom w:val="single" w:sz="4" w:space="0" w:color="auto"/>
              <w:right w:val="single" w:sz="4" w:space="0" w:color="auto"/>
            </w:tcBorders>
            <w:noWrap/>
            <w:vAlign w:val="bottom"/>
            <w:hideMark/>
          </w:tcPr>
          <w:p w14:paraId="64365D77"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278" w:type="dxa"/>
            <w:tcBorders>
              <w:top w:val="nil"/>
              <w:left w:val="nil"/>
              <w:bottom w:val="single" w:sz="4" w:space="0" w:color="auto"/>
              <w:right w:val="single" w:sz="4" w:space="0" w:color="auto"/>
            </w:tcBorders>
            <w:noWrap/>
            <w:vAlign w:val="bottom"/>
            <w:hideMark/>
          </w:tcPr>
          <w:p w14:paraId="14AC925F" w14:textId="77777777" w:rsidR="00987360" w:rsidRPr="009225E6" w:rsidRDefault="00987360"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987360" w:rsidRPr="009225E6" w14:paraId="47728AC8" w14:textId="77777777" w:rsidTr="00BD023E">
        <w:trPr>
          <w:trHeight w:val="309"/>
        </w:trPr>
        <w:tc>
          <w:tcPr>
            <w:tcW w:w="2302" w:type="dxa"/>
            <w:vMerge/>
            <w:tcBorders>
              <w:top w:val="single" w:sz="4" w:space="0" w:color="auto"/>
              <w:left w:val="single" w:sz="4" w:space="0" w:color="auto"/>
              <w:bottom w:val="single" w:sz="4" w:space="0" w:color="000000"/>
              <w:right w:val="single" w:sz="4" w:space="0" w:color="auto"/>
            </w:tcBorders>
            <w:vAlign w:val="center"/>
            <w:hideMark/>
          </w:tcPr>
          <w:p w14:paraId="07DD4CA2" w14:textId="77777777" w:rsidR="00987360" w:rsidRPr="009225E6" w:rsidRDefault="00987360" w:rsidP="00BD023E">
            <w:pPr>
              <w:spacing w:after="0" w:line="240" w:lineRule="auto"/>
              <w:rPr>
                <w:rFonts w:ascii="Times New Roman" w:eastAsia="Times New Roman" w:hAnsi="Times New Roman" w:cs="Times New Roman"/>
                <w:b/>
                <w:bCs/>
                <w:color w:val="000000"/>
                <w:lang w:val="en-US"/>
              </w:rPr>
            </w:pPr>
          </w:p>
        </w:tc>
        <w:tc>
          <w:tcPr>
            <w:tcW w:w="1090" w:type="dxa"/>
            <w:tcBorders>
              <w:top w:val="nil"/>
              <w:left w:val="nil"/>
              <w:bottom w:val="single" w:sz="4" w:space="0" w:color="auto"/>
              <w:right w:val="single" w:sz="4" w:space="0" w:color="auto"/>
            </w:tcBorders>
            <w:noWrap/>
            <w:vAlign w:val="bottom"/>
            <w:hideMark/>
          </w:tcPr>
          <w:p w14:paraId="4FD19B1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w:t>
            </w:r>
          </w:p>
        </w:tc>
        <w:tc>
          <w:tcPr>
            <w:tcW w:w="1090" w:type="dxa"/>
            <w:tcBorders>
              <w:top w:val="nil"/>
              <w:left w:val="nil"/>
              <w:bottom w:val="single" w:sz="4" w:space="0" w:color="auto"/>
              <w:right w:val="single" w:sz="4" w:space="0" w:color="auto"/>
            </w:tcBorders>
            <w:noWrap/>
            <w:vAlign w:val="bottom"/>
            <w:hideMark/>
          </w:tcPr>
          <w:p w14:paraId="3738DDE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090" w:type="dxa"/>
            <w:tcBorders>
              <w:top w:val="nil"/>
              <w:left w:val="nil"/>
              <w:bottom w:val="single" w:sz="4" w:space="0" w:color="auto"/>
              <w:right w:val="single" w:sz="4" w:space="0" w:color="auto"/>
            </w:tcBorders>
            <w:noWrap/>
            <w:vAlign w:val="bottom"/>
            <w:hideMark/>
          </w:tcPr>
          <w:p w14:paraId="1BA611D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£20.00</w:t>
            </w:r>
          </w:p>
        </w:tc>
        <w:tc>
          <w:tcPr>
            <w:tcW w:w="1090" w:type="dxa"/>
            <w:tcBorders>
              <w:top w:val="nil"/>
              <w:left w:val="nil"/>
              <w:bottom w:val="single" w:sz="4" w:space="0" w:color="auto"/>
              <w:right w:val="single" w:sz="4" w:space="0" w:color="auto"/>
            </w:tcBorders>
            <w:noWrap/>
            <w:vAlign w:val="bottom"/>
            <w:hideMark/>
          </w:tcPr>
          <w:p w14:paraId="4D06D838"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£25.00</w:t>
            </w:r>
          </w:p>
        </w:tc>
        <w:tc>
          <w:tcPr>
            <w:tcW w:w="1278" w:type="dxa"/>
            <w:tcBorders>
              <w:top w:val="nil"/>
              <w:left w:val="nil"/>
              <w:bottom w:val="single" w:sz="4" w:space="0" w:color="auto"/>
              <w:right w:val="single" w:sz="4" w:space="0" w:color="auto"/>
            </w:tcBorders>
            <w:noWrap/>
            <w:vAlign w:val="bottom"/>
            <w:hideMark/>
          </w:tcPr>
          <w:p w14:paraId="1AA1ACE5"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£15.00</w:t>
            </w:r>
          </w:p>
        </w:tc>
      </w:tr>
      <w:tr w:rsidR="00987360" w:rsidRPr="009225E6" w14:paraId="4B634B04" w14:textId="77777777" w:rsidTr="00BD023E">
        <w:trPr>
          <w:trHeight w:val="309"/>
        </w:trPr>
        <w:tc>
          <w:tcPr>
            <w:tcW w:w="2302" w:type="dxa"/>
            <w:tcBorders>
              <w:top w:val="nil"/>
              <w:left w:val="single" w:sz="4" w:space="0" w:color="auto"/>
              <w:bottom w:val="single" w:sz="4" w:space="0" w:color="auto"/>
              <w:right w:val="single" w:sz="4" w:space="0" w:color="auto"/>
            </w:tcBorders>
            <w:noWrap/>
            <w:vAlign w:val="bottom"/>
            <w:hideMark/>
          </w:tcPr>
          <w:p w14:paraId="10430056"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090" w:type="dxa"/>
            <w:tcBorders>
              <w:top w:val="nil"/>
              <w:left w:val="nil"/>
              <w:bottom w:val="single" w:sz="4" w:space="0" w:color="auto"/>
              <w:right w:val="single" w:sz="4" w:space="0" w:color="auto"/>
            </w:tcBorders>
            <w:noWrap/>
            <w:vAlign w:val="bottom"/>
            <w:hideMark/>
          </w:tcPr>
          <w:p w14:paraId="7570A95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90" w:type="dxa"/>
            <w:tcBorders>
              <w:top w:val="nil"/>
              <w:left w:val="nil"/>
              <w:bottom w:val="single" w:sz="4" w:space="0" w:color="auto"/>
              <w:right w:val="single" w:sz="4" w:space="0" w:color="auto"/>
            </w:tcBorders>
            <w:noWrap/>
            <w:vAlign w:val="bottom"/>
            <w:hideMark/>
          </w:tcPr>
          <w:p w14:paraId="7E1EA24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90" w:type="dxa"/>
            <w:tcBorders>
              <w:top w:val="nil"/>
              <w:left w:val="nil"/>
              <w:bottom w:val="single" w:sz="4" w:space="0" w:color="auto"/>
              <w:right w:val="single" w:sz="4" w:space="0" w:color="auto"/>
            </w:tcBorders>
            <w:noWrap/>
            <w:vAlign w:val="bottom"/>
            <w:hideMark/>
          </w:tcPr>
          <w:p w14:paraId="7845BA3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90" w:type="dxa"/>
            <w:tcBorders>
              <w:top w:val="nil"/>
              <w:left w:val="nil"/>
              <w:bottom w:val="single" w:sz="4" w:space="0" w:color="auto"/>
              <w:right w:val="single" w:sz="4" w:space="0" w:color="auto"/>
            </w:tcBorders>
            <w:noWrap/>
            <w:vAlign w:val="bottom"/>
            <w:hideMark/>
          </w:tcPr>
          <w:p w14:paraId="2604CFA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78" w:type="dxa"/>
            <w:tcBorders>
              <w:top w:val="nil"/>
              <w:left w:val="nil"/>
              <w:bottom w:val="single" w:sz="4" w:space="0" w:color="auto"/>
              <w:right w:val="single" w:sz="4" w:space="0" w:color="auto"/>
            </w:tcBorders>
            <w:noWrap/>
            <w:vAlign w:val="bottom"/>
            <w:hideMark/>
          </w:tcPr>
          <w:p w14:paraId="219E27A3"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987360" w:rsidRPr="009225E6" w14:paraId="17F0C18D" w14:textId="77777777" w:rsidTr="00BD023E">
        <w:trPr>
          <w:trHeight w:val="309"/>
        </w:trPr>
        <w:tc>
          <w:tcPr>
            <w:tcW w:w="2302" w:type="dxa"/>
            <w:tcBorders>
              <w:top w:val="nil"/>
              <w:left w:val="single" w:sz="4" w:space="0" w:color="auto"/>
              <w:bottom w:val="single" w:sz="4" w:space="0" w:color="auto"/>
              <w:right w:val="single" w:sz="4" w:space="0" w:color="auto"/>
            </w:tcBorders>
            <w:noWrap/>
            <w:vAlign w:val="bottom"/>
            <w:hideMark/>
          </w:tcPr>
          <w:p w14:paraId="3B41B823"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090" w:type="dxa"/>
            <w:tcBorders>
              <w:top w:val="nil"/>
              <w:left w:val="nil"/>
              <w:bottom w:val="single" w:sz="4" w:space="0" w:color="auto"/>
              <w:right w:val="single" w:sz="4" w:space="0" w:color="auto"/>
            </w:tcBorders>
            <w:noWrap/>
            <w:vAlign w:val="bottom"/>
            <w:hideMark/>
          </w:tcPr>
          <w:p w14:paraId="6341EED4"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1090" w:type="dxa"/>
            <w:tcBorders>
              <w:top w:val="nil"/>
              <w:left w:val="nil"/>
              <w:bottom w:val="single" w:sz="4" w:space="0" w:color="auto"/>
              <w:right w:val="single" w:sz="4" w:space="0" w:color="auto"/>
            </w:tcBorders>
            <w:noWrap/>
            <w:vAlign w:val="bottom"/>
            <w:hideMark/>
          </w:tcPr>
          <w:p w14:paraId="73742C3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1090" w:type="dxa"/>
            <w:tcBorders>
              <w:top w:val="nil"/>
              <w:left w:val="nil"/>
              <w:bottom w:val="single" w:sz="4" w:space="0" w:color="auto"/>
              <w:right w:val="single" w:sz="4" w:space="0" w:color="auto"/>
            </w:tcBorders>
            <w:noWrap/>
            <w:vAlign w:val="bottom"/>
            <w:hideMark/>
          </w:tcPr>
          <w:p w14:paraId="4AD1BEE1"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090" w:type="dxa"/>
            <w:tcBorders>
              <w:top w:val="nil"/>
              <w:left w:val="nil"/>
              <w:bottom w:val="single" w:sz="4" w:space="0" w:color="auto"/>
              <w:right w:val="single" w:sz="4" w:space="0" w:color="auto"/>
            </w:tcBorders>
            <w:noWrap/>
            <w:vAlign w:val="bottom"/>
            <w:hideMark/>
          </w:tcPr>
          <w:p w14:paraId="6B94A9DC"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278" w:type="dxa"/>
            <w:tcBorders>
              <w:top w:val="nil"/>
              <w:left w:val="nil"/>
              <w:bottom w:val="single" w:sz="4" w:space="0" w:color="auto"/>
              <w:right w:val="single" w:sz="4" w:space="0" w:color="auto"/>
            </w:tcBorders>
            <w:noWrap/>
            <w:vAlign w:val="bottom"/>
            <w:hideMark/>
          </w:tcPr>
          <w:p w14:paraId="41453AE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987360" w:rsidRPr="009225E6" w14:paraId="59AC3587" w14:textId="77777777" w:rsidTr="00BD023E">
        <w:trPr>
          <w:trHeight w:val="309"/>
        </w:trPr>
        <w:tc>
          <w:tcPr>
            <w:tcW w:w="2302" w:type="dxa"/>
            <w:tcBorders>
              <w:top w:val="nil"/>
              <w:left w:val="single" w:sz="4" w:space="0" w:color="auto"/>
              <w:bottom w:val="nil"/>
              <w:right w:val="single" w:sz="4" w:space="0" w:color="auto"/>
            </w:tcBorders>
            <w:noWrap/>
            <w:vAlign w:val="bottom"/>
            <w:hideMark/>
          </w:tcPr>
          <w:p w14:paraId="0A3E02B6"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090" w:type="dxa"/>
            <w:tcBorders>
              <w:top w:val="nil"/>
              <w:left w:val="nil"/>
              <w:bottom w:val="nil"/>
              <w:right w:val="single" w:sz="4" w:space="0" w:color="auto"/>
            </w:tcBorders>
            <w:noWrap/>
            <w:vAlign w:val="bottom"/>
            <w:hideMark/>
          </w:tcPr>
          <w:p w14:paraId="07FAB45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$4.55</w:t>
            </w:r>
          </w:p>
        </w:tc>
        <w:tc>
          <w:tcPr>
            <w:tcW w:w="1090" w:type="dxa"/>
            <w:tcBorders>
              <w:top w:val="nil"/>
              <w:left w:val="nil"/>
              <w:bottom w:val="nil"/>
              <w:right w:val="single" w:sz="4" w:space="0" w:color="auto"/>
            </w:tcBorders>
            <w:noWrap/>
            <w:vAlign w:val="bottom"/>
            <w:hideMark/>
          </w:tcPr>
          <w:p w14:paraId="37E55E9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$8.26</w:t>
            </w:r>
          </w:p>
        </w:tc>
        <w:tc>
          <w:tcPr>
            <w:tcW w:w="1090" w:type="dxa"/>
            <w:tcBorders>
              <w:top w:val="nil"/>
              <w:left w:val="nil"/>
              <w:bottom w:val="nil"/>
              <w:right w:val="single" w:sz="4" w:space="0" w:color="auto"/>
            </w:tcBorders>
            <w:noWrap/>
            <w:vAlign w:val="bottom"/>
            <w:hideMark/>
          </w:tcPr>
          <w:p w14:paraId="756AEA1F"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$15.03</w:t>
            </w:r>
          </w:p>
        </w:tc>
        <w:tc>
          <w:tcPr>
            <w:tcW w:w="1090" w:type="dxa"/>
            <w:tcBorders>
              <w:top w:val="nil"/>
              <w:left w:val="nil"/>
              <w:bottom w:val="nil"/>
              <w:right w:val="single" w:sz="4" w:space="0" w:color="auto"/>
            </w:tcBorders>
            <w:noWrap/>
            <w:vAlign w:val="bottom"/>
            <w:hideMark/>
          </w:tcPr>
          <w:p w14:paraId="21A49F99"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$17.08</w:t>
            </w:r>
          </w:p>
        </w:tc>
        <w:tc>
          <w:tcPr>
            <w:tcW w:w="1278" w:type="dxa"/>
            <w:tcBorders>
              <w:top w:val="nil"/>
              <w:left w:val="nil"/>
              <w:bottom w:val="nil"/>
              <w:right w:val="single" w:sz="4" w:space="0" w:color="auto"/>
            </w:tcBorders>
            <w:noWrap/>
            <w:vAlign w:val="bottom"/>
            <w:hideMark/>
          </w:tcPr>
          <w:p w14:paraId="438B7FA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$9.31</w:t>
            </w:r>
          </w:p>
        </w:tc>
      </w:tr>
      <w:tr w:rsidR="00987360" w:rsidRPr="009225E6" w14:paraId="2714C88A" w14:textId="77777777" w:rsidTr="00BD023E">
        <w:trPr>
          <w:trHeight w:val="309"/>
        </w:trPr>
        <w:tc>
          <w:tcPr>
            <w:tcW w:w="2302" w:type="dxa"/>
            <w:tcBorders>
              <w:top w:val="single" w:sz="4" w:space="0" w:color="auto"/>
              <w:left w:val="single" w:sz="4" w:space="0" w:color="auto"/>
              <w:bottom w:val="single" w:sz="4" w:space="0" w:color="auto"/>
              <w:right w:val="single" w:sz="4" w:space="0" w:color="auto"/>
            </w:tcBorders>
            <w:noWrap/>
            <w:vAlign w:val="bottom"/>
            <w:hideMark/>
          </w:tcPr>
          <w:p w14:paraId="3E8E676A"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090" w:type="dxa"/>
            <w:tcBorders>
              <w:top w:val="single" w:sz="4" w:space="0" w:color="auto"/>
              <w:left w:val="nil"/>
              <w:bottom w:val="single" w:sz="4" w:space="0" w:color="auto"/>
              <w:right w:val="single" w:sz="4" w:space="0" w:color="auto"/>
            </w:tcBorders>
            <w:noWrap/>
            <w:vAlign w:val="bottom"/>
            <w:hideMark/>
          </w:tcPr>
          <w:p w14:paraId="78223282"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$54.23</w:t>
            </w:r>
          </w:p>
        </w:tc>
        <w:tc>
          <w:tcPr>
            <w:tcW w:w="4548" w:type="dxa"/>
            <w:gridSpan w:val="4"/>
            <w:vMerge w:val="restart"/>
            <w:tcBorders>
              <w:top w:val="single" w:sz="4" w:space="0" w:color="auto"/>
              <w:left w:val="single" w:sz="4" w:space="0" w:color="auto"/>
              <w:bottom w:val="double" w:sz="6" w:space="0" w:color="000000"/>
              <w:right w:val="single" w:sz="4" w:space="0" w:color="000000"/>
            </w:tcBorders>
            <w:hideMark/>
          </w:tcPr>
          <w:p w14:paraId="52F89FBC"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 xml:space="preserve">Project A generates £4.23 Positive Cash </w:t>
            </w:r>
            <w:r w:rsidRPr="009225E6">
              <w:rPr>
                <w:rFonts w:ascii="Times New Roman" w:eastAsia="Times New Roman" w:hAnsi="Times New Roman" w:cs="Times New Roman"/>
                <w:color w:val="000000"/>
                <w:lang w:val="en-US"/>
              </w:rPr>
              <w:br/>
              <w:t>Flows</w:t>
            </w:r>
          </w:p>
        </w:tc>
      </w:tr>
      <w:tr w:rsidR="00987360" w:rsidRPr="009225E6" w14:paraId="2E12DE52" w14:textId="77777777" w:rsidTr="00BD023E">
        <w:trPr>
          <w:trHeight w:val="309"/>
        </w:trPr>
        <w:tc>
          <w:tcPr>
            <w:tcW w:w="2302" w:type="dxa"/>
            <w:tcBorders>
              <w:top w:val="nil"/>
              <w:left w:val="single" w:sz="4" w:space="0" w:color="auto"/>
              <w:bottom w:val="single" w:sz="4" w:space="0" w:color="auto"/>
              <w:right w:val="single" w:sz="4" w:space="0" w:color="auto"/>
            </w:tcBorders>
            <w:noWrap/>
            <w:vAlign w:val="bottom"/>
            <w:hideMark/>
          </w:tcPr>
          <w:p w14:paraId="635E166B"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090" w:type="dxa"/>
            <w:tcBorders>
              <w:top w:val="nil"/>
              <w:left w:val="nil"/>
              <w:bottom w:val="single" w:sz="4" w:space="0" w:color="auto"/>
              <w:right w:val="single" w:sz="4" w:space="0" w:color="auto"/>
            </w:tcBorders>
            <w:noWrap/>
            <w:vAlign w:val="bottom"/>
            <w:hideMark/>
          </w:tcPr>
          <w:p w14:paraId="2B8F013B"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$50.00</w:t>
            </w:r>
          </w:p>
        </w:tc>
        <w:tc>
          <w:tcPr>
            <w:tcW w:w="4548" w:type="dxa"/>
            <w:gridSpan w:val="4"/>
            <w:vMerge/>
            <w:tcBorders>
              <w:top w:val="nil"/>
              <w:left w:val="nil"/>
              <w:bottom w:val="single" w:sz="4" w:space="0" w:color="auto"/>
              <w:right w:val="single" w:sz="4" w:space="0" w:color="auto"/>
            </w:tcBorders>
            <w:vAlign w:val="center"/>
            <w:hideMark/>
          </w:tcPr>
          <w:p w14:paraId="282EFFAA"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r w:rsidR="00987360" w:rsidRPr="009225E6" w14:paraId="73169D0D" w14:textId="77777777" w:rsidTr="00BD023E">
        <w:trPr>
          <w:trHeight w:val="324"/>
        </w:trPr>
        <w:tc>
          <w:tcPr>
            <w:tcW w:w="2302" w:type="dxa"/>
            <w:tcBorders>
              <w:top w:val="nil"/>
              <w:left w:val="single" w:sz="4" w:space="0" w:color="auto"/>
              <w:bottom w:val="double" w:sz="6" w:space="0" w:color="auto"/>
              <w:right w:val="single" w:sz="4" w:space="0" w:color="auto"/>
            </w:tcBorders>
            <w:noWrap/>
            <w:vAlign w:val="bottom"/>
            <w:hideMark/>
          </w:tcPr>
          <w:p w14:paraId="24E7C728" w14:textId="77777777" w:rsidR="00987360" w:rsidRPr="009225E6" w:rsidRDefault="00987360"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090" w:type="dxa"/>
            <w:tcBorders>
              <w:top w:val="nil"/>
              <w:left w:val="nil"/>
              <w:bottom w:val="double" w:sz="6" w:space="0" w:color="auto"/>
              <w:right w:val="single" w:sz="4" w:space="0" w:color="auto"/>
            </w:tcBorders>
            <w:noWrap/>
            <w:vAlign w:val="bottom"/>
            <w:hideMark/>
          </w:tcPr>
          <w:p w14:paraId="6AD01B6D" w14:textId="77777777" w:rsidR="00987360" w:rsidRPr="009225E6" w:rsidRDefault="00987360"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$4.23</w:t>
            </w:r>
          </w:p>
        </w:tc>
        <w:tc>
          <w:tcPr>
            <w:tcW w:w="4548" w:type="dxa"/>
            <w:gridSpan w:val="4"/>
            <w:vMerge/>
            <w:tcBorders>
              <w:top w:val="nil"/>
              <w:left w:val="nil"/>
              <w:bottom w:val="double" w:sz="6" w:space="0" w:color="auto"/>
              <w:right w:val="single" w:sz="4" w:space="0" w:color="auto"/>
            </w:tcBorders>
            <w:vAlign w:val="center"/>
            <w:hideMark/>
          </w:tcPr>
          <w:p w14:paraId="4CB912E4" w14:textId="77777777" w:rsidR="00987360" w:rsidRPr="009225E6" w:rsidRDefault="00987360" w:rsidP="00BD023E">
            <w:pPr>
              <w:spacing w:after="0" w:line="240" w:lineRule="auto"/>
              <w:rPr>
                <w:rFonts w:ascii="Times New Roman" w:eastAsia="Times New Roman" w:hAnsi="Times New Roman" w:cs="Times New Roman"/>
                <w:color w:val="000000"/>
                <w:lang w:val="en-US"/>
              </w:rPr>
            </w:pPr>
          </w:p>
        </w:tc>
      </w:tr>
    </w:tbl>
    <w:p w14:paraId="4593EEF6" w14:textId="77777777" w:rsidR="00987360" w:rsidRPr="009225E6" w:rsidRDefault="00987360" w:rsidP="00987360">
      <w:pPr>
        <w:rPr>
          <w:rFonts w:ascii="Times New Roman" w:hAnsi="Times New Roman" w:cs="Times New Roman"/>
        </w:rPr>
      </w:pPr>
      <w:r w:rsidRPr="009225E6">
        <w:rPr>
          <w:rFonts w:ascii="Times New Roman" w:hAnsi="Times New Roman" w:cs="Times New Roman"/>
        </w:rPr>
        <w:t xml:space="preserve"> </w:t>
      </w:r>
    </w:p>
    <w:p w14:paraId="57433B4B" w14:textId="77777777" w:rsidR="00987360" w:rsidRPr="009225E6" w:rsidRDefault="00C7208C" w:rsidP="00CE7101">
      <w:pPr>
        <w:pStyle w:val="NormalWeb"/>
        <w:spacing w:before="0" w:beforeAutospacing="0" w:line="360" w:lineRule="auto"/>
        <w:rPr>
          <w:color w:val="5B9BD5" w:themeColor="accent1"/>
        </w:rPr>
      </w:pPr>
      <w:r w:rsidRPr="009225E6">
        <w:rPr>
          <w:color w:val="5B9BD5" w:themeColor="accent1"/>
        </w:rPr>
        <w:t>Internal Rate of Return-IRR</w:t>
      </w:r>
    </w:p>
    <w:p w14:paraId="4946839D"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Project A</w:t>
      </w:r>
    </w:p>
    <w:p w14:paraId="3133EFEF"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Lowest Discount Rate (at 10%)</w:t>
      </w:r>
    </w:p>
    <w:tbl>
      <w:tblPr>
        <w:tblW w:w="6760" w:type="dxa"/>
        <w:tblInd w:w="93" w:type="dxa"/>
        <w:tblLook w:val="04A0" w:firstRow="1" w:lastRow="0" w:firstColumn="1" w:lastColumn="0" w:noHBand="0" w:noVBand="1"/>
      </w:tblPr>
      <w:tblGrid>
        <w:gridCol w:w="1960"/>
        <w:gridCol w:w="928"/>
        <w:gridCol w:w="928"/>
        <w:gridCol w:w="928"/>
        <w:gridCol w:w="928"/>
        <w:gridCol w:w="1088"/>
      </w:tblGrid>
      <w:tr w:rsidR="00C7208C" w:rsidRPr="009225E6" w14:paraId="55DEDD7B" w14:textId="77777777" w:rsidTr="00BD023E">
        <w:trPr>
          <w:trHeight w:val="315"/>
        </w:trPr>
        <w:tc>
          <w:tcPr>
            <w:tcW w:w="1960" w:type="dxa"/>
            <w:vMerge w:val="restart"/>
            <w:tcBorders>
              <w:top w:val="single" w:sz="4" w:space="0" w:color="auto"/>
              <w:left w:val="single" w:sz="4" w:space="0" w:color="auto"/>
              <w:bottom w:val="single" w:sz="4" w:space="0" w:color="000000"/>
              <w:right w:val="single" w:sz="4" w:space="0" w:color="auto"/>
            </w:tcBorders>
            <w:noWrap/>
            <w:vAlign w:val="bottom"/>
            <w:hideMark/>
          </w:tcPr>
          <w:p w14:paraId="30886BC2"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4800" w:type="dxa"/>
            <w:gridSpan w:val="5"/>
            <w:tcBorders>
              <w:top w:val="single" w:sz="4" w:space="0" w:color="auto"/>
              <w:left w:val="nil"/>
              <w:bottom w:val="single" w:sz="4" w:space="0" w:color="auto"/>
              <w:right w:val="single" w:sz="4" w:space="0" w:color="auto"/>
            </w:tcBorders>
            <w:noWrap/>
            <w:vAlign w:val="bottom"/>
            <w:hideMark/>
          </w:tcPr>
          <w:p w14:paraId="7C9AB356"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6A708BA5" w14:textId="77777777" w:rsidTr="00BD023E">
        <w:trPr>
          <w:trHeight w:val="315"/>
        </w:trPr>
        <w:tc>
          <w:tcPr>
            <w:tcW w:w="1960" w:type="dxa"/>
            <w:vMerge/>
            <w:tcBorders>
              <w:top w:val="single" w:sz="4" w:space="0" w:color="auto"/>
              <w:left w:val="single" w:sz="4" w:space="0" w:color="auto"/>
              <w:bottom w:val="single" w:sz="4" w:space="0" w:color="000000"/>
              <w:right w:val="single" w:sz="4" w:space="0" w:color="auto"/>
            </w:tcBorders>
            <w:vAlign w:val="center"/>
            <w:hideMark/>
          </w:tcPr>
          <w:p w14:paraId="61E39F9B"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928" w:type="dxa"/>
            <w:tcBorders>
              <w:top w:val="nil"/>
              <w:left w:val="nil"/>
              <w:bottom w:val="single" w:sz="4" w:space="0" w:color="auto"/>
              <w:right w:val="single" w:sz="4" w:space="0" w:color="auto"/>
            </w:tcBorders>
            <w:noWrap/>
            <w:vAlign w:val="bottom"/>
            <w:hideMark/>
          </w:tcPr>
          <w:p w14:paraId="746EFB09"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928" w:type="dxa"/>
            <w:tcBorders>
              <w:top w:val="nil"/>
              <w:left w:val="nil"/>
              <w:bottom w:val="single" w:sz="4" w:space="0" w:color="auto"/>
              <w:right w:val="single" w:sz="4" w:space="0" w:color="auto"/>
            </w:tcBorders>
            <w:noWrap/>
            <w:vAlign w:val="bottom"/>
            <w:hideMark/>
          </w:tcPr>
          <w:p w14:paraId="60A18087"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928" w:type="dxa"/>
            <w:tcBorders>
              <w:top w:val="nil"/>
              <w:left w:val="nil"/>
              <w:bottom w:val="single" w:sz="4" w:space="0" w:color="auto"/>
              <w:right w:val="single" w:sz="4" w:space="0" w:color="auto"/>
            </w:tcBorders>
            <w:noWrap/>
            <w:vAlign w:val="bottom"/>
            <w:hideMark/>
          </w:tcPr>
          <w:p w14:paraId="2ECCA96A"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928" w:type="dxa"/>
            <w:tcBorders>
              <w:top w:val="nil"/>
              <w:left w:val="nil"/>
              <w:bottom w:val="single" w:sz="4" w:space="0" w:color="auto"/>
              <w:right w:val="single" w:sz="4" w:space="0" w:color="auto"/>
            </w:tcBorders>
            <w:noWrap/>
            <w:vAlign w:val="bottom"/>
            <w:hideMark/>
          </w:tcPr>
          <w:p w14:paraId="7C8C1056"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088" w:type="dxa"/>
            <w:tcBorders>
              <w:top w:val="nil"/>
              <w:left w:val="nil"/>
              <w:bottom w:val="single" w:sz="4" w:space="0" w:color="auto"/>
              <w:right w:val="single" w:sz="4" w:space="0" w:color="auto"/>
            </w:tcBorders>
            <w:noWrap/>
            <w:vAlign w:val="bottom"/>
            <w:hideMark/>
          </w:tcPr>
          <w:p w14:paraId="245BA25D"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7E00F9B5" w14:textId="77777777" w:rsidTr="00BD023E">
        <w:trPr>
          <w:trHeight w:val="315"/>
        </w:trPr>
        <w:tc>
          <w:tcPr>
            <w:tcW w:w="1960" w:type="dxa"/>
            <w:vMerge/>
            <w:tcBorders>
              <w:top w:val="single" w:sz="4" w:space="0" w:color="auto"/>
              <w:left w:val="single" w:sz="4" w:space="0" w:color="auto"/>
              <w:bottom w:val="single" w:sz="4" w:space="0" w:color="000000"/>
              <w:right w:val="single" w:sz="4" w:space="0" w:color="auto"/>
            </w:tcBorders>
            <w:vAlign w:val="center"/>
            <w:hideMark/>
          </w:tcPr>
          <w:p w14:paraId="7AAA2C2E"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928" w:type="dxa"/>
            <w:tcBorders>
              <w:top w:val="nil"/>
              <w:left w:val="nil"/>
              <w:bottom w:val="single" w:sz="4" w:space="0" w:color="auto"/>
              <w:right w:val="single" w:sz="4" w:space="0" w:color="auto"/>
            </w:tcBorders>
            <w:noWrap/>
            <w:vAlign w:val="bottom"/>
            <w:hideMark/>
          </w:tcPr>
          <w:p w14:paraId="6D6DC87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928" w:type="dxa"/>
            <w:tcBorders>
              <w:top w:val="nil"/>
              <w:left w:val="nil"/>
              <w:bottom w:val="single" w:sz="4" w:space="0" w:color="auto"/>
              <w:right w:val="single" w:sz="4" w:space="0" w:color="auto"/>
            </w:tcBorders>
            <w:noWrap/>
            <w:vAlign w:val="bottom"/>
            <w:hideMark/>
          </w:tcPr>
          <w:p w14:paraId="27B12CE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£12.00</w:t>
            </w:r>
          </w:p>
        </w:tc>
        <w:tc>
          <w:tcPr>
            <w:tcW w:w="928" w:type="dxa"/>
            <w:tcBorders>
              <w:top w:val="nil"/>
              <w:left w:val="nil"/>
              <w:bottom w:val="single" w:sz="4" w:space="0" w:color="auto"/>
              <w:right w:val="single" w:sz="4" w:space="0" w:color="auto"/>
            </w:tcBorders>
            <w:noWrap/>
            <w:vAlign w:val="bottom"/>
            <w:hideMark/>
          </w:tcPr>
          <w:p w14:paraId="5314EE30"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£14.00</w:t>
            </w:r>
          </w:p>
        </w:tc>
        <w:tc>
          <w:tcPr>
            <w:tcW w:w="928" w:type="dxa"/>
            <w:tcBorders>
              <w:top w:val="nil"/>
              <w:left w:val="nil"/>
              <w:bottom w:val="single" w:sz="4" w:space="0" w:color="auto"/>
              <w:right w:val="single" w:sz="4" w:space="0" w:color="auto"/>
            </w:tcBorders>
            <w:noWrap/>
            <w:vAlign w:val="bottom"/>
            <w:hideMark/>
          </w:tcPr>
          <w:p w14:paraId="650297D4"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088" w:type="dxa"/>
            <w:tcBorders>
              <w:top w:val="nil"/>
              <w:left w:val="nil"/>
              <w:bottom w:val="single" w:sz="4" w:space="0" w:color="auto"/>
              <w:right w:val="single" w:sz="4" w:space="0" w:color="auto"/>
            </w:tcBorders>
            <w:noWrap/>
            <w:vAlign w:val="bottom"/>
            <w:hideMark/>
          </w:tcPr>
          <w:p w14:paraId="2F878B8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£8.00</w:t>
            </w:r>
          </w:p>
        </w:tc>
      </w:tr>
      <w:tr w:rsidR="00C7208C" w:rsidRPr="009225E6" w14:paraId="41420A17" w14:textId="77777777" w:rsidTr="00BD023E">
        <w:trPr>
          <w:trHeight w:val="300"/>
        </w:trPr>
        <w:tc>
          <w:tcPr>
            <w:tcW w:w="1960" w:type="dxa"/>
            <w:tcBorders>
              <w:top w:val="nil"/>
              <w:left w:val="single" w:sz="4" w:space="0" w:color="auto"/>
              <w:bottom w:val="single" w:sz="4" w:space="0" w:color="auto"/>
              <w:right w:val="single" w:sz="4" w:space="0" w:color="auto"/>
            </w:tcBorders>
            <w:noWrap/>
            <w:vAlign w:val="bottom"/>
            <w:hideMark/>
          </w:tcPr>
          <w:p w14:paraId="06788706"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928" w:type="dxa"/>
            <w:tcBorders>
              <w:top w:val="nil"/>
              <w:left w:val="nil"/>
              <w:bottom w:val="single" w:sz="4" w:space="0" w:color="auto"/>
              <w:right w:val="single" w:sz="4" w:space="0" w:color="auto"/>
            </w:tcBorders>
            <w:noWrap/>
            <w:vAlign w:val="bottom"/>
            <w:hideMark/>
          </w:tcPr>
          <w:p w14:paraId="58E0A4C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3D1F527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75AAB08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28" w:type="dxa"/>
            <w:tcBorders>
              <w:top w:val="nil"/>
              <w:left w:val="nil"/>
              <w:bottom w:val="single" w:sz="4" w:space="0" w:color="auto"/>
              <w:right w:val="single" w:sz="4" w:space="0" w:color="auto"/>
            </w:tcBorders>
            <w:noWrap/>
            <w:vAlign w:val="bottom"/>
            <w:hideMark/>
          </w:tcPr>
          <w:p w14:paraId="3044534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88" w:type="dxa"/>
            <w:tcBorders>
              <w:top w:val="nil"/>
              <w:left w:val="nil"/>
              <w:bottom w:val="single" w:sz="4" w:space="0" w:color="auto"/>
              <w:right w:val="single" w:sz="4" w:space="0" w:color="auto"/>
            </w:tcBorders>
            <w:noWrap/>
            <w:vAlign w:val="bottom"/>
            <w:hideMark/>
          </w:tcPr>
          <w:p w14:paraId="483C02B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C7208C" w:rsidRPr="009225E6" w14:paraId="108F7062" w14:textId="77777777" w:rsidTr="00BD023E">
        <w:trPr>
          <w:trHeight w:val="300"/>
        </w:trPr>
        <w:tc>
          <w:tcPr>
            <w:tcW w:w="1960" w:type="dxa"/>
            <w:tcBorders>
              <w:top w:val="nil"/>
              <w:left w:val="single" w:sz="4" w:space="0" w:color="auto"/>
              <w:bottom w:val="single" w:sz="4" w:space="0" w:color="auto"/>
              <w:right w:val="single" w:sz="4" w:space="0" w:color="auto"/>
            </w:tcBorders>
            <w:noWrap/>
            <w:vAlign w:val="bottom"/>
            <w:hideMark/>
          </w:tcPr>
          <w:p w14:paraId="1D89F0BF"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928" w:type="dxa"/>
            <w:tcBorders>
              <w:top w:val="nil"/>
              <w:left w:val="nil"/>
              <w:bottom w:val="single" w:sz="4" w:space="0" w:color="auto"/>
              <w:right w:val="single" w:sz="4" w:space="0" w:color="auto"/>
            </w:tcBorders>
            <w:noWrap/>
            <w:vAlign w:val="bottom"/>
            <w:hideMark/>
          </w:tcPr>
          <w:p w14:paraId="4FE58170"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928" w:type="dxa"/>
            <w:tcBorders>
              <w:top w:val="nil"/>
              <w:left w:val="nil"/>
              <w:bottom w:val="single" w:sz="4" w:space="0" w:color="auto"/>
              <w:right w:val="single" w:sz="4" w:space="0" w:color="auto"/>
            </w:tcBorders>
            <w:noWrap/>
            <w:vAlign w:val="bottom"/>
            <w:hideMark/>
          </w:tcPr>
          <w:p w14:paraId="32A38C6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928" w:type="dxa"/>
            <w:tcBorders>
              <w:top w:val="nil"/>
              <w:left w:val="nil"/>
              <w:bottom w:val="single" w:sz="4" w:space="0" w:color="auto"/>
              <w:right w:val="single" w:sz="4" w:space="0" w:color="auto"/>
            </w:tcBorders>
            <w:noWrap/>
            <w:vAlign w:val="bottom"/>
            <w:hideMark/>
          </w:tcPr>
          <w:p w14:paraId="474E997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928" w:type="dxa"/>
            <w:tcBorders>
              <w:top w:val="nil"/>
              <w:left w:val="nil"/>
              <w:bottom w:val="single" w:sz="4" w:space="0" w:color="auto"/>
              <w:right w:val="single" w:sz="4" w:space="0" w:color="auto"/>
            </w:tcBorders>
            <w:noWrap/>
            <w:vAlign w:val="bottom"/>
            <w:hideMark/>
          </w:tcPr>
          <w:p w14:paraId="2D627E11"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088" w:type="dxa"/>
            <w:tcBorders>
              <w:top w:val="nil"/>
              <w:left w:val="nil"/>
              <w:bottom w:val="single" w:sz="4" w:space="0" w:color="auto"/>
              <w:right w:val="single" w:sz="4" w:space="0" w:color="auto"/>
            </w:tcBorders>
            <w:noWrap/>
            <w:vAlign w:val="bottom"/>
            <w:hideMark/>
          </w:tcPr>
          <w:p w14:paraId="368B141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C7208C" w:rsidRPr="009225E6" w14:paraId="1656796F" w14:textId="77777777" w:rsidTr="00BD023E">
        <w:trPr>
          <w:trHeight w:val="300"/>
        </w:trPr>
        <w:tc>
          <w:tcPr>
            <w:tcW w:w="1960" w:type="dxa"/>
            <w:tcBorders>
              <w:top w:val="nil"/>
              <w:left w:val="single" w:sz="4" w:space="0" w:color="auto"/>
              <w:bottom w:val="nil"/>
              <w:right w:val="single" w:sz="4" w:space="0" w:color="auto"/>
            </w:tcBorders>
            <w:noWrap/>
            <w:vAlign w:val="bottom"/>
            <w:hideMark/>
          </w:tcPr>
          <w:p w14:paraId="69D71CE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928" w:type="dxa"/>
            <w:tcBorders>
              <w:top w:val="nil"/>
              <w:left w:val="nil"/>
              <w:bottom w:val="nil"/>
              <w:right w:val="single" w:sz="4" w:space="0" w:color="auto"/>
            </w:tcBorders>
            <w:noWrap/>
            <w:vAlign w:val="bottom"/>
            <w:hideMark/>
          </w:tcPr>
          <w:p w14:paraId="7C7C46F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$9.09</w:t>
            </w:r>
          </w:p>
        </w:tc>
        <w:tc>
          <w:tcPr>
            <w:tcW w:w="928" w:type="dxa"/>
            <w:tcBorders>
              <w:top w:val="nil"/>
              <w:left w:val="nil"/>
              <w:bottom w:val="nil"/>
              <w:right w:val="single" w:sz="4" w:space="0" w:color="auto"/>
            </w:tcBorders>
            <w:noWrap/>
            <w:vAlign w:val="bottom"/>
            <w:hideMark/>
          </w:tcPr>
          <w:p w14:paraId="46BC7B41"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$9.92</w:t>
            </w:r>
          </w:p>
        </w:tc>
        <w:tc>
          <w:tcPr>
            <w:tcW w:w="928" w:type="dxa"/>
            <w:tcBorders>
              <w:top w:val="nil"/>
              <w:left w:val="nil"/>
              <w:bottom w:val="nil"/>
              <w:right w:val="single" w:sz="4" w:space="0" w:color="auto"/>
            </w:tcBorders>
            <w:noWrap/>
            <w:vAlign w:val="bottom"/>
            <w:hideMark/>
          </w:tcPr>
          <w:p w14:paraId="47D1458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$10.52</w:t>
            </w:r>
          </w:p>
        </w:tc>
        <w:tc>
          <w:tcPr>
            <w:tcW w:w="928" w:type="dxa"/>
            <w:tcBorders>
              <w:top w:val="nil"/>
              <w:left w:val="nil"/>
              <w:bottom w:val="nil"/>
              <w:right w:val="single" w:sz="4" w:space="0" w:color="auto"/>
            </w:tcBorders>
            <w:noWrap/>
            <w:vAlign w:val="bottom"/>
            <w:hideMark/>
          </w:tcPr>
          <w:p w14:paraId="4266235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$6.83</w:t>
            </w:r>
          </w:p>
        </w:tc>
        <w:tc>
          <w:tcPr>
            <w:tcW w:w="1088" w:type="dxa"/>
            <w:tcBorders>
              <w:top w:val="nil"/>
              <w:left w:val="nil"/>
              <w:bottom w:val="nil"/>
              <w:right w:val="single" w:sz="4" w:space="0" w:color="auto"/>
            </w:tcBorders>
            <w:noWrap/>
            <w:vAlign w:val="bottom"/>
            <w:hideMark/>
          </w:tcPr>
          <w:p w14:paraId="63678B4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$4.97</w:t>
            </w:r>
          </w:p>
        </w:tc>
      </w:tr>
      <w:tr w:rsidR="00C7208C" w:rsidRPr="009225E6" w14:paraId="1C1CA5EC" w14:textId="77777777" w:rsidTr="00BD023E">
        <w:trPr>
          <w:trHeight w:val="300"/>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0E7D66FA"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928" w:type="dxa"/>
            <w:tcBorders>
              <w:top w:val="single" w:sz="4" w:space="0" w:color="auto"/>
              <w:left w:val="nil"/>
              <w:bottom w:val="single" w:sz="4" w:space="0" w:color="auto"/>
              <w:right w:val="single" w:sz="4" w:space="0" w:color="auto"/>
            </w:tcBorders>
            <w:noWrap/>
            <w:vAlign w:val="bottom"/>
            <w:hideMark/>
          </w:tcPr>
          <w:p w14:paraId="7BE43B84"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$41.32</w:t>
            </w:r>
          </w:p>
        </w:tc>
        <w:tc>
          <w:tcPr>
            <w:tcW w:w="3872" w:type="dxa"/>
            <w:gridSpan w:val="4"/>
            <w:vMerge w:val="restart"/>
            <w:tcBorders>
              <w:top w:val="single" w:sz="4" w:space="0" w:color="auto"/>
              <w:left w:val="single" w:sz="4" w:space="0" w:color="auto"/>
              <w:bottom w:val="double" w:sz="6" w:space="0" w:color="000000"/>
              <w:right w:val="single" w:sz="4" w:space="0" w:color="000000"/>
            </w:tcBorders>
            <w:hideMark/>
          </w:tcPr>
          <w:p w14:paraId="7DCC27B7"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38BFB5F5" w14:textId="77777777" w:rsidTr="00BD023E">
        <w:trPr>
          <w:trHeight w:val="315"/>
        </w:trPr>
        <w:tc>
          <w:tcPr>
            <w:tcW w:w="1960" w:type="dxa"/>
            <w:tcBorders>
              <w:top w:val="nil"/>
              <w:left w:val="single" w:sz="4" w:space="0" w:color="auto"/>
              <w:bottom w:val="single" w:sz="4" w:space="0" w:color="auto"/>
              <w:right w:val="single" w:sz="4" w:space="0" w:color="auto"/>
            </w:tcBorders>
            <w:noWrap/>
            <w:vAlign w:val="bottom"/>
            <w:hideMark/>
          </w:tcPr>
          <w:p w14:paraId="12160DC1"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928" w:type="dxa"/>
            <w:tcBorders>
              <w:top w:val="nil"/>
              <w:left w:val="nil"/>
              <w:bottom w:val="single" w:sz="4" w:space="0" w:color="auto"/>
              <w:right w:val="single" w:sz="4" w:space="0" w:color="auto"/>
            </w:tcBorders>
            <w:noWrap/>
            <w:vAlign w:val="bottom"/>
            <w:hideMark/>
          </w:tcPr>
          <w:p w14:paraId="731A4F5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$40.00</w:t>
            </w:r>
          </w:p>
        </w:tc>
        <w:tc>
          <w:tcPr>
            <w:tcW w:w="3872" w:type="dxa"/>
            <w:gridSpan w:val="4"/>
            <w:vMerge/>
            <w:tcBorders>
              <w:top w:val="nil"/>
              <w:left w:val="nil"/>
              <w:bottom w:val="single" w:sz="4" w:space="0" w:color="auto"/>
              <w:right w:val="single" w:sz="4" w:space="0" w:color="auto"/>
            </w:tcBorders>
            <w:vAlign w:val="center"/>
            <w:hideMark/>
          </w:tcPr>
          <w:p w14:paraId="5363DA6F"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0F7BE35E" w14:textId="77777777" w:rsidTr="00BD023E">
        <w:trPr>
          <w:trHeight w:val="330"/>
        </w:trPr>
        <w:tc>
          <w:tcPr>
            <w:tcW w:w="1960" w:type="dxa"/>
            <w:tcBorders>
              <w:top w:val="nil"/>
              <w:left w:val="single" w:sz="4" w:space="0" w:color="auto"/>
              <w:bottom w:val="double" w:sz="6" w:space="0" w:color="auto"/>
              <w:right w:val="single" w:sz="4" w:space="0" w:color="auto"/>
            </w:tcBorders>
            <w:noWrap/>
            <w:vAlign w:val="bottom"/>
            <w:hideMark/>
          </w:tcPr>
          <w:p w14:paraId="2DB4457B"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928" w:type="dxa"/>
            <w:tcBorders>
              <w:top w:val="nil"/>
              <w:left w:val="nil"/>
              <w:bottom w:val="double" w:sz="6" w:space="0" w:color="auto"/>
              <w:right w:val="single" w:sz="4" w:space="0" w:color="auto"/>
            </w:tcBorders>
            <w:noWrap/>
            <w:vAlign w:val="bottom"/>
            <w:hideMark/>
          </w:tcPr>
          <w:p w14:paraId="77DA527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$1.32</w:t>
            </w:r>
          </w:p>
        </w:tc>
        <w:tc>
          <w:tcPr>
            <w:tcW w:w="3872" w:type="dxa"/>
            <w:gridSpan w:val="4"/>
            <w:vMerge/>
            <w:tcBorders>
              <w:top w:val="nil"/>
              <w:left w:val="nil"/>
              <w:bottom w:val="double" w:sz="6" w:space="0" w:color="auto"/>
              <w:right w:val="single" w:sz="4" w:space="0" w:color="auto"/>
            </w:tcBorders>
            <w:vAlign w:val="center"/>
            <w:hideMark/>
          </w:tcPr>
          <w:p w14:paraId="0D9B0783"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1ECE3829" w14:textId="77777777" w:rsidR="00C7208C" w:rsidRPr="009225E6" w:rsidRDefault="00C7208C" w:rsidP="00C7208C">
      <w:pPr>
        <w:rPr>
          <w:rFonts w:ascii="Times New Roman" w:hAnsi="Times New Roman" w:cs="Times New Roman"/>
          <w:sz w:val="24"/>
        </w:rPr>
      </w:pPr>
    </w:p>
    <w:p w14:paraId="684D3A69"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Lowest Discount Rate (at 20%)</w:t>
      </w:r>
    </w:p>
    <w:tbl>
      <w:tblPr>
        <w:tblW w:w="6761" w:type="dxa"/>
        <w:tblInd w:w="93" w:type="dxa"/>
        <w:tblLook w:val="04A0" w:firstRow="1" w:lastRow="0" w:firstColumn="1" w:lastColumn="0" w:noHBand="0" w:noVBand="1"/>
      </w:tblPr>
      <w:tblGrid>
        <w:gridCol w:w="1960"/>
        <w:gridCol w:w="943"/>
        <w:gridCol w:w="854"/>
        <w:gridCol w:w="854"/>
        <w:gridCol w:w="1001"/>
        <w:gridCol w:w="1149"/>
      </w:tblGrid>
      <w:tr w:rsidR="00C7208C" w:rsidRPr="009225E6" w14:paraId="39B860B4" w14:textId="77777777" w:rsidTr="00BD023E">
        <w:trPr>
          <w:trHeight w:val="300"/>
        </w:trPr>
        <w:tc>
          <w:tcPr>
            <w:tcW w:w="1960" w:type="dxa"/>
            <w:vMerge w:val="restart"/>
            <w:tcBorders>
              <w:top w:val="single" w:sz="4" w:space="0" w:color="auto"/>
              <w:left w:val="single" w:sz="4" w:space="0" w:color="auto"/>
              <w:bottom w:val="single" w:sz="4" w:space="0" w:color="000000"/>
              <w:right w:val="single" w:sz="4" w:space="0" w:color="auto"/>
            </w:tcBorders>
            <w:noWrap/>
            <w:vAlign w:val="bottom"/>
            <w:hideMark/>
          </w:tcPr>
          <w:p w14:paraId="75C6ACDA"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4801" w:type="dxa"/>
            <w:gridSpan w:val="5"/>
            <w:tcBorders>
              <w:top w:val="single" w:sz="4" w:space="0" w:color="auto"/>
              <w:left w:val="nil"/>
              <w:bottom w:val="single" w:sz="4" w:space="0" w:color="auto"/>
              <w:right w:val="single" w:sz="4" w:space="0" w:color="auto"/>
            </w:tcBorders>
            <w:noWrap/>
            <w:vAlign w:val="bottom"/>
            <w:hideMark/>
          </w:tcPr>
          <w:p w14:paraId="61E217D0"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647BBA31" w14:textId="77777777" w:rsidTr="00BD023E">
        <w:trPr>
          <w:trHeight w:val="300"/>
        </w:trPr>
        <w:tc>
          <w:tcPr>
            <w:tcW w:w="1960" w:type="dxa"/>
            <w:vMerge/>
            <w:tcBorders>
              <w:top w:val="single" w:sz="4" w:space="0" w:color="auto"/>
              <w:left w:val="single" w:sz="4" w:space="0" w:color="auto"/>
              <w:bottom w:val="single" w:sz="4" w:space="0" w:color="000000"/>
              <w:right w:val="single" w:sz="4" w:space="0" w:color="auto"/>
            </w:tcBorders>
            <w:vAlign w:val="center"/>
            <w:hideMark/>
          </w:tcPr>
          <w:p w14:paraId="7162A092"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943" w:type="dxa"/>
            <w:tcBorders>
              <w:top w:val="nil"/>
              <w:left w:val="nil"/>
              <w:bottom w:val="single" w:sz="4" w:space="0" w:color="auto"/>
              <w:right w:val="single" w:sz="4" w:space="0" w:color="auto"/>
            </w:tcBorders>
            <w:noWrap/>
            <w:vAlign w:val="bottom"/>
            <w:hideMark/>
          </w:tcPr>
          <w:p w14:paraId="6FB6F04E"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854" w:type="dxa"/>
            <w:tcBorders>
              <w:top w:val="nil"/>
              <w:left w:val="nil"/>
              <w:bottom w:val="single" w:sz="4" w:space="0" w:color="auto"/>
              <w:right w:val="single" w:sz="4" w:space="0" w:color="auto"/>
            </w:tcBorders>
            <w:noWrap/>
            <w:vAlign w:val="bottom"/>
            <w:hideMark/>
          </w:tcPr>
          <w:p w14:paraId="582DD67F"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854" w:type="dxa"/>
            <w:tcBorders>
              <w:top w:val="nil"/>
              <w:left w:val="nil"/>
              <w:bottom w:val="single" w:sz="4" w:space="0" w:color="auto"/>
              <w:right w:val="single" w:sz="4" w:space="0" w:color="auto"/>
            </w:tcBorders>
            <w:noWrap/>
            <w:vAlign w:val="bottom"/>
            <w:hideMark/>
          </w:tcPr>
          <w:p w14:paraId="718AB135"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001" w:type="dxa"/>
            <w:tcBorders>
              <w:top w:val="nil"/>
              <w:left w:val="nil"/>
              <w:bottom w:val="single" w:sz="4" w:space="0" w:color="auto"/>
              <w:right w:val="single" w:sz="4" w:space="0" w:color="auto"/>
            </w:tcBorders>
            <w:noWrap/>
            <w:vAlign w:val="bottom"/>
            <w:hideMark/>
          </w:tcPr>
          <w:p w14:paraId="70BD2DBF"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149" w:type="dxa"/>
            <w:tcBorders>
              <w:top w:val="nil"/>
              <w:left w:val="nil"/>
              <w:bottom w:val="single" w:sz="4" w:space="0" w:color="auto"/>
              <w:right w:val="single" w:sz="4" w:space="0" w:color="auto"/>
            </w:tcBorders>
            <w:noWrap/>
            <w:vAlign w:val="bottom"/>
            <w:hideMark/>
          </w:tcPr>
          <w:p w14:paraId="2490DD04"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43E80248" w14:textId="77777777" w:rsidTr="00BD023E">
        <w:trPr>
          <w:trHeight w:val="300"/>
        </w:trPr>
        <w:tc>
          <w:tcPr>
            <w:tcW w:w="1960" w:type="dxa"/>
            <w:vMerge/>
            <w:tcBorders>
              <w:top w:val="single" w:sz="4" w:space="0" w:color="auto"/>
              <w:left w:val="single" w:sz="4" w:space="0" w:color="auto"/>
              <w:bottom w:val="single" w:sz="4" w:space="0" w:color="000000"/>
              <w:right w:val="single" w:sz="4" w:space="0" w:color="auto"/>
            </w:tcBorders>
            <w:vAlign w:val="center"/>
            <w:hideMark/>
          </w:tcPr>
          <w:p w14:paraId="79A2DE89"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943" w:type="dxa"/>
            <w:tcBorders>
              <w:top w:val="nil"/>
              <w:left w:val="nil"/>
              <w:bottom w:val="single" w:sz="4" w:space="0" w:color="auto"/>
              <w:right w:val="single" w:sz="4" w:space="0" w:color="auto"/>
            </w:tcBorders>
            <w:noWrap/>
            <w:vAlign w:val="bottom"/>
            <w:hideMark/>
          </w:tcPr>
          <w:p w14:paraId="78402DD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854" w:type="dxa"/>
            <w:tcBorders>
              <w:top w:val="nil"/>
              <w:left w:val="nil"/>
              <w:bottom w:val="single" w:sz="4" w:space="0" w:color="auto"/>
              <w:right w:val="single" w:sz="4" w:space="0" w:color="auto"/>
            </w:tcBorders>
            <w:noWrap/>
            <w:vAlign w:val="bottom"/>
            <w:hideMark/>
          </w:tcPr>
          <w:p w14:paraId="512ABB7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£12.00</w:t>
            </w:r>
          </w:p>
        </w:tc>
        <w:tc>
          <w:tcPr>
            <w:tcW w:w="854" w:type="dxa"/>
            <w:tcBorders>
              <w:top w:val="nil"/>
              <w:left w:val="nil"/>
              <w:bottom w:val="single" w:sz="4" w:space="0" w:color="auto"/>
              <w:right w:val="single" w:sz="4" w:space="0" w:color="auto"/>
            </w:tcBorders>
            <w:noWrap/>
            <w:vAlign w:val="bottom"/>
            <w:hideMark/>
          </w:tcPr>
          <w:p w14:paraId="6F66868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£14.00</w:t>
            </w:r>
          </w:p>
        </w:tc>
        <w:tc>
          <w:tcPr>
            <w:tcW w:w="1001" w:type="dxa"/>
            <w:tcBorders>
              <w:top w:val="nil"/>
              <w:left w:val="nil"/>
              <w:bottom w:val="single" w:sz="4" w:space="0" w:color="auto"/>
              <w:right w:val="single" w:sz="4" w:space="0" w:color="auto"/>
            </w:tcBorders>
            <w:noWrap/>
            <w:vAlign w:val="bottom"/>
            <w:hideMark/>
          </w:tcPr>
          <w:p w14:paraId="4B4452D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149" w:type="dxa"/>
            <w:tcBorders>
              <w:top w:val="nil"/>
              <w:left w:val="nil"/>
              <w:bottom w:val="single" w:sz="4" w:space="0" w:color="auto"/>
              <w:right w:val="single" w:sz="4" w:space="0" w:color="auto"/>
            </w:tcBorders>
            <w:noWrap/>
            <w:vAlign w:val="bottom"/>
            <w:hideMark/>
          </w:tcPr>
          <w:p w14:paraId="172A115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£8.00</w:t>
            </w:r>
          </w:p>
        </w:tc>
      </w:tr>
      <w:tr w:rsidR="00C7208C" w:rsidRPr="009225E6" w14:paraId="7606F512" w14:textId="77777777" w:rsidTr="00BD023E">
        <w:trPr>
          <w:trHeight w:val="300"/>
        </w:trPr>
        <w:tc>
          <w:tcPr>
            <w:tcW w:w="1960" w:type="dxa"/>
            <w:tcBorders>
              <w:top w:val="nil"/>
              <w:left w:val="single" w:sz="4" w:space="0" w:color="auto"/>
              <w:bottom w:val="single" w:sz="4" w:space="0" w:color="auto"/>
              <w:right w:val="single" w:sz="4" w:space="0" w:color="auto"/>
            </w:tcBorders>
            <w:noWrap/>
            <w:vAlign w:val="bottom"/>
            <w:hideMark/>
          </w:tcPr>
          <w:p w14:paraId="36AC6F88"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943" w:type="dxa"/>
            <w:tcBorders>
              <w:top w:val="nil"/>
              <w:left w:val="nil"/>
              <w:bottom w:val="single" w:sz="4" w:space="0" w:color="auto"/>
              <w:right w:val="single" w:sz="4" w:space="0" w:color="auto"/>
            </w:tcBorders>
            <w:noWrap/>
            <w:vAlign w:val="bottom"/>
            <w:hideMark/>
          </w:tcPr>
          <w:p w14:paraId="103F730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854" w:type="dxa"/>
            <w:tcBorders>
              <w:top w:val="nil"/>
              <w:left w:val="nil"/>
              <w:bottom w:val="single" w:sz="4" w:space="0" w:color="auto"/>
              <w:right w:val="single" w:sz="4" w:space="0" w:color="auto"/>
            </w:tcBorders>
            <w:noWrap/>
            <w:vAlign w:val="bottom"/>
            <w:hideMark/>
          </w:tcPr>
          <w:p w14:paraId="6D2D6780"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854" w:type="dxa"/>
            <w:tcBorders>
              <w:top w:val="nil"/>
              <w:left w:val="nil"/>
              <w:bottom w:val="single" w:sz="4" w:space="0" w:color="auto"/>
              <w:right w:val="single" w:sz="4" w:space="0" w:color="auto"/>
            </w:tcBorders>
            <w:noWrap/>
            <w:vAlign w:val="bottom"/>
            <w:hideMark/>
          </w:tcPr>
          <w:p w14:paraId="01E8990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1001" w:type="dxa"/>
            <w:tcBorders>
              <w:top w:val="nil"/>
              <w:left w:val="nil"/>
              <w:bottom w:val="single" w:sz="4" w:space="0" w:color="auto"/>
              <w:right w:val="single" w:sz="4" w:space="0" w:color="auto"/>
            </w:tcBorders>
            <w:noWrap/>
            <w:vAlign w:val="bottom"/>
            <w:hideMark/>
          </w:tcPr>
          <w:p w14:paraId="53438160"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1149" w:type="dxa"/>
            <w:tcBorders>
              <w:top w:val="nil"/>
              <w:left w:val="nil"/>
              <w:bottom w:val="single" w:sz="4" w:space="0" w:color="auto"/>
              <w:right w:val="single" w:sz="4" w:space="0" w:color="auto"/>
            </w:tcBorders>
            <w:noWrap/>
            <w:vAlign w:val="bottom"/>
            <w:hideMark/>
          </w:tcPr>
          <w:p w14:paraId="5FC725E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r>
      <w:tr w:rsidR="00C7208C" w:rsidRPr="009225E6" w14:paraId="10EC4BDD" w14:textId="77777777" w:rsidTr="00BD023E">
        <w:trPr>
          <w:trHeight w:val="300"/>
        </w:trPr>
        <w:tc>
          <w:tcPr>
            <w:tcW w:w="1960" w:type="dxa"/>
            <w:tcBorders>
              <w:top w:val="nil"/>
              <w:left w:val="single" w:sz="4" w:space="0" w:color="auto"/>
              <w:bottom w:val="single" w:sz="4" w:space="0" w:color="auto"/>
              <w:right w:val="single" w:sz="4" w:space="0" w:color="auto"/>
            </w:tcBorders>
            <w:noWrap/>
            <w:vAlign w:val="bottom"/>
            <w:hideMark/>
          </w:tcPr>
          <w:p w14:paraId="03F4BD09"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943" w:type="dxa"/>
            <w:tcBorders>
              <w:top w:val="nil"/>
              <w:left w:val="nil"/>
              <w:bottom w:val="single" w:sz="4" w:space="0" w:color="auto"/>
              <w:right w:val="single" w:sz="4" w:space="0" w:color="auto"/>
            </w:tcBorders>
            <w:noWrap/>
            <w:vAlign w:val="bottom"/>
            <w:hideMark/>
          </w:tcPr>
          <w:p w14:paraId="5F04C1B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2.1</w:t>
            </w:r>
          </w:p>
        </w:tc>
        <w:tc>
          <w:tcPr>
            <w:tcW w:w="854" w:type="dxa"/>
            <w:tcBorders>
              <w:top w:val="nil"/>
              <w:left w:val="nil"/>
              <w:bottom w:val="single" w:sz="4" w:space="0" w:color="auto"/>
              <w:right w:val="single" w:sz="4" w:space="0" w:color="auto"/>
            </w:tcBorders>
            <w:noWrap/>
            <w:vAlign w:val="bottom"/>
            <w:hideMark/>
          </w:tcPr>
          <w:p w14:paraId="54891D5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4.41</w:t>
            </w:r>
          </w:p>
        </w:tc>
        <w:tc>
          <w:tcPr>
            <w:tcW w:w="854" w:type="dxa"/>
            <w:tcBorders>
              <w:top w:val="nil"/>
              <w:left w:val="nil"/>
              <w:bottom w:val="single" w:sz="4" w:space="0" w:color="auto"/>
              <w:right w:val="single" w:sz="4" w:space="0" w:color="auto"/>
            </w:tcBorders>
            <w:noWrap/>
            <w:vAlign w:val="bottom"/>
            <w:hideMark/>
          </w:tcPr>
          <w:p w14:paraId="2B38715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9.261</w:t>
            </w:r>
          </w:p>
        </w:tc>
        <w:tc>
          <w:tcPr>
            <w:tcW w:w="1001" w:type="dxa"/>
            <w:tcBorders>
              <w:top w:val="nil"/>
              <w:left w:val="nil"/>
              <w:bottom w:val="single" w:sz="4" w:space="0" w:color="auto"/>
              <w:right w:val="single" w:sz="4" w:space="0" w:color="auto"/>
            </w:tcBorders>
            <w:noWrap/>
            <w:vAlign w:val="bottom"/>
            <w:hideMark/>
          </w:tcPr>
          <w:p w14:paraId="2F6120C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19.4481</w:t>
            </w:r>
          </w:p>
        </w:tc>
        <w:tc>
          <w:tcPr>
            <w:tcW w:w="1149" w:type="dxa"/>
            <w:tcBorders>
              <w:top w:val="nil"/>
              <w:left w:val="nil"/>
              <w:bottom w:val="single" w:sz="4" w:space="0" w:color="auto"/>
              <w:right w:val="single" w:sz="4" w:space="0" w:color="auto"/>
            </w:tcBorders>
            <w:noWrap/>
            <w:vAlign w:val="bottom"/>
            <w:hideMark/>
          </w:tcPr>
          <w:p w14:paraId="3C3323A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40.84101</w:t>
            </w:r>
          </w:p>
        </w:tc>
      </w:tr>
      <w:tr w:rsidR="00C7208C" w:rsidRPr="009225E6" w14:paraId="47B9AAEC" w14:textId="77777777" w:rsidTr="00BD023E">
        <w:trPr>
          <w:trHeight w:val="300"/>
        </w:trPr>
        <w:tc>
          <w:tcPr>
            <w:tcW w:w="1960" w:type="dxa"/>
            <w:tcBorders>
              <w:top w:val="nil"/>
              <w:left w:val="single" w:sz="4" w:space="0" w:color="auto"/>
              <w:bottom w:val="nil"/>
              <w:right w:val="single" w:sz="4" w:space="0" w:color="auto"/>
            </w:tcBorders>
            <w:noWrap/>
            <w:vAlign w:val="bottom"/>
            <w:hideMark/>
          </w:tcPr>
          <w:p w14:paraId="5427109C"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943" w:type="dxa"/>
            <w:tcBorders>
              <w:top w:val="nil"/>
              <w:left w:val="nil"/>
              <w:bottom w:val="nil"/>
              <w:right w:val="single" w:sz="4" w:space="0" w:color="auto"/>
            </w:tcBorders>
            <w:noWrap/>
            <w:vAlign w:val="bottom"/>
            <w:hideMark/>
          </w:tcPr>
          <w:p w14:paraId="79B51AC4"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$4.76</w:t>
            </w:r>
          </w:p>
        </w:tc>
        <w:tc>
          <w:tcPr>
            <w:tcW w:w="854" w:type="dxa"/>
            <w:tcBorders>
              <w:top w:val="nil"/>
              <w:left w:val="nil"/>
              <w:bottom w:val="nil"/>
              <w:right w:val="single" w:sz="4" w:space="0" w:color="auto"/>
            </w:tcBorders>
            <w:noWrap/>
            <w:vAlign w:val="bottom"/>
            <w:hideMark/>
          </w:tcPr>
          <w:p w14:paraId="33D0D93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$2.72</w:t>
            </w:r>
          </w:p>
        </w:tc>
        <w:tc>
          <w:tcPr>
            <w:tcW w:w="854" w:type="dxa"/>
            <w:tcBorders>
              <w:top w:val="nil"/>
              <w:left w:val="nil"/>
              <w:bottom w:val="nil"/>
              <w:right w:val="single" w:sz="4" w:space="0" w:color="auto"/>
            </w:tcBorders>
            <w:noWrap/>
            <w:vAlign w:val="bottom"/>
            <w:hideMark/>
          </w:tcPr>
          <w:p w14:paraId="6E29471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$1.51</w:t>
            </w:r>
          </w:p>
        </w:tc>
        <w:tc>
          <w:tcPr>
            <w:tcW w:w="1001" w:type="dxa"/>
            <w:tcBorders>
              <w:top w:val="nil"/>
              <w:left w:val="nil"/>
              <w:bottom w:val="nil"/>
              <w:right w:val="single" w:sz="4" w:space="0" w:color="auto"/>
            </w:tcBorders>
            <w:noWrap/>
            <w:vAlign w:val="bottom"/>
            <w:hideMark/>
          </w:tcPr>
          <w:p w14:paraId="4098A40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$0.51</w:t>
            </w:r>
          </w:p>
        </w:tc>
        <w:tc>
          <w:tcPr>
            <w:tcW w:w="1149" w:type="dxa"/>
            <w:tcBorders>
              <w:top w:val="nil"/>
              <w:left w:val="nil"/>
              <w:bottom w:val="nil"/>
              <w:right w:val="single" w:sz="4" w:space="0" w:color="auto"/>
            </w:tcBorders>
            <w:noWrap/>
            <w:vAlign w:val="bottom"/>
            <w:hideMark/>
          </w:tcPr>
          <w:p w14:paraId="3AD991C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$0.20</w:t>
            </w:r>
          </w:p>
        </w:tc>
      </w:tr>
      <w:tr w:rsidR="00C7208C" w:rsidRPr="009225E6" w14:paraId="5BCFC48A" w14:textId="77777777" w:rsidTr="00BD023E">
        <w:trPr>
          <w:trHeight w:val="300"/>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38DF0BB5"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943" w:type="dxa"/>
            <w:tcBorders>
              <w:top w:val="single" w:sz="4" w:space="0" w:color="auto"/>
              <w:left w:val="nil"/>
              <w:bottom w:val="single" w:sz="4" w:space="0" w:color="auto"/>
              <w:right w:val="single" w:sz="4" w:space="0" w:color="auto"/>
            </w:tcBorders>
            <w:noWrap/>
            <w:vAlign w:val="bottom"/>
            <w:hideMark/>
          </w:tcPr>
          <w:p w14:paraId="5FD0EEC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$9.70</w:t>
            </w:r>
          </w:p>
        </w:tc>
        <w:tc>
          <w:tcPr>
            <w:tcW w:w="3858" w:type="dxa"/>
            <w:gridSpan w:val="4"/>
            <w:vMerge w:val="restart"/>
            <w:tcBorders>
              <w:top w:val="single" w:sz="4" w:space="0" w:color="auto"/>
              <w:left w:val="single" w:sz="4" w:space="0" w:color="auto"/>
              <w:bottom w:val="double" w:sz="6" w:space="0" w:color="000000"/>
              <w:right w:val="single" w:sz="4" w:space="0" w:color="000000"/>
            </w:tcBorders>
            <w:hideMark/>
          </w:tcPr>
          <w:p w14:paraId="6D6521D4"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23291B43" w14:textId="77777777" w:rsidTr="00BD023E">
        <w:trPr>
          <w:trHeight w:val="300"/>
        </w:trPr>
        <w:tc>
          <w:tcPr>
            <w:tcW w:w="1960" w:type="dxa"/>
            <w:tcBorders>
              <w:top w:val="nil"/>
              <w:left w:val="single" w:sz="4" w:space="0" w:color="auto"/>
              <w:bottom w:val="single" w:sz="4" w:space="0" w:color="auto"/>
              <w:right w:val="single" w:sz="4" w:space="0" w:color="auto"/>
            </w:tcBorders>
            <w:noWrap/>
            <w:vAlign w:val="bottom"/>
            <w:hideMark/>
          </w:tcPr>
          <w:p w14:paraId="4CB3CC28"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943" w:type="dxa"/>
            <w:tcBorders>
              <w:top w:val="nil"/>
              <w:left w:val="nil"/>
              <w:bottom w:val="single" w:sz="4" w:space="0" w:color="auto"/>
              <w:right w:val="single" w:sz="4" w:space="0" w:color="auto"/>
            </w:tcBorders>
            <w:noWrap/>
            <w:vAlign w:val="bottom"/>
            <w:hideMark/>
          </w:tcPr>
          <w:p w14:paraId="28ABF53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$40.00</w:t>
            </w:r>
          </w:p>
        </w:tc>
        <w:tc>
          <w:tcPr>
            <w:tcW w:w="3858" w:type="dxa"/>
            <w:gridSpan w:val="4"/>
            <w:vMerge/>
            <w:tcBorders>
              <w:top w:val="nil"/>
              <w:left w:val="nil"/>
              <w:bottom w:val="single" w:sz="4" w:space="0" w:color="auto"/>
              <w:right w:val="single" w:sz="4" w:space="0" w:color="auto"/>
            </w:tcBorders>
            <w:vAlign w:val="center"/>
            <w:hideMark/>
          </w:tcPr>
          <w:p w14:paraId="67EA50C2"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4E70170A" w14:textId="77777777" w:rsidTr="00BD023E">
        <w:trPr>
          <w:trHeight w:val="315"/>
        </w:trPr>
        <w:tc>
          <w:tcPr>
            <w:tcW w:w="1960" w:type="dxa"/>
            <w:tcBorders>
              <w:top w:val="nil"/>
              <w:left w:val="single" w:sz="4" w:space="0" w:color="auto"/>
              <w:bottom w:val="double" w:sz="6" w:space="0" w:color="auto"/>
              <w:right w:val="single" w:sz="4" w:space="0" w:color="auto"/>
            </w:tcBorders>
            <w:noWrap/>
            <w:vAlign w:val="bottom"/>
            <w:hideMark/>
          </w:tcPr>
          <w:p w14:paraId="7B07ABAF"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943" w:type="dxa"/>
            <w:tcBorders>
              <w:top w:val="nil"/>
              <w:left w:val="nil"/>
              <w:bottom w:val="double" w:sz="6" w:space="0" w:color="auto"/>
              <w:right w:val="single" w:sz="4" w:space="0" w:color="auto"/>
            </w:tcBorders>
            <w:noWrap/>
            <w:vAlign w:val="bottom"/>
            <w:hideMark/>
          </w:tcPr>
          <w:p w14:paraId="70524A50"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-$30.30</w:t>
            </w:r>
          </w:p>
        </w:tc>
        <w:tc>
          <w:tcPr>
            <w:tcW w:w="3858" w:type="dxa"/>
            <w:gridSpan w:val="4"/>
            <w:vMerge/>
            <w:tcBorders>
              <w:top w:val="nil"/>
              <w:left w:val="nil"/>
              <w:bottom w:val="double" w:sz="6" w:space="0" w:color="auto"/>
              <w:right w:val="single" w:sz="4" w:space="0" w:color="auto"/>
            </w:tcBorders>
            <w:vAlign w:val="center"/>
            <w:hideMark/>
          </w:tcPr>
          <w:p w14:paraId="1FF9D514"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3D30AC01" w14:textId="77777777" w:rsidR="00C7208C" w:rsidRPr="009225E6" w:rsidRDefault="00C7208C" w:rsidP="00C7208C">
      <w:pPr>
        <w:rPr>
          <w:rFonts w:ascii="Times New Roman" w:hAnsi="Times New Roman" w:cs="Times New Roman"/>
          <w:sz w:val="24"/>
        </w:rPr>
      </w:pPr>
    </w:p>
    <w:p w14:paraId="0F43863F"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 xml:space="preserve">IRR =Ra+ </m:t>
          </m:r>
          <m:f>
            <m:fPr>
              <m:ctrlPr>
                <w:rPr>
                  <w:rFonts w:ascii="Cambria Math" w:hAnsi="Cambria Math" w:cs="Times New Roman"/>
                  <w:sz w:val="24"/>
                </w:rPr>
              </m:ctrlPr>
            </m:fPr>
            <m:num>
              <m:r>
                <w:rPr>
                  <w:rFonts w:ascii="Cambria Math" w:hAnsi="Cambria Math" w:cs="Times New Roman"/>
                  <w:sz w:val="24"/>
                </w:rPr>
                <m:t>NPVa</m:t>
              </m:r>
            </m:num>
            <m:den>
              <m:r>
                <w:rPr>
                  <w:rFonts w:ascii="Cambria Math" w:hAnsi="Cambria Math" w:cs="Times New Roman"/>
                  <w:sz w:val="24"/>
                </w:rPr>
                <m:t>NPVa-NPVb</m:t>
              </m:r>
            </m:den>
          </m:f>
          <m:r>
            <w:rPr>
              <w:rFonts w:ascii="Cambria Math" w:hAnsi="Cambria Math" w:cs="Times New Roman"/>
              <w:sz w:val="24"/>
            </w:rPr>
            <m:t xml:space="preserve"> x (Rb-Ra)</m:t>
          </m:r>
        </m:oMath>
      </m:oMathPara>
    </w:p>
    <w:p w14:paraId="2C81D73C" w14:textId="77777777" w:rsidR="00C7208C" w:rsidRPr="009225E6" w:rsidRDefault="00C7208C" w:rsidP="00C7208C">
      <w:pPr>
        <w:rPr>
          <w:rFonts w:ascii="Times New Roman" w:eastAsiaTheme="minorEastAsia" w:hAnsi="Times New Roman" w:cs="Times New Roman"/>
          <w:sz w:val="24"/>
        </w:rPr>
      </w:pPr>
      <w:r w:rsidRPr="009225E6">
        <w:rPr>
          <w:rFonts w:ascii="Times New Roman" w:hAnsi="Times New Roman" w:cs="Times New Roman"/>
          <w:sz w:val="24"/>
        </w:rPr>
        <w:t xml:space="preserve"> </w:t>
      </w:r>
      <m:oMath>
        <m:r>
          <m:rPr>
            <m:sty m:val="p"/>
          </m:rPr>
          <w:rPr>
            <w:rFonts w:ascii="Cambria Math" w:hAnsi="Cambria Math" w:cs="Times New Roman"/>
            <w:sz w:val="24"/>
          </w:rPr>
          <w:br/>
        </m:r>
      </m:oMath>
      <m:oMathPara>
        <m:oMathParaPr>
          <m:jc m:val="left"/>
        </m:oMathParaPr>
        <m:oMath>
          <m:r>
            <m:rPr>
              <m:sty m:val="p"/>
            </m:rPr>
            <w:rPr>
              <w:rFonts w:ascii="Cambria Math" w:hAnsi="Cambria Math" w:cs="Times New Roman"/>
              <w:sz w:val="24"/>
            </w:rPr>
            <m:t xml:space="preserve">IRR =0.1+ </m:t>
          </m:r>
          <m:f>
            <m:fPr>
              <m:ctrlPr>
                <w:rPr>
                  <w:rFonts w:ascii="Cambria Math" w:hAnsi="Cambria Math" w:cs="Times New Roman"/>
                  <w:sz w:val="24"/>
                </w:rPr>
              </m:ctrlPr>
            </m:fPr>
            <m:num>
              <m:r>
                <w:rPr>
                  <w:rFonts w:ascii="Cambria Math" w:hAnsi="Cambria Math" w:cs="Times New Roman"/>
                  <w:sz w:val="24"/>
                </w:rPr>
                <m:t>1.32</m:t>
              </m:r>
            </m:num>
            <m:den>
              <m:r>
                <w:rPr>
                  <w:rFonts w:ascii="Cambria Math" w:hAnsi="Cambria Math" w:cs="Times New Roman"/>
                  <w:sz w:val="24"/>
                </w:rPr>
                <m:t>1.32-(-30)</m:t>
              </m:r>
            </m:den>
          </m:f>
          <m:r>
            <w:rPr>
              <w:rFonts w:ascii="Cambria Math" w:hAnsi="Cambria Math" w:cs="Times New Roman"/>
              <w:sz w:val="24"/>
            </w:rPr>
            <m:t xml:space="preserve"> x (0.2-0.1)</m:t>
          </m:r>
        </m:oMath>
      </m:oMathPara>
    </w:p>
    <w:p w14:paraId="0C2AE30E"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w:lastRenderedPageBreak/>
            <m:t xml:space="preserve">IRR =0.1+ </m:t>
          </m:r>
          <m:f>
            <m:fPr>
              <m:ctrlPr>
                <w:rPr>
                  <w:rFonts w:ascii="Cambria Math" w:hAnsi="Cambria Math" w:cs="Times New Roman"/>
                  <w:sz w:val="24"/>
                </w:rPr>
              </m:ctrlPr>
            </m:fPr>
            <m:num>
              <m:r>
                <w:rPr>
                  <w:rFonts w:ascii="Cambria Math" w:hAnsi="Cambria Math" w:cs="Times New Roman"/>
                  <w:sz w:val="24"/>
                </w:rPr>
                <m:t>1.32</m:t>
              </m:r>
            </m:num>
            <m:den>
              <m:r>
                <w:rPr>
                  <w:rFonts w:ascii="Cambria Math" w:hAnsi="Cambria Math" w:cs="Times New Roman"/>
                  <w:sz w:val="24"/>
                </w:rPr>
                <m:t>28.68</m:t>
              </m:r>
            </m:den>
          </m:f>
          <m:r>
            <w:rPr>
              <w:rFonts w:ascii="Cambria Math" w:hAnsi="Cambria Math" w:cs="Times New Roman"/>
              <w:sz w:val="24"/>
            </w:rPr>
            <m:t xml:space="preserve"> x (0.1)</m:t>
          </m:r>
        </m:oMath>
      </m:oMathPara>
    </w:p>
    <w:p w14:paraId="645543C9"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=0.1+</m:t>
          </m:r>
          <m:r>
            <w:rPr>
              <w:rFonts w:ascii="Cambria Math" w:hAnsi="Cambria Math" w:cs="Times New Roman"/>
              <w:sz w:val="24"/>
            </w:rPr>
            <m:t>(-0.046) x (0.1)</m:t>
          </m:r>
        </m:oMath>
      </m:oMathPara>
    </w:p>
    <w:p w14:paraId="36165C99"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=0.1+</m:t>
          </m:r>
          <m:r>
            <w:rPr>
              <w:rFonts w:ascii="Cambria Math" w:hAnsi="Cambria Math" w:cs="Times New Roman"/>
              <w:sz w:val="24"/>
            </w:rPr>
            <m:t>0.0046</m:t>
          </m:r>
        </m:oMath>
      </m:oMathPara>
    </w:p>
    <w:p w14:paraId="12EB269D"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m:t>
          </m:r>
          <m:r>
            <w:rPr>
              <w:rFonts w:ascii="Cambria Math" w:hAnsi="Cambria Math" w:cs="Times New Roman"/>
              <w:sz w:val="24"/>
            </w:rPr>
            <m:t>0.1046</m:t>
          </m:r>
        </m:oMath>
      </m:oMathPara>
    </w:p>
    <w:p w14:paraId="6234FE05"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m:t>
          </m:r>
          <m:r>
            <w:rPr>
              <w:rFonts w:ascii="Cambria Math" w:hAnsi="Cambria Math" w:cs="Times New Roman"/>
              <w:sz w:val="24"/>
            </w:rPr>
            <m:t>10%</m:t>
          </m:r>
        </m:oMath>
      </m:oMathPara>
    </w:p>
    <w:p w14:paraId="2601ED5F" w14:textId="77777777" w:rsidR="00C7208C" w:rsidRPr="009225E6" w:rsidRDefault="00C7208C" w:rsidP="00C7208C">
      <w:pPr>
        <w:rPr>
          <w:rFonts w:ascii="Times New Roman" w:hAnsi="Times New Roman" w:cs="Times New Roman"/>
          <w:sz w:val="24"/>
        </w:rPr>
      </w:pPr>
    </w:p>
    <w:p w14:paraId="32FC0A0A" w14:textId="77777777" w:rsidR="00C7208C" w:rsidRPr="009225E6" w:rsidRDefault="00C7208C" w:rsidP="00C7208C">
      <w:pPr>
        <w:rPr>
          <w:rFonts w:ascii="Times New Roman" w:hAnsi="Times New Roman" w:cs="Times New Roman"/>
          <w:b/>
          <w:sz w:val="24"/>
        </w:rPr>
      </w:pPr>
      <w:r w:rsidRPr="009225E6">
        <w:rPr>
          <w:rFonts w:ascii="Times New Roman" w:hAnsi="Times New Roman" w:cs="Times New Roman"/>
          <w:b/>
          <w:sz w:val="24"/>
        </w:rPr>
        <w:t>Project B</w:t>
      </w:r>
    </w:p>
    <w:p w14:paraId="0A19E1C6"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Lowest Discount Rate (at 10%)</w:t>
      </w:r>
    </w:p>
    <w:tbl>
      <w:tblPr>
        <w:tblW w:w="7452" w:type="dxa"/>
        <w:tblInd w:w="93" w:type="dxa"/>
        <w:tblLook w:val="04A0" w:firstRow="1" w:lastRow="0" w:firstColumn="1" w:lastColumn="0" w:noHBand="0" w:noVBand="1"/>
      </w:tblPr>
      <w:tblGrid>
        <w:gridCol w:w="2161"/>
        <w:gridCol w:w="1097"/>
        <w:gridCol w:w="906"/>
        <w:gridCol w:w="906"/>
        <w:gridCol w:w="1097"/>
        <w:gridCol w:w="1285"/>
      </w:tblGrid>
      <w:tr w:rsidR="00C7208C" w:rsidRPr="009225E6" w14:paraId="5AA1376A" w14:textId="77777777" w:rsidTr="00BD023E">
        <w:trPr>
          <w:trHeight w:val="315"/>
        </w:trPr>
        <w:tc>
          <w:tcPr>
            <w:tcW w:w="2161" w:type="dxa"/>
            <w:vMerge w:val="restart"/>
            <w:tcBorders>
              <w:top w:val="single" w:sz="4" w:space="0" w:color="auto"/>
              <w:left w:val="single" w:sz="4" w:space="0" w:color="auto"/>
              <w:bottom w:val="single" w:sz="4" w:space="0" w:color="000000"/>
              <w:right w:val="single" w:sz="4" w:space="0" w:color="auto"/>
            </w:tcBorders>
            <w:noWrap/>
            <w:vAlign w:val="bottom"/>
            <w:hideMark/>
          </w:tcPr>
          <w:p w14:paraId="1DF72EFD"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291" w:type="dxa"/>
            <w:gridSpan w:val="5"/>
            <w:tcBorders>
              <w:top w:val="single" w:sz="4" w:space="0" w:color="auto"/>
              <w:left w:val="nil"/>
              <w:bottom w:val="single" w:sz="4" w:space="0" w:color="auto"/>
              <w:right w:val="single" w:sz="4" w:space="0" w:color="auto"/>
            </w:tcBorders>
            <w:noWrap/>
            <w:vAlign w:val="bottom"/>
            <w:hideMark/>
          </w:tcPr>
          <w:p w14:paraId="2ED27362"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6C3E9AD2" w14:textId="77777777" w:rsidTr="00BD023E">
        <w:trPr>
          <w:trHeight w:val="300"/>
        </w:trPr>
        <w:tc>
          <w:tcPr>
            <w:tcW w:w="2161" w:type="dxa"/>
            <w:vMerge/>
            <w:tcBorders>
              <w:top w:val="single" w:sz="4" w:space="0" w:color="auto"/>
              <w:left w:val="single" w:sz="4" w:space="0" w:color="auto"/>
              <w:bottom w:val="single" w:sz="4" w:space="0" w:color="000000"/>
              <w:right w:val="single" w:sz="4" w:space="0" w:color="auto"/>
            </w:tcBorders>
            <w:vAlign w:val="center"/>
            <w:hideMark/>
          </w:tcPr>
          <w:p w14:paraId="75D7BBEA"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97" w:type="dxa"/>
            <w:tcBorders>
              <w:top w:val="nil"/>
              <w:left w:val="nil"/>
              <w:bottom w:val="single" w:sz="4" w:space="0" w:color="auto"/>
              <w:right w:val="single" w:sz="4" w:space="0" w:color="auto"/>
            </w:tcBorders>
            <w:noWrap/>
            <w:vAlign w:val="bottom"/>
            <w:hideMark/>
          </w:tcPr>
          <w:p w14:paraId="7050FB1D"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906" w:type="dxa"/>
            <w:tcBorders>
              <w:top w:val="nil"/>
              <w:left w:val="nil"/>
              <w:bottom w:val="single" w:sz="4" w:space="0" w:color="auto"/>
              <w:right w:val="single" w:sz="4" w:space="0" w:color="auto"/>
            </w:tcBorders>
            <w:noWrap/>
            <w:vAlign w:val="bottom"/>
            <w:hideMark/>
          </w:tcPr>
          <w:p w14:paraId="6DBE7228"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906" w:type="dxa"/>
            <w:tcBorders>
              <w:top w:val="nil"/>
              <w:left w:val="nil"/>
              <w:bottom w:val="single" w:sz="4" w:space="0" w:color="auto"/>
              <w:right w:val="single" w:sz="4" w:space="0" w:color="auto"/>
            </w:tcBorders>
            <w:noWrap/>
            <w:vAlign w:val="bottom"/>
            <w:hideMark/>
          </w:tcPr>
          <w:p w14:paraId="3E2E54A7"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097" w:type="dxa"/>
            <w:tcBorders>
              <w:top w:val="nil"/>
              <w:left w:val="nil"/>
              <w:bottom w:val="single" w:sz="4" w:space="0" w:color="auto"/>
              <w:right w:val="single" w:sz="4" w:space="0" w:color="auto"/>
            </w:tcBorders>
            <w:noWrap/>
            <w:vAlign w:val="bottom"/>
            <w:hideMark/>
          </w:tcPr>
          <w:p w14:paraId="127268B5"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285" w:type="dxa"/>
            <w:tcBorders>
              <w:top w:val="nil"/>
              <w:left w:val="nil"/>
              <w:bottom w:val="single" w:sz="4" w:space="0" w:color="auto"/>
              <w:right w:val="single" w:sz="4" w:space="0" w:color="auto"/>
            </w:tcBorders>
            <w:noWrap/>
            <w:vAlign w:val="bottom"/>
            <w:hideMark/>
          </w:tcPr>
          <w:p w14:paraId="4A2799A8"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18D152C7" w14:textId="77777777" w:rsidTr="00BD023E">
        <w:trPr>
          <w:trHeight w:val="300"/>
        </w:trPr>
        <w:tc>
          <w:tcPr>
            <w:tcW w:w="2161" w:type="dxa"/>
            <w:vMerge/>
            <w:tcBorders>
              <w:top w:val="single" w:sz="4" w:space="0" w:color="auto"/>
              <w:left w:val="single" w:sz="4" w:space="0" w:color="auto"/>
              <w:bottom w:val="single" w:sz="4" w:space="0" w:color="000000"/>
              <w:right w:val="single" w:sz="4" w:space="0" w:color="auto"/>
            </w:tcBorders>
            <w:vAlign w:val="center"/>
            <w:hideMark/>
          </w:tcPr>
          <w:p w14:paraId="38C64D7F"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97" w:type="dxa"/>
            <w:tcBorders>
              <w:top w:val="nil"/>
              <w:left w:val="nil"/>
              <w:bottom w:val="single" w:sz="4" w:space="0" w:color="auto"/>
              <w:right w:val="single" w:sz="4" w:space="0" w:color="auto"/>
            </w:tcBorders>
            <w:noWrap/>
            <w:vAlign w:val="bottom"/>
            <w:hideMark/>
          </w:tcPr>
          <w:p w14:paraId="2A97C77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906" w:type="dxa"/>
            <w:tcBorders>
              <w:top w:val="nil"/>
              <w:left w:val="nil"/>
              <w:bottom w:val="single" w:sz="4" w:space="0" w:color="auto"/>
              <w:right w:val="single" w:sz="4" w:space="0" w:color="auto"/>
            </w:tcBorders>
            <w:noWrap/>
            <w:vAlign w:val="bottom"/>
            <w:hideMark/>
          </w:tcPr>
          <w:p w14:paraId="1BCD1C1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906" w:type="dxa"/>
            <w:tcBorders>
              <w:top w:val="nil"/>
              <w:left w:val="nil"/>
              <w:bottom w:val="single" w:sz="4" w:space="0" w:color="auto"/>
              <w:right w:val="single" w:sz="4" w:space="0" w:color="auto"/>
            </w:tcBorders>
            <w:noWrap/>
            <w:vAlign w:val="bottom"/>
            <w:hideMark/>
          </w:tcPr>
          <w:p w14:paraId="26BC819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097" w:type="dxa"/>
            <w:tcBorders>
              <w:top w:val="nil"/>
              <w:left w:val="nil"/>
              <w:bottom w:val="single" w:sz="4" w:space="0" w:color="auto"/>
              <w:right w:val="single" w:sz="4" w:space="0" w:color="auto"/>
            </w:tcBorders>
            <w:noWrap/>
            <w:vAlign w:val="bottom"/>
            <w:hideMark/>
          </w:tcPr>
          <w:p w14:paraId="28C45DC4"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285" w:type="dxa"/>
            <w:tcBorders>
              <w:top w:val="nil"/>
              <w:left w:val="nil"/>
              <w:bottom w:val="single" w:sz="4" w:space="0" w:color="auto"/>
              <w:right w:val="single" w:sz="4" w:space="0" w:color="auto"/>
            </w:tcBorders>
            <w:noWrap/>
            <w:vAlign w:val="bottom"/>
            <w:hideMark/>
          </w:tcPr>
          <w:p w14:paraId="104DEED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r>
      <w:tr w:rsidR="00C7208C" w:rsidRPr="009225E6" w14:paraId="2EA82F8B" w14:textId="77777777" w:rsidTr="00BD023E">
        <w:trPr>
          <w:trHeight w:val="300"/>
        </w:trPr>
        <w:tc>
          <w:tcPr>
            <w:tcW w:w="2161" w:type="dxa"/>
            <w:tcBorders>
              <w:top w:val="nil"/>
              <w:left w:val="single" w:sz="4" w:space="0" w:color="auto"/>
              <w:bottom w:val="single" w:sz="4" w:space="0" w:color="auto"/>
              <w:right w:val="single" w:sz="4" w:space="0" w:color="auto"/>
            </w:tcBorders>
            <w:noWrap/>
            <w:vAlign w:val="bottom"/>
            <w:hideMark/>
          </w:tcPr>
          <w:p w14:paraId="31616281"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097" w:type="dxa"/>
            <w:tcBorders>
              <w:top w:val="nil"/>
              <w:left w:val="nil"/>
              <w:bottom w:val="single" w:sz="4" w:space="0" w:color="auto"/>
              <w:right w:val="single" w:sz="4" w:space="0" w:color="auto"/>
            </w:tcBorders>
            <w:noWrap/>
            <w:vAlign w:val="bottom"/>
            <w:hideMark/>
          </w:tcPr>
          <w:p w14:paraId="000CA9E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06" w:type="dxa"/>
            <w:tcBorders>
              <w:top w:val="nil"/>
              <w:left w:val="nil"/>
              <w:bottom w:val="single" w:sz="4" w:space="0" w:color="auto"/>
              <w:right w:val="single" w:sz="4" w:space="0" w:color="auto"/>
            </w:tcBorders>
            <w:noWrap/>
            <w:vAlign w:val="bottom"/>
            <w:hideMark/>
          </w:tcPr>
          <w:p w14:paraId="00DF083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906" w:type="dxa"/>
            <w:tcBorders>
              <w:top w:val="nil"/>
              <w:left w:val="nil"/>
              <w:bottom w:val="single" w:sz="4" w:space="0" w:color="auto"/>
              <w:right w:val="single" w:sz="4" w:space="0" w:color="auto"/>
            </w:tcBorders>
            <w:noWrap/>
            <w:vAlign w:val="bottom"/>
            <w:hideMark/>
          </w:tcPr>
          <w:p w14:paraId="074B052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97" w:type="dxa"/>
            <w:tcBorders>
              <w:top w:val="nil"/>
              <w:left w:val="nil"/>
              <w:bottom w:val="single" w:sz="4" w:space="0" w:color="auto"/>
              <w:right w:val="single" w:sz="4" w:space="0" w:color="auto"/>
            </w:tcBorders>
            <w:noWrap/>
            <w:vAlign w:val="bottom"/>
            <w:hideMark/>
          </w:tcPr>
          <w:p w14:paraId="6411116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85" w:type="dxa"/>
            <w:tcBorders>
              <w:top w:val="nil"/>
              <w:left w:val="nil"/>
              <w:bottom w:val="single" w:sz="4" w:space="0" w:color="auto"/>
              <w:right w:val="single" w:sz="4" w:space="0" w:color="auto"/>
            </w:tcBorders>
            <w:noWrap/>
            <w:vAlign w:val="bottom"/>
            <w:hideMark/>
          </w:tcPr>
          <w:p w14:paraId="7DD6A5E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C7208C" w:rsidRPr="009225E6" w14:paraId="2B75902F" w14:textId="77777777" w:rsidTr="00BD023E">
        <w:trPr>
          <w:trHeight w:val="300"/>
        </w:trPr>
        <w:tc>
          <w:tcPr>
            <w:tcW w:w="2161" w:type="dxa"/>
            <w:tcBorders>
              <w:top w:val="nil"/>
              <w:left w:val="single" w:sz="4" w:space="0" w:color="auto"/>
              <w:bottom w:val="single" w:sz="4" w:space="0" w:color="auto"/>
              <w:right w:val="single" w:sz="4" w:space="0" w:color="auto"/>
            </w:tcBorders>
            <w:noWrap/>
            <w:vAlign w:val="bottom"/>
            <w:hideMark/>
          </w:tcPr>
          <w:p w14:paraId="0534B50D"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097" w:type="dxa"/>
            <w:tcBorders>
              <w:top w:val="nil"/>
              <w:left w:val="nil"/>
              <w:bottom w:val="single" w:sz="4" w:space="0" w:color="auto"/>
              <w:right w:val="single" w:sz="4" w:space="0" w:color="auto"/>
            </w:tcBorders>
            <w:noWrap/>
            <w:vAlign w:val="bottom"/>
            <w:hideMark/>
          </w:tcPr>
          <w:p w14:paraId="5212671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906" w:type="dxa"/>
            <w:tcBorders>
              <w:top w:val="nil"/>
              <w:left w:val="nil"/>
              <w:bottom w:val="single" w:sz="4" w:space="0" w:color="auto"/>
              <w:right w:val="single" w:sz="4" w:space="0" w:color="auto"/>
            </w:tcBorders>
            <w:noWrap/>
            <w:vAlign w:val="bottom"/>
            <w:hideMark/>
          </w:tcPr>
          <w:p w14:paraId="270B015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906" w:type="dxa"/>
            <w:tcBorders>
              <w:top w:val="nil"/>
              <w:left w:val="nil"/>
              <w:bottom w:val="single" w:sz="4" w:space="0" w:color="auto"/>
              <w:right w:val="single" w:sz="4" w:space="0" w:color="auto"/>
            </w:tcBorders>
            <w:noWrap/>
            <w:vAlign w:val="bottom"/>
            <w:hideMark/>
          </w:tcPr>
          <w:p w14:paraId="6C3ED10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097" w:type="dxa"/>
            <w:tcBorders>
              <w:top w:val="nil"/>
              <w:left w:val="nil"/>
              <w:bottom w:val="single" w:sz="4" w:space="0" w:color="auto"/>
              <w:right w:val="single" w:sz="4" w:space="0" w:color="auto"/>
            </w:tcBorders>
            <w:noWrap/>
            <w:vAlign w:val="bottom"/>
            <w:hideMark/>
          </w:tcPr>
          <w:p w14:paraId="40E5C76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285" w:type="dxa"/>
            <w:tcBorders>
              <w:top w:val="nil"/>
              <w:left w:val="nil"/>
              <w:bottom w:val="single" w:sz="4" w:space="0" w:color="auto"/>
              <w:right w:val="single" w:sz="4" w:space="0" w:color="auto"/>
            </w:tcBorders>
            <w:noWrap/>
            <w:vAlign w:val="bottom"/>
            <w:hideMark/>
          </w:tcPr>
          <w:p w14:paraId="4A1F3D0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C7208C" w:rsidRPr="009225E6" w14:paraId="738BD542" w14:textId="77777777" w:rsidTr="00BD023E">
        <w:trPr>
          <w:trHeight w:val="300"/>
        </w:trPr>
        <w:tc>
          <w:tcPr>
            <w:tcW w:w="2161" w:type="dxa"/>
            <w:tcBorders>
              <w:top w:val="nil"/>
              <w:left w:val="single" w:sz="4" w:space="0" w:color="auto"/>
              <w:bottom w:val="nil"/>
              <w:right w:val="single" w:sz="4" w:space="0" w:color="auto"/>
            </w:tcBorders>
            <w:noWrap/>
            <w:vAlign w:val="bottom"/>
            <w:hideMark/>
          </w:tcPr>
          <w:p w14:paraId="582935F6"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097" w:type="dxa"/>
            <w:tcBorders>
              <w:top w:val="nil"/>
              <w:left w:val="nil"/>
              <w:bottom w:val="nil"/>
              <w:right w:val="single" w:sz="4" w:space="0" w:color="auto"/>
            </w:tcBorders>
            <w:noWrap/>
            <w:vAlign w:val="bottom"/>
            <w:hideMark/>
          </w:tcPr>
          <w:p w14:paraId="400804D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$5.45</w:t>
            </w:r>
          </w:p>
        </w:tc>
        <w:tc>
          <w:tcPr>
            <w:tcW w:w="906" w:type="dxa"/>
            <w:tcBorders>
              <w:top w:val="nil"/>
              <w:left w:val="nil"/>
              <w:bottom w:val="nil"/>
              <w:right w:val="single" w:sz="4" w:space="0" w:color="auto"/>
            </w:tcBorders>
            <w:noWrap/>
            <w:vAlign w:val="bottom"/>
            <w:hideMark/>
          </w:tcPr>
          <w:p w14:paraId="0EAFA51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$4.96</w:t>
            </w:r>
          </w:p>
        </w:tc>
        <w:tc>
          <w:tcPr>
            <w:tcW w:w="906" w:type="dxa"/>
            <w:tcBorders>
              <w:top w:val="nil"/>
              <w:left w:val="nil"/>
              <w:bottom w:val="nil"/>
              <w:right w:val="single" w:sz="4" w:space="0" w:color="auto"/>
            </w:tcBorders>
            <w:noWrap/>
            <w:vAlign w:val="bottom"/>
            <w:hideMark/>
          </w:tcPr>
          <w:p w14:paraId="035C770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$4.51</w:t>
            </w:r>
          </w:p>
        </w:tc>
        <w:tc>
          <w:tcPr>
            <w:tcW w:w="1097" w:type="dxa"/>
            <w:tcBorders>
              <w:top w:val="nil"/>
              <w:left w:val="nil"/>
              <w:bottom w:val="nil"/>
              <w:right w:val="single" w:sz="4" w:space="0" w:color="auto"/>
            </w:tcBorders>
            <w:noWrap/>
            <w:vAlign w:val="bottom"/>
            <w:hideMark/>
          </w:tcPr>
          <w:p w14:paraId="0D4E6EE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$4.10</w:t>
            </w:r>
          </w:p>
        </w:tc>
        <w:tc>
          <w:tcPr>
            <w:tcW w:w="1285" w:type="dxa"/>
            <w:tcBorders>
              <w:top w:val="nil"/>
              <w:left w:val="nil"/>
              <w:bottom w:val="nil"/>
              <w:right w:val="single" w:sz="4" w:space="0" w:color="auto"/>
            </w:tcBorders>
            <w:noWrap/>
            <w:vAlign w:val="bottom"/>
            <w:hideMark/>
          </w:tcPr>
          <w:p w14:paraId="1501725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$3.73</w:t>
            </w:r>
          </w:p>
        </w:tc>
      </w:tr>
      <w:tr w:rsidR="00C7208C" w:rsidRPr="009225E6" w14:paraId="550FCEAE" w14:textId="77777777" w:rsidTr="00BD023E">
        <w:trPr>
          <w:trHeight w:val="315"/>
        </w:trPr>
        <w:tc>
          <w:tcPr>
            <w:tcW w:w="2161" w:type="dxa"/>
            <w:tcBorders>
              <w:top w:val="single" w:sz="4" w:space="0" w:color="auto"/>
              <w:left w:val="single" w:sz="4" w:space="0" w:color="auto"/>
              <w:bottom w:val="single" w:sz="4" w:space="0" w:color="auto"/>
              <w:right w:val="single" w:sz="4" w:space="0" w:color="auto"/>
            </w:tcBorders>
            <w:noWrap/>
            <w:vAlign w:val="bottom"/>
            <w:hideMark/>
          </w:tcPr>
          <w:p w14:paraId="56812F86"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097" w:type="dxa"/>
            <w:tcBorders>
              <w:top w:val="single" w:sz="4" w:space="0" w:color="auto"/>
              <w:left w:val="nil"/>
              <w:bottom w:val="single" w:sz="4" w:space="0" w:color="auto"/>
              <w:right w:val="single" w:sz="4" w:space="0" w:color="auto"/>
            </w:tcBorders>
            <w:noWrap/>
            <w:vAlign w:val="bottom"/>
            <w:hideMark/>
          </w:tcPr>
          <w:p w14:paraId="35090CE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$22.74</w:t>
            </w:r>
          </w:p>
        </w:tc>
        <w:tc>
          <w:tcPr>
            <w:tcW w:w="4194" w:type="dxa"/>
            <w:gridSpan w:val="4"/>
            <w:vMerge w:val="restart"/>
            <w:tcBorders>
              <w:top w:val="single" w:sz="4" w:space="0" w:color="auto"/>
              <w:left w:val="single" w:sz="4" w:space="0" w:color="auto"/>
              <w:bottom w:val="double" w:sz="6" w:space="0" w:color="000000"/>
              <w:right w:val="single" w:sz="4" w:space="0" w:color="000000"/>
            </w:tcBorders>
            <w:hideMark/>
          </w:tcPr>
          <w:p w14:paraId="37410955"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055B55B7" w14:textId="77777777" w:rsidTr="00BD023E">
        <w:trPr>
          <w:trHeight w:val="315"/>
        </w:trPr>
        <w:tc>
          <w:tcPr>
            <w:tcW w:w="2161" w:type="dxa"/>
            <w:tcBorders>
              <w:top w:val="nil"/>
              <w:left w:val="single" w:sz="4" w:space="0" w:color="auto"/>
              <w:bottom w:val="single" w:sz="4" w:space="0" w:color="auto"/>
              <w:right w:val="single" w:sz="4" w:space="0" w:color="auto"/>
            </w:tcBorders>
            <w:noWrap/>
            <w:vAlign w:val="bottom"/>
            <w:hideMark/>
          </w:tcPr>
          <w:p w14:paraId="5A78CA0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097" w:type="dxa"/>
            <w:tcBorders>
              <w:top w:val="nil"/>
              <w:left w:val="nil"/>
              <w:bottom w:val="single" w:sz="4" w:space="0" w:color="auto"/>
              <w:right w:val="single" w:sz="4" w:space="0" w:color="auto"/>
            </w:tcBorders>
            <w:noWrap/>
            <w:vAlign w:val="bottom"/>
            <w:hideMark/>
          </w:tcPr>
          <w:p w14:paraId="66EAEF5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$30.00</w:t>
            </w:r>
          </w:p>
        </w:tc>
        <w:tc>
          <w:tcPr>
            <w:tcW w:w="4194" w:type="dxa"/>
            <w:gridSpan w:val="4"/>
            <w:vMerge/>
            <w:tcBorders>
              <w:top w:val="nil"/>
              <w:left w:val="nil"/>
              <w:bottom w:val="single" w:sz="4" w:space="0" w:color="auto"/>
              <w:right w:val="single" w:sz="4" w:space="0" w:color="auto"/>
            </w:tcBorders>
            <w:vAlign w:val="center"/>
            <w:hideMark/>
          </w:tcPr>
          <w:p w14:paraId="5DEDC2E9"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6A3B0278" w14:textId="77777777" w:rsidTr="00BD023E">
        <w:trPr>
          <w:trHeight w:val="315"/>
        </w:trPr>
        <w:tc>
          <w:tcPr>
            <w:tcW w:w="2161" w:type="dxa"/>
            <w:tcBorders>
              <w:top w:val="nil"/>
              <w:left w:val="single" w:sz="4" w:space="0" w:color="auto"/>
              <w:bottom w:val="double" w:sz="6" w:space="0" w:color="auto"/>
              <w:right w:val="single" w:sz="4" w:space="0" w:color="auto"/>
            </w:tcBorders>
            <w:noWrap/>
            <w:vAlign w:val="bottom"/>
            <w:hideMark/>
          </w:tcPr>
          <w:p w14:paraId="1BF404A1"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097" w:type="dxa"/>
            <w:tcBorders>
              <w:top w:val="nil"/>
              <w:left w:val="nil"/>
              <w:bottom w:val="double" w:sz="6" w:space="0" w:color="auto"/>
              <w:right w:val="single" w:sz="4" w:space="0" w:color="auto"/>
            </w:tcBorders>
            <w:noWrap/>
            <w:vAlign w:val="bottom"/>
            <w:hideMark/>
          </w:tcPr>
          <w:p w14:paraId="7B62625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-$7.26</w:t>
            </w:r>
          </w:p>
        </w:tc>
        <w:tc>
          <w:tcPr>
            <w:tcW w:w="4194" w:type="dxa"/>
            <w:gridSpan w:val="4"/>
            <w:vMerge/>
            <w:tcBorders>
              <w:top w:val="nil"/>
              <w:left w:val="nil"/>
              <w:bottom w:val="double" w:sz="6" w:space="0" w:color="auto"/>
              <w:right w:val="single" w:sz="4" w:space="0" w:color="auto"/>
            </w:tcBorders>
            <w:vAlign w:val="center"/>
            <w:hideMark/>
          </w:tcPr>
          <w:p w14:paraId="086372E2"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74DAA289" w14:textId="77777777" w:rsidR="00C7208C" w:rsidRPr="009225E6" w:rsidRDefault="00C7208C" w:rsidP="00C7208C">
      <w:pPr>
        <w:rPr>
          <w:rFonts w:ascii="Times New Roman" w:hAnsi="Times New Roman" w:cs="Times New Roman"/>
          <w:sz w:val="24"/>
        </w:rPr>
      </w:pPr>
    </w:p>
    <w:p w14:paraId="029A6606"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Highest Discount Rate (at 20%)</w:t>
      </w:r>
    </w:p>
    <w:tbl>
      <w:tblPr>
        <w:tblW w:w="7503" w:type="dxa"/>
        <w:tblInd w:w="93" w:type="dxa"/>
        <w:tblLook w:val="04A0" w:firstRow="1" w:lastRow="0" w:firstColumn="1" w:lastColumn="0" w:noHBand="0" w:noVBand="1"/>
      </w:tblPr>
      <w:tblGrid>
        <w:gridCol w:w="2175"/>
        <w:gridCol w:w="1115"/>
        <w:gridCol w:w="835"/>
        <w:gridCol w:w="835"/>
        <w:gridCol w:w="1184"/>
        <w:gridCol w:w="1359"/>
      </w:tblGrid>
      <w:tr w:rsidR="00C7208C" w:rsidRPr="009225E6" w14:paraId="0C561963" w14:textId="77777777" w:rsidTr="00BD023E">
        <w:trPr>
          <w:trHeight w:val="289"/>
        </w:trPr>
        <w:tc>
          <w:tcPr>
            <w:tcW w:w="2175" w:type="dxa"/>
            <w:vMerge w:val="restart"/>
            <w:tcBorders>
              <w:top w:val="single" w:sz="4" w:space="0" w:color="auto"/>
              <w:left w:val="single" w:sz="4" w:space="0" w:color="auto"/>
              <w:bottom w:val="single" w:sz="4" w:space="0" w:color="000000"/>
              <w:right w:val="single" w:sz="4" w:space="0" w:color="auto"/>
            </w:tcBorders>
            <w:noWrap/>
            <w:vAlign w:val="bottom"/>
            <w:hideMark/>
          </w:tcPr>
          <w:p w14:paraId="78489838"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328" w:type="dxa"/>
            <w:gridSpan w:val="5"/>
            <w:tcBorders>
              <w:top w:val="single" w:sz="4" w:space="0" w:color="auto"/>
              <w:left w:val="nil"/>
              <w:bottom w:val="single" w:sz="4" w:space="0" w:color="auto"/>
              <w:right w:val="single" w:sz="4" w:space="0" w:color="auto"/>
            </w:tcBorders>
            <w:noWrap/>
            <w:vAlign w:val="bottom"/>
            <w:hideMark/>
          </w:tcPr>
          <w:p w14:paraId="14048459"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5B597416" w14:textId="77777777" w:rsidTr="00BD023E">
        <w:trPr>
          <w:trHeight w:val="289"/>
        </w:trPr>
        <w:tc>
          <w:tcPr>
            <w:tcW w:w="2175" w:type="dxa"/>
            <w:vMerge/>
            <w:tcBorders>
              <w:top w:val="single" w:sz="4" w:space="0" w:color="auto"/>
              <w:left w:val="single" w:sz="4" w:space="0" w:color="auto"/>
              <w:bottom w:val="single" w:sz="4" w:space="0" w:color="000000"/>
              <w:right w:val="single" w:sz="4" w:space="0" w:color="auto"/>
            </w:tcBorders>
            <w:vAlign w:val="center"/>
            <w:hideMark/>
          </w:tcPr>
          <w:p w14:paraId="5E189047"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115" w:type="dxa"/>
            <w:tcBorders>
              <w:top w:val="nil"/>
              <w:left w:val="nil"/>
              <w:bottom w:val="single" w:sz="4" w:space="0" w:color="auto"/>
              <w:right w:val="single" w:sz="4" w:space="0" w:color="auto"/>
            </w:tcBorders>
            <w:noWrap/>
            <w:vAlign w:val="bottom"/>
            <w:hideMark/>
          </w:tcPr>
          <w:p w14:paraId="6F63DF2A"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835" w:type="dxa"/>
            <w:tcBorders>
              <w:top w:val="nil"/>
              <w:left w:val="nil"/>
              <w:bottom w:val="single" w:sz="4" w:space="0" w:color="auto"/>
              <w:right w:val="single" w:sz="4" w:space="0" w:color="auto"/>
            </w:tcBorders>
            <w:noWrap/>
            <w:vAlign w:val="bottom"/>
            <w:hideMark/>
          </w:tcPr>
          <w:p w14:paraId="65753342"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835" w:type="dxa"/>
            <w:tcBorders>
              <w:top w:val="nil"/>
              <w:left w:val="nil"/>
              <w:bottom w:val="single" w:sz="4" w:space="0" w:color="auto"/>
              <w:right w:val="single" w:sz="4" w:space="0" w:color="auto"/>
            </w:tcBorders>
            <w:noWrap/>
            <w:vAlign w:val="bottom"/>
            <w:hideMark/>
          </w:tcPr>
          <w:p w14:paraId="5C3C657C"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184" w:type="dxa"/>
            <w:tcBorders>
              <w:top w:val="nil"/>
              <w:left w:val="nil"/>
              <w:bottom w:val="single" w:sz="4" w:space="0" w:color="auto"/>
              <w:right w:val="single" w:sz="4" w:space="0" w:color="auto"/>
            </w:tcBorders>
            <w:noWrap/>
            <w:vAlign w:val="bottom"/>
            <w:hideMark/>
          </w:tcPr>
          <w:p w14:paraId="140E1F37"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359" w:type="dxa"/>
            <w:tcBorders>
              <w:top w:val="nil"/>
              <w:left w:val="nil"/>
              <w:bottom w:val="single" w:sz="4" w:space="0" w:color="auto"/>
              <w:right w:val="single" w:sz="4" w:space="0" w:color="auto"/>
            </w:tcBorders>
            <w:noWrap/>
            <w:vAlign w:val="bottom"/>
            <w:hideMark/>
          </w:tcPr>
          <w:p w14:paraId="7CD03A4C"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6D397E3C" w14:textId="77777777" w:rsidTr="00BD023E">
        <w:trPr>
          <w:trHeight w:val="289"/>
        </w:trPr>
        <w:tc>
          <w:tcPr>
            <w:tcW w:w="2175" w:type="dxa"/>
            <w:vMerge/>
            <w:tcBorders>
              <w:top w:val="single" w:sz="4" w:space="0" w:color="auto"/>
              <w:left w:val="single" w:sz="4" w:space="0" w:color="auto"/>
              <w:bottom w:val="single" w:sz="4" w:space="0" w:color="000000"/>
              <w:right w:val="single" w:sz="4" w:space="0" w:color="auto"/>
            </w:tcBorders>
            <w:vAlign w:val="center"/>
            <w:hideMark/>
          </w:tcPr>
          <w:p w14:paraId="11C76136"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115" w:type="dxa"/>
            <w:tcBorders>
              <w:top w:val="nil"/>
              <w:left w:val="nil"/>
              <w:bottom w:val="single" w:sz="4" w:space="0" w:color="auto"/>
              <w:right w:val="single" w:sz="4" w:space="0" w:color="auto"/>
            </w:tcBorders>
            <w:noWrap/>
            <w:vAlign w:val="bottom"/>
            <w:hideMark/>
          </w:tcPr>
          <w:p w14:paraId="28E919B4"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835" w:type="dxa"/>
            <w:tcBorders>
              <w:top w:val="nil"/>
              <w:left w:val="nil"/>
              <w:bottom w:val="single" w:sz="4" w:space="0" w:color="auto"/>
              <w:right w:val="single" w:sz="4" w:space="0" w:color="auto"/>
            </w:tcBorders>
            <w:noWrap/>
            <w:vAlign w:val="bottom"/>
            <w:hideMark/>
          </w:tcPr>
          <w:p w14:paraId="118BD401"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835" w:type="dxa"/>
            <w:tcBorders>
              <w:top w:val="nil"/>
              <w:left w:val="nil"/>
              <w:bottom w:val="single" w:sz="4" w:space="0" w:color="auto"/>
              <w:right w:val="single" w:sz="4" w:space="0" w:color="auto"/>
            </w:tcBorders>
            <w:noWrap/>
            <w:vAlign w:val="bottom"/>
            <w:hideMark/>
          </w:tcPr>
          <w:p w14:paraId="3C50D40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184" w:type="dxa"/>
            <w:tcBorders>
              <w:top w:val="nil"/>
              <w:left w:val="nil"/>
              <w:bottom w:val="single" w:sz="4" w:space="0" w:color="auto"/>
              <w:right w:val="single" w:sz="4" w:space="0" w:color="auto"/>
            </w:tcBorders>
            <w:noWrap/>
            <w:vAlign w:val="bottom"/>
            <w:hideMark/>
          </w:tcPr>
          <w:p w14:paraId="03E2C3B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c>
          <w:tcPr>
            <w:tcW w:w="1359" w:type="dxa"/>
            <w:tcBorders>
              <w:top w:val="nil"/>
              <w:left w:val="nil"/>
              <w:bottom w:val="single" w:sz="4" w:space="0" w:color="auto"/>
              <w:right w:val="single" w:sz="4" w:space="0" w:color="auto"/>
            </w:tcBorders>
            <w:noWrap/>
            <w:vAlign w:val="bottom"/>
            <w:hideMark/>
          </w:tcPr>
          <w:p w14:paraId="2D7B460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£6.00</w:t>
            </w:r>
          </w:p>
        </w:tc>
      </w:tr>
      <w:tr w:rsidR="00C7208C" w:rsidRPr="009225E6" w14:paraId="35C2D137" w14:textId="77777777" w:rsidTr="00BD023E">
        <w:trPr>
          <w:trHeight w:val="289"/>
        </w:trPr>
        <w:tc>
          <w:tcPr>
            <w:tcW w:w="2175" w:type="dxa"/>
            <w:tcBorders>
              <w:top w:val="nil"/>
              <w:left w:val="single" w:sz="4" w:space="0" w:color="auto"/>
              <w:bottom w:val="single" w:sz="4" w:space="0" w:color="auto"/>
              <w:right w:val="single" w:sz="4" w:space="0" w:color="auto"/>
            </w:tcBorders>
            <w:noWrap/>
            <w:vAlign w:val="bottom"/>
            <w:hideMark/>
          </w:tcPr>
          <w:p w14:paraId="51ACB6E3"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115" w:type="dxa"/>
            <w:tcBorders>
              <w:top w:val="nil"/>
              <w:left w:val="nil"/>
              <w:bottom w:val="single" w:sz="4" w:space="0" w:color="auto"/>
              <w:right w:val="single" w:sz="4" w:space="0" w:color="auto"/>
            </w:tcBorders>
            <w:noWrap/>
            <w:vAlign w:val="bottom"/>
            <w:hideMark/>
          </w:tcPr>
          <w:p w14:paraId="69F0FC4D" w14:textId="77777777" w:rsidR="00C7208C" w:rsidRPr="009225E6" w:rsidRDefault="00C7208C" w:rsidP="00BD023E">
            <w:pPr>
              <w:jc w:val="right"/>
              <w:rPr>
                <w:rFonts w:ascii="Times New Roman" w:hAnsi="Times New Roman" w:cs="Times New Roman"/>
                <w:color w:val="000000"/>
              </w:rPr>
            </w:pPr>
            <w:r w:rsidRPr="009225E6">
              <w:rPr>
                <w:rFonts w:ascii="Times New Roman" w:hAnsi="Times New Roman" w:cs="Times New Roman"/>
                <w:color w:val="000000"/>
              </w:rPr>
              <w:t>20%</w:t>
            </w:r>
          </w:p>
        </w:tc>
        <w:tc>
          <w:tcPr>
            <w:tcW w:w="835" w:type="dxa"/>
            <w:tcBorders>
              <w:top w:val="nil"/>
              <w:left w:val="nil"/>
              <w:bottom w:val="single" w:sz="4" w:space="0" w:color="auto"/>
              <w:right w:val="single" w:sz="4" w:space="0" w:color="auto"/>
            </w:tcBorders>
            <w:noWrap/>
            <w:vAlign w:val="bottom"/>
            <w:hideMark/>
          </w:tcPr>
          <w:p w14:paraId="5D0C0E02" w14:textId="77777777" w:rsidR="00C7208C" w:rsidRPr="009225E6" w:rsidRDefault="00C7208C" w:rsidP="00BD023E">
            <w:pPr>
              <w:jc w:val="right"/>
              <w:rPr>
                <w:rFonts w:ascii="Times New Roman" w:hAnsi="Times New Roman" w:cs="Times New Roman"/>
                <w:color w:val="000000"/>
              </w:rPr>
            </w:pPr>
            <w:r w:rsidRPr="009225E6">
              <w:rPr>
                <w:rFonts w:ascii="Times New Roman" w:hAnsi="Times New Roman" w:cs="Times New Roman"/>
                <w:color w:val="000000"/>
              </w:rPr>
              <w:t>20%</w:t>
            </w:r>
          </w:p>
        </w:tc>
        <w:tc>
          <w:tcPr>
            <w:tcW w:w="835" w:type="dxa"/>
            <w:tcBorders>
              <w:top w:val="nil"/>
              <w:left w:val="nil"/>
              <w:bottom w:val="single" w:sz="4" w:space="0" w:color="auto"/>
              <w:right w:val="single" w:sz="4" w:space="0" w:color="auto"/>
            </w:tcBorders>
            <w:noWrap/>
            <w:vAlign w:val="bottom"/>
            <w:hideMark/>
          </w:tcPr>
          <w:p w14:paraId="32823C1E" w14:textId="77777777" w:rsidR="00C7208C" w:rsidRPr="009225E6" w:rsidRDefault="00C7208C" w:rsidP="00BD023E">
            <w:pPr>
              <w:jc w:val="right"/>
              <w:rPr>
                <w:rFonts w:ascii="Times New Roman" w:hAnsi="Times New Roman" w:cs="Times New Roman"/>
                <w:color w:val="000000"/>
              </w:rPr>
            </w:pPr>
            <w:r w:rsidRPr="009225E6">
              <w:rPr>
                <w:rFonts w:ascii="Times New Roman" w:hAnsi="Times New Roman" w:cs="Times New Roman"/>
                <w:color w:val="000000"/>
              </w:rPr>
              <w:t>20%</w:t>
            </w:r>
          </w:p>
        </w:tc>
        <w:tc>
          <w:tcPr>
            <w:tcW w:w="1184" w:type="dxa"/>
            <w:tcBorders>
              <w:top w:val="nil"/>
              <w:left w:val="nil"/>
              <w:bottom w:val="single" w:sz="4" w:space="0" w:color="auto"/>
              <w:right w:val="single" w:sz="4" w:space="0" w:color="auto"/>
            </w:tcBorders>
            <w:noWrap/>
            <w:vAlign w:val="bottom"/>
            <w:hideMark/>
          </w:tcPr>
          <w:p w14:paraId="49491920" w14:textId="77777777" w:rsidR="00C7208C" w:rsidRPr="009225E6" w:rsidRDefault="00C7208C" w:rsidP="00BD023E">
            <w:pPr>
              <w:jc w:val="right"/>
              <w:rPr>
                <w:rFonts w:ascii="Times New Roman" w:hAnsi="Times New Roman" w:cs="Times New Roman"/>
                <w:color w:val="000000"/>
              </w:rPr>
            </w:pPr>
            <w:r w:rsidRPr="009225E6">
              <w:rPr>
                <w:rFonts w:ascii="Times New Roman" w:hAnsi="Times New Roman" w:cs="Times New Roman"/>
                <w:color w:val="000000"/>
              </w:rPr>
              <w:t>20%</w:t>
            </w:r>
          </w:p>
        </w:tc>
        <w:tc>
          <w:tcPr>
            <w:tcW w:w="1359" w:type="dxa"/>
            <w:tcBorders>
              <w:top w:val="nil"/>
              <w:left w:val="nil"/>
              <w:bottom w:val="single" w:sz="4" w:space="0" w:color="auto"/>
              <w:right w:val="single" w:sz="4" w:space="0" w:color="auto"/>
            </w:tcBorders>
            <w:noWrap/>
            <w:vAlign w:val="bottom"/>
            <w:hideMark/>
          </w:tcPr>
          <w:p w14:paraId="1455AC61" w14:textId="77777777" w:rsidR="00C7208C" w:rsidRPr="009225E6" w:rsidRDefault="00C7208C" w:rsidP="00BD023E">
            <w:pPr>
              <w:jc w:val="right"/>
              <w:rPr>
                <w:rFonts w:ascii="Times New Roman" w:hAnsi="Times New Roman" w:cs="Times New Roman"/>
                <w:color w:val="000000"/>
              </w:rPr>
            </w:pPr>
            <w:r w:rsidRPr="009225E6">
              <w:rPr>
                <w:rFonts w:ascii="Times New Roman" w:hAnsi="Times New Roman" w:cs="Times New Roman"/>
                <w:color w:val="000000"/>
              </w:rPr>
              <w:t>20%</w:t>
            </w:r>
          </w:p>
        </w:tc>
      </w:tr>
      <w:tr w:rsidR="00C7208C" w:rsidRPr="009225E6" w14:paraId="65728F24" w14:textId="77777777" w:rsidTr="00BD023E">
        <w:trPr>
          <w:trHeight w:val="289"/>
        </w:trPr>
        <w:tc>
          <w:tcPr>
            <w:tcW w:w="2175" w:type="dxa"/>
            <w:tcBorders>
              <w:top w:val="nil"/>
              <w:left w:val="single" w:sz="4" w:space="0" w:color="auto"/>
              <w:bottom w:val="single" w:sz="4" w:space="0" w:color="auto"/>
              <w:right w:val="single" w:sz="4" w:space="0" w:color="auto"/>
            </w:tcBorders>
            <w:noWrap/>
            <w:vAlign w:val="bottom"/>
            <w:hideMark/>
          </w:tcPr>
          <w:p w14:paraId="0DE10BDE"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115" w:type="dxa"/>
            <w:tcBorders>
              <w:top w:val="nil"/>
              <w:left w:val="nil"/>
              <w:bottom w:val="single" w:sz="4" w:space="0" w:color="auto"/>
              <w:right w:val="single" w:sz="4" w:space="0" w:color="auto"/>
            </w:tcBorders>
            <w:noWrap/>
            <w:vAlign w:val="bottom"/>
            <w:hideMark/>
          </w:tcPr>
          <w:p w14:paraId="0D90F1C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2.1</w:t>
            </w:r>
          </w:p>
        </w:tc>
        <w:tc>
          <w:tcPr>
            <w:tcW w:w="835" w:type="dxa"/>
            <w:tcBorders>
              <w:top w:val="nil"/>
              <w:left w:val="nil"/>
              <w:bottom w:val="single" w:sz="4" w:space="0" w:color="auto"/>
              <w:right w:val="single" w:sz="4" w:space="0" w:color="auto"/>
            </w:tcBorders>
            <w:noWrap/>
            <w:vAlign w:val="bottom"/>
            <w:hideMark/>
          </w:tcPr>
          <w:p w14:paraId="0C99417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4.41</w:t>
            </w:r>
          </w:p>
        </w:tc>
        <w:tc>
          <w:tcPr>
            <w:tcW w:w="835" w:type="dxa"/>
            <w:tcBorders>
              <w:top w:val="nil"/>
              <w:left w:val="nil"/>
              <w:bottom w:val="single" w:sz="4" w:space="0" w:color="auto"/>
              <w:right w:val="single" w:sz="4" w:space="0" w:color="auto"/>
            </w:tcBorders>
            <w:noWrap/>
            <w:vAlign w:val="bottom"/>
            <w:hideMark/>
          </w:tcPr>
          <w:p w14:paraId="6E71D6C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9.261</w:t>
            </w:r>
          </w:p>
        </w:tc>
        <w:tc>
          <w:tcPr>
            <w:tcW w:w="1184" w:type="dxa"/>
            <w:tcBorders>
              <w:top w:val="nil"/>
              <w:left w:val="nil"/>
              <w:bottom w:val="single" w:sz="4" w:space="0" w:color="auto"/>
              <w:right w:val="single" w:sz="4" w:space="0" w:color="auto"/>
            </w:tcBorders>
            <w:noWrap/>
            <w:vAlign w:val="bottom"/>
            <w:hideMark/>
          </w:tcPr>
          <w:p w14:paraId="2048D0D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19.4481</w:t>
            </w:r>
          </w:p>
        </w:tc>
        <w:tc>
          <w:tcPr>
            <w:tcW w:w="1359" w:type="dxa"/>
            <w:tcBorders>
              <w:top w:val="nil"/>
              <w:left w:val="nil"/>
              <w:bottom w:val="single" w:sz="4" w:space="0" w:color="auto"/>
              <w:right w:val="single" w:sz="4" w:space="0" w:color="auto"/>
            </w:tcBorders>
            <w:noWrap/>
            <w:vAlign w:val="bottom"/>
            <w:hideMark/>
          </w:tcPr>
          <w:p w14:paraId="248034B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40.84101</w:t>
            </w:r>
          </w:p>
        </w:tc>
      </w:tr>
      <w:tr w:rsidR="00C7208C" w:rsidRPr="009225E6" w14:paraId="52E3B71F" w14:textId="77777777" w:rsidTr="00BD023E">
        <w:trPr>
          <w:trHeight w:val="289"/>
        </w:trPr>
        <w:tc>
          <w:tcPr>
            <w:tcW w:w="2175" w:type="dxa"/>
            <w:tcBorders>
              <w:top w:val="nil"/>
              <w:left w:val="single" w:sz="4" w:space="0" w:color="auto"/>
              <w:bottom w:val="nil"/>
              <w:right w:val="single" w:sz="4" w:space="0" w:color="auto"/>
            </w:tcBorders>
            <w:noWrap/>
            <w:vAlign w:val="bottom"/>
            <w:hideMark/>
          </w:tcPr>
          <w:p w14:paraId="76EA494B"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115" w:type="dxa"/>
            <w:tcBorders>
              <w:top w:val="nil"/>
              <w:left w:val="nil"/>
              <w:bottom w:val="nil"/>
              <w:right w:val="single" w:sz="4" w:space="0" w:color="auto"/>
            </w:tcBorders>
            <w:noWrap/>
            <w:vAlign w:val="bottom"/>
            <w:hideMark/>
          </w:tcPr>
          <w:p w14:paraId="150AADB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$2.86</w:t>
            </w:r>
          </w:p>
        </w:tc>
        <w:tc>
          <w:tcPr>
            <w:tcW w:w="835" w:type="dxa"/>
            <w:tcBorders>
              <w:top w:val="nil"/>
              <w:left w:val="nil"/>
              <w:bottom w:val="nil"/>
              <w:right w:val="single" w:sz="4" w:space="0" w:color="auto"/>
            </w:tcBorders>
            <w:noWrap/>
            <w:vAlign w:val="bottom"/>
            <w:hideMark/>
          </w:tcPr>
          <w:p w14:paraId="55B64B6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$1.36</w:t>
            </w:r>
          </w:p>
        </w:tc>
        <w:tc>
          <w:tcPr>
            <w:tcW w:w="835" w:type="dxa"/>
            <w:tcBorders>
              <w:top w:val="nil"/>
              <w:left w:val="nil"/>
              <w:bottom w:val="nil"/>
              <w:right w:val="single" w:sz="4" w:space="0" w:color="auto"/>
            </w:tcBorders>
            <w:noWrap/>
            <w:vAlign w:val="bottom"/>
            <w:hideMark/>
          </w:tcPr>
          <w:p w14:paraId="4D784C3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$0.65</w:t>
            </w:r>
          </w:p>
        </w:tc>
        <w:tc>
          <w:tcPr>
            <w:tcW w:w="1184" w:type="dxa"/>
            <w:tcBorders>
              <w:top w:val="nil"/>
              <w:left w:val="nil"/>
              <w:bottom w:val="nil"/>
              <w:right w:val="single" w:sz="4" w:space="0" w:color="auto"/>
            </w:tcBorders>
            <w:noWrap/>
            <w:vAlign w:val="bottom"/>
            <w:hideMark/>
          </w:tcPr>
          <w:p w14:paraId="1B0FEB7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$0.31</w:t>
            </w:r>
          </w:p>
        </w:tc>
        <w:tc>
          <w:tcPr>
            <w:tcW w:w="1359" w:type="dxa"/>
            <w:tcBorders>
              <w:top w:val="nil"/>
              <w:left w:val="nil"/>
              <w:bottom w:val="nil"/>
              <w:right w:val="single" w:sz="4" w:space="0" w:color="auto"/>
            </w:tcBorders>
            <w:noWrap/>
            <w:vAlign w:val="bottom"/>
            <w:hideMark/>
          </w:tcPr>
          <w:p w14:paraId="4CC8EAC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$0.15</w:t>
            </w:r>
          </w:p>
        </w:tc>
      </w:tr>
      <w:tr w:rsidR="00C7208C" w:rsidRPr="009225E6" w14:paraId="07EA1ABD" w14:textId="77777777" w:rsidTr="00BD023E">
        <w:trPr>
          <w:trHeight w:val="289"/>
        </w:trPr>
        <w:tc>
          <w:tcPr>
            <w:tcW w:w="2175" w:type="dxa"/>
            <w:tcBorders>
              <w:top w:val="single" w:sz="4" w:space="0" w:color="auto"/>
              <w:left w:val="single" w:sz="4" w:space="0" w:color="auto"/>
              <w:bottom w:val="single" w:sz="4" w:space="0" w:color="auto"/>
              <w:right w:val="single" w:sz="4" w:space="0" w:color="auto"/>
            </w:tcBorders>
            <w:noWrap/>
            <w:vAlign w:val="bottom"/>
            <w:hideMark/>
          </w:tcPr>
          <w:p w14:paraId="04F51082"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115" w:type="dxa"/>
            <w:tcBorders>
              <w:top w:val="single" w:sz="4" w:space="0" w:color="auto"/>
              <w:left w:val="nil"/>
              <w:bottom w:val="single" w:sz="4" w:space="0" w:color="auto"/>
              <w:right w:val="single" w:sz="4" w:space="0" w:color="auto"/>
            </w:tcBorders>
            <w:noWrap/>
            <w:vAlign w:val="bottom"/>
            <w:hideMark/>
          </w:tcPr>
          <w:p w14:paraId="4887027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$5.32</w:t>
            </w:r>
          </w:p>
        </w:tc>
        <w:tc>
          <w:tcPr>
            <w:tcW w:w="4213" w:type="dxa"/>
            <w:gridSpan w:val="4"/>
            <w:vMerge w:val="restart"/>
            <w:tcBorders>
              <w:top w:val="single" w:sz="4" w:space="0" w:color="auto"/>
              <w:left w:val="single" w:sz="4" w:space="0" w:color="auto"/>
              <w:bottom w:val="double" w:sz="6" w:space="0" w:color="000000"/>
              <w:right w:val="single" w:sz="4" w:space="0" w:color="000000"/>
            </w:tcBorders>
            <w:hideMark/>
          </w:tcPr>
          <w:p w14:paraId="7E75CA98"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40D1FFC0" w14:textId="77777777" w:rsidTr="00BD023E">
        <w:trPr>
          <w:trHeight w:val="289"/>
        </w:trPr>
        <w:tc>
          <w:tcPr>
            <w:tcW w:w="2175" w:type="dxa"/>
            <w:tcBorders>
              <w:top w:val="nil"/>
              <w:left w:val="single" w:sz="4" w:space="0" w:color="auto"/>
              <w:bottom w:val="single" w:sz="4" w:space="0" w:color="auto"/>
              <w:right w:val="single" w:sz="4" w:space="0" w:color="auto"/>
            </w:tcBorders>
            <w:noWrap/>
            <w:vAlign w:val="bottom"/>
            <w:hideMark/>
          </w:tcPr>
          <w:p w14:paraId="3B107F5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115" w:type="dxa"/>
            <w:tcBorders>
              <w:top w:val="nil"/>
              <w:left w:val="nil"/>
              <w:bottom w:val="single" w:sz="4" w:space="0" w:color="auto"/>
              <w:right w:val="single" w:sz="4" w:space="0" w:color="auto"/>
            </w:tcBorders>
            <w:noWrap/>
            <w:vAlign w:val="bottom"/>
            <w:hideMark/>
          </w:tcPr>
          <w:p w14:paraId="02F19BF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$30.00</w:t>
            </w:r>
          </w:p>
        </w:tc>
        <w:tc>
          <w:tcPr>
            <w:tcW w:w="4213" w:type="dxa"/>
            <w:gridSpan w:val="4"/>
            <w:vMerge/>
            <w:tcBorders>
              <w:top w:val="nil"/>
              <w:left w:val="nil"/>
              <w:bottom w:val="single" w:sz="4" w:space="0" w:color="auto"/>
              <w:right w:val="single" w:sz="4" w:space="0" w:color="auto"/>
            </w:tcBorders>
            <w:vAlign w:val="center"/>
            <w:hideMark/>
          </w:tcPr>
          <w:p w14:paraId="09F96CDD"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147DEA6A" w14:textId="77777777" w:rsidTr="00BD023E">
        <w:trPr>
          <w:trHeight w:val="304"/>
        </w:trPr>
        <w:tc>
          <w:tcPr>
            <w:tcW w:w="2175" w:type="dxa"/>
            <w:tcBorders>
              <w:top w:val="nil"/>
              <w:left w:val="single" w:sz="4" w:space="0" w:color="auto"/>
              <w:bottom w:val="double" w:sz="6" w:space="0" w:color="auto"/>
              <w:right w:val="single" w:sz="4" w:space="0" w:color="auto"/>
            </w:tcBorders>
            <w:noWrap/>
            <w:vAlign w:val="bottom"/>
            <w:hideMark/>
          </w:tcPr>
          <w:p w14:paraId="534D52B0"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115" w:type="dxa"/>
            <w:tcBorders>
              <w:top w:val="nil"/>
              <w:left w:val="nil"/>
              <w:bottom w:val="double" w:sz="6" w:space="0" w:color="auto"/>
              <w:right w:val="single" w:sz="4" w:space="0" w:color="auto"/>
            </w:tcBorders>
            <w:noWrap/>
            <w:vAlign w:val="bottom"/>
            <w:hideMark/>
          </w:tcPr>
          <w:p w14:paraId="586A14B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-$24.68</w:t>
            </w:r>
          </w:p>
        </w:tc>
        <w:tc>
          <w:tcPr>
            <w:tcW w:w="4213" w:type="dxa"/>
            <w:gridSpan w:val="4"/>
            <w:vMerge/>
            <w:tcBorders>
              <w:top w:val="nil"/>
              <w:left w:val="nil"/>
              <w:bottom w:val="double" w:sz="6" w:space="0" w:color="auto"/>
              <w:right w:val="single" w:sz="4" w:space="0" w:color="auto"/>
            </w:tcBorders>
            <w:vAlign w:val="center"/>
            <w:hideMark/>
          </w:tcPr>
          <w:p w14:paraId="78A95DBC"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3D969463"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 xml:space="preserve"> </w:t>
      </w:r>
    </w:p>
    <w:p w14:paraId="54C7766D"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 xml:space="preserve">IRR =Ra+ </m:t>
          </m:r>
          <m:f>
            <m:fPr>
              <m:ctrlPr>
                <w:rPr>
                  <w:rFonts w:ascii="Cambria Math" w:hAnsi="Cambria Math" w:cs="Times New Roman"/>
                  <w:sz w:val="24"/>
                </w:rPr>
              </m:ctrlPr>
            </m:fPr>
            <m:num>
              <m:r>
                <w:rPr>
                  <w:rFonts w:ascii="Cambria Math" w:hAnsi="Cambria Math" w:cs="Times New Roman"/>
                  <w:sz w:val="24"/>
                </w:rPr>
                <m:t>NPVa</m:t>
              </m:r>
            </m:num>
            <m:den>
              <m:r>
                <w:rPr>
                  <w:rFonts w:ascii="Cambria Math" w:hAnsi="Cambria Math" w:cs="Times New Roman"/>
                  <w:sz w:val="24"/>
                </w:rPr>
                <m:t>NPVa-NPVb</m:t>
              </m:r>
            </m:den>
          </m:f>
          <m:r>
            <w:rPr>
              <w:rFonts w:ascii="Cambria Math" w:hAnsi="Cambria Math" w:cs="Times New Roman"/>
              <w:sz w:val="24"/>
            </w:rPr>
            <m:t xml:space="preserve"> x (Rb-Ra)</m:t>
          </m:r>
        </m:oMath>
      </m:oMathPara>
    </w:p>
    <w:p w14:paraId="031712FC" w14:textId="77777777" w:rsidR="00C7208C" w:rsidRPr="009225E6" w:rsidRDefault="00C7208C" w:rsidP="00C7208C">
      <w:pPr>
        <w:rPr>
          <w:rFonts w:ascii="Times New Roman" w:eastAsiaTheme="minorEastAsia" w:hAnsi="Times New Roman" w:cs="Times New Roman"/>
          <w:sz w:val="24"/>
        </w:rPr>
      </w:pPr>
      <w:r w:rsidRPr="009225E6">
        <w:rPr>
          <w:rFonts w:ascii="Times New Roman" w:hAnsi="Times New Roman" w:cs="Times New Roman"/>
          <w:sz w:val="24"/>
        </w:rPr>
        <w:t xml:space="preserve"> </w:t>
      </w:r>
      <m:oMath>
        <m:r>
          <m:rPr>
            <m:sty m:val="p"/>
          </m:rPr>
          <w:rPr>
            <w:rFonts w:ascii="Cambria Math" w:hAnsi="Cambria Math" w:cs="Times New Roman"/>
            <w:sz w:val="24"/>
          </w:rPr>
          <w:br/>
        </m:r>
      </m:oMath>
      <m:oMathPara>
        <m:oMathParaPr>
          <m:jc m:val="left"/>
        </m:oMathParaPr>
        <m:oMath>
          <m:r>
            <m:rPr>
              <m:sty m:val="p"/>
            </m:rPr>
            <w:rPr>
              <w:rFonts w:ascii="Cambria Math" w:hAnsi="Cambria Math" w:cs="Times New Roman"/>
              <w:sz w:val="24"/>
            </w:rPr>
            <m:t xml:space="preserve">IRR =0.1+ </m:t>
          </m:r>
          <m:f>
            <m:fPr>
              <m:ctrlPr>
                <w:rPr>
                  <w:rFonts w:ascii="Cambria Math" w:hAnsi="Cambria Math" w:cs="Times New Roman"/>
                  <w:sz w:val="24"/>
                </w:rPr>
              </m:ctrlPr>
            </m:fPr>
            <m:num>
              <m:r>
                <w:rPr>
                  <w:rFonts w:ascii="Cambria Math" w:hAnsi="Cambria Math" w:cs="Times New Roman"/>
                  <w:sz w:val="24"/>
                </w:rPr>
                <m:t>-7.26</m:t>
              </m:r>
            </m:num>
            <m:den>
              <m:r>
                <w:rPr>
                  <w:rFonts w:ascii="Cambria Math" w:hAnsi="Cambria Math" w:cs="Times New Roman"/>
                  <w:sz w:val="24"/>
                </w:rPr>
                <m:t>-7.26-(-24.68)</m:t>
              </m:r>
            </m:den>
          </m:f>
          <m:r>
            <w:rPr>
              <w:rFonts w:ascii="Cambria Math" w:hAnsi="Cambria Math" w:cs="Times New Roman"/>
              <w:sz w:val="24"/>
            </w:rPr>
            <m:t xml:space="preserve"> x (0.2-0.1)</m:t>
          </m:r>
        </m:oMath>
      </m:oMathPara>
    </w:p>
    <w:p w14:paraId="274009CB"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 xml:space="preserve">IRR =0.1+ </m:t>
          </m:r>
          <m:f>
            <m:fPr>
              <m:ctrlPr>
                <w:rPr>
                  <w:rFonts w:ascii="Cambria Math" w:hAnsi="Cambria Math" w:cs="Times New Roman"/>
                  <w:sz w:val="24"/>
                </w:rPr>
              </m:ctrlPr>
            </m:fPr>
            <m:num>
              <m:r>
                <w:rPr>
                  <w:rFonts w:ascii="Cambria Math" w:hAnsi="Cambria Math" w:cs="Times New Roman"/>
                  <w:sz w:val="24"/>
                </w:rPr>
                <m:t>-7.26</m:t>
              </m:r>
            </m:num>
            <m:den>
              <m:r>
                <w:rPr>
                  <w:rFonts w:ascii="Cambria Math" w:hAnsi="Cambria Math" w:cs="Times New Roman"/>
                  <w:sz w:val="24"/>
                </w:rPr>
                <m:t>17.42</m:t>
              </m:r>
            </m:den>
          </m:f>
          <m:r>
            <w:rPr>
              <w:rFonts w:ascii="Cambria Math" w:hAnsi="Cambria Math" w:cs="Times New Roman"/>
              <w:sz w:val="24"/>
            </w:rPr>
            <m:t xml:space="preserve"> x (0.1)</m:t>
          </m:r>
        </m:oMath>
      </m:oMathPara>
    </w:p>
    <w:p w14:paraId="5EC465B9"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w:lastRenderedPageBreak/>
            <m:t>IRR =0.1+</m:t>
          </m:r>
          <m:r>
            <w:rPr>
              <w:rFonts w:ascii="Cambria Math" w:hAnsi="Cambria Math" w:cs="Times New Roman"/>
              <w:sz w:val="24"/>
            </w:rPr>
            <m:t>(-0.417) x (0.1)</m:t>
          </m:r>
        </m:oMath>
      </m:oMathPara>
    </w:p>
    <w:p w14:paraId="2F7F44CC"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=0.1+</m:t>
          </m:r>
          <m:r>
            <w:rPr>
              <w:rFonts w:ascii="Cambria Math" w:hAnsi="Cambria Math" w:cs="Times New Roman"/>
              <w:sz w:val="24"/>
            </w:rPr>
            <m:t>0.0417</m:t>
          </m:r>
        </m:oMath>
      </m:oMathPara>
    </w:p>
    <w:p w14:paraId="407F10BD"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m:t>
          </m:r>
          <m:r>
            <w:rPr>
              <w:rFonts w:ascii="Cambria Math" w:hAnsi="Cambria Math" w:cs="Times New Roman"/>
              <w:sz w:val="24"/>
            </w:rPr>
            <m:t>0.1046</m:t>
          </m:r>
        </m:oMath>
      </m:oMathPara>
    </w:p>
    <w:p w14:paraId="65B1F933"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m:t>
          </m:r>
          <m:r>
            <w:rPr>
              <w:rFonts w:ascii="Cambria Math" w:hAnsi="Cambria Math" w:cs="Times New Roman"/>
              <w:sz w:val="24"/>
            </w:rPr>
            <m:t>14%</m:t>
          </m:r>
        </m:oMath>
      </m:oMathPara>
    </w:p>
    <w:p w14:paraId="77B211DC" w14:textId="77777777" w:rsidR="00C7208C" w:rsidRPr="009225E6" w:rsidRDefault="00C7208C" w:rsidP="00C7208C">
      <w:pPr>
        <w:rPr>
          <w:rFonts w:ascii="Times New Roman" w:hAnsi="Times New Roman" w:cs="Times New Roman"/>
          <w:sz w:val="24"/>
        </w:rPr>
      </w:pPr>
    </w:p>
    <w:p w14:paraId="05641A30"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Project C</w:t>
      </w:r>
    </w:p>
    <w:p w14:paraId="6C4D6140"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Lowest Discount Rate (at 10%)</w:t>
      </w:r>
    </w:p>
    <w:tbl>
      <w:tblPr>
        <w:tblW w:w="7856" w:type="dxa"/>
        <w:tblInd w:w="93" w:type="dxa"/>
        <w:tblLook w:val="04A0" w:firstRow="1" w:lastRow="0" w:firstColumn="1" w:lastColumn="0" w:noHBand="0" w:noVBand="1"/>
      </w:tblPr>
      <w:tblGrid>
        <w:gridCol w:w="2278"/>
        <w:gridCol w:w="1078"/>
        <w:gridCol w:w="1078"/>
        <w:gridCol w:w="1078"/>
        <w:gridCol w:w="1078"/>
        <w:gridCol w:w="1266"/>
      </w:tblGrid>
      <w:tr w:rsidR="00C7208C" w:rsidRPr="009225E6" w14:paraId="4197FA3A" w14:textId="77777777" w:rsidTr="00BD023E">
        <w:trPr>
          <w:trHeight w:val="291"/>
        </w:trPr>
        <w:tc>
          <w:tcPr>
            <w:tcW w:w="2278" w:type="dxa"/>
            <w:vMerge w:val="restart"/>
            <w:tcBorders>
              <w:top w:val="single" w:sz="4" w:space="0" w:color="auto"/>
              <w:left w:val="single" w:sz="4" w:space="0" w:color="auto"/>
              <w:bottom w:val="single" w:sz="4" w:space="0" w:color="000000"/>
              <w:right w:val="single" w:sz="4" w:space="0" w:color="auto"/>
            </w:tcBorders>
            <w:noWrap/>
            <w:vAlign w:val="bottom"/>
            <w:hideMark/>
          </w:tcPr>
          <w:p w14:paraId="6F98CED5"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578" w:type="dxa"/>
            <w:gridSpan w:val="5"/>
            <w:tcBorders>
              <w:top w:val="single" w:sz="4" w:space="0" w:color="auto"/>
              <w:left w:val="nil"/>
              <w:bottom w:val="single" w:sz="4" w:space="0" w:color="auto"/>
              <w:right w:val="single" w:sz="4" w:space="0" w:color="auto"/>
            </w:tcBorders>
            <w:noWrap/>
            <w:vAlign w:val="bottom"/>
            <w:hideMark/>
          </w:tcPr>
          <w:p w14:paraId="5443A183"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062A8DF5" w14:textId="77777777" w:rsidTr="00BD023E">
        <w:trPr>
          <w:trHeight w:val="291"/>
        </w:trPr>
        <w:tc>
          <w:tcPr>
            <w:tcW w:w="2278" w:type="dxa"/>
            <w:vMerge/>
            <w:tcBorders>
              <w:top w:val="single" w:sz="4" w:space="0" w:color="auto"/>
              <w:left w:val="single" w:sz="4" w:space="0" w:color="auto"/>
              <w:bottom w:val="single" w:sz="4" w:space="0" w:color="000000"/>
              <w:right w:val="single" w:sz="4" w:space="0" w:color="auto"/>
            </w:tcBorders>
            <w:vAlign w:val="center"/>
            <w:hideMark/>
          </w:tcPr>
          <w:p w14:paraId="7E676287"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78" w:type="dxa"/>
            <w:tcBorders>
              <w:top w:val="nil"/>
              <w:left w:val="nil"/>
              <w:bottom w:val="single" w:sz="4" w:space="0" w:color="auto"/>
              <w:right w:val="single" w:sz="4" w:space="0" w:color="auto"/>
            </w:tcBorders>
            <w:noWrap/>
            <w:vAlign w:val="bottom"/>
            <w:hideMark/>
          </w:tcPr>
          <w:p w14:paraId="5F3BBE9E"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1078" w:type="dxa"/>
            <w:tcBorders>
              <w:top w:val="nil"/>
              <w:left w:val="nil"/>
              <w:bottom w:val="single" w:sz="4" w:space="0" w:color="auto"/>
              <w:right w:val="single" w:sz="4" w:space="0" w:color="auto"/>
            </w:tcBorders>
            <w:noWrap/>
            <w:vAlign w:val="bottom"/>
            <w:hideMark/>
          </w:tcPr>
          <w:p w14:paraId="120C8AB1"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1078" w:type="dxa"/>
            <w:tcBorders>
              <w:top w:val="nil"/>
              <w:left w:val="nil"/>
              <w:bottom w:val="single" w:sz="4" w:space="0" w:color="auto"/>
              <w:right w:val="single" w:sz="4" w:space="0" w:color="auto"/>
            </w:tcBorders>
            <w:noWrap/>
            <w:vAlign w:val="bottom"/>
            <w:hideMark/>
          </w:tcPr>
          <w:p w14:paraId="0631733C"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078" w:type="dxa"/>
            <w:tcBorders>
              <w:top w:val="nil"/>
              <w:left w:val="nil"/>
              <w:bottom w:val="single" w:sz="4" w:space="0" w:color="auto"/>
              <w:right w:val="single" w:sz="4" w:space="0" w:color="auto"/>
            </w:tcBorders>
            <w:noWrap/>
            <w:vAlign w:val="bottom"/>
            <w:hideMark/>
          </w:tcPr>
          <w:p w14:paraId="321E6A7D"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264" w:type="dxa"/>
            <w:tcBorders>
              <w:top w:val="nil"/>
              <w:left w:val="nil"/>
              <w:bottom w:val="single" w:sz="4" w:space="0" w:color="auto"/>
              <w:right w:val="single" w:sz="4" w:space="0" w:color="auto"/>
            </w:tcBorders>
            <w:noWrap/>
            <w:vAlign w:val="bottom"/>
            <w:hideMark/>
          </w:tcPr>
          <w:p w14:paraId="53E7FEE6"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6DEFA761" w14:textId="77777777" w:rsidTr="00BD023E">
        <w:trPr>
          <w:trHeight w:val="291"/>
        </w:trPr>
        <w:tc>
          <w:tcPr>
            <w:tcW w:w="2278" w:type="dxa"/>
            <w:vMerge/>
            <w:tcBorders>
              <w:top w:val="single" w:sz="4" w:space="0" w:color="auto"/>
              <w:left w:val="single" w:sz="4" w:space="0" w:color="auto"/>
              <w:bottom w:val="single" w:sz="4" w:space="0" w:color="000000"/>
              <w:right w:val="single" w:sz="4" w:space="0" w:color="auto"/>
            </w:tcBorders>
            <w:vAlign w:val="center"/>
            <w:hideMark/>
          </w:tcPr>
          <w:p w14:paraId="29949FA9"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78" w:type="dxa"/>
            <w:tcBorders>
              <w:top w:val="nil"/>
              <w:left w:val="nil"/>
              <w:bottom w:val="single" w:sz="4" w:space="0" w:color="auto"/>
              <w:right w:val="single" w:sz="4" w:space="0" w:color="auto"/>
            </w:tcBorders>
            <w:noWrap/>
            <w:vAlign w:val="bottom"/>
            <w:hideMark/>
          </w:tcPr>
          <w:p w14:paraId="45BDDDF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w:t>
            </w:r>
          </w:p>
        </w:tc>
        <w:tc>
          <w:tcPr>
            <w:tcW w:w="1078" w:type="dxa"/>
            <w:tcBorders>
              <w:top w:val="nil"/>
              <w:left w:val="nil"/>
              <w:bottom w:val="single" w:sz="4" w:space="0" w:color="auto"/>
              <w:right w:val="single" w:sz="4" w:space="0" w:color="auto"/>
            </w:tcBorders>
            <w:noWrap/>
            <w:vAlign w:val="bottom"/>
            <w:hideMark/>
          </w:tcPr>
          <w:p w14:paraId="1FF89F0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1078" w:type="dxa"/>
            <w:tcBorders>
              <w:top w:val="nil"/>
              <w:left w:val="nil"/>
              <w:bottom w:val="single" w:sz="4" w:space="0" w:color="auto"/>
              <w:right w:val="single" w:sz="4" w:space="0" w:color="auto"/>
            </w:tcBorders>
            <w:noWrap/>
            <w:vAlign w:val="bottom"/>
            <w:hideMark/>
          </w:tcPr>
          <w:p w14:paraId="1FF98AAA"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£20.00</w:t>
            </w:r>
          </w:p>
        </w:tc>
        <w:tc>
          <w:tcPr>
            <w:tcW w:w="1078" w:type="dxa"/>
            <w:tcBorders>
              <w:top w:val="nil"/>
              <w:left w:val="nil"/>
              <w:bottom w:val="single" w:sz="4" w:space="0" w:color="auto"/>
              <w:right w:val="single" w:sz="4" w:space="0" w:color="auto"/>
            </w:tcBorders>
            <w:noWrap/>
            <w:vAlign w:val="bottom"/>
            <w:hideMark/>
          </w:tcPr>
          <w:p w14:paraId="43495B4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£25.00</w:t>
            </w:r>
          </w:p>
        </w:tc>
        <w:tc>
          <w:tcPr>
            <w:tcW w:w="1264" w:type="dxa"/>
            <w:tcBorders>
              <w:top w:val="nil"/>
              <w:left w:val="nil"/>
              <w:bottom w:val="single" w:sz="4" w:space="0" w:color="auto"/>
              <w:right w:val="single" w:sz="4" w:space="0" w:color="auto"/>
            </w:tcBorders>
            <w:noWrap/>
            <w:vAlign w:val="bottom"/>
            <w:hideMark/>
          </w:tcPr>
          <w:p w14:paraId="70404DA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£15.00</w:t>
            </w:r>
          </w:p>
        </w:tc>
      </w:tr>
      <w:tr w:rsidR="00C7208C" w:rsidRPr="009225E6" w14:paraId="7A9B6A9E" w14:textId="77777777" w:rsidTr="00BD023E">
        <w:trPr>
          <w:trHeight w:val="291"/>
        </w:trPr>
        <w:tc>
          <w:tcPr>
            <w:tcW w:w="2278" w:type="dxa"/>
            <w:tcBorders>
              <w:top w:val="nil"/>
              <w:left w:val="single" w:sz="4" w:space="0" w:color="auto"/>
              <w:bottom w:val="single" w:sz="4" w:space="0" w:color="auto"/>
              <w:right w:val="single" w:sz="4" w:space="0" w:color="auto"/>
            </w:tcBorders>
            <w:noWrap/>
            <w:vAlign w:val="bottom"/>
            <w:hideMark/>
          </w:tcPr>
          <w:p w14:paraId="1DF51892"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078" w:type="dxa"/>
            <w:tcBorders>
              <w:top w:val="nil"/>
              <w:left w:val="nil"/>
              <w:bottom w:val="single" w:sz="4" w:space="0" w:color="auto"/>
              <w:right w:val="single" w:sz="4" w:space="0" w:color="auto"/>
            </w:tcBorders>
            <w:noWrap/>
            <w:vAlign w:val="bottom"/>
            <w:hideMark/>
          </w:tcPr>
          <w:p w14:paraId="5EBC54E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78" w:type="dxa"/>
            <w:tcBorders>
              <w:top w:val="nil"/>
              <w:left w:val="nil"/>
              <w:bottom w:val="single" w:sz="4" w:space="0" w:color="auto"/>
              <w:right w:val="single" w:sz="4" w:space="0" w:color="auto"/>
            </w:tcBorders>
            <w:noWrap/>
            <w:vAlign w:val="bottom"/>
            <w:hideMark/>
          </w:tcPr>
          <w:p w14:paraId="7A12272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78" w:type="dxa"/>
            <w:tcBorders>
              <w:top w:val="nil"/>
              <w:left w:val="nil"/>
              <w:bottom w:val="single" w:sz="4" w:space="0" w:color="auto"/>
              <w:right w:val="single" w:sz="4" w:space="0" w:color="auto"/>
            </w:tcBorders>
            <w:noWrap/>
            <w:vAlign w:val="bottom"/>
            <w:hideMark/>
          </w:tcPr>
          <w:p w14:paraId="25746845"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078" w:type="dxa"/>
            <w:tcBorders>
              <w:top w:val="nil"/>
              <w:left w:val="nil"/>
              <w:bottom w:val="single" w:sz="4" w:space="0" w:color="auto"/>
              <w:right w:val="single" w:sz="4" w:space="0" w:color="auto"/>
            </w:tcBorders>
            <w:noWrap/>
            <w:vAlign w:val="bottom"/>
            <w:hideMark/>
          </w:tcPr>
          <w:p w14:paraId="7DD0F0F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c>
          <w:tcPr>
            <w:tcW w:w="1264" w:type="dxa"/>
            <w:tcBorders>
              <w:top w:val="nil"/>
              <w:left w:val="nil"/>
              <w:bottom w:val="single" w:sz="4" w:space="0" w:color="auto"/>
              <w:right w:val="single" w:sz="4" w:space="0" w:color="auto"/>
            </w:tcBorders>
            <w:noWrap/>
            <w:vAlign w:val="bottom"/>
            <w:hideMark/>
          </w:tcPr>
          <w:p w14:paraId="53B8FBA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w:t>
            </w:r>
          </w:p>
        </w:tc>
      </w:tr>
      <w:tr w:rsidR="00C7208C" w:rsidRPr="009225E6" w14:paraId="774C19C7" w14:textId="77777777" w:rsidTr="00BD023E">
        <w:trPr>
          <w:trHeight w:val="291"/>
        </w:trPr>
        <w:tc>
          <w:tcPr>
            <w:tcW w:w="2278" w:type="dxa"/>
            <w:tcBorders>
              <w:top w:val="nil"/>
              <w:left w:val="single" w:sz="4" w:space="0" w:color="auto"/>
              <w:bottom w:val="single" w:sz="4" w:space="0" w:color="auto"/>
              <w:right w:val="single" w:sz="4" w:space="0" w:color="auto"/>
            </w:tcBorders>
            <w:noWrap/>
            <w:vAlign w:val="bottom"/>
            <w:hideMark/>
          </w:tcPr>
          <w:p w14:paraId="375622A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078" w:type="dxa"/>
            <w:tcBorders>
              <w:top w:val="nil"/>
              <w:left w:val="nil"/>
              <w:bottom w:val="single" w:sz="4" w:space="0" w:color="auto"/>
              <w:right w:val="single" w:sz="4" w:space="0" w:color="auto"/>
            </w:tcBorders>
            <w:noWrap/>
            <w:vAlign w:val="bottom"/>
            <w:hideMark/>
          </w:tcPr>
          <w:p w14:paraId="7E7BAF2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1.1</w:t>
            </w:r>
          </w:p>
        </w:tc>
        <w:tc>
          <w:tcPr>
            <w:tcW w:w="1078" w:type="dxa"/>
            <w:tcBorders>
              <w:top w:val="nil"/>
              <w:left w:val="nil"/>
              <w:bottom w:val="single" w:sz="4" w:space="0" w:color="auto"/>
              <w:right w:val="single" w:sz="4" w:space="0" w:color="auto"/>
            </w:tcBorders>
            <w:noWrap/>
            <w:vAlign w:val="bottom"/>
            <w:hideMark/>
          </w:tcPr>
          <w:p w14:paraId="69FACF71"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1.21</w:t>
            </w:r>
          </w:p>
        </w:tc>
        <w:tc>
          <w:tcPr>
            <w:tcW w:w="1078" w:type="dxa"/>
            <w:tcBorders>
              <w:top w:val="nil"/>
              <w:left w:val="nil"/>
              <w:bottom w:val="single" w:sz="4" w:space="0" w:color="auto"/>
              <w:right w:val="single" w:sz="4" w:space="0" w:color="auto"/>
            </w:tcBorders>
            <w:noWrap/>
            <w:vAlign w:val="bottom"/>
            <w:hideMark/>
          </w:tcPr>
          <w:p w14:paraId="55F51A7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1.331</w:t>
            </w:r>
          </w:p>
        </w:tc>
        <w:tc>
          <w:tcPr>
            <w:tcW w:w="1078" w:type="dxa"/>
            <w:tcBorders>
              <w:top w:val="nil"/>
              <w:left w:val="nil"/>
              <w:bottom w:val="single" w:sz="4" w:space="0" w:color="auto"/>
              <w:right w:val="single" w:sz="4" w:space="0" w:color="auto"/>
            </w:tcBorders>
            <w:noWrap/>
            <w:vAlign w:val="bottom"/>
            <w:hideMark/>
          </w:tcPr>
          <w:p w14:paraId="3704F6B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1.4641</w:t>
            </w:r>
          </w:p>
        </w:tc>
        <w:tc>
          <w:tcPr>
            <w:tcW w:w="1264" w:type="dxa"/>
            <w:tcBorders>
              <w:top w:val="nil"/>
              <w:left w:val="nil"/>
              <w:bottom w:val="single" w:sz="4" w:space="0" w:color="auto"/>
              <w:right w:val="single" w:sz="4" w:space="0" w:color="auto"/>
            </w:tcBorders>
            <w:noWrap/>
            <w:vAlign w:val="bottom"/>
            <w:hideMark/>
          </w:tcPr>
          <w:p w14:paraId="547A6A4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1.61051</w:t>
            </w:r>
          </w:p>
        </w:tc>
      </w:tr>
      <w:tr w:rsidR="00C7208C" w:rsidRPr="009225E6" w14:paraId="76D424C3" w14:textId="77777777" w:rsidTr="00BD023E">
        <w:trPr>
          <w:trHeight w:val="291"/>
        </w:trPr>
        <w:tc>
          <w:tcPr>
            <w:tcW w:w="2278" w:type="dxa"/>
            <w:tcBorders>
              <w:top w:val="nil"/>
              <w:left w:val="single" w:sz="4" w:space="0" w:color="auto"/>
              <w:bottom w:val="nil"/>
              <w:right w:val="single" w:sz="4" w:space="0" w:color="auto"/>
            </w:tcBorders>
            <w:noWrap/>
            <w:vAlign w:val="bottom"/>
            <w:hideMark/>
          </w:tcPr>
          <w:p w14:paraId="3D85EE6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078" w:type="dxa"/>
            <w:tcBorders>
              <w:top w:val="nil"/>
              <w:left w:val="nil"/>
              <w:bottom w:val="nil"/>
              <w:right w:val="single" w:sz="4" w:space="0" w:color="auto"/>
            </w:tcBorders>
            <w:noWrap/>
            <w:vAlign w:val="bottom"/>
            <w:hideMark/>
          </w:tcPr>
          <w:p w14:paraId="561738F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$4.55</w:t>
            </w:r>
          </w:p>
        </w:tc>
        <w:tc>
          <w:tcPr>
            <w:tcW w:w="1078" w:type="dxa"/>
            <w:tcBorders>
              <w:top w:val="nil"/>
              <w:left w:val="nil"/>
              <w:bottom w:val="nil"/>
              <w:right w:val="single" w:sz="4" w:space="0" w:color="auto"/>
            </w:tcBorders>
            <w:noWrap/>
            <w:vAlign w:val="bottom"/>
            <w:hideMark/>
          </w:tcPr>
          <w:p w14:paraId="53F2006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$8.26</w:t>
            </w:r>
          </w:p>
        </w:tc>
        <w:tc>
          <w:tcPr>
            <w:tcW w:w="1078" w:type="dxa"/>
            <w:tcBorders>
              <w:top w:val="nil"/>
              <w:left w:val="nil"/>
              <w:bottom w:val="nil"/>
              <w:right w:val="single" w:sz="4" w:space="0" w:color="auto"/>
            </w:tcBorders>
            <w:noWrap/>
            <w:vAlign w:val="bottom"/>
            <w:hideMark/>
          </w:tcPr>
          <w:p w14:paraId="060635A1"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$15.03</w:t>
            </w:r>
          </w:p>
        </w:tc>
        <w:tc>
          <w:tcPr>
            <w:tcW w:w="1078" w:type="dxa"/>
            <w:tcBorders>
              <w:top w:val="nil"/>
              <w:left w:val="nil"/>
              <w:bottom w:val="nil"/>
              <w:right w:val="single" w:sz="4" w:space="0" w:color="auto"/>
            </w:tcBorders>
            <w:noWrap/>
            <w:vAlign w:val="bottom"/>
            <w:hideMark/>
          </w:tcPr>
          <w:p w14:paraId="37441C8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$17.08</w:t>
            </w:r>
          </w:p>
        </w:tc>
        <w:tc>
          <w:tcPr>
            <w:tcW w:w="1264" w:type="dxa"/>
            <w:tcBorders>
              <w:top w:val="nil"/>
              <w:left w:val="nil"/>
              <w:bottom w:val="nil"/>
              <w:right w:val="single" w:sz="4" w:space="0" w:color="auto"/>
            </w:tcBorders>
            <w:noWrap/>
            <w:vAlign w:val="bottom"/>
            <w:hideMark/>
          </w:tcPr>
          <w:p w14:paraId="4B076C5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$9.31</w:t>
            </w:r>
          </w:p>
        </w:tc>
      </w:tr>
      <w:tr w:rsidR="00C7208C" w:rsidRPr="009225E6" w14:paraId="184AFDDD" w14:textId="77777777" w:rsidTr="00BD023E">
        <w:trPr>
          <w:trHeight w:val="291"/>
        </w:trPr>
        <w:tc>
          <w:tcPr>
            <w:tcW w:w="2278" w:type="dxa"/>
            <w:tcBorders>
              <w:top w:val="single" w:sz="4" w:space="0" w:color="auto"/>
              <w:left w:val="single" w:sz="4" w:space="0" w:color="auto"/>
              <w:bottom w:val="single" w:sz="4" w:space="0" w:color="auto"/>
              <w:right w:val="single" w:sz="4" w:space="0" w:color="auto"/>
            </w:tcBorders>
            <w:noWrap/>
            <w:vAlign w:val="bottom"/>
            <w:hideMark/>
          </w:tcPr>
          <w:p w14:paraId="439340E7"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078" w:type="dxa"/>
            <w:tcBorders>
              <w:top w:val="single" w:sz="4" w:space="0" w:color="auto"/>
              <w:left w:val="nil"/>
              <w:bottom w:val="single" w:sz="4" w:space="0" w:color="auto"/>
              <w:right w:val="single" w:sz="4" w:space="0" w:color="auto"/>
            </w:tcBorders>
            <w:noWrap/>
            <w:vAlign w:val="bottom"/>
            <w:hideMark/>
          </w:tcPr>
          <w:p w14:paraId="032DC5B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$54.23</w:t>
            </w:r>
          </w:p>
        </w:tc>
        <w:tc>
          <w:tcPr>
            <w:tcW w:w="4500" w:type="dxa"/>
            <w:gridSpan w:val="4"/>
            <w:vMerge w:val="restart"/>
            <w:tcBorders>
              <w:top w:val="single" w:sz="4" w:space="0" w:color="auto"/>
              <w:left w:val="single" w:sz="4" w:space="0" w:color="auto"/>
              <w:bottom w:val="double" w:sz="6" w:space="0" w:color="000000"/>
              <w:right w:val="single" w:sz="4" w:space="0" w:color="000000"/>
            </w:tcBorders>
            <w:hideMark/>
          </w:tcPr>
          <w:p w14:paraId="0E060719"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11F9653F" w14:textId="77777777" w:rsidTr="00BD023E">
        <w:trPr>
          <w:trHeight w:val="291"/>
        </w:trPr>
        <w:tc>
          <w:tcPr>
            <w:tcW w:w="2278" w:type="dxa"/>
            <w:tcBorders>
              <w:top w:val="nil"/>
              <w:left w:val="single" w:sz="4" w:space="0" w:color="auto"/>
              <w:bottom w:val="single" w:sz="4" w:space="0" w:color="auto"/>
              <w:right w:val="single" w:sz="4" w:space="0" w:color="auto"/>
            </w:tcBorders>
            <w:noWrap/>
            <w:vAlign w:val="bottom"/>
            <w:hideMark/>
          </w:tcPr>
          <w:p w14:paraId="0FF9BF1C"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078" w:type="dxa"/>
            <w:tcBorders>
              <w:top w:val="nil"/>
              <w:left w:val="nil"/>
              <w:bottom w:val="single" w:sz="4" w:space="0" w:color="auto"/>
              <w:right w:val="single" w:sz="4" w:space="0" w:color="auto"/>
            </w:tcBorders>
            <w:noWrap/>
            <w:vAlign w:val="bottom"/>
            <w:hideMark/>
          </w:tcPr>
          <w:p w14:paraId="7B255502"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$50.00</w:t>
            </w:r>
          </w:p>
        </w:tc>
        <w:tc>
          <w:tcPr>
            <w:tcW w:w="4500" w:type="dxa"/>
            <w:gridSpan w:val="4"/>
            <w:vMerge/>
            <w:tcBorders>
              <w:top w:val="nil"/>
              <w:left w:val="nil"/>
              <w:bottom w:val="single" w:sz="4" w:space="0" w:color="auto"/>
              <w:right w:val="single" w:sz="4" w:space="0" w:color="auto"/>
            </w:tcBorders>
            <w:vAlign w:val="center"/>
            <w:hideMark/>
          </w:tcPr>
          <w:p w14:paraId="623B24A3"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5EBCB14F" w14:textId="77777777" w:rsidTr="00BD023E">
        <w:trPr>
          <w:trHeight w:val="306"/>
        </w:trPr>
        <w:tc>
          <w:tcPr>
            <w:tcW w:w="2278" w:type="dxa"/>
            <w:tcBorders>
              <w:top w:val="nil"/>
              <w:left w:val="single" w:sz="4" w:space="0" w:color="auto"/>
              <w:bottom w:val="double" w:sz="6" w:space="0" w:color="auto"/>
              <w:right w:val="single" w:sz="4" w:space="0" w:color="auto"/>
            </w:tcBorders>
            <w:noWrap/>
            <w:vAlign w:val="bottom"/>
            <w:hideMark/>
          </w:tcPr>
          <w:p w14:paraId="27ADE82C"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078" w:type="dxa"/>
            <w:tcBorders>
              <w:top w:val="nil"/>
              <w:left w:val="nil"/>
              <w:bottom w:val="double" w:sz="6" w:space="0" w:color="auto"/>
              <w:right w:val="single" w:sz="4" w:space="0" w:color="auto"/>
            </w:tcBorders>
            <w:noWrap/>
            <w:vAlign w:val="bottom"/>
            <w:hideMark/>
          </w:tcPr>
          <w:p w14:paraId="55B0A1F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$4.23</w:t>
            </w:r>
          </w:p>
        </w:tc>
        <w:tc>
          <w:tcPr>
            <w:tcW w:w="4500" w:type="dxa"/>
            <w:gridSpan w:val="4"/>
            <w:vMerge/>
            <w:tcBorders>
              <w:top w:val="nil"/>
              <w:left w:val="nil"/>
              <w:bottom w:val="double" w:sz="6" w:space="0" w:color="auto"/>
              <w:right w:val="single" w:sz="4" w:space="0" w:color="auto"/>
            </w:tcBorders>
            <w:vAlign w:val="center"/>
            <w:hideMark/>
          </w:tcPr>
          <w:p w14:paraId="74438E72"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07EB1452"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 xml:space="preserve"> </w:t>
      </w:r>
    </w:p>
    <w:p w14:paraId="6077417D"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NPV at Highest Discount Rate (at 20%)</w:t>
      </w:r>
    </w:p>
    <w:tbl>
      <w:tblPr>
        <w:tblW w:w="7807" w:type="dxa"/>
        <w:tblInd w:w="93" w:type="dxa"/>
        <w:tblLook w:val="04A0" w:firstRow="1" w:lastRow="0" w:firstColumn="1" w:lastColumn="0" w:noHBand="0" w:noVBand="1"/>
      </w:tblPr>
      <w:tblGrid>
        <w:gridCol w:w="2263"/>
        <w:gridCol w:w="1089"/>
        <w:gridCol w:w="986"/>
        <w:gridCol w:w="986"/>
        <w:gridCol w:w="1156"/>
        <w:gridCol w:w="1327"/>
      </w:tblGrid>
      <w:tr w:rsidR="00C7208C" w:rsidRPr="009225E6" w14:paraId="686F9289" w14:textId="77777777" w:rsidTr="00BD023E">
        <w:trPr>
          <w:trHeight w:val="291"/>
        </w:trPr>
        <w:tc>
          <w:tcPr>
            <w:tcW w:w="2263" w:type="dxa"/>
            <w:vMerge w:val="restart"/>
            <w:tcBorders>
              <w:top w:val="single" w:sz="4" w:space="0" w:color="auto"/>
              <w:left w:val="single" w:sz="4" w:space="0" w:color="auto"/>
              <w:bottom w:val="single" w:sz="4" w:space="0" w:color="000000"/>
              <w:right w:val="single" w:sz="4" w:space="0" w:color="auto"/>
            </w:tcBorders>
            <w:noWrap/>
            <w:vAlign w:val="bottom"/>
            <w:hideMark/>
          </w:tcPr>
          <w:p w14:paraId="5A183EFC"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Items</w:t>
            </w:r>
          </w:p>
        </w:tc>
        <w:tc>
          <w:tcPr>
            <w:tcW w:w="5544" w:type="dxa"/>
            <w:gridSpan w:val="5"/>
            <w:tcBorders>
              <w:top w:val="single" w:sz="4" w:space="0" w:color="auto"/>
              <w:left w:val="nil"/>
              <w:bottom w:val="single" w:sz="4" w:space="0" w:color="auto"/>
              <w:right w:val="single" w:sz="4" w:space="0" w:color="auto"/>
            </w:tcBorders>
            <w:noWrap/>
            <w:vAlign w:val="bottom"/>
            <w:hideMark/>
          </w:tcPr>
          <w:p w14:paraId="6F353CEF" w14:textId="77777777" w:rsidR="00C7208C" w:rsidRPr="009225E6" w:rsidRDefault="00C7208C" w:rsidP="00BD023E">
            <w:pPr>
              <w:spacing w:after="0" w:line="240" w:lineRule="auto"/>
              <w:jc w:val="center"/>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Years</w:t>
            </w:r>
          </w:p>
        </w:tc>
      </w:tr>
      <w:tr w:rsidR="00C7208C" w:rsidRPr="009225E6" w14:paraId="6D9246D8" w14:textId="77777777" w:rsidTr="00BD023E">
        <w:trPr>
          <w:trHeight w:val="291"/>
        </w:trPr>
        <w:tc>
          <w:tcPr>
            <w:tcW w:w="2263" w:type="dxa"/>
            <w:vMerge/>
            <w:tcBorders>
              <w:top w:val="single" w:sz="4" w:space="0" w:color="auto"/>
              <w:left w:val="single" w:sz="4" w:space="0" w:color="auto"/>
              <w:bottom w:val="single" w:sz="4" w:space="0" w:color="000000"/>
              <w:right w:val="single" w:sz="4" w:space="0" w:color="auto"/>
            </w:tcBorders>
            <w:vAlign w:val="center"/>
            <w:hideMark/>
          </w:tcPr>
          <w:p w14:paraId="1B557966"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89" w:type="dxa"/>
            <w:tcBorders>
              <w:top w:val="nil"/>
              <w:left w:val="nil"/>
              <w:bottom w:val="single" w:sz="4" w:space="0" w:color="auto"/>
              <w:right w:val="single" w:sz="4" w:space="0" w:color="auto"/>
            </w:tcBorders>
            <w:noWrap/>
            <w:vAlign w:val="bottom"/>
            <w:hideMark/>
          </w:tcPr>
          <w:p w14:paraId="391EF98C"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1</w:t>
            </w:r>
          </w:p>
        </w:tc>
        <w:tc>
          <w:tcPr>
            <w:tcW w:w="986" w:type="dxa"/>
            <w:tcBorders>
              <w:top w:val="nil"/>
              <w:left w:val="nil"/>
              <w:bottom w:val="single" w:sz="4" w:space="0" w:color="auto"/>
              <w:right w:val="single" w:sz="4" w:space="0" w:color="auto"/>
            </w:tcBorders>
            <w:noWrap/>
            <w:vAlign w:val="bottom"/>
            <w:hideMark/>
          </w:tcPr>
          <w:p w14:paraId="7458523D"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2</w:t>
            </w:r>
          </w:p>
        </w:tc>
        <w:tc>
          <w:tcPr>
            <w:tcW w:w="986" w:type="dxa"/>
            <w:tcBorders>
              <w:top w:val="nil"/>
              <w:left w:val="nil"/>
              <w:bottom w:val="single" w:sz="4" w:space="0" w:color="auto"/>
              <w:right w:val="single" w:sz="4" w:space="0" w:color="auto"/>
            </w:tcBorders>
            <w:noWrap/>
            <w:vAlign w:val="bottom"/>
            <w:hideMark/>
          </w:tcPr>
          <w:p w14:paraId="7B57DAF4"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3</w:t>
            </w:r>
          </w:p>
        </w:tc>
        <w:tc>
          <w:tcPr>
            <w:tcW w:w="1156" w:type="dxa"/>
            <w:tcBorders>
              <w:top w:val="nil"/>
              <w:left w:val="nil"/>
              <w:bottom w:val="single" w:sz="4" w:space="0" w:color="auto"/>
              <w:right w:val="single" w:sz="4" w:space="0" w:color="auto"/>
            </w:tcBorders>
            <w:noWrap/>
            <w:vAlign w:val="bottom"/>
            <w:hideMark/>
          </w:tcPr>
          <w:p w14:paraId="7477B8F3"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4</w:t>
            </w:r>
          </w:p>
        </w:tc>
        <w:tc>
          <w:tcPr>
            <w:tcW w:w="1327" w:type="dxa"/>
            <w:tcBorders>
              <w:top w:val="nil"/>
              <w:left w:val="nil"/>
              <w:bottom w:val="single" w:sz="4" w:space="0" w:color="auto"/>
              <w:right w:val="single" w:sz="4" w:space="0" w:color="auto"/>
            </w:tcBorders>
            <w:noWrap/>
            <w:vAlign w:val="bottom"/>
            <w:hideMark/>
          </w:tcPr>
          <w:p w14:paraId="2FFF3B4A" w14:textId="77777777" w:rsidR="00C7208C" w:rsidRPr="009225E6" w:rsidRDefault="00C7208C" w:rsidP="00BD023E">
            <w:pPr>
              <w:spacing w:after="0" w:line="240" w:lineRule="auto"/>
              <w:jc w:val="right"/>
              <w:rPr>
                <w:rFonts w:ascii="Times New Roman" w:eastAsia="Times New Roman" w:hAnsi="Times New Roman" w:cs="Times New Roman"/>
                <w:b/>
                <w:bCs/>
                <w:color w:val="000000"/>
                <w:lang w:val="en-US"/>
              </w:rPr>
            </w:pPr>
            <w:r w:rsidRPr="009225E6">
              <w:rPr>
                <w:rFonts w:ascii="Times New Roman" w:eastAsia="Times New Roman" w:hAnsi="Times New Roman" w:cs="Times New Roman"/>
                <w:b/>
                <w:bCs/>
                <w:color w:val="000000"/>
                <w:lang w:val="en-US"/>
              </w:rPr>
              <w:t>5</w:t>
            </w:r>
          </w:p>
        </w:tc>
      </w:tr>
      <w:tr w:rsidR="00C7208C" w:rsidRPr="009225E6" w14:paraId="3F0D0268" w14:textId="77777777" w:rsidTr="00BD023E">
        <w:trPr>
          <w:trHeight w:val="291"/>
        </w:trPr>
        <w:tc>
          <w:tcPr>
            <w:tcW w:w="2263" w:type="dxa"/>
            <w:vMerge/>
            <w:tcBorders>
              <w:top w:val="single" w:sz="4" w:space="0" w:color="auto"/>
              <w:left w:val="single" w:sz="4" w:space="0" w:color="auto"/>
              <w:bottom w:val="single" w:sz="4" w:space="0" w:color="000000"/>
              <w:right w:val="single" w:sz="4" w:space="0" w:color="auto"/>
            </w:tcBorders>
            <w:vAlign w:val="center"/>
            <w:hideMark/>
          </w:tcPr>
          <w:p w14:paraId="1FB4B8D1" w14:textId="77777777" w:rsidR="00C7208C" w:rsidRPr="009225E6" w:rsidRDefault="00C7208C" w:rsidP="00BD023E">
            <w:pPr>
              <w:spacing w:after="0" w:line="240" w:lineRule="auto"/>
              <w:rPr>
                <w:rFonts w:ascii="Times New Roman" w:eastAsia="Times New Roman" w:hAnsi="Times New Roman" w:cs="Times New Roman"/>
                <w:b/>
                <w:bCs/>
                <w:color w:val="000000"/>
                <w:lang w:val="en-US"/>
              </w:rPr>
            </w:pPr>
          </w:p>
        </w:tc>
        <w:tc>
          <w:tcPr>
            <w:tcW w:w="1089" w:type="dxa"/>
            <w:tcBorders>
              <w:top w:val="nil"/>
              <w:left w:val="nil"/>
              <w:bottom w:val="single" w:sz="4" w:space="0" w:color="auto"/>
              <w:right w:val="single" w:sz="4" w:space="0" w:color="auto"/>
            </w:tcBorders>
            <w:noWrap/>
            <w:vAlign w:val="bottom"/>
            <w:hideMark/>
          </w:tcPr>
          <w:p w14:paraId="7322F69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w:t>
            </w:r>
          </w:p>
        </w:tc>
        <w:tc>
          <w:tcPr>
            <w:tcW w:w="986" w:type="dxa"/>
            <w:tcBorders>
              <w:top w:val="nil"/>
              <w:left w:val="nil"/>
              <w:bottom w:val="single" w:sz="4" w:space="0" w:color="auto"/>
              <w:right w:val="single" w:sz="4" w:space="0" w:color="auto"/>
            </w:tcBorders>
            <w:noWrap/>
            <w:vAlign w:val="bottom"/>
            <w:hideMark/>
          </w:tcPr>
          <w:p w14:paraId="1F5A5EA3"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£10.00</w:t>
            </w:r>
          </w:p>
        </w:tc>
        <w:tc>
          <w:tcPr>
            <w:tcW w:w="986" w:type="dxa"/>
            <w:tcBorders>
              <w:top w:val="nil"/>
              <w:left w:val="nil"/>
              <w:bottom w:val="single" w:sz="4" w:space="0" w:color="auto"/>
              <w:right w:val="single" w:sz="4" w:space="0" w:color="auto"/>
            </w:tcBorders>
            <w:noWrap/>
            <w:vAlign w:val="bottom"/>
            <w:hideMark/>
          </w:tcPr>
          <w:p w14:paraId="68ED692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£20.00</w:t>
            </w:r>
          </w:p>
        </w:tc>
        <w:tc>
          <w:tcPr>
            <w:tcW w:w="1156" w:type="dxa"/>
            <w:tcBorders>
              <w:top w:val="nil"/>
              <w:left w:val="nil"/>
              <w:bottom w:val="single" w:sz="4" w:space="0" w:color="auto"/>
              <w:right w:val="single" w:sz="4" w:space="0" w:color="auto"/>
            </w:tcBorders>
            <w:noWrap/>
            <w:vAlign w:val="bottom"/>
            <w:hideMark/>
          </w:tcPr>
          <w:p w14:paraId="76E80A7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£25.00</w:t>
            </w:r>
          </w:p>
        </w:tc>
        <w:tc>
          <w:tcPr>
            <w:tcW w:w="1327" w:type="dxa"/>
            <w:tcBorders>
              <w:top w:val="nil"/>
              <w:left w:val="nil"/>
              <w:bottom w:val="single" w:sz="4" w:space="0" w:color="auto"/>
              <w:right w:val="single" w:sz="4" w:space="0" w:color="auto"/>
            </w:tcBorders>
            <w:noWrap/>
            <w:vAlign w:val="bottom"/>
            <w:hideMark/>
          </w:tcPr>
          <w:p w14:paraId="3EE7008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£15.00</w:t>
            </w:r>
          </w:p>
        </w:tc>
      </w:tr>
      <w:tr w:rsidR="00C7208C" w:rsidRPr="009225E6" w14:paraId="621BBF8D" w14:textId="77777777" w:rsidTr="00BD023E">
        <w:trPr>
          <w:trHeight w:val="291"/>
        </w:trPr>
        <w:tc>
          <w:tcPr>
            <w:tcW w:w="2263" w:type="dxa"/>
            <w:tcBorders>
              <w:top w:val="nil"/>
              <w:left w:val="single" w:sz="4" w:space="0" w:color="auto"/>
              <w:bottom w:val="single" w:sz="4" w:space="0" w:color="auto"/>
              <w:right w:val="single" w:sz="4" w:space="0" w:color="auto"/>
            </w:tcBorders>
            <w:noWrap/>
            <w:vAlign w:val="bottom"/>
            <w:hideMark/>
          </w:tcPr>
          <w:p w14:paraId="712219CF"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Rate</w:t>
            </w:r>
          </w:p>
        </w:tc>
        <w:tc>
          <w:tcPr>
            <w:tcW w:w="1089" w:type="dxa"/>
            <w:tcBorders>
              <w:top w:val="nil"/>
              <w:left w:val="nil"/>
              <w:bottom w:val="single" w:sz="4" w:space="0" w:color="auto"/>
              <w:right w:val="single" w:sz="4" w:space="0" w:color="auto"/>
            </w:tcBorders>
            <w:noWrap/>
            <w:vAlign w:val="bottom"/>
            <w:hideMark/>
          </w:tcPr>
          <w:p w14:paraId="444505B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986" w:type="dxa"/>
            <w:tcBorders>
              <w:top w:val="nil"/>
              <w:left w:val="nil"/>
              <w:bottom w:val="single" w:sz="4" w:space="0" w:color="auto"/>
              <w:right w:val="single" w:sz="4" w:space="0" w:color="auto"/>
            </w:tcBorders>
            <w:noWrap/>
            <w:vAlign w:val="bottom"/>
            <w:hideMark/>
          </w:tcPr>
          <w:p w14:paraId="26F956D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986" w:type="dxa"/>
            <w:tcBorders>
              <w:top w:val="nil"/>
              <w:left w:val="nil"/>
              <w:bottom w:val="single" w:sz="4" w:space="0" w:color="auto"/>
              <w:right w:val="single" w:sz="4" w:space="0" w:color="auto"/>
            </w:tcBorders>
            <w:noWrap/>
            <w:vAlign w:val="bottom"/>
            <w:hideMark/>
          </w:tcPr>
          <w:p w14:paraId="468608C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1156" w:type="dxa"/>
            <w:tcBorders>
              <w:top w:val="nil"/>
              <w:left w:val="nil"/>
              <w:bottom w:val="single" w:sz="4" w:space="0" w:color="auto"/>
              <w:right w:val="single" w:sz="4" w:space="0" w:color="auto"/>
            </w:tcBorders>
            <w:noWrap/>
            <w:vAlign w:val="bottom"/>
            <w:hideMark/>
          </w:tcPr>
          <w:p w14:paraId="1F0C298B"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c>
          <w:tcPr>
            <w:tcW w:w="1327" w:type="dxa"/>
            <w:tcBorders>
              <w:top w:val="nil"/>
              <w:left w:val="nil"/>
              <w:bottom w:val="single" w:sz="4" w:space="0" w:color="auto"/>
              <w:right w:val="single" w:sz="4" w:space="0" w:color="auto"/>
            </w:tcBorders>
            <w:noWrap/>
            <w:vAlign w:val="bottom"/>
            <w:hideMark/>
          </w:tcPr>
          <w:p w14:paraId="30A26C2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20%</w:t>
            </w:r>
          </w:p>
        </w:tc>
      </w:tr>
      <w:tr w:rsidR="00C7208C" w:rsidRPr="009225E6" w14:paraId="0DB68540" w14:textId="77777777" w:rsidTr="00BD023E">
        <w:trPr>
          <w:trHeight w:val="291"/>
        </w:trPr>
        <w:tc>
          <w:tcPr>
            <w:tcW w:w="2263" w:type="dxa"/>
            <w:tcBorders>
              <w:top w:val="nil"/>
              <w:left w:val="single" w:sz="4" w:space="0" w:color="auto"/>
              <w:bottom w:val="single" w:sz="4" w:space="0" w:color="auto"/>
              <w:right w:val="single" w:sz="4" w:space="0" w:color="auto"/>
            </w:tcBorders>
            <w:noWrap/>
            <w:vAlign w:val="bottom"/>
            <w:hideMark/>
          </w:tcPr>
          <w:p w14:paraId="5D906494"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Discount Factor</w:t>
            </w:r>
          </w:p>
        </w:tc>
        <w:tc>
          <w:tcPr>
            <w:tcW w:w="1089" w:type="dxa"/>
            <w:tcBorders>
              <w:top w:val="nil"/>
              <w:left w:val="nil"/>
              <w:bottom w:val="single" w:sz="4" w:space="0" w:color="auto"/>
              <w:right w:val="single" w:sz="4" w:space="0" w:color="auto"/>
            </w:tcBorders>
            <w:noWrap/>
            <w:vAlign w:val="bottom"/>
            <w:hideMark/>
          </w:tcPr>
          <w:p w14:paraId="076F723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2.1</w:t>
            </w:r>
          </w:p>
        </w:tc>
        <w:tc>
          <w:tcPr>
            <w:tcW w:w="986" w:type="dxa"/>
            <w:tcBorders>
              <w:top w:val="nil"/>
              <w:left w:val="nil"/>
              <w:bottom w:val="single" w:sz="4" w:space="0" w:color="auto"/>
              <w:right w:val="single" w:sz="4" w:space="0" w:color="auto"/>
            </w:tcBorders>
            <w:noWrap/>
            <w:vAlign w:val="bottom"/>
            <w:hideMark/>
          </w:tcPr>
          <w:p w14:paraId="597E33E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4.41</w:t>
            </w:r>
          </w:p>
        </w:tc>
        <w:tc>
          <w:tcPr>
            <w:tcW w:w="986" w:type="dxa"/>
            <w:tcBorders>
              <w:top w:val="nil"/>
              <w:left w:val="nil"/>
              <w:bottom w:val="single" w:sz="4" w:space="0" w:color="auto"/>
              <w:right w:val="single" w:sz="4" w:space="0" w:color="auto"/>
            </w:tcBorders>
            <w:noWrap/>
            <w:vAlign w:val="bottom"/>
            <w:hideMark/>
          </w:tcPr>
          <w:p w14:paraId="599AD38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9.261</w:t>
            </w:r>
          </w:p>
        </w:tc>
        <w:tc>
          <w:tcPr>
            <w:tcW w:w="1156" w:type="dxa"/>
            <w:tcBorders>
              <w:top w:val="nil"/>
              <w:left w:val="nil"/>
              <w:bottom w:val="single" w:sz="4" w:space="0" w:color="auto"/>
              <w:right w:val="single" w:sz="4" w:space="0" w:color="auto"/>
            </w:tcBorders>
            <w:noWrap/>
            <w:vAlign w:val="bottom"/>
            <w:hideMark/>
          </w:tcPr>
          <w:p w14:paraId="23B2BADD"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19.4481</w:t>
            </w:r>
          </w:p>
        </w:tc>
        <w:tc>
          <w:tcPr>
            <w:tcW w:w="1327" w:type="dxa"/>
            <w:tcBorders>
              <w:top w:val="nil"/>
              <w:left w:val="nil"/>
              <w:bottom w:val="single" w:sz="4" w:space="0" w:color="auto"/>
              <w:right w:val="single" w:sz="4" w:space="0" w:color="auto"/>
            </w:tcBorders>
            <w:noWrap/>
            <w:vAlign w:val="bottom"/>
            <w:hideMark/>
          </w:tcPr>
          <w:p w14:paraId="1AB786A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40.84101</w:t>
            </w:r>
          </w:p>
        </w:tc>
      </w:tr>
      <w:tr w:rsidR="00C7208C" w:rsidRPr="009225E6" w14:paraId="5141C2DB" w14:textId="77777777" w:rsidTr="00BD023E">
        <w:trPr>
          <w:trHeight w:val="291"/>
        </w:trPr>
        <w:tc>
          <w:tcPr>
            <w:tcW w:w="2263" w:type="dxa"/>
            <w:tcBorders>
              <w:top w:val="nil"/>
              <w:left w:val="single" w:sz="4" w:space="0" w:color="auto"/>
              <w:bottom w:val="nil"/>
              <w:right w:val="single" w:sz="4" w:space="0" w:color="auto"/>
            </w:tcBorders>
            <w:noWrap/>
            <w:vAlign w:val="bottom"/>
            <w:hideMark/>
          </w:tcPr>
          <w:p w14:paraId="2E229908"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Present Value</w:t>
            </w:r>
          </w:p>
        </w:tc>
        <w:tc>
          <w:tcPr>
            <w:tcW w:w="1089" w:type="dxa"/>
            <w:tcBorders>
              <w:top w:val="nil"/>
              <w:left w:val="nil"/>
              <w:bottom w:val="nil"/>
              <w:right w:val="single" w:sz="4" w:space="0" w:color="auto"/>
            </w:tcBorders>
            <w:noWrap/>
            <w:vAlign w:val="bottom"/>
            <w:hideMark/>
          </w:tcPr>
          <w:p w14:paraId="005584E7"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$2.38</w:t>
            </w:r>
          </w:p>
        </w:tc>
        <w:tc>
          <w:tcPr>
            <w:tcW w:w="986" w:type="dxa"/>
            <w:tcBorders>
              <w:top w:val="nil"/>
              <w:left w:val="nil"/>
              <w:bottom w:val="nil"/>
              <w:right w:val="single" w:sz="4" w:space="0" w:color="auto"/>
            </w:tcBorders>
            <w:noWrap/>
            <w:vAlign w:val="bottom"/>
            <w:hideMark/>
          </w:tcPr>
          <w:p w14:paraId="6BD83FD9"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$2.27</w:t>
            </w:r>
          </w:p>
        </w:tc>
        <w:tc>
          <w:tcPr>
            <w:tcW w:w="986" w:type="dxa"/>
            <w:tcBorders>
              <w:top w:val="nil"/>
              <w:left w:val="nil"/>
              <w:bottom w:val="nil"/>
              <w:right w:val="single" w:sz="4" w:space="0" w:color="auto"/>
            </w:tcBorders>
            <w:noWrap/>
            <w:vAlign w:val="bottom"/>
            <w:hideMark/>
          </w:tcPr>
          <w:p w14:paraId="62164EEF"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$2.16</w:t>
            </w:r>
          </w:p>
        </w:tc>
        <w:tc>
          <w:tcPr>
            <w:tcW w:w="1156" w:type="dxa"/>
            <w:tcBorders>
              <w:top w:val="nil"/>
              <w:left w:val="nil"/>
              <w:bottom w:val="nil"/>
              <w:right w:val="single" w:sz="4" w:space="0" w:color="auto"/>
            </w:tcBorders>
            <w:noWrap/>
            <w:vAlign w:val="bottom"/>
            <w:hideMark/>
          </w:tcPr>
          <w:p w14:paraId="0CDF0CA8"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$1.29</w:t>
            </w:r>
          </w:p>
        </w:tc>
        <w:tc>
          <w:tcPr>
            <w:tcW w:w="1327" w:type="dxa"/>
            <w:tcBorders>
              <w:top w:val="nil"/>
              <w:left w:val="nil"/>
              <w:bottom w:val="nil"/>
              <w:right w:val="single" w:sz="4" w:space="0" w:color="auto"/>
            </w:tcBorders>
            <w:noWrap/>
            <w:vAlign w:val="bottom"/>
            <w:hideMark/>
          </w:tcPr>
          <w:p w14:paraId="63F536BC"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$0.37</w:t>
            </w:r>
          </w:p>
        </w:tc>
      </w:tr>
      <w:tr w:rsidR="00C7208C" w:rsidRPr="009225E6" w14:paraId="5B6E518F" w14:textId="77777777" w:rsidTr="00BD023E">
        <w:trPr>
          <w:trHeight w:val="291"/>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2DD2F5C"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Total Present Value</w:t>
            </w:r>
          </w:p>
        </w:tc>
        <w:tc>
          <w:tcPr>
            <w:tcW w:w="1089" w:type="dxa"/>
            <w:tcBorders>
              <w:top w:val="single" w:sz="4" w:space="0" w:color="auto"/>
              <w:left w:val="nil"/>
              <w:bottom w:val="single" w:sz="4" w:space="0" w:color="auto"/>
              <w:right w:val="single" w:sz="4" w:space="0" w:color="auto"/>
            </w:tcBorders>
            <w:noWrap/>
            <w:vAlign w:val="bottom"/>
            <w:hideMark/>
          </w:tcPr>
          <w:p w14:paraId="5A6EDA8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$8.46</w:t>
            </w:r>
          </w:p>
        </w:tc>
        <w:tc>
          <w:tcPr>
            <w:tcW w:w="4455" w:type="dxa"/>
            <w:gridSpan w:val="4"/>
            <w:vMerge w:val="restart"/>
            <w:tcBorders>
              <w:top w:val="single" w:sz="4" w:space="0" w:color="auto"/>
              <w:left w:val="single" w:sz="4" w:space="0" w:color="auto"/>
              <w:bottom w:val="double" w:sz="6" w:space="0" w:color="000000"/>
              <w:right w:val="single" w:sz="4" w:space="0" w:color="000000"/>
            </w:tcBorders>
            <w:hideMark/>
          </w:tcPr>
          <w:p w14:paraId="69C23B6A"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3CC38F8C" w14:textId="77777777" w:rsidTr="00BD023E">
        <w:trPr>
          <w:trHeight w:val="291"/>
        </w:trPr>
        <w:tc>
          <w:tcPr>
            <w:tcW w:w="2263" w:type="dxa"/>
            <w:tcBorders>
              <w:top w:val="nil"/>
              <w:left w:val="single" w:sz="4" w:space="0" w:color="auto"/>
              <w:bottom w:val="single" w:sz="4" w:space="0" w:color="auto"/>
              <w:right w:val="single" w:sz="4" w:space="0" w:color="auto"/>
            </w:tcBorders>
            <w:noWrap/>
            <w:vAlign w:val="bottom"/>
            <w:hideMark/>
          </w:tcPr>
          <w:p w14:paraId="323BC50D"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Initial Investment</w:t>
            </w:r>
          </w:p>
        </w:tc>
        <w:tc>
          <w:tcPr>
            <w:tcW w:w="1089" w:type="dxa"/>
            <w:tcBorders>
              <w:top w:val="nil"/>
              <w:left w:val="nil"/>
              <w:bottom w:val="single" w:sz="4" w:space="0" w:color="auto"/>
              <w:right w:val="single" w:sz="4" w:space="0" w:color="auto"/>
            </w:tcBorders>
            <w:noWrap/>
            <w:vAlign w:val="bottom"/>
            <w:hideMark/>
          </w:tcPr>
          <w:p w14:paraId="3A033EFE"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$50.00</w:t>
            </w:r>
          </w:p>
        </w:tc>
        <w:tc>
          <w:tcPr>
            <w:tcW w:w="4455" w:type="dxa"/>
            <w:gridSpan w:val="4"/>
            <w:vMerge/>
            <w:tcBorders>
              <w:top w:val="nil"/>
              <w:left w:val="nil"/>
              <w:bottom w:val="single" w:sz="4" w:space="0" w:color="auto"/>
              <w:right w:val="single" w:sz="4" w:space="0" w:color="auto"/>
            </w:tcBorders>
            <w:vAlign w:val="center"/>
            <w:hideMark/>
          </w:tcPr>
          <w:p w14:paraId="299463C0"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r w:rsidR="00C7208C" w:rsidRPr="009225E6" w14:paraId="44E9EC4A" w14:textId="77777777" w:rsidTr="00BD023E">
        <w:trPr>
          <w:trHeight w:val="306"/>
        </w:trPr>
        <w:tc>
          <w:tcPr>
            <w:tcW w:w="2263" w:type="dxa"/>
            <w:tcBorders>
              <w:top w:val="nil"/>
              <w:left w:val="single" w:sz="4" w:space="0" w:color="auto"/>
              <w:bottom w:val="double" w:sz="6" w:space="0" w:color="auto"/>
              <w:right w:val="single" w:sz="4" w:space="0" w:color="auto"/>
            </w:tcBorders>
            <w:noWrap/>
            <w:vAlign w:val="bottom"/>
            <w:hideMark/>
          </w:tcPr>
          <w:p w14:paraId="3566BCAF" w14:textId="77777777" w:rsidR="00C7208C" w:rsidRPr="009225E6" w:rsidRDefault="00C7208C" w:rsidP="00BD023E">
            <w:pPr>
              <w:spacing w:after="0" w:line="240" w:lineRule="auto"/>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Net Present Value</w:t>
            </w:r>
          </w:p>
        </w:tc>
        <w:tc>
          <w:tcPr>
            <w:tcW w:w="1089" w:type="dxa"/>
            <w:tcBorders>
              <w:top w:val="nil"/>
              <w:left w:val="nil"/>
              <w:bottom w:val="double" w:sz="6" w:space="0" w:color="auto"/>
              <w:right w:val="single" w:sz="4" w:space="0" w:color="auto"/>
            </w:tcBorders>
            <w:noWrap/>
            <w:vAlign w:val="bottom"/>
            <w:hideMark/>
          </w:tcPr>
          <w:p w14:paraId="416162B6" w14:textId="77777777" w:rsidR="00C7208C" w:rsidRPr="009225E6" w:rsidRDefault="00C7208C" w:rsidP="00BD023E">
            <w:pPr>
              <w:spacing w:after="0" w:line="240" w:lineRule="auto"/>
              <w:jc w:val="right"/>
              <w:rPr>
                <w:rFonts w:ascii="Times New Roman" w:eastAsia="Times New Roman" w:hAnsi="Times New Roman" w:cs="Times New Roman"/>
                <w:color w:val="000000"/>
                <w:lang w:val="en-US"/>
              </w:rPr>
            </w:pPr>
            <w:r w:rsidRPr="009225E6">
              <w:rPr>
                <w:rFonts w:ascii="Times New Roman" w:eastAsia="Times New Roman" w:hAnsi="Times New Roman" w:cs="Times New Roman"/>
                <w:color w:val="000000"/>
                <w:lang w:val="en-US"/>
              </w:rPr>
              <w:t>-$41.54</w:t>
            </w:r>
          </w:p>
        </w:tc>
        <w:tc>
          <w:tcPr>
            <w:tcW w:w="4455" w:type="dxa"/>
            <w:gridSpan w:val="4"/>
            <w:vMerge/>
            <w:tcBorders>
              <w:top w:val="nil"/>
              <w:left w:val="nil"/>
              <w:bottom w:val="double" w:sz="6" w:space="0" w:color="auto"/>
              <w:right w:val="single" w:sz="4" w:space="0" w:color="auto"/>
            </w:tcBorders>
            <w:vAlign w:val="center"/>
            <w:hideMark/>
          </w:tcPr>
          <w:p w14:paraId="5014B17D" w14:textId="77777777" w:rsidR="00C7208C" w:rsidRPr="009225E6" w:rsidRDefault="00C7208C" w:rsidP="00BD023E">
            <w:pPr>
              <w:spacing w:after="0" w:line="240" w:lineRule="auto"/>
              <w:rPr>
                <w:rFonts w:ascii="Times New Roman" w:eastAsia="Times New Roman" w:hAnsi="Times New Roman" w:cs="Times New Roman"/>
                <w:color w:val="000000"/>
                <w:lang w:val="en-US"/>
              </w:rPr>
            </w:pPr>
          </w:p>
        </w:tc>
      </w:tr>
    </w:tbl>
    <w:p w14:paraId="5D1AB197" w14:textId="77777777" w:rsidR="00C7208C" w:rsidRPr="009225E6" w:rsidRDefault="00C7208C" w:rsidP="00C7208C">
      <w:pPr>
        <w:rPr>
          <w:rFonts w:ascii="Times New Roman" w:hAnsi="Times New Roman" w:cs="Times New Roman"/>
          <w:sz w:val="24"/>
        </w:rPr>
      </w:pPr>
      <w:r w:rsidRPr="009225E6">
        <w:rPr>
          <w:rFonts w:ascii="Times New Roman" w:hAnsi="Times New Roman" w:cs="Times New Roman"/>
          <w:sz w:val="24"/>
        </w:rPr>
        <w:t xml:space="preserve"> </w:t>
      </w:r>
    </w:p>
    <w:p w14:paraId="641BDE79"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 xml:space="preserve">IRR =Ra+ </m:t>
          </m:r>
          <m:f>
            <m:fPr>
              <m:ctrlPr>
                <w:rPr>
                  <w:rFonts w:ascii="Cambria Math" w:hAnsi="Cambria Math" w:cs="Times New Roman"/>
                  <w:sz w:val="24"/>
                </w:rPr>
              </m:ctrlPr>
            </m:fPr>
            <m:num>
              <m:r>
                <w:rPr>
                  <w:rFonts w:ascii="Cambria Math" w:hAnsi="Cambria Math" w:cs="Times New Roman"/>
                  <w:sz w:val="24"/>
                </w:rPr>
                <m:t>NPVa</m:t>
              </m:r>
            </m:num>
            <m:den>
              <m:r>
                <w:rPr>
                  <w:rFonts w:ascii="Cambria Math" w:hAnsi="Cambria Math" w:cs="Times New Roman"/>
                  <w:sz w:val="24"/>
                </w:rPr>
                <m:t>NPVa-NPVb</m:t>
              </m:r>
            </m:den>
          </m:f>
          <m:r>
            <w:rPr>
              <w:rFonts w:ascii="Cambria Math" w:hAnsi="Cambria Math" w:cs="Times New Roman"/>
              <w:sz w:val="24"/>
            </w:rPr>
            <m:t xml:space="preserve"> x (Rb-Ra)</m:t>
          </m:r>
        </m:oMath>
      </m:oMathPara>
    </w:p>
    <w:p w14:paraId="1C32A206" w14:textId="77777777" w:rsidR="00C7208C" w:rsidRPr="009225E6" w:rsidRDefault="00C7208C" w:rsidP="00C7208C">
      <w:pPr>
        <w:rPr>
          <w:rFonts w:ascii="Times New Roman" w:eastAsiaTheme="minorEastAsia" w:hAnsi="Times New Roman" w:cs="Times New Roman"/>
          <w:sz w:val="24"/>
        </w:rPr>
      </w:pPr>
      <w:r w:rsidRPr="009225E6">
        <w:rPr>
          <w:rFonts w:ascii="Times New Roman" w:hAnsi="Times New Roman" w:cs="Times New Roman"/>
          <w:sz w:val="24"/>
        </w:rPr>
        <w:t xml:space="preserve"> </w:t>
      </w:r>
      <m:oMath>
        <m:r>
          <m:rPr>
            <m:sty m:val="p"/>
          </m:rPr>
          <w:rPr>
            <w:rFonts w:ascii="Cambria Math" w:hAnsi="Cambria Math" w:cs="Times New Roman"/>
            <w:sz w:val="24"/>
          </w:rPr>
          <w:br/>
        </m:r>
      </m:oMath>
      <m:oMathPara>
        <m:oMathParaPr>
          <m:jc m:val="left"/>
        </m:oMathParaPr>
        <m:oMath>
          <m:r>
            <m:rPr>
              <m:sty m:val="p"/>
            </m:rPr>
            <w:rPr>
              <w:rFonts w:ascii="Cambria Math" w:hAnsi="Cambria Math" w:cs="Times New Roman"/>
              <w:sz w:val="24"/>
            </w:rPr>
            <m:t xml:space="preserve">IRR =0.1+ </m:t>
          </m:r>
          <m:f>
            <m:fPr>
              <m:ctrlPr>
                <w:rPr>
                  <w:rFonts w:ascii="Cambria Math" w:hAnsi="Cambria Math" w:cs="Times New Roman"/>
                  <w:sz w:val="24"/>
                </w:rPr>
              </m:ctrlPr>
            </m:fPr>
            <m:num>
              <m:r>
                <w:rPr>
                  <w:rFonts w:ascii="Cambria Math" w:hAnsi="Cambria Math" w:cs="Times New Roman"/>
                  <w:sz w:val="24"/>
                </w:rPr>
                <m:t>4.23</m:t>
              </m:r>
            </m:num>
            <m:den>
              <m:r>
                <w:rPr>
                  <w:rFonts w:ascii="Cambria Math" w:hAnsi="Cambria Math" w:cs="Times New Roman"/>
                  <w:sz w:val="24"/>
                </w:rPr>
                <m:t>4.23-(-41.54)</m:t>
              </m:r>
            </m:den>
          </m:f>
          <m:r>
            <w:rPr>
              <w:rFonts w:ascii="Cambria Math" w:hAnsi="Cambria Math" w:cs="Times New Roman"/>
              <w:sz w:val="24"/>
            </w:rPr>
            <m:t xml:space="preserve"> x (0.2-0.1)</m:t>
          </m:r>
        </m:oMath>
      </m:oMathPara>
    </w:p>
    <w:p w14:paraId="5D7E8064"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 xml:space="preserve">IRR =0.1+ </m:t>
          </m:r>
          <m:f>
            <m:fPr>
              <m:ctrlPr>
                <w:rPr>
                  <w:rFonts w:ascii="Cambria Math" w:hAnsi="Cambria Math" w:cs="Times New Roman"/>
                  <w:sz w:val="24"/>
                </w:rPr>
              </m:ctrlPr>
            </m:fPr>
            <m:num>
              <m:r>
                <w:rPr>
                  <w:rFonts w:ascii="Cambria Math" w:hAnsi="Cambria Math" w:cs="Times New Roman"/>
                  <w:sz w:val="24"/>
                </w:rPr>
                <m:t>4.23</m:t>
              </m:r>
            </m:num>
            <m:den>
              <m:r>
                <w:rPr>
                  <w:rFonts w:ascii="Cambria Math" w:hAnsi="Cambria Math" w:cs="Times New Roman"/>
                  <w:sz w:val="24"/>
                </w:rPr>
                <m:t>45.77</m:t>
              </m:r>
            </m:den>
          </m:f>
          <m:r>
            <w:rPr>
              <w:rFonts w:ascii="Cambria Math" w:hAnsi="Cambria Math" w:cs="Times New Roman"/>
              <w:sz w:val="24"/>
            </w:rPr>
            <m:t xml:space="preserve"> x (0.1)</m:t>
          </m:r>
        </m:oMath>
      </m:oMathPara>
    </w:p>
    <w:p w14:paraId="59106FB7"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=0.1+</m:t>
          </m:r>
          <m:r>
            <w:rPr>
              <w:rFonts w:ascii="Cambria Math" w:hAnsi="Cambria Math" w:cs="Times New Roman"/>
              <w:sz w:val="24"/>
            </w:rPr>
            <m:t>(0.0924) x (0.1)</m:t>
          </m:r>
        </m:oMath>
      </m:oMathPara>
    </w:p>
    <w:p w14:paraId="669AB531"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=0.1+(-</m:t>
          </m:r>
          <m:r>
            <w:rPr>
              <w:rFonts w:ascii="Cambria Math" w:hAnsi="Cambria Math" w:cs="Times New Roman"/>
              <w:sz w:val="24"/>
            </w:rPr>
            <m:t>0.00924)</m:t>
          </m:r>
        </m:oMath>
      </m:oMathPara>
    </w:p>
    <w:p w14:paraId="5826005A"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m:t>IRR =</m:t>
          </m:r>
          <m:r>
            <w:rPr>
              <w:rFonts w:ascii="Cambria Math" w:hAnsi="Cambria Math" w:cs="Times New Roman"/>
              <w:sz w:val="24"/>
            </w:rPr>
            <m:t>0.09</m:t>
          </m:r>
        </m:oMath>
      </m:oMathPara>
    </w:p>
    <w:p w14:paraId="44E85795" w14:textId="77777777" w:rsidR="00C7208C" w:rsidRPr="009225E6" w:rsidRDefault="00C7208C" w:rsidP="00C7208C">
      <w:pPr>
        <w:rPr>
          <w:rFonts w:ascii="Times New Roman" w:eastAsiaTheme="minorEastAsia" w:hAnsi="Times New Roman" w:cs="Times New Roman"/>
          <w:sz w:val="24"/>
        </w:rPr>
      </w:pPr>
      <m:oMathPara>
        <m:oMathParaPr>
          <m:jc m:val="left"/>
        </m:oMathParaPr>
        <m:oMath>
          <m:r>
            <m:rPr>
              <m:sty m:val="p"/>
            </m:rPr>
            <w:rPr>
              <w:rFonts w:ascii="Cambria Math" w:hAnsi="Cambria Math" w:cs="Times New Roman"/>
              <w:sz w:val="24"/>
            </w:rPr>
            <w:lastRenderedPageBreak/>
            <m:t>IRR =</m:t>
          </m:r>
          <m:r>
            <w:rPr>
              <w:rFonts w:ascii="Cambria Math" w:hAnsi="Cambria Math" w:cs="Times New Roman"/>
              <w:sz w:val="24"/>
            </w:rPr>
            <m:t>9%</m:t>
          </m:r>
        </m:oMath>
      </m:oMathPara>
    </w:p>
    <w:p w14:paraId="2074D5A2" w14:textId="77777777" w:rsidR="00C7208C" w:rsidRPr="009225E6" w:rsidRDefault="00C7208C" w:rsidP="00CE7101">
      <w:pPr>
        <w:pStyle w:val="NormalWeb"/>
        <w:spacing w:before="0" w:beforeAutospacing="0" w:line="360" w:lineRule="auto"/>
        <w:rPr>
          <w:color w:val="404040"/>
        </w:rPr>
      </w:pPr>
    </w:p>
    <w:sectPr w:rsidR="00C7208C" w:rsidRPr="009225E6"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98F6A" w14:textId="77777777" w:rsidR="002E12F0" w:rsidRDefault="002E12F0" w:rsidP="008C45E0">
      <w:pPr>
        <w:spacing w:after="0" w:line="240" w:lineRule="auto"/>
      </w:pPr>
      <w:r>
        <w:separator/>
      </w:r>
    </w:p>
  </w:endnote>
  <w:endnote w:type="continuationSeparator" w:id="0">
    <w:p w14:paraId="281E3059" w14:textId="77777777" w:rsidR="002E12F0" w:rsidRDefault="002E12F0"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C572B" w14:textId="77777777" w:rsidR="00C07F3E" w:rsidRDefault="00C07F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785366C7" w14:textId="77777777" w:rsidR="00CC6BA8" w:rsidRDefault="00CC6BA8">
        <w:pPr>
          <w:pStyle w:val="Footer"/>
          <w:jc w:val="center"/>
        </w:pPr>
        <w:r>
          <w:fldChar w:fldCharType="begin"/>
        </w:r>
        <w:r>
          <w:instrText xml:space="preserve"> PAGE   \* MERGEFORMAT </w:instrText>
        </w:r>
        <w:r>
          <w:fldChar w:fldCharType="separate"/>
        </w:r>
        <w:r w:rsidR="00D14D96">
          <w:rPr>
            <w:noProof/>
          </w:rPr>
          <w:t>1</w:t>
        </w:r>
        <w:r>
          <w:rPr>
            <w:noProof/>
          </w:rPr>
          <w:fldChar w:fldCharType="end"/>
        </w:r>
      </w:p>
    </w:sdtContent>
  </w:sdt>
  <w:p w14:paraId="329AE3B8" w14:textId="77777777" w:rsidR="00CC6BA8" w:rsidRDefault="00CC6B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3C66" w14:textId="77777777" w:rsidR="00C07F3E" w:rsidRDefault="00C07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780F8" w14:textId="77777777" w:rsidR="002E12F0" w:rsidRDefault="002E12F0" w:rsidP="008C45E0">
      <w:pPr>
        <w:spacing w:after="0" w:line="240" w:lineRule="auto"/>
      </w:pPr>
      <w:r>
        <w:separator/>
      </w:r>
    </w:p>
  </w:footnote>
  <w:footnote w:type="continuationSeparator" w:id="0">
    <w:p w14:paraId="721E08C1" w14:textId="77777777" w:rsidR="002E12F0" w:rsidRDefault="002E12F0"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48A6" w14:textId="77777777" w:rsidR="00C07F3E" w:rsidRDefault="00C07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9A4B" w14:textId="77777777" w:rsidR="00C07F3E" w:rsidRDefault="00C07F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1CA0" w14:textId="77777777" w:rsidR="00C07F3E" w:rsidRDefault="00C07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03135292">
    <w:abstractNumId w:val="2"/>
  </w:num>
  <w:num w:numId="2" w16cid:durableId="1157771115">
    <w:abstractNumId w:val="1"/>
  </w:num>
  <w:num w:numId="3" w16cid:durableId="1511142805">
    <w:abstractNumId w:val="7"/>
  </w:num>
  <w:num w:numId="4" w16cid:durableId="831919032">
    <w:abstractNumId w:val="6"/>
  </w:num>
  <w:num w:numId="5" w16cid:durableId="1659311856">
    <w:abstractNumId w:val="0"/>
  </w:num>
  <w:num w:numId="6" w16cid:durableId="622732300">
    <w:abstractNumId w:val="5"/>
  </w:num>
  <w:num w:numId="7" w16cid:durableId="757217958">
    <w:abstractNumId w:val="8"/>
  </w:num>
  <w:num w:numId="8" w16cid:durableId="1172572060">
    <w:abstractNumId w:val="4"/>
  </w:num>
  <w:num w:numId="9" w16cid:durableId="245698487">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67B3"/>
    <w:rsid w:val="000115F5"/>
    <w:rsid w:val="00013BC8"/>
    <w:rsid w:val="00015806"/>
    <w:rsid w:val="00015AA7"/>
    <w:rsid w:val="00023282"/>
    <w:rsid w:val="00023AE7"/>
    <w:rsid w:val="00024BBE"/>
    <w:rsid w:val="00042399"/>
    <w:rsid w:val="000446D0"/>
    <w:rsid w:val="00044D56"/>
    <w:rsid w:val="00047F90"/>
    <w:rsid w:val="00051666"/>
    <w:rsid w:val="00061153"/>
    <w:rsid w:val="00065F4C"/>
    <w:rsid w:val="00065F6B"/>
    <w:rsid w:val="000707C9"/>
    <w:rsid w:val="00070DC8"/>
    <w:rsid w:val="000738BD"/>
    <w:rsid w:val="000836EA"/>
    <w:rsid w:val="000837F8"/>
    <w:rsid w:val="00090580"/>
    <w:rsid w:val="000A0A3E"/>
    <w:rsid w:val="000B16C8"/>
    <w:rsid w:val="000B5FFF"/>
    <w:rsid w:val="000C03CF"/>
    <w:rsid w:val="000C1E6B"/>
    <w:rsid w:val="000C3CE7"/>
    <w:rsid w:val="000D18AA"/>
    <w:rsid w:val="000D50D9"/>
    <w:rsid w:val="000E3733"/>
    <w:rsid w:val="000F4B59"/>
    <w:rsid w:val="000F5921"/>
    <w:rsid w:val="001026D9"/>
    <w:rsid w:val="00111B4C"/>
    <w:rsid w:val="001137B7"/>
    <w:rsid w:val="00113DE1"/>
    <w:rsid w:val="00113FB0"/>
    <w:rsid w:val="0011570E"/>
    <w:rsid w:val="001172BC"/>
    <w:rsid w:val="001231DE"/>
    <w:rsid w:val="00135C1B"/>
    <w:rsid w:val="001438E9"/>
    <w:rsid w:val="00145784"/>
    <w:rsid w:val="00146B8F"/>
    <w:rsid w:val="00152BB6"/>
    <w:rsid w:val="001668A8"/>
    <w:rsid w:val="0016791D"/>
    <w:rsid w:val="0017159B"/>
    <w:rsid w:val="0017554C"/>
    <w:rsid w:val="0018283B"/>
    <w:rsid w:val="00183449"/>
    <w:rsid w:val="00185692"/>
    <w:rsid w:val="001875CD"/>
    <w:rsid w:val="001A0528"/>
    <w:rsid w:val="001A1120"/>
    <w:rsid w:val="001A1789"/>
    <w:rsid w:val="001B071D"/>
    <w:rsid w:val="001B6D55"/>
    <w:rsid w:val="001B761E"/>
    <w:rsid w:val="001B7879"/>
    <w:rsid w:val="001C0F9F"/>
    <w:rsid w:val="001C76E3"/>
    <w:rsid w:val="001E0D5D"/>
    <w:rsid w:val="001E0DB9"/>
    <w:rsid w:val="001E10B2"/>
    <w:rsid w:val="001E370F"/>
    <w:rsid w:val="001E658B"/>
    <w:rsid w:val="001E70BD"/>
    <w:rsid w:val="001F0F74"/>
    <w:rsid w:val="001F2D01"/>
    <w:rsid w:val="001F675A"/>
    <w:rsid w:val="001F7B4F"/>
    <w:rsid w:val="00200562"/>
    <w:rsid w:val="00200A86"/>
    <w:rsid w:val="00201345"/>
    <w:rsid w:val="002064F3"/>
    <w:rsid w:val="00206E11"/>
    <w:rsid w:val="002075BB"/>
    <w:rsid w:val="00216AC4"/>
    <w:rsid w:val="00216B03"/>
    <w:rsid w:val="002225A3"/>
    <w:rsid w:val="00222FEF"/>
    <w:rsid w:val="00223BD1"/>
    <w:rsid w:val="00226CC9"/>
    <w:rsid w:val="0023111D"/>
    <w:rsid w:val="00235D59"/>
    <w:rsid w:val="002423B1"/>
    <w:rsid w:val="00244898"/>
    <w:rsid w:val="002452FE"/>
    <w:rsid w:val="00245313"/>
    <w:rsid w:val="00250EE7"/>
    <w:rsid w:val="00251ED2"/>
    <w:rsid w:val="00252494"/>
    <w:rsid w:val="0025338C"/>
    <w:rsid w:val="00270BEB"/>
    <w:rsid w:val="002713B0"/>
    <w:rsid w:val="00271961"/>
    <w:rsid w:val="00275324"/>
    <w:rsid w:val="002771FC"/>
    <w:rsid w:val="002828A3"/>
    <w:rsid w:val="00286811"/>
    <w:rsid w:val="0029431B"/>
    <w:rsid w:val="002A079B"/>
    <w:rsid w:val="002A589B"/>
    <w:rsid w:val="002B184C"/>
    <w:rsid w:val="002C0340"/>
    <w:rsid w:val="002C15B8"/>
    <w:rsid w:val="002C2DF7"/>
    <w:rsid w:val="002E12F0"/>
    <w:rsid w:val="002E7359"/>
    <w:rsid w:val="002E7D36"/>
    <w:rsid w:val="002E7D83"/>
    <w:rsid w:val="002F114C"/>
    <w:rsid w:val="002F3B04"/>
    <w:rsid w:val="002F71C6"/>
    <w:rsid w:val="00311EA2"/>
    <w:rsid w:val="00311F23"/>
    <w:rsid w:val="0031560D"/>
    <w:rsid w:val="00315BE1"/>
    <w:rsid w:val="0032516B"/>
    <w:rsid w:val="003304E1"/>
    <w:rsid w:val="0034272E"/>
    <w:rsid w:val="00344644"/>
    <w:rsid w:val="00344D8F"/>
    <w:rsid w:val="003558CF"/>
    <w:rsid w:val="00362EE2"/>
    <w:rsid w:val="00364B06"/>
    <w:rsid w:val="00364EB6"/>
    <w:rsid w:val="00372870"/>
    <w:rsid w:val="00373773"/>
    <w:rsid w:val="00385E67"/>
    <w:rsid w:val="003900AC"/>
    <w:rsid w:val="003B2E2E"/>
    <w:rsid w:val="003B5634"/>
    <w:rsid w:val="003C0F29"/>
    <w:rsid w:val="003D5C94"/>
    <w:rsid w:val="003E0AFE"/>
    <w:rsid w:val="003F170D"/>
    <w:rsid w:val="003F333C"/>
    <w:rsid w:val="003F75D3"/>
    <w:rsid w:val="0040503C"/>
    <w:rsid w:val="00406ADA"/>
    <w:rsid w:val="00413BB3"/>
    <w:rsid w:val="00417405"/>
    <w:rsid w:val="0042328F"/>
    <w:rsid w:val="004257CB"/>
    <w:rsid w:val="00430DB7"/>
    <w:rsid w:val="00431551"/>
    <w:rsid w:val="004428B6"/>
    <w:rsid w:val="00443979"/>
    <w:rsid w:val="00445781"/>
    <w:rsid w:val="0045483F"/>
    <w:rsid w:val="004561EB"/>
    <w:rsid w:val="00462414"/>
    <w:rsid w:val="00462770"/>
    <w:rsid w:val="00462ED2"/>
    <w:rsid w:val="00463EB2"/>
    <w:rsid w:val="00464CDB"/>
    <w:rsid w:val="00466373"/>
    <w:rsid w:val="0047085A"/>
    <w:rsid w:val="0047499A"/>
    <w:rsid w:val="0047767D"/>
    <w:rsid w:val="004808A5"/>
    <w:rsid w:val="00482006"/>
    <w:rsid w:val="00483A69"/>
    <w:rsid w:val="0048417B"/>
    <w:rsid w:val="0048503A"/>
    <w:rsid w:val="004959ED"/>
    <w:rsid w:val="004978C1"/>
    <w:rsid w:val="004A4694"/>
    <w:rsid w:val="004B1B7A"/>
    <w:rsid w:val="004B1F81"/>
    <w:rsid w:val="004B23DF"/>
    <w:rsid w:val="004B60DD"/>
    <w:rsid w:val="004C0549"/>
    <w:rsid w:val="004C2C49"/>
    <w:rsid w:val="004C7CE4"/>
    <w:rsid w:val="004D1F88"/>
    <w:rsid w:val="004D2A05"/>
    <w:rsid w:val="004E0449"/>
    <w:rsid w:val="004E1F5C"/>
    <w:rsid w:val="004F015E"/>
    <w:rsid w:val="004F1C2C"/>
    <w:rsid w:val="004F23E3"/>
    <w:rsid w:val="004F405B"/>
    <w:rsid w:val="00510BE5"/>
    <w:rsid w:val="00510EC0"/>
    <w:rsid w:val="0051180C"/>
    <w:rsid w:val="00513965"/>
    <w:rsid w:val="00516A6C"/>
    <w:rsid w:val="005229A8"/>
    <w:rsid w:val="00524469"/>
    <w:rsid w:val="00525B46"/>
    <w:rsid w:val="005347DF"/>
    <w:rsid w:val="005407E1"/>
    <w:rsid w:val="005468AC"/>
    <w:rsid w:val="00546C8D"/>
    <w:rsid w:val="00556320"/>
    <w:rsid w:val="0055746C"/>
    <w:rsid w:val="00562BE4"/>
    <w:rsid w:val="00567BA3"/>
    <w:rsid w:val="005701B2"/>
    <w:rsid w:val="005730E8"/>
    <w:rsid w:val="00573B66"/>
    <w:rsid w:val="005915CF"/>
    <w:rsid w:val="00592522"/>
    <w:rsid w:val="00593E97"/>
    <w:rsid w:val="005945D9"/>
    <w:rsid w:val="005A055E"/>
    <w:rsid w:val="005A1A0E"/>
    <w:rsid w:val="005A1F09"/>
    <w:rsid w:val="005A3B2A"/>
    <w:rsid w:val="005A4A93"/>
    <w:rsid w:val="005C0DB9"/>
    <w:rsid w:val="005C462C"/>
    <w:rsid w:val="005C7088"/>
    <w:rsid w:val="005D06FA"/>
    <w:rsid w:val="005D139E"/>
    <w:rsid w:val="005E3769"/>
    <w:rsid w:val="005E7B3B"/>
    <w:rsid w:val="005F4213"/>
    <w:rsid w:val="005F6357"/>
    <w:rsid w:val="005F7C87"/>
    <w:rsid w:val="006016A5"/>
    <w:rsid w:val="00602A5A"/>
    <w:rsid w:val="0061143F"/>
    <w:rsid w:val="00616EBD"/>
    <w:rsid w:val="00622C32"/>
    <w:rsid w:val="00626C3F"/>
    <w:rsid w:val="00630929"/>
    <w:rsid w:val="00632B42"/>
    <w:rsid w:val="00635148"/>
    <w:rsid w:val="0064559B"/>
    <w:rsid w:val="0065001D"/>
    <w:rsid w:val="0065412B"/>
    <w:rsid w:val="00662AC8"/>
    <w:rsid w:val="0067005C"/>
    <w:rsid w:val="006738CC"/>
    <w:rsid w:val="0068086E"/>
    <w:rsid w:val="0068320C"/>
    <w:rsid w:val="00685A46"/>
    <w:rsid w:val="00687C1E"/>
    <w:rsid w:val="00693C55"/>
    <w:rsid w:val="00697ACF"/>
    <w:rsid w:val="006B0ADC"/>
    <w:rsid w:val="006B5938"/>
    <w:rsid w:val="006B5BB7"/>
    <w:rsid w:val="006C1901"/>
    <w:rsid w:val="006C4AF8"/>
    <w:rsid w:val="006D24E1"/>
    <w:rsid w:val="006D5224"/>
    <w:rsid w:val="006D7E5C"/>
    <w:rsid w:val="006D7F47"/>
    <w:rsid w:val="006F5EBA"/>
    <w:rsid w:val="00703CAB"/>
    <w:rsid w:val="00703FBE"/>
    <w:rsid w:val="00706432"/>
    <w:rsid w:val="00712F8D"/>
    <w:rsid w:val="0072476B"/>
    <w:rsid w:val="007259D9"/>
    <w:rsid w:val="00726C31"/>
    <w:rsid w:val="0073108C"/>
    <w:rsid w:val="007321E8"/>
    <w:rsid w:val="00743D10"/>
    <w:rsid w:val="00760D82"/>
    <w:rsid w:val="00766E15"/>
    <w:rsid w:val="0076741B"/>
    <w:rsid w:val="00767458"/>
    <w:rsid w:val="0079103C"/>
    <w:rsid w:val="007A2B94"/>
    <w:rsid w:val="007A3152"/>
    <w:rsid w:val="007C36EF"/>
    <w:rsid w:val="007C7AFC"/>
    <w:rsid w:val="007F7024"/>
    <w:rsid w:val="007F77C7"/>
    <w:rsid w:val="008011DB"/>
    <w:rsid w:val="00807818"/>
    <w:rsid w:val="00807E6F"/>
    <w:rsid w:val="0081282D"/>
    <w:rsid w:val="00813C4B"/>
    <w:rsid w:val="00816D70"/>
    <w:rsid w:val="008221D7"/>
    <w:rsid w:val="008222E5"/>
    <w:rsid w:val="00827A8B"/>
    <w:rsid w:val="00840C3C"/>
    <w:rsid w:val="0084437D"/>
    <w:rsid w:val="0084609C"/>
    <w:rsid w:val="00846808"/>
    <w:rsid w:val="008474D3"/>
    <w:rsid w:val="00850BF3"/>
    <w:rsid w:val="008572FA"/>
    <w:rsid w:val="00866CEF"/>
    <w:rsid w:val="00867BE0"/>
    <w:rsid w:val="00871EA0"/>
    <w:rsid w:val="00874A0E"/>
    <w:rsid w:val="00874BF6"/>
    <w:rsid w:val="00875A3E"/>
    <w:rsid w:val="00875DD6"/>
    <w:rsid w:val="00890DBF"/>
    <w:rsid w:val="00896E68"/>
    <w:rsid w:val="008A768E"/>
    <w:rsid w:val="008B3A44"/>
    <w:rsid w:val="008B5C1D"/>
    <w:rsid w:val="008B7A4C"/>
    <w:rsid w:val="008C30E9"/>
    <w:rsid w:val="008C3ABE"/>
    <w:rsid w:val="008C45E0"/>
    <w:rsid w:val="008C57F7"/>
    <w:rsid w:val="008D51E5"/>
    <w:rsid w:val="008D65B9"/>
    <w:rsid w:val="008E3138"/>
    <w:rsid w:val="008F4830"/>
    <w:rsid w:val="008F4B10"/>
    <w:rsid w:val="008F5347"/>
    <w:rsid w:val="008F5FEF"/>
    <w:rsid w:val="00901B64"/>
    <w:rsid w:val="00905574"/>
    <w:rsid w:val="00907A70"/>
    <w:rsid w:val="009225E6"/>
    <w:rsid w:val="00923033"/>
    <w:rsid w:val="00925978"/>
    <w:rsid w:val="00926EEA"/>
    <w:rsid w:val="00927831"/>
    <w:rsid w:val="00931C38"/>
    <w:rsid w:val="00932A91"/>
    <w:rsid w:val="0093634F"/>
    <w:rsid w:val="00943C93"/>
    <w:rsid w:val="009448CE"/>
    <w:rsid w:val="0094554C"/>
    <w:rsid w:val="0095002B"/>
    <w:rsid w:val="00954D4E"/>
    <w:rsid w:val="00962CC2"/>
    <w:rsid w:val="00962D25"/>
    <w:rsid w:val="0096725B"/>
    <w:rsid w:val="009675B1"/>
    <w:rsid w:val="009726AD"/>
    <w:rsid w:val="009804BC"/>
    <w:rsid w:val="00987360"/>
    <w:rsid w:val="00990467"/>
    <w:rsid w:val="009922AE"/>
    <w:rsid w:val="00994108"/>
    <w:rsid w:val="009944F3"/>
    <w:rsid w:val="009A15B9"/>
    <w:rsid w:val="009A2C32"/>
    <w:rsid w:val="009A50B4"/>
    <w:rsid w:val="009B52CA"/>
    <w:rsid w:val="009D1380"/>
    <w:rsid w:val="009D1E5B"/>
    <w:rsid w:val="009D2BB4"/>
    <w:rsid w:val="009D39A1"/>
    <w:rsid w:val="009D534D"/>
    <w:rsid w:val="009D5E52"/>
    <w:rsid w:val="009D7A3D"/>
    <w:rsid w:val="009E2F95"/>
    <w:rsid w:val="009E5ECC"/>
    <w:rsid w:val="009E7D78"/>
    <w:rsid w:val="009E7F8E"/>
    <w:rsid w:val="009F186C"/>
    <w:rsid w:val="009F73C2"/>
    <w:rsid w:val="00A00654"/>
    <w:rsid w:val="00A078B7"/>
    <w:rsid w:val="00A10060"/>
    <w:rsid w:val="00A11BC3"/>
    <w:rsid w:val="00A14057"/>
    <w:rsid w:val="00A15BCD"/>
    <w:rsid w:val="00A2454B"/>
    <w:rsid w:val="00A3264A"/>
    <w:rsid w:val="00A32FC9"/>
    <w:rsid w:val="00A348DA"/>
    <w:rsid w:val="00A414D3"/>
    <w:rsid w:val="00A4304F"/>
    <w:rsid w:val="00A46928"/>
    <w:rsid w:val="00A5151D"/>
    <w:rsid w:val="00A537DC"/>
    <w:rsid w:val="00A54462"/>
    <w:rsid w:val="00A5671F"/>
    <w:rsid w:val="00A62234"/>
    <w:rsid w:val="00A733CD"/>
    <w:rsid w:val="00A80DAA"/>
    <w:rsid w:val="00A87AB7"/>
    <w:rsid w:val="00A90321"/>
    <w:rsid w:val="00AA0038"/>
    <w:rsid w:val="00AA2744"/>
    <w:rsid w:val="00AB050A"/>
    <w:rsid w:val="00AB3FE6"/>
    <w:rsid w:val="00AC03B2"/>
    <w:rsid w:val="00AC3EC9"/>
    <w:rsid w:val="00AD35FD"/>
    <w:rsid w:val="00AD7B87"/>
    <w:rsid w:val="00AE27D8"/>
    <w:rsid w:val="00AE4FC9"/>
    <w:rsid w:val="00AE5C3B"/>
    <w:rsid w:val="00AF6EB0"/>
    <w:rsid w:val="00B048C8"/>
    <w:rsid w:val="00B11005"/>
    <w:rsid w:val="00B140EC"/>
    <w:rsid w:val="00B20268"/>
    <w:rsid w:val="00B22C16"/>
    <w:rsid w:val="00B41DCC"/>
    <w:rsid w:val="00B42DF3"/>
    <w:rsid w:val="00B474EC"/>
    <w:rsid w:val="00B51C81"/>
    <w:rsid w:val="00B5394E"/>
    <w:rsid w:val="00B54E04"/>
    <w:rsid w:val="00B61DCF"/>
    <w:rsid w:val="00B623EB"/>
    <w:rsid w:val="00B6514D"/>
    <w:rsid w:val="00B6718A"/>
    <w:rsid w:val="00B73858"/>
    <w:rsid w:val="00B74D7F"/>
    <w:rsid w:val="00B8090E"/>
    <w:rsid w:val="00B818F5"/>
    <w:rsid w:val="00B81AEB"/>
    <w:rsid w:val="00B81C7C"/>
    <w:rsid w:val="00B8447E"/>
    <w:rsid w:val="00B866ED"/>
    <w:rsid w:val="00B87CB1"/>
    <w:rsid w:val="00B93327"/>
    <w:rsid w:val="00B9458B"/>
    <w:rsid w:val="00B9612E"/>
    <w:rsid w:val="00BA0FA5"/>
    <w:rsid w:val="00BA14A9"/>
    <w:rsid w:val="00BA6DE9"/>
    <w:rsid w:val="00BB1814"/>
    <w:rsid w:val="00BB2A47"/>
    <w:rsid w:val="00BB53F2"/>
    <w:rsid w:val="00BC64C0"/>
    <w:rsid w:val="00BD023E"/>
    <w:rsid w:val="00BE126F"/>
    <w:rsid w:val="00BE4437"/>
    <w:rsid w:val="00BF3EED"/>
    <w:rsid w:val="00BF4D56"/>
    <w:rsid w:val="00C0332A"/>
    <w:rsid w:val="00C0462C"/>
    <w:rsid w:val="00C07F3E"/>
    <w:rsid w:val="00C12A38"/>
    <w:rsid w:val="00C20598"/>
    <w:rsid w:val="00C256A7"/>
    <w:rsid w:val="00C26DD5"/>
    <w:rsid w:val="00C3038A"/>
    <w:rsid w:val="00C30601"/>
    <w:rsid w:val="00C30CFA"/>
    <w:rsid w:val="00C32E0A"/>
    <w:rsid w:val="00C37550"/>
    <w:rsid w:val="00C45884"/>
    <w:rsid w:val="00C47568"/>
    <w:rsid w:val="00C51641"/>
    <w:rsid w:val="00C53BAC"/>
    <w:rsid w:val="00C61C08"/>
    <w:rsid w:val="00C636E0"/>
    <w:rsid w:val="00C70FE2"/>
    <w:rsid w:val="00C7208C"/>
    <w:rsid w:val="00C818C1"/>
    <w:rsid w:val="00C87706"/>
    <w:rsid w:val="00C91CA4"/>
    <w:rsid w:val="00C921A5"/>
    <w:rsid w:val="00CA36B9"/>
    <w:rsid w:val="00CA7B8E"/>
    <w:rsid w:val="00CB4A9B"/>
    <w:rsid w:val="00CB7A8A"/>
    <w:rsid w:val="00CB7D55"/>
    <w:rsid w:val="00CC313A"/>
    <w:rsid w:val="00CC66D8"/>
    <w:rsid w:val="00CC6BA8"/>
    <w:rsid w:val="00CC793E"/>
    <w:rsid w:val="00CE1036"/>
    <w:rsid w:val="00CE2CA0"/>
    <w:rsid w:val="00CE7101"/>
    <w:rsid w:val="00CF16CD"/>
    <w:rsid w:val="00CF7650"/>
    <w:rsid w:val="00D0049E"/>
    <w:rsid w:val="00D00A93"/>
    <w:rsid w:val="00D023F9"/>
    <w:rsid w:val="00D03692"/>
    <w:rsid w:val="00D036DD"/>
    <w:rsid w:val="00D07C8E"/>
    <w:rsid w:val="00D1417F"/>
    <w:rsid w:val="00D14D96"/>
    <w:rsid w:val="00D16AB1"/>
    <w:rsid w:val="00D20FA4"/>
    <w:rsid w:val="00D27F7C"/>
    <w:rsid w:val="00D31978"/>
    <w:rsid w:val="00D337FB"/>
    <w:rsid w:val="00D42D18"/>
    <w:rsid w:val="00D43FFB"/>
    <w:rsid w:val="00D44D99"/>
    <w:rsid w:val="00D53A70"/>
    <w:rsid w:val="00D54BED"/>
    <w:rsid w:val="00D55FDC"/>
    <w:rsid w:val="00D745FF"/>
    <w:rsid w:val="00D80516"/>
    <w:rsid w:val="00D82788"/>
    <w:rsid w:val="00D923B3"/>
    <w:rsid w:val="00D933D3"/>
    <w:rsid w:val="00D95ABF"/>
    <w:rsid w:val="00D97D17"/>
    <w:rsid w:val="00DA16F8"/>
    <w:rsid w:val="00DA34DB"/>
    <w:rsid w:val="00DA4536"/>
    <w:rsid w:val="00DA6156"/>
    <w:rsid w:val="00DA78EE"/>
    <w:rsid w:val="00DB1DA5"/>
    <w:rsid w:val="00DB48B0"/>
    <w:rsid w:val="00DB5711"/>
    <w:rsid w:val="00DC1A5B"/>
    <w:rsid w:val="00DC39DB"/>
    <w:rsid w:val="00DC5367"/>
    <w:rsid w:val="00DC78A3"/>
    <w:rsid w:val="00DD115C"/>
    <w:rsid w:val="00DD391E"/>
    <w:rsid w:val="00DD6FD0"/>
    <w:rsid w:val="00DD7700"/>
    <w:rsid w:val="00DD7F6B"/>
    <w:rsid w:val="00DF01CA"/>
    <w:rsid w:val="00DF02AB"/>
    <w:rsid w:val="00DF2902"/>
    <w:rsid w:val="00DF2E8C"/>
    <w:rsid w:val="00DF2F72"/>
    <w:rsid w:val="00E0039F"/>
    <w:rsid w:val="00E1241F"/>
    <w:rsid w:val="00E140ED"/>
    <w:rsid w:val="00E1602C"/>
    <w:rsid w:val="00E3000E"/>
    <w:rsid w:val="00E30F9C"/>
    <w:rsid w:val="00E31D5C"/>
    <w:rsid w:val="00E34CF4"/>
    <w:rsid w:val="00E439FF"/>
    <w:rsid w:val="00E44D02"/>
    <w:rsid w:val="00E46A8F"/>
    <w:rsid w:val="00E46E14"/>
    <w:rsid w:val="00E54A66"/>
    <w:rsid w:val="00E54A6B"/>
    <w:rsid w:val="00E570DE"/>
    <w:rsid w:val="00E95538"/>
    <w:rsid w:val="00EA2BCD"/>
    <w:rsid w:val="00EB121A"/>
    <w:rsid w:val="00EB1D0C"/>
    <w:rsid w:val="00EB53DD"/>
    <w:rsid w:val="00EB6254"/>
    <w:rsid w:val="00EC03CF"/>
    <w:rsid w:val="00ED6502"/>
    <w:rsid w:val="00EE160F"/>
    <w:rsid w:val="00EE784F"/>
    <w:rsid w:val="00EF0E2B"/>
    <w:rsid w:val="00EF6A41"/>
    <w:rsid w:val="00F015A9"/>
    <w:rsid w:val="00F03544"/>
    <w:rsid w:val="00F045BC"/>
    <w:rsid w:val="00F047AD"/>
    <w:rsid w:val="00F060A9"/>
    <w:rsid w:val="00F21D4F"/>
    <w:rsid w:val="00F23201"/>
    <w:rsid w:val="00F30E26"/>
    <w:rsid w:val="00F31753"/>
    <w:rsid w:val="00F349CF"/>
    <w:rsid w:val="00F34EBC"/>
    <w:rsid w:val="00F35E07"/>
    <w:rsid w:val="00F446A4"/>
    <w:rsid w:val="00F47019"/>
    <w:rsid w:val="00F47AE4"/>
    <w:rsid w:val="00F51CB6"/>
    <w:rsid w:val="00F54653"/>
    <w:rsid w:val="00F54B6C"/>
    <w:rsid w:val="00F55F08"/>
    <w:rsid w:val="00F648F9"/>
    <w:rsid w:val="00F716F0"/>
    <w:rsid w:val="00F75D10"/>
    <w:rsid w:val="00F770B5"/>
    <w:rsid w:val="00F87DB6"/>
    <w:rsid w:val="00FA2217"/>
    <w:rsid w:val="00FA372B"/>
    <w:rsid w:val="00FB327D"/>
    <w:rsid w:val="00FB49F4"/>
    <w:rsid w:val="00FB57F0"/>
    <w:rsid w:val="00FB771B"/>
    <w:rsid w:val="00FB798F"/>
    <w:rsid w:val="00FC223F"/>
    <w:rsid w:val="00FC34E6"/>
    <w:rsid w:val="00FD0388"/>
    <w:rsid w:val="00FD0FF6"/>
    <w:rsid w:val="00FE005A"/>
    <w:rsid w:val="00FE5D9D"/>
    <w:rsid w:val="00FF1045"/>
    <w:rsid w:val="00FF4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EDEBC"/>
  <w15:docId w15:val="{E8D770DF-9488-4DBE-805B-4B46A78F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chart" Target="charts/chart2.xml"/><Relationship Id="rId26" Type="http://schemas.openxmlformats.org/officeDocument/2006/relationships/chart" Target="charts/chart8.xml"/><Relationship Id="rId21" Type="http://schemas.openxmlformats.org/officeDocument/2006/relationships/image" Target="media/image4.emf"/><Relationship Id="rId34"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1.xml"/><Relationship Id="rId25" Type="http://schemas.openxmlformats.org/officeDocument/2006/relationships/chart" Target="charts/chart7.xml"/><Relationship Id="rId33"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chart" Target="charts/chart4.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5.emf"/><Relationship Id="rId32" Type="http://schemas.openxmlformats.org/officeDocument/2006/relationships/chart" Target="charts/chart1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chart" Target="charts/chart6.xml"/><Relationship Id="rId28" Type="http://schemas.openxmlformats.org/officeDocument/2006/relationships/chart" Target="charts/chart1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hart" Target="charts/chart3.xml"/><Relationship Id="rId31"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hart" Target="charts/chart5.xml"/><Relationship Id="rId27" Type="http://schemas.openxmlformats.org/officeDocument/2006/relationships/chart" Target="charts/chart9.xml"/><Relationship Id="rId30" Type="http://schemas.openxmlformats.org/officeDocument/2006/relationships/chart" Target="charts/chart11.xml"/><Relationship Id="rId35" Type="http://schemas.openxmlformats.org/officeDocument/2006/relationships/hyperlink" Target="https://www.nber.org/system/files/working_papers/w16724/w16724.pdf"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E:\Assignments\Salah\Salah%20MBA\Ratios%20work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1"/>
          <c:order val="0"/>
          <c:tx>
            <c:strRef>
              <c:f>'Ratios (3)'!$C$6</c:f>
              <c:strCache>
                <c:ptCount val="1"/>
                <c:pt idx="0">
                  <c:v>Return on Capital Employed</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(3)'!$D$6:$H$6</c:f>
              <c:numCache>
                <c:formatCode>0%</c:formatCode>
                <c:ptCount val="5"/>
                <c:pt idx="0">
                  <c:v>0.11266400628816736</c:v>
                </c:pt>
                <c:pt idx="1">
                  <c:v>7.9210113059977313E-2</c:v>
                </c:pt>
                <c:pt idx="2">
                  <c:v>5.0568320066738504E-2</c:v>
                </c:pt>
                <c:pt idx="3">
                  <c:v>-0.43806105051252031</c:v>
                </c:pt>
                <c:pt idx="4">
                  <c:v>-9.2673706403009759E-2</c:v>
                </c:pt>
              </c:numCache>
            </c:numRef>
          </c:val>
          <c:smooth val="0"/>
          <c:extLst>
            <c:ext xmlns:c16="http://schemas.microsoft.com/office/drawing/2014/chart" uri="{C3380CC4-5D6E-409C-BE32-E72D297353CC}">
              <c16:uniqueId val="{00000000-FAB0-4D26-8452-55FF2B93978C}"/>
            </c:ext>
          </c:extLst>
        </c:ser>
        <c:dLbls>
          <c:showLegendKey val="0"/>
          <c:showVal val="1"/>
          <c:showCatName val="0"/>
          <c:showSerName val="0"/>
          <c:showPercent val="0"/>
          <c:showBubbleSize val="0"/>
        </c:dLbls>
        <c:marker val="1"/>
        <c:smooth val="0"/>
        <c:axId val="249012224"/>
        <c:axId val="249013760"/>
      </c:lineChart>
      <c:catAx>
        <c:axId val="249012224"/>
        <c:scaling>
          <c:orientation val="minMax"/>
        </c:scaling>
        <c:delete val="0"/>
        <c:axPos val="b"/>
        <c:numFmt formatCode="General" sourceLinked="1"/>
        <c:majorTickMark val="none"/>
        <c:minorTickMark val="none"/>
        <c:tickLblPos val="nextTo"/>
        <c:crossAx val="249013760"/>
        <c:crosses val="autoZero"/>
        <c:auto val="1"/>
        <c:lblAlgn val="ctr"/>
        <c:lblOffset val="100"/>
        <c:noMultiLvlLbl val="0"/>
      </c:catAx>
      <c:valAx>
        <c:axId val="249013760"/>
        <c:scaling>
          <c:orientation val="minMax"/>
        </c:scaling>
        <c:delete val="1"/>
        <c:axPos val="l"/>
        <c:numFmt formatCode="0%" sourceLinked="1"/>
        <c:majorTickMark val="out"/>
        <c:minorTickMark val="none"/>
        <c:tickLblPos val="nextTo"/>
        <c:crossAx val="249012224"/>
        <c:crosses val="autoZero"/>
        <c:crossBetween val="between"/>
      </c:val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ndard"/>
        <c:varyColors val="0"/>
        <c:ser>
          <c:idx val="0"/>
          <c:order val="0"/>
          <c:tx>
            <c:strRef>
              <c:f>'Ratios (3)'!$C$7</c:f>
              <c:strCache>
                <c:ptCount val="1"/>
                <c:pt idx="0">
                  <c:v>Return on Equity</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(3)'!$D$7:$H$7</c:f>
              <c:numCache>
                <c:formatCode>0%</c:formatCode>
                <c:ptCount val="5"/>
                <c:pt idx="0">
                  <c:v>0.1231148320624575</c:v>
                </c:pt>
                <c:pt idx="1">
                  <c:v>1.9210071426241804E-2</c:v>
                </c:pt>
                <c:pt idx="2">
                  <c:v>1.5163595448685946E-3</c:v>
                </c:pt>
                <c:pt idx="3">
                  <c:v>-0.54906103286384977</c:v>
                </c:pt>
                <c:pt idx="4">
                  <c:v>-0.1569445805166389</c:v>
                </c:pt>
              </c:numCache>
            </c:numRef>
          </c:val>
          <c:smooth val="0"/>
          <c:extLst>
            <c:ext xmlns:c16="http://schemas.microsoft.com/office/drawing/2014/chart" uri="{C3380CC4-5D6E-409C-BE32-E72D297353CC}">
              <c16:uniqueId val="{00000000-1E9E-4CFF-94E8-E68D2C2E1360}"/>
            </c:ext>
          </c:extLst>
        </c:ser>
        <c:dLbls>
          <c:showLegendKey val="0"/>
          <c:showVal val="1"/>
          <c:showCatName val="0"/>
          <c:showSerName val="0"/>
          <c:showPercent val="0"/>
          <c:showBubbleSize val="0"/>
        </c:dLbls>
        <c:marker val="1"/>
        <c:smooth val="0"/>
        <c:axId val="146972032"/>
        <c:axId val="146982016"/>
      </c:lineChart>
      <c:catAx>
        <c:axId val="146972032"/>
        <c:scaling>
          <c:orientation val="minMax"/>
        </c:scaling>
        <c:delete val="0"/>
        <c:axPos val="b"/>
        <c:numFmt formatCode="General" sourceLinked="1"/>
        <c:majorTickMark val="none"/>
        <c:minorTickMark val="none"/>
        <c:tickLblPos val="nextTo"/>
        <c:crossAx val="146982016"/>
        <c:crosses val="autoZero"/>
        <c:auto val="1"/>
        <c:lblAlgn val="ctr"/>
        <c:lblOffset val="100"/>
        <c:noMultiLvlLbl val="0"/>
      </c:catAx>
      <c:valAx>
        <c:axId val="146982016"/>
        <c:scaling>
          <c:orientation val="minMax"/>
        </c:scaling>
        <c:delete val="1"/>
        <c:axPos val="l"/>
        <c:numFmt formatCode="0%" sourceLinked="1"/>
        <c:majorTickMark val="out"/>
        <c:minorTickMark val="none"/>
        <c:tickLblPos val="nextTo"/>
        <c:crossAx val="146972032"/>
        <c:crosses val="autoZero"/>
        <c:crossBetween val="between"/>
      </c:valAx>
    </c:plotArea>
    <c:legend>
      <c:legendPos val="t"/>
      <c:overlay val="0"/>
    </c:legend>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cked"/>
        <c:varyColors val="0"/>
        <c:ser>
          <c:idx val="0"/>
          <c:order val="0"/>
          <c:tx>
            <c:strRef>
              <c:f>'Ratios (3)'!$C$8</c:f>
              <c:strCache>
                <c:ptCount val="1"/>
                <c:pt idx="0">
                  <c:v>Gross Profit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(3)'!$D$8:$H$8</c:f>
              <c:numCache>
                <c:formatCode>0%</c:formatCode>
                <c:ptCount val="5"/>
                <c:pt idx="0">
                  <c:v>0.28674432224897506</c:v>
                </c:pt>
                <c:pt idx="1">
                  <c:v>0.28759212901552855</c:v>
                </c:pt>
                <c:pt idx="2">
                  <c:v>0.28059275800505207</c:v>
                </c:pt>
                <c:pt idx="3">
                  <c:v>0.23203324002216635</c:v>
                </c:pt>
                <c:pt idx="4">
                  <c:v>0.28868083640811487</c:v>
                </c:pt>
              </c:numCache>
            </c:numRef>
          </c:val>
          <c:smooth val="0"/>
          <c:extLst>
            <c:ext xmlns:c16="http://schemas.microsoft.com/office/drawing/2014/chart" uri="{C3380CC4-5D6E-409C-BE32-E72D297353CC}">
              <c16:uniqueId val="{00000000-36E6-45B1-8013-F5A3E5B3B9D2}"/>
            </c:ext>
          </c:extLst>
        </c:ser>
        <c:dLbls>
          <c:showLegendKey val="0"/>
          <c:showVal val="1"/>
          <c:showCatName val="0"/>
          <c:showSerName val="0"/>
          <c:showPercent val="0"/>
          <c:showBubbleSize val="0"/>
        </c:dLbls>
        <c:marker val="1"/>
        <c:smooth val="0"/>
        <c:axId val="157988736"/>
        <c:axId val="157990272"/>
      </c:lineChart>
      <c:catAx>
        <c:axId val="157988736"/>
        <c:scaling>
          <c:orientation val="minMax"/>
        </c:scaling>
        <c:delete val="0"/>
        <c:axPos val="b"/>
        <c:numFmt formatCode="General" sourceLinked="1"/>
        <c:majorTickMark val="none"/>
        <c:minorTickMark val="none"/>
        <c:tickLblPos val="nextTo"/>
        <c:crossAx val="157990272"/>
        <c:crosses val="autoZero"/>
        <c:auto val="1"/>
        <c:lblAlgn val="ctr"/>
        <c:lblOffset val="100"/>
        <c:noMultiLvlLbl val="0"/>
      </c:catAx>
      <c:valAx>
        <c:axId val="157990272"/>
        <c:scaling>
          <c:orientation val="minMax"/>
        </c:scaling>
        <c:delete val="1"/>
        <c:axPos val="l"/>
        <c:numFmt formatCode="0%" sourceLinked="1"/>
        <c:majorTickMark val="none"/>
        <c:minorTickMark val="none"/>
        <c:tickLblPos val="nextTo"/>
        <c:crossAx val="157988736"/>
        <c:crosses val="autoZero"/>
        <c:crossBetween val="between"/>
      </c:valAx>
    </c:plotArea>
    <c:plotVisOnly val="1"/>
    <c:dispBlanksAs val="zero"/>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percentStacked"/>
        <c:varyColors val="0"/>
        <c:ser>
          <c:idx val="0"/>
          <c:order val="0"/>
          <c:tx>
            <c:strRef>
              <c:f>'Ratios (3)'!$C$9</c:f>
              <c:strCache>
                <c:ptCount val="1"/>
                <c:pt idx="0">
                  <c:v>Operating Profit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(3)'!$D$9:$H$9</c:f>
              <c:numCache>
                <c:formatCode>0%</c:formatCode>
                <c:ptCount val="5"/>
                <c:pt idx="0">
                  <c:v>6.0628294397084663E-2</c:v>
                </c:pt>
                <c:pt idx="1">
                  <c:v>3.8651799694814845E-2</c:v>
                </c:pt>
                <c:pt idx="2">
                  <c:v>2.6804188292605634E-2</c:v>
                </c:pt>
                <c:pt idx="3">
                  <c:v>-0.20287686969178775</c:v>
                </c:pt>
                <c:pt idx="4">
                  <c:v>-3.8738448993235905E-2</c:v>
                </c:pt>
              </c:numCache>
            </c:numRef>
          </c:val>
          <c:smooth val="0"/>
          <c:extLst>
            <c:ext xmlns:c16="http://schemas.microsoft.com/office/drawing/2014/chart" uri="{C3380CC4-5D6E-409C-BE32-E72D297353CC}">
              <c16:uniqueId val="{00000000-B04E-4D43-B15A-295A52F17BD4}"/>
            </c:ext>
          </c:extLst>
        </c:ser>
        <c:dLbls>
          <c:showLegendKey val="0"/>
          <c:showVal val="1"/>
          <c:showCatName val="0"/>
          <c:showSerName val="0"/>
          <c:showPercent val="0"/>
          <c:showBubbleSize val="0"/>
        </c:dLbls>
        <c:marker val="1"/>
        <c:smooth val="0"/>
        <c:axId val="162549760"/>
        <c:axId val="162551296"/>
      </c:lineChart>
      <c:catAx>
        <c:axId val="162549760"/>
        <c:scaling>
          <c:orientation val="minMax"/>
        </c:scaling>
        <c:delete val="0"/>
        <c:axPos val="b"/>
        <c:numFmt formatCode="General" sourceLinked="1"/>
        <c:majorTickMark val="none"/>
        <c:minorTickMark val="none"/>
        <c:tickLblPos val="nextTo"/>
        <c:crossAx val="162551296"/>
        <c:crosses val="autoZero"/>
        <c:auto val="1"/>
        <c:lblAlgn val="ctr"/>
        <c:lblOffset val="100"/>
        <c:noMultiLvlLbl val="0"/>
      </c:catAx>
      <c:valAx>
        <c:axId val="162551296"/>
        <c:scaling>
          <c:orientation val="minMax"/>
        </c:scaling>
        <c:delete val="1"/>
        <c:axPos val="l"/>
        <c:numFmt formatCode="0%" sourceLinked="1"/>
        <c:majorTickMark val="out"/>
        <c:minorTickMark val="none"/>
        <c:tickLblPos val="nextTo"/>
        <c:crossAx val="162549760"/>
        <c:crosses val="autoZero"/>
        <c:crossBetween val="between"/>
      </c:valAx>
    </c:plotArea>
    <c:plotVisOnly val="1"/>
    <c:dispBlanksAs val="zero"/>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2"/>
    </mc:Choice>
    <mc:Fallback>
      <c:style val="12"/>
    </mc:Fallback>
  </mc:AlternateContent>
  <c:chart>
    <c:title>
      <c:overlay val="0"/>
    </c:title>
    <c:autoTitleDeleted val="0"/>
    <c:plotArea>
      <c:layout/>
      <c:lineChart>
        <c:grouping val="standard"/>
        <c:varyColors val="0"/>
        <c:ser>
          <c:idx val="0"/>
          <c:order val="0"/>
          <c:tx>
            <c:strRef>
              <c:f>'Ratios (3)'!$C$11</c:f>
              <c:strCache>
                <c:ptCount val="1"/>
                <c:pt idx="0">
                  <c:v>Current Ratio</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(3)'!$D$11:$H$11</c:f>
              <c:numCache>
                <c:formatCode>[$£-809]#,##0.00</c:formatCode>
                <c:ptCount val="5"/>
                <c:pt idx="0">
                  <c:v>1.8207509330956493</c:v>
                </c:pt>
                <c:pt idx="1">
                  <c:v>1.5551947303113194</c:v>
                </c:pt>
                <c:pt idx="2">
                  <c:v>1.5615804280441441</c:v>
                </c:pt>
                <c:pt idx="3">
                  <c:v>1.6062935934668752</c:v>
                </c:pt>
                <c:pt idx="4">
                  <c:v>1.5319506478574272</c:v>
                </c:pt>
              </c:numCache>
            </c:numRef>
          </c:val>
          <c:smooth val="0"/>
          <c:extLst>
            <c:ext xmlns:c16="http://schemas.microsoft.com/office/drawing/2014/chart" uri="{C3380CC4-5D6E-409C-BE32-E72D297353CC}">
              <c16:uniqueId val="{00000000-613C-4A2F-9603-C1978CAEF318}"/>
            </c:ext>
          </c:extLst>
        </c:ser>
        <c:dLbls>
          <c:showLegendKey val="0"/>
          <c:showVal val="1"/>
          <c:showCatName val="0"/>
          <c:showSerName val="0"/>
          <c:showPercent val="0"/>
          <c:showBubbleSize val="0"/>
        </c:dLbls>
        <c:smooth val="0"/>
        <c:axId val="162563968"/>
        <c:axId val="162565504"/>
      </c:lineChart>
      <c:catAx>
        <c:axId val="162563968"/>
        <c:scaling>
          <c:orientation val="minMax"/>
        </c:scaling>
        <c:delete val="0"/>
        <c:axPos val="b"/>
        <c:numFmt formatCode="General" sourceLinked="1"/>
        <c:majorTickMark val="none"/>
        <c:minorTickMark val="none"/>
        <c:tickLblPos val="nextTo"/>
        <c:crossAx val="162565504"/>
        <c:crosses val="autoZero"/>
        <c:auto val="1"/>
        <c:lblAlgn val="ctr"/>
        <c:lblOffset val="100"/>
        <c:noMultiLvlLbl val="0"/>
      </c:catAx>
      <c:valAx>
        <c:axId val="162565504"/>
        <c:scaling>
          <c:orientation val="minMax"/>
        </c:scaling>
        <c:delete val="1"/>
        <c:axPos val="l"/>
        <c:numFmt formatCode="[$£-809]#,##0.00" sourceLinked="1"/>
        <c:majorTickMark val="out"/>
        <c:minorTickMark val="none"/>
        <c:tickLblPos val="nextTo"/>
        <c:crossAx val="162563968"/>
        <c:crosses val="autoZero"/>
        <c:crossBetween val="between"/>
      </c:valAx>
    </c:plotArea>
    <c:plotVisOnly val="1"/>
    <c:dispBlanksAs val="zero"/>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ndard"/>
        <c:varyColors val="0"/>
        <c:ser>
          <c:idx val="0"/>
          <c:order val="0"/>
          <c:tx>
            <c:strRef>
              <c:f>'Ratios (3)'!$C$12</c:f>
              <c:strCache>
                <c:ptCount val="1"/>
                <c:pt idx="0">
                  <c:v>Quick Ratio</c:v>
                </c:pt>
              </c:strCache>
            </c:strRef>
          </c:tx>
          <c:marker>
            <c:symbol val="none"/>
          </c:marker>
          <c:cat>
            <c:numRef>
              <c:f>'Ratios (3)'!$D$5:$H$5</c:f>
              <c:numCache>
                <c:formatCode>General</c:formatCode>
                <c:ptCount val="5"/>
                <c:pt idx="0">
                  <c:v>2020</c:v>
                </c:pt>
                <c:pt idx="1">
                  <c:v>2021</c:v>
                </c:pt>
                <c:pt idx="2">
                  <c:v>2022</c:v>
                </c:pt>
                <c:pt idx="3">
                  <c:v>2023</c:v>
                </c:pt>
                <c:pt idx="4">
                  <c:v>2024</c:v>
                </c:pt>
              </c:numCache>
            </c:numRef>
          </c:cat>
          <c:val>
            <c:numRef>
              <c:f>'Ratios (3)'!$D$12:$H$12</c:f>
              <c:numCache>
                <c:formatCode>[$£-809]#,##0.00</c:formatCode>
                <c:ptCount val="5"/>
                <c:pt idx="0">
                  <c:v>-1.1498690880730877</c:v>
                </c:pt>
                <c:pt idx="1">
                  <c:v>-0.93491307135575474</c:v>
                </c:pt>
                <c:pt idx="2">
                  <c:v>-0.9140123710578224</c:v>
                </c:pt>
                <c:pt idx="3">
                  <c:v>-1.0585176359619728</c:v>
                </c:pt>
                <c:pt idx="4">
                  <c:v>-1.0306271360974408</c:v>
                </c:pt>
              </c:numCache>
            </c:numRef>
          </c:val>
          <c:smooth val="0"/>
          <c:extLst>
            <c:ext xmlns:c16="http://schemas.microsoft.com/office/drawing/2014/chart" uri="{C3380CC4-5D6E-409C-BE32-E72D297353CC}">
              <c16:uniqueId val="{00000000-1E7F-4203-9D1E-FF23BE4394AB}"/>
            </c:ext>
          </c:extLst>
        </c:ser>
        <c:dLbls>
          <c:showLegendKey val="0"/>
          <c:showVal val="0"/>
          <c:showCatName val="0"/>
          <c:showSerName val="0"/>
          <c:showPercent val="0"/>
          <c:showBubbleSize val="0"/>
        </c:dLbls>
        <c:smooth val="0"/>
        <c:axId val="162577408"/>
        <c:axId val="162579200"/>
      </c:lineChart>
      <c:catAx>
        <c:axId val="162577408"/>
        <c:scaling>
          <c:orientation val="minMax"/>
        </c:scaling>
        <c:delete val="0"/>
        <c:axPos val="b"/>
        <c:numFmt formatCode="General" sourceLinked="1"/>
        <c:majorTickMark val="out"/>
        <c:minorTickMark val="none"/>
        <c:tickLblPos val="nextTo"/>
        <c:crossAx val="162579200"/>
        <c:crosses val="autoZero"/>
        <c:auto val="1"/>
        <c:lblAlgn val="ctr"/>
        <c:lblOffset val="100"/>
        <c:noMultiLvlLbl val="0"/>
      </c:catAx>
      <c:valAx>
        <c:axId val="162579200"/>
        <c:scaling>
          <c:orientation val="minMax"/>
        </c:scaling>
        <c:delete val="0"/>
        <c:axPos val="l"/>
        <c:majorGridlines/>
        <c:numFmt formatCode="[$£-809]#,##0.00" sourceLinked="1"/>
        <c:majorTickMark val="out"/>
        <c:minorTickMark val="none"/>
        <c:tickLblPos val="nextTo"/>
        <c:crossAx val="162577408"/>
        <c:crosses val="autoZero"/>
        <c:crossBetween val="between"/>
      </c:val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cked"/>
        <c:varyColors val="0"/>
        <c:ser>
          <c:idx val="0"/>
          <c:order val="0"/>
          <c:tx>
            <c:strRef>
              <c:f>'Ratios (3)'!$C$14</c:f>
              <c:strCache>
                <c:ptCount val="1"/>
                <c:pt idx="0">
                  <c:v>Assets Turnover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(3)'!$D$14:$H$14</c:f>
              <c:numCache>
                <c:formatCode>[$£-809]#,##0.00</c:formatCode>
                <c:ptCount val="5"/>
                <c:pt idx="0">
                  <c:v>3.4242103503983063</c:v>
                </c:pt>
                <c:pt idx="1">
                  <c:v>2.7750833767707475</c:v>
                </c:pt>
                <c:pt idx="2">
                  <c:v>2.5072457073168479</c:v>
                </c:pt>
                <c:pt idx="3">
                  <c:v>2.6091357013428649</c:v>
                </c:pt>
                <c:pt idx="4">
                  <c:v>2.494639619435091</c:v>
                </c:pt>
              </c:numCache>
            </c:numRef>
          </c:val>
          <c:smooth val="0"/>
          <c:extLst>
            <c:ext xmlns:c16="http://schemas.microsoft.com/office/drawing/2014/chart" uri="{C3380CC4-5D6E-409C-BE32-E72D297353CC}">
              <c16:uniqueId val="{00000000-01CA-4625-A223-665201A73112}"/>
            </c:ext>
          </c:extLst>
        </c:ser>
        <c:dLbls>
          <c:showLegendKey val="0"/>
          <c:showVal val="1"/>
          <c:showCatName val="0"/>
          <c:showSerName val="0"/>
          <c:showPercent val="0"/>
          <c:showBubbleSize val="0"/>
        </c:dLbls>
        <c:marker val="1"/>
        <c:smooth val="0"/>
        <c:axId val="170620032"/>
        <c:axId val="170621568"/>
      </c:lineChart>
      <c:catAx>
        <c:axId val="170620032"/>
        <c:scaling>
          <c:orientation val="minMax"/>
        </c:scaling>
        <c:delete val="0"/>
        <c:axPos val="b"/>
        <c:numFmt formatCode="General" sourceLinked="1"/>
        <c:majorTickMark val="none"/>
        <c:minorTickMark val="none"/>
        <c:tickLblPos val="nextTo"/>
        <c:crossAx val="170621568"/>
        <c:crosses val="autoZero"/>
        <c:auto val="1"/>
        <c:lblAlgn val="ctr"/>
        <c:lblOffset val="100"/>
        <c:noMultiLvlLbl val="0"/>
      </c:catAx>
      <c:valAx>
        <c:axId val="170621568"/>
        <c:scaling>
          <c:orientation val="minMax"/>
        </c:scaling>
        <c:delete val="1"/>
        <c:axPos val="l"/>
        <c:numFmt formatCode="[$£-809]#,##0.00" sourceLinked="1"/>
        <c:majorTickMark val="out"/>
        <c:minorTickMark val="none"/>
        <c:tickLblPos val="nextTo"/>
        <c:crossAx val="170620032"/>
        <c:crosses val="autoZero"/>
        <c:crossBetween val="between"/>
      </c:valAx>
    </c:plotArea>
    <c:legend>
      <c:legendPos val="t"/>
      <c:overlay val="0"/>
    </c:legend>
    <c:plotVisOnly val="1"/>
    <c:dispBlanksAs val="zero"/>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ndard"/>
        <c:varyColors val="0"/>
        <c:ser>
          <c:idx val="0"/>
          <c:order val="0"/>
          <c:tx>
            <c:strRef>
              <c:f>'Ratios (3)'!$C$15</c:f>
              <c:strCache>
                <c:ptCount val="1"/>
                <c:pt idx="0">
                  <c:v>Stock Holding Period</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(3)'!$D$15:$H$15</c:f>
              <c:numCache>
                <c:formatCode>0</c:formatCode>
                <c:ptCount val="5"/>
                <c:pt idx="0">
                  <c:v>100.26127675492218</c:v>
                </c:pt>
                <c:pt idx="1">
                  <c:v>114.51887135837381</c:v>
                </c:pt>
                <c:pt idx="2">
                  <c:v>131.04081350410669</c:v>
                </c:pt>
                <c:pt idx="3">
                  <c:v>99.783042270445378</c:v>
                </c:pt>
                <c:pt idx="4">
                  <c:v>103.11898107766524</c:v>
                </c:pt>
              </c:numCache>
            </c:numRef>
          </c:val>
          <c:smooth val="0"/>
          <c:extLst>
            <c:ext xmlns:c16="http://schemas.microsoft.com/office/drawing/2014/chart" uri="{C3380CC4-5D6E-409C-BE32-E72D297353CC}">
              <c16:uniqueId val="{00000000-2D5D-4442-AB0E-E489783958F2}"/>
            </c:ext>
          </c:extLst>
        </c:ser>
        <c:dLbls>
          <c:showLegendKey val="0"/>
          <c:showVal val="1"/>
          <c:showCatName val="0"/>
          <c:showSerName val="0"/>
          <c:showPercent val="0"/>
          <c:showBubbleSize val="0"/>
        </c:dLbls>
        <c:marker val="1"/>
        <c:smooth val="0"/>
        <c:axId val="199126400"/>
        <c:axId val="199128192"/>
      </c:lineChart>
      <c:catAx>
        <c:axId val="199126400"/>
        <c:scaling>
          <c:orientation val="minMax"/>
        </c:scaling>
        <c:delete val="0"/>
        <c:axPos val="b"/>
        <c:numFmt formatCode="General" sourceLinked="1"/>
        <c:majorTickMark val="none"/>
        <c:minorTickMark val="none"/>
        <c:tickLblPos val="nextTo"/>
        <c:crossAx val="199128192"/>
        <c:crosses val="autoZero"/>
        <c:auto val="1"/>
        <c:lblAlgn val="ctr"/>
        <c:lblOffset val="100"/>
        <c:noMultiLvlLbl val="0"/>
      </c:catAx>
      <c:valAx>
        <c:axId val="199128192"/>
        <c:scaling>
          <c:orientation val="minMax"/>
        </c:scaling>
        <c:delete val="1"/>
        <c:axPos val="l"/>
        <c:numFmt formatCode="0" sourceLinked="1"/>
        <c:majorTickMark val="out"/>
        <c:minorTickMark val="none"/>
        <c:tickLblPos val="nextTo"/>
        <c:crossAx val="199126400"/>
        <c:crosses val="autoZero"/>
        <c:crossBetween val="between"/>
      </c:val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ndard"/>
        <c:varyColors val="0"/>
        <c:ser>
          <c:idx val="0"/>
          <c:order val="0"/>
          <c:tx>
            <c:strRef>
              <c:f>'Ratios (3)'!$C$16</c:f>
              <c:strCache>
                <c:ptCount val="1"/>
                <c:pt idx="0">
                  <c:v>Average settlement period for receivables</c:v>
                </c:pt>
              </c:strCache>
            </c:strRef>
          </c:tx>
          <c:marker>
            <c:symbol val="none"/>
          </c:marker>
          <c:cat>
            <c:numRef>
              <c:f>'Ratios (3)'!$D$13:$H$13</c:f>
              <c:numCache>
                <c:formatCode>General</c:formatCode>
                <c:ptCount val="5"/>
                <c:pt idx="0">
                  <c:v>2020</c:v>
                </c:pt>
                <c:pt idx="1">
                  <c:v>2021</c:v>
                </c:pt>
                <c:pt idx="2">
                  <c:v>2022</c:v>
                </c:pt>
                <c:pt idx="3">
                  <c:v>2023</c:v>
                </c:pt>
                <c:pt idx="4">
                  <c:v>2024</c:v>
                </c:pt>
              </c:numCache>
            </c:numRef>
          </c:cat>
          <c:val>
            <c:numRef>
              <c:f>'Ratios (3)'!$D$16:$H$16</c:f>
              <c:numCache>
                <c:formatCode>0</c:formatCode>
                <c:ptCount val="5"/>
                <c:pt idx="0">
                  <c:v>-76.857950478297653</c:v>
                </c:pt>
                <c:pt idx="1">
                  <c:v>-78.396473083533635</c:v>
                </c:pt>
                <c:pt idx="2">
                  <c:v>-75.552675167802548</c:v>
                </c:pt>
                <c:pt idx="3">
                  <c:v>-97.744929921490183</c:v>
                </c:pt>
                <c:pt idx="4">
                  <c:v>-105.54228004021485</c:v>
                </c:pt>
              </c:numCache>
            </c:numRef>
          </c:val>
          <c:smooth val="0"/>
          <c:extLst>
            <c:ext xmlns:c16="http://schemas.microsoft.com/office/drawing/2014/chart" uri="{C3380CC4-5D6E-409C-BE32-E72D297353CC}">
              <c16:uniqueId val="{00000000-BB11-4885-8C8C-E10E27B06BF3}"/>
            </c:ext>
          </c:extLst>
        </c:ser>
        <c:dLbls>
          <c:showLegendKey val="0"/>
          <c:showVal val="0"/>
          <c:showCatName val="0"/>
          <c:showSerName val="0"/>
          <c:showPercent val="0"/>
          <c:showBubbleSize val="0"/>
        </c:dLbls>
        <c:smooth val="0"/>
        <c:axId val="199627904"/>
        <c:axId val="199629440"/>
      </c:lineChart>
      <c:catAx>
        <c:axId val="199627904"/>
        <c:scaling>
          <c:orientation val="minMax"/>
        </c:scaling>
        <c:delete val="0"/>
        <c:axPos val="b"/>
        <c:numFmt formatCode="General" sourceLinked="1"/>
        <c:majorTickMark val="none"/>
        <c:minorTickMark val="none"/>
        <c:tickLblPos val="nextTo"/>
        <c:crossAx val="199629440"/>
        <c:crosses val="autoZero"/>
        <c:auto val="1"/>
        <c:lblAlgn val="ctr"/>
        <c:lblOffset val="100"/>
        <c:noMultiLvlLbl val="0"/>
      </c:catAx>
      <c:valAx>
        <c:axId val="199629440"/>
        <c:scaling>
          <c:orientation val="minMax"/>
        </c:scaling>
        <c:delete val="0"/>
        <c:axPos val="l"/>
        <c:majorGridlines/>
        <c:title>
          <c:overlay val="0"/>
        </c:title>
        <c:numFmt formatCode="0" sourceLinked="1"/>
        <c:majorTickMark val="none"/>
        <c:minorTickMark val="none"/>
        <c:tickLblPos val="nextTo"/>
        <c:crossAx val="199627904"/>
        <c:crosses val="autoZero"/>
        <c:crossBetween val="between"/>
      </c:valAx>
    </c:plotArea>
    <c:legend>
      <c:legendPos val="r"/>
      <c:overlay val="0"/>
    </c:legend>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ndard"/>
        <c:varyColors val="0"/>
        <c:ser>
          <c:idx val="0"/>
          <c:order val="0"/>
          <c:tx>
            <c:strRef>
              <c:f>'Ratios (3)'!$C$17</c:f>
              <c:strCache>
                <c:ptCount val="1"/>
                <c:pt idx="0">
                  <c:v>Creditors Payment Period</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(3)'!$D$17:$H$17</c:f>
              <c:numCache>
                <c:formatCode>0</c:formatCode>
                <c:ptCount val="5"/>
                <c:pt idx="0">
                  <c:v>69.290424338083682</c:v>
                </c:pt>
                <c:pt idx="1">
                  <c:v>78.952777272239402</c:v>
                </c:pt>
                <c:pt idx="2">
                  <c:v>66.719284227025113</c:v>
                </c:pt>
                <c:pt idx="3">
                  <c:v>64.469614149403682</c:v>
                </c:pt>
                <c:pt idx="4">
                  <c:v>93.601705324243014</c:v>
                </c:pt>
              </c:numCache>
            </c:numRef>
          </c:val>
          <c:smooth val="0"/>
          <c:extLst>
            <c:ext xmlns:c16="http://schemas.microsoft.com/office/drawing/2014/chart" uri="{C3380CC4-5D6E-409C-BE32-E72D297353CC}">
              <c16:uniqueId val="{00000000-7B32-4D79-AF41-3530510B5414}"/>
            </c:ext>
          </c:extLst>
        </c:ser>
        <c:dLbls>
          <c:showLegendKey val="0"/>
          <c:showVal val="1"/>
          <c:showCatName val="0"/>
          <c:showSerName val="0"/>
          <c:showPercent val="0"/>
          <c:showBubbleSize val="0"/>
        </c:dLbls>
        <c:marker val="1"/>
        <c:smooth val="0"/>
        <c:axId val="244973568"/>
        <c:axId val="244975104"/>
      </c:lineChart>
      <c:catAx>
        <c:axId val="244973568"/>
        <c:scaling>
          <c:orientation val="minMax"/>
        </c:scaling>
        <c:delete val="0"/>
        <c:axPos val="b"/>
        <c:numFmt formatCode="General" sourceLinked="1"/>
        <c:majorTickMark val="none"/>
        <c:minorTickMark val="none"/>
        <c:tickLblPos val="nextTo"/>
        <c:crossAx val="244975104"/>
        <c:crosses val="autoZero"/>
        <c:auto val="1"/>
        <c:lblAlgn val="ctr"/>
        <c:lblOffset val="100"/>
        <c:noMultiLvlLbl val="0"/>
      </c:catAx>
      <c:valAx>
        <c:axId val="244975104"/>
        <c:scaling>
          <c:orientation val="minMax"/>
        </c:scaling>
        <c:delete val="1"/>
        <c:axPos val="l"/>
        <c:numFmt formatCode="0" sourceLinked="1"/>
        <c:majorTickMark val="out"/>
        <c:minorTickMark val="none"/>
        <c:tickLblPos val="nextTo"/>
        <c:crossAx val="244973568"/>
        <c:crosses val="autoZero"/>
        <c:crossBetween val="between"/>
      </c:val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plotArea>
      <c:layout/>
      <c:lineChart>
        <c:grouping val="stacked"/>
        <c:varyColors val="0"/>
        <c:ser>
          <c:idx val="0"/>
          <c:order val="0"/>
          <c:tx>
            <c:strRef>
              <c:f>'Ratios (3)'!$C$19</c:f>
              <c:strCache>
                <c:ptCount val="1"/>
                <c:pt idx="0">
                  <c:v>Interest Coverage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(3)'!$D$19:$H$19</c:f>
              <c:numCache>
                <c:formatCode>0.00</c:formatCode>
                <c:ptCount val="5"/>
                <c:pt idx="0">
                  <c:v>-26.20745428973277</c:v>
                </c:pt>
                <c:pt idx="1">
                  <c:v>-41.083038869257948</c:v>
                </c:pt>
                <c:pt idx="2">
                  <c:v>-6.6127272727272723</c:v>
                </c:pt>
                <c:pt idx="3">
                  <c:v>19.690904893813482</c:v>
                </c:pt>
                <c:pt idx="4">
                  <c:v>4.5513240107110979</c:v>
                </c:pt>
              </c:numCache>
            </c:numRef>
          </c:val>
          <c:smooth val="0"/>
          <c:extLst>
            <c:ext xmlns:c16="http://schemas.microsoft.com/office/drawing/2014/chart" uri="{C3380CC4-5D6E-409C-BE32-E72D297353CC}">
              <c16:uniqueId val="{00000000-FB70-4DD4-9A6E-72261A474698}"/>
            </c:ext>
          </c:extLst>
        </c:ser>
        <c:dLbls>
          <c:showLegendKey val="0"/>
          <c:showVal val="1"/>
          <c:showCatName val="0"/>
          <c:showSerName val="0"/>
          <c:showPercent val="0"/>
          <c:showBubbleSize val="0"/>
        </c:dLbls>
        <c:marker val="1"/>
        <c:smooth val="0"/>
        <c:axId val="245012352"/>
        <c:axId val="245013888"/>
      </c:lineChart>
      <c:catAx>
        <c:axId val="245012352"/>
        <c:scaling>
          <c:orientation val="minMax"/>
        </c:scaling>
        <c:delete val="0"/>
        <c:axPos val="b"/>
        <c:numFmt formatCode="General" sourceLinked="1"/>
        <c:majorTickMark val="none"/>
        <c:minorTickMark val="none"/>
        <c:tickLblPos val="nextTo"/>
        <c:crossAx val="245013888"/>
        <c:crosses val="autoZero"/>
        <c:auto val="1"/>
        <c:lblAlgn val="ctr"/>
        <c:lblOffset val="100"/>
        <c:noMultiLvlLbl val="0"/>
      </c:catAx>
      <c:valAx>
        <c:axId val="245013888"/>
        <c:scaling>
          <c:orientation val="minMax"/>
        </c:scaling>
        <c:delete val="1"/>
        <c:axPos val="l"/>
        <c:numFmt formatCode="0.00" sourceLinked="1"/>
        <c:majorTickMark val="out"/>
        <c:minorTickMark val="none"/>
        <c:tickLblPos val="nextTo"/>
        <c:crossAx val="245012352"/>
        <c:crosses val="autoZero"/>
        <c:crossBetween val="between"/>
      </c:valAx>
    </c:plotArea>
    <c:plotVisOnly val="1"/>
    <c:dispBlanksAs val="zero"/>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overlay val="0"/>
    </c:title>
    <c:autoTitleDeleted val="0"/>
    <c:view3D>
      <c:rotX val="15"/>
      <c:rotY val="20"/>
      <c:rAngAx val="0"/>
    </c:view3D>
    <c:floor>
      <c:thickness val="0"/>
    </c:floor>
    <c:sideWall>
      <c:thickness val="0"/>
    </c:sideWall>
    <c:backWall>
      <c:thickness val="0"/>
    </c:backWall>
    <c:plotArea>
      <c:layout/>
      <c:line3DChart>
        <c:grouping val="standard"/>
        <c:varyColors val="0"/>
        <c:ser>
          <c:idx val="0"/>
          <c:order val="0"/>
          <c:tx>
            <c:strRef>
              <c:f>'Ratios (3)'!$C$20</c:f>
              <c:strCache>
                <c:ptCount val="1"/>
                <c:pt idx="0">
                  <c:v>Gearing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(3)'!$D$20:$H$20</c:f>
              <c:numCache>
                <c:formatCode>0%</c:formatCode>
                <c:ptCount val="5"/>
                <c:pt idx="0">
                  <c:v>3.3680848145172353E-2</c:v>
                </c:pt>
                <c:pt idx="1">
                  <c:v>3.4509785479711882E-2</c:v>
                </c:pt>
                <c:pt idx="2">
                  <c:v>3.8249534376778936E-2</c:v>
                </c:pt>
                <c:pt idx="3">
                  <c:v>4.4409225789047747E-2</c:v>
                </c:pt>
                <c:pt idx="4">
                  <c:v>3.6981141411579876E-2</c:v>
                </c:pt>
              </c:numCache>
            </c:numRef>
          </c:val>
          <c:smooth val="0"/>
          <c:extLst>
            <c:ext xmlns:c16="http://schemas.microsoft.com/office/drawing/2014/chart" uri="{C3380CC4-5D6E-409C-BE32-E72D297353CC}">
              <c16:uniqueId val="{00000000-779A-4CAC-ADD4-4E61777A5059}"/>
            </c:ext>
          </c:extLst>
        </c:ser>
        <c:dLbls>
          <c:showLegendKey val="0"/>
          <c:showVal val="1"/>
          <c:showCatName val="0"/>
          <c:showSerName val="0"/>
          <c:showPercent val="0"/>
          <c:showBubbleSize val="0"/>
        </c:dLbls>
        <c:axId val="245027200"/>
        <c:axId val="245028736"/>
        <c:axId val="245030912"/>
      </c:line3DChart>
      <c:catAx>
        <c:axId val="245027200"/>
        <c:scaling>
          <c:orientation val="minMax"/>
        </c:scaling>
        <c:delete val="0"/>
        <c:axPos val="b"/>
        <c:numFmt formatCode="General" sourceLinked="1"/>
        <c:majorTickMark val="none"/>
        <c:minorTickMark val="none"/>
        <c:tickLblPos val="nextTo"/>
        <c:crossAx val="245028736"/>
        <c:crosses val="autoZero"/>
        <c:auto val="1"/>
        <c:lblAlgn val="ctr"/>
        <c:lblOffset val="100"/>
        <c:noMultiLvlLbl val="0"/>
      </c:catAx>
      <c:valAx>
        <c:axId val="245028736"/>
        <c:scaling>
          <c:orientation val="minMax"/>
        </c:scaling>
        <c:delete val="1"/>
        <c:axPos val="l"/>
        <c:numFmt formatCode="0%" sourceLinked="1"/>
        <c:majorTickMark val="out"/>
        <c:minorTickMark val="none"/>
        <c:tickLblPos val="nextTo"/>
        <c:crossAx val="245027200"/>
        <c:crosses val="autoZero"/>
        <c:crossBetween val="between"/>
      </c:valAx>
      <c:serAx>
        <c:axId val="245030912"/>
        <c:scaling>
          <c:orientation val="minMax"/>
        </c:scaling>
        <c:delete val="1"/>
        <c:axPos val="b"/>
        <c:majorTickMark val="out"/>
        <c:minorTickMark val="none"/>
        <c:tickLblPos val="nextTo"/>
        <c:crossAx val="245028736"/>
        <c:crosses val="autoZero"/>
      </c:ser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view3D>
      <c:rotX val="15"/>
      <c:rotY val="20"/>
      <c:rAngAx val="0"/>
    </c:view3D>
    <c:floor>
      <c:thickness val="0"/>
    </c:floor>
    <c:sideWall>
      <c:thickness val="0"/>
    </c:sideWall>
    <c:backWall>
      <c:thickness val="0"/>
    </c:backWall>
    <c:plotArea>
      <c:layout/>
      <c:line3DChart>
        <c:grouping val="standard"/>
        <c:varyColors val="0"/>
        <c:ser>
          <c:idx val="0"/>
          <c:order val="0"/>
          <c:tx>
            <c:strRef>
              <c:f>'Ratios (3)'!$C$22</c:f>
              <c:strCache>
                <c:ptCount val="1"/>
                <c:pt idx="0">
                  <c:v>Earnings Per Share</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'Ratios (3)'!$D$5:$H$5</c:f>
              <c:numCache>
                <c:formatCode>General</c:formatCode>
                <c:ptCount val="5"/>
                <c:pt idx="0">
                  <c:v>2020</c:v>
                </c:pt>
                <c:pt idx="1">
                  <c:v>2021</c:v>
                </c:pt>
                <c:pt idx="2">
                  <c:v>2022</c:v>
                </c:pt>
                <c:pt idx="3">
                  <c:v>2023</c:v>
                </c:pt>
                <c:pt idx="4">
                  <c:v>2024</c:v>
                </c:pt>
              </c:numCache>
            </c:numRef>
          </c:cat>
          <c:val>
            <c:numRef>
              <c:f>'Ratios (3)'!$D$22:$H$22</c:f>
              <c:numCache>
                <c:formatCode>[$£-809]#,##0.00</c:formatCode>
                <c:ptCount val="5"/>
                <c:pt idx="0">
                  <c:v>2.77636219678975</c:v>
                </c:pt>
                <c:pt idx="1">
                  <c:v>0.39368733754177498</c:v>
                </c:pt>
                <c:pt idx="2">
                  <c:v>3.2039675667165236E-2</c:v>
                </c:pt>
                <c:pt idx="3">
                  <c:v>-7.6420070011668608</c:v>
                </c:pt>
                <c:pt idx="4">
                  <c:v>-1.8542325796743575</c:v>
                </c:pt>
              </c:numCache>
            </c:numRef>
          </c:val>
          <c:smooth val="0"/>
          <c:extLst>
            <c:ext xmlns:c16="http://schemas.microsoft.com/office/drawing/2014/chart" uri="{C3380CC4-5D6E-409C-BE32-E72D297353CC}">
              <c16:uniqueId val="{00000000-08AF-4428-8BEC-F1CD84AC088C}"/>
            </c:ext>
          </c:extLst>
        </c:ser>
        <c:dLbls>
          <c:showLegendKey val="0"/>
          <c:showVal val="1"/>
          <c:showCatName val="0"/>
          <c:showSerName val="0"/>
          <c:showPercent val="0"/>
          <c:showBubbleSize val="0"/>
        </c:dLbls>
        <c:axId val="249053184"/>
        <c:axId val="249054720"/>
        <c:axId val="245033152"/>
      </c:line3DChart>
      <c:catAx>
        <c:axId val="249053184"/>
        <c:scaling>
          <c:orientation val="minMax"/>
        </c:scaling>
        <c:delete val="0"/>
        <c:axPos val="b"/>
        <c:numFmt formatCode="General" sourceLinked="1"/>
        <c:majorTickMark val="none"/>
        <c:minorTickMark val="none"/>
        <c:tickLblPos val="nextTo"/>
        <c:crossAx val="249054720"/>
        <c:crosses val="autoZero"/>
        <c:auto val="1"/>
        <c:lblAlgn val="ctr"/>
        <c:lblOffset val="100"/>
        <c:noMultiLvlLbl val="0"/>
      </c:catAx>
      <c:valAx>
        <c:axId val="249054720"/>
        <c:scaling>
          <c:orientation val="minMax"/>
        </c:scaling>
        <c:delete val="1"/>
        <c:axPos val="l"/>
        <c:numFmt formatCode="[$£-809]#,##0.00" sourceLinked="1"/>
        <c:majorTickMark val="out"/>
        <c:minorTickMark val="none"/>
        <c:tickLblPos val="nextTo"/>
        <c:crossAx val="249053184"/>
        <c:crosses val="autoZero"/>
        <c:crossBetween val="between"/>
      </c:valAx>
      <c:serAx>
        <c:axId val="245033152"/>
        <c:scaling>
          <c:orientation val="minMax"/>
        </c:scaling>
        <c:delete val="1"/>
        <c:axPos val="b"/>
        <c:majorTickMark val="out"/>
        <c:minorTickMark val="none"/>
        <c:tickLblPos val="nextTo"/>
        <c:crossAx val="249054720"/>
        <c:crosses val="autoZero"/>
      </c:serAx>
    </c:plotArea>
    <c:plotVisOnly val="1"/>
    <c:dispBlanksAs val="gap"/>
    <c:showDLblsOverMax val="0"/>
  </c:chart>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D5FAC-70CD-4269-AD31-A33A47792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9210</Words>
  <Characters>52498</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salah kadir</dc:creator>
  <cp:lastModifiedBy>salah kadir</cp:lastModifiedBy>
  <cp:revision>2</cp:revision>
  <dcterms:created xsi:type="dcterms:W3CDTF">2025-11-20T20:49:00Z</dcterms:created>
  <dcterms:modified xsi:type="dcterms:W3CDTF">2025-11-20T20:49:00Z</dcterms:modified>
</cp:coreProperties>
</file>