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ED14B" w14:textId="39C0C1F6" w:rsidR="00D75EF0" w:rsidRDefault="00D75EF0" w:rsidP="00D75EF0">
      <w:pPr>
        <w:spacing w:before="120" w:after="120" w:line="240" w:lineRule="auto"/>
        <w:jc w:val="both"/>
        <w:outlineLvl w:val="0"/>
        <w:rPr>
          <w:rFonts w:ascii="Times New Roman" w:eastAsia="Times New Roman" w:hAnsi="Times New Roman" w:cs="Times New Roman"/>
          <w:b/>
          <w:bCs/>
          <w:color w:val="0F58BD"/>
          <w:kern w:val="36"/>
          <w:sz w:val="48"/>
          <w:szCs w:val="48"/>
          <w:lang w:eastAsia="en-GB"/>
          <w14:ligatures w14:val="none"/>
        </w:rPr>
      </w:pPr>
      <w:r w:rsidRPr="00D75EF0">
        <w:rPr>
          <w:rFonts w:ascii="Times New Roman" w:eastAsia="Times New Roman" w:hAnsi="Times New Roman" w:cs="Times New Roman"/>
          <w:b/>
          <w:bCs/>
          <w:color w:val="0F58BD"/>
          <w:kern w:val="36"/>
          <w:sz w:val="48"/>
          <w:szCs w:val="48"/>
          <w:lang w:eastAsia="en-GB"/>
          <w14:ligatures w14:val="none"/>
        </w:rPr>
        <w:t>Gibbs reflection assay</w:t>
      </w:r>
    </w:p>
    <w:p w14:paraId="1F748E0E" w14:textId="7E3A1E26" w:rsidR="00D75EF0" w:rsidRPr="00651E3F" w:rsidRDefault="00D75EF0" w:rsidP="00D75EF0">
      <w:pPr>
        <w:spacing w:before="120" w:after="120" w:line="240" w:lineRule="auto"/>
        <w:jc w:val="both"/>
        <w:outlineLvl w:val="0"/>
        <w:rPr>
          <w:rFonts w:ascii="Times New Roman" w:eastAsia="Times New Roman" w:hAnsi="Times New Roman" w:cs="Times New Roman"/>
          <w:b/>
          <w:bCs/>
          <w:color w:val="0F58BD"/>
          <w:kern w:val="36"/>
          <w:sz w:val="32"/>
          <w:szCs w:val="32"/>
          <w:lang w:eastAsia="en-GB"/>
          <w14:ligatures w14:val="none"/>
        </w:rPr>
      </w:pPr>
      <w:r w:rsidRPr="00D75EF0">
        <w:rPr>
          <w:rFonts w:ascii="Times New Roman" w:eastAsia="Times New Roman" w:hAnsi="Times New Roman" w:cs="Times New Roman"/>
          <w:b/>
          <w:bCs/>
          <w:color w:val="0F58BD"/>
          <w:kern w:val="36"/>
          <w:sz w:val="32"/>
          <w:szCs w:val="32"/>
          <w:lang w:eastAsia="en-GB"/>
          <w14:ligatures w14:val="none"/>
        </w:rPr>
        <w:t>Ashlee Humphries</w:t>
      </w:r>
    </w:p>
    <w:p w14:paraId="151E682A"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 xml:space="preserve">Reflective Essay Using Gibbs’ Reflective Cycle </w:t>
      </w:r>
    </w:p>
    <w:p w14:paraId="4A8EDD10"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65C3856D"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Introduction</w:t>
      </w:r>
    </w:p>
    <w:p w14:paraId="18E2A5E7"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4A0359B2"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Reflection gives us the chance to pause and examine our actions. It prompts us to ask what happened, why, and how we reacted. This process encourages learning and growth. According to the article "Self-Awareness in Developmental Perspective," self-awareness in young people is closely tied to their relationships and experience of social emotions.</w:t>
      </w:r>
    </w:p>
    <w:p w14:paraId="7D94E624" w14:textId="492F0C35"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 xml:space="preserve">Reflective thinking skills are important for science education. They foster open-mindedness and support learners as they build insight and assess their thinking. Through reflection, students and professionals become more open to new ideas. This also helps them understand their strengths, weaknesses, and personal advancement goals (Barr et al., 2025). Reflective practice promotes lifelong learning, flexibility, and persistence in the face of change (Smith, 2013, pp. 174-185; Smith, 2019). These features </w:t>
      </w:r>
      <w:r>
        <w:rPr>
          <w:rFonts w:ascii="Times New Roman" w:eastAsia="Times New Roman" w:hAnsi="Times New Roman" w:cs="Times New Roman"/>
          <w:kern w:val="0"/>
          <w:lang w:eastAsia="en-GB"/>
          <w14:ligatures w14:val="none"/>
        </w:rPr>
        <w:t>underscore the value of reflective models, especially during transitions in higher education</w:t>
      </w:r>
      <w:r w:rsidRPr="00DC524B">
        <w:rPr>
          <w:rFonts w:ascii="Times New Roman" w:eastAsia="Times New Roman" w:hAnsi="Times New Roman" w:cs="Times New Roman"/>
          <w:kern w:val="0"/>
          <w:lang w:eastAsia="en-GB"/>
          <w14:ligatures w14:val="none"/>
        </w:rPr>
        <w:t>.</w:t>
      </w:r>
    </w:p>
    <w:p w14:paraId="544DE32C"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4B10DEA2"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 xml:space="preserve">This essay applies Gibbs’ Reflective Cycle to analyse my transition into higher education. The essay follows the six stages of Gibbs’ model: description, feelings, evaluation, analysis, conclusion, and action plan (Gibbs, 1988; Gibbs, 2013). Empowerment theory is integrated throughout by clearly connecting each phase of the reflective cycle to specific empowerment processes, such as seeking advice, joining workshops, and taking active steps to build self-efficacy. For example, when considering </w:t>
      </w:r>
      <w:proofErr w:type="gramStart"/>
      <w:r w:rsidRPr="00DC524B">
        <w:rPr>
          <w:rFonts w:ascii="Times New Roman" w:eastAsia="Times New Roman" w:hAnsi="Times New Roman" w:cs="Times New Roman"/>
          <w:kern w:val="0"/>
          <w:lang w:eastAsia="en-GB"/>
          <w14:ligatures w14:val="none"/>
        </w:rPr>
        <w:t>particular experiences</w:t>
      </w:r>
      <w:proofErr w:type="gramEnd"/>
      <w:r w:rsidRPr="00DC524B">
        <w:rPr>
          <w:rFonts w:ascii="Times New Roman" w:eastAsia="Times New Roman" w:hAnsi="Times New Roman" w:cs="Times New Roman"/>
          <w:kern w:val="0"/>
          <w:lang w:eastAsia="en-GB"/>
          <w14:ligatures w14:val="none"/>
        </w:rPr>
        <w:t xml:space="preserve"> or decision points during each stage, I draw on empowerment theory to interpret how these actions contributed to the development of confidence. Each section combines theoretical standpoints and personal experience, with summaries that underline key insights relevant for students, educators, and assessors. With this structure established, I now transition into examining the first stage: description, preparing the path for a careful exploration of my experience.</w:t>
      </w:r>
    </w:p>
    <w:p w14:paraId="6139C9E9"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0103E06A"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Description</w:t>
      </w:r>
    </w:p>
    <w:p w14:paraId="0CC50426"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7D3CDDC6"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For the first stage, description, I focus on what happened (Gibbs, 1988). I started higher education in 2025 to pursue a career. I researched local universities, courses, entry requirements, and support options. Attending online open days and speaking with career advisors informed my decisions. I shortlisted and ranked universities based on course availability, support services and campus facilities, key factors identified by Wut et al. (2022). Having outlined these actions, I now move to the next stage, examining my feelings during this process. This transition denotes a shift from factual description to personal emotional reflection.</w:t>
      </w:r>
    </w:p>
    <w:p w14:paraId="2314F492"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75F75C07"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 xml:space="preserve">After finding the best fit for me, I asked the council about grants and loans to support my finances. I also contacted admissions to clarify the document requirements. Talking to Serena, a current student, gave me honest advice about university life. These conversations made me both hopeful and anxious. Empowerment theory suggests that </w:t>
      </w:r>
      <w:proofErr w:type="gramStart"/>
      <w:r w:rsidRPr="00DC524B">
        <w:rPr>
          <w:rFonts w:ascii="Times New Roman" w:eastAsia="Times New Roman" w:hAnsi="Times New Roman" w:cs="Times New Roman"/>
          <w:kern w:val="0"/>
          <w:lang w:eastAsia="en-GB"/>
          <w14:ligatures w14:val="none"/>
        </w:rPr>
        <w:t>taking action</w:t>
      </w:r>
      <w:proofErr w:type="gramEnd"/>
      <w:r w:rsidRPr="00DC524B">
        <w:rPr>
          <w:rFonts w:ascii="Times New Roman" w:eastAsia="Times New Roman" w:hAnsi="Times New Roman" w:cs="Times New Roman"/>
          <w:kern w:val="0"/>
          <w:lang w:eastAsia="en-GB"/>
          <w14:ligatures w14:val="none"/>
        </w:rPr>
        <w:t xml:space="preserve"> and asking for help build confidence (Rappaport &amp; Seidman, 2000). I attended workshops on writing and time management, which made me feel better prepared and helped a lot, although I was a bit </w:t>
      </w:r>
      <w:r w:rsidRPr="00DC524B">
        <w:rPr>
          <w:rFonts w:ascii="Times New Roman" w:eastAsia="Times New Roman" w:hAnsi="Times New Roman" w:cs="Times New Roman"/>
          <w:kern w:val="0"/>
          <w:lang w:eastAsia="en-GB"/>
          <w14:ligatures w14:val="none"/>
        </w:rPr>
        <w:lastRenderedPageBreak/>
        <w:t>nervous. Family and friends supported me, making me feel ready—yet their support also reminded me of the expectations I carried, adding intensity and spurring me to succeed. (Lubrano, 2025)</w:t>
      </w:r>
    </w:p>
    <w:p w14:paraId="2D927453"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668570B0"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Feelings</w:t>
      </w:r>
    </w:p>
    <w:p w14:paraId="2840F64B"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5F35535E"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 xml:space="preserve">Gibbs’ model emphasises the importance of recognising emotions, as they strongly influence decisions (Gibbs, 1988). During </w:t>
      </w:r>
      <w:proofErr w:type="spellStart"/>
      <w:r w:rsidRPr="00DC524B">
        <w:rPr>
          <w:rFonts w:ascii="Times New Roman" w:eastAsia="Times New Roman" w:hAnsi="Times New Roman" w:cs="Times New Roman"/>
          <w:kern w:val="0"/>
          <w:lang w:eastAsia="en-GB"/>
          <w14:ligatures w14:val="none"/>
        </w:rPr>
        <w:t>enrollment</w:t>
      </w:r>
      <w:proofErr w:type="spellEnd"/>
      <w:r w:rsidRPr="00DC524B">
        <w:rPr>
          <w:rFonts w:ascii="Times New Roman" w:eastAsia="Times New Roman" w:hAnsi="Times New Roman" w:cs="Times New Roman"/>
          <w:kern w:val="0"/>
          <w:lang w:eastAsia="en-GB"/>
          <w14:ligatures w14:val="none"/>
        </w:rPr>
        <w:t>, I simultaneously felt eager about new opportunities and a strong urge to prove myself, yet these feelings were accompanied by substantial anxiety and self-doubt. My extended absence from formal education produced uncertainty about my scholastic capabilities and increased concerns about relating to peers, leading me to question whether I could meet expectations in this environment. While I prepared applications and interviews, these processes heightened sensations of inadequacy and the fear that my efforts might be negatively judged, making the experience emotionally taxing. The sense of isolation increased as I compared my current challenges with the anxieties I had experienced in earlier academic settings, revealing that my apprehensions were affected by both current pressures and lingering emotions from past transitions. By reflecting more deeply on these complex emotions, I recognise that they did not shape only my self-perception but also my willingness to seek support and persist through the adjustment period.</w:t>
      </w:r>
    </w:p>
    <w:p w14:paraId="1BCC18DD"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7FE29658"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 xml:space="preserve">Even with these emotional ups and downs, I persisted. Before interviews, my anxiety peaked, but each preparation session made me more determined. The interviews caused nerves and doubt, but also a clearer desire for the opportunity. Getting a university offer changed my emotions from tension to happiness and pride. Empowerment theory says having support helps you bounce back (Rappaport &amp; Seidman, 2000). Serena and my family provided reassurance, calming my nerves. Looking back, I perceive doubt is normal; what matters is facing feelings with support and a plan. </w:t>
      </w:r>
    </w:p>
    <w:p w14:paraId="32AEB9C9"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741A2BC2"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Evaluation</w:t>
      </w:r>
    </w:p>
    <w:p w14:paraId="2B0DA637"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45AE65D2"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Gibbs’ evaluation calls us to assess what went well and what was difficult (Gibbs, 1988). Getting involved in class boosted my confidence. Taking part in discussions helped my communication and acceptance of different views. Support from classmates and lecturers gave me a feeling of inclusion and confidence in my success. The university was welcoming, and sharing my ideas exposed me to new perspectives.</w:t>
      </w:r>
    </w:p>
    <w:p w14:paraId="4E84FAF6"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5E9C88C1"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Despite these positives, I faced real challenges. Adjusting to heavy reading loads was hard; I struggled to start and often fell behind. Managing multiple deadlines was harder than I expected, partly because of my limited experience with time management. These issues led to stress and self-doubt, making me question if I belonged in higher education or could manage university life.</w:t>
      </w:r>
    </w:p>
    <w:p w14:paraId="363748B4"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01ECED26"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 xml:space="preserve">To deal with these problems, I tried some simple solutions. I made a weekly study plan and broke reading into smaller parts, focusing on the most important materials first. I also got help by attending academic workshops and study groups, which gave me tips and support. Time-management sessions helped me better plan my workload, and feedback from tutors changed how I handled my studies. (Tao &amp; Hanif, 2025) Looking back, I see how these steps fit with empowerment theory—each step increased my confidence and turned problems into chances to grow. Asking for help and connecting with others reduced feelings of seclusion, making me </w:t>
      </w:r>
      <w:r w:rsidRPr="00DC524B">
        <w:rPr>
          <w:rFonts w:ascii="Times New Roman" w:eastAsia="Times New Roman" w:hAnsi="Times New Roman" w:cs="Times New Roman"/>
          <w:kern w:val="0"/>
          <w:lang w:eastAsia="en-GB"/>
          <w14:ligatures w14:val="none"/>
        </w:rPr>
        <w:lastRenderedPageBreak/>
        <w:t xml:space="preserve">stronger and better at bouncing back following setbacks, which is important for learning and future work. (Younger et al., 2023) </w:t>
      </w:r>
    </w:p>
    <w:p w14:paraId="7952706A"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6AAF99C1"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Analysis</w:t>
      </w:r>
    </w:p>
    <w:p w14:paraId="6DAA6CA2"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3E1675CB"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The analysis stage demands integrating conceptual models with real-life experiences to support a greater understanding (Gibbs, 1988). Here, empowerment theory advances this process by asserting that self-belief develops through intentional involvement, participation, and the soliciting of support (Rappaport &amp; Seidman, 2000). Thinking about my transition, I find that specific actions—such as asking Serena for advice, joining workshops, and joining research groups—concretely illustrate how theory and practice intersect. These activities did not simply represent participation; they operationalised empowerment theory by transforming theory into lived experience, in which each deliberate step promoted a shift from feelings of uncertainty to an increasing sense of capability and autonomy.</w:t>
      </w:r>
    </w:p>
    <w:p w14:paraId="7EB1B8CB"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030B51F7"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These experiences didn’t just boost my confidence at the time; they slowly changed my attitude toward challenges. Instead of avoiding tough tasks, I became more willing to face them, even when nervous. This change grew over many moments when I pushed myself or accepted help. The more I acted and tried new things, the more confident and willing I was to keep growing.</w:t>
      </w:r>
    </w:p>
    <w:p w14:paraId="64541AEA"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099966F8"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Gibbs’ model also stresses the importance of structured reflection and feedback (Gibbs, 2013). In my experience, Serena’s peer support and tutor feedback facilitated learning, while collaborative academic activities fostered teamwork and dedication. Moon (2013) asserts that reflective practice promotes learning from experience and applies insights to new contexts. (Moon, 1999) By deliberately integrating theory with action, “During this stage, I not only strengthened my academic identity but also clarified my long‑term goals. This demonstrates how empowerment and reflective practice work together, each reinforcing the other to support ongoing personal and professional growth.”</w:t>
      </w:r>
    </w:p>
    <w:p w14:paraId="5D0FE80C"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4645F7CA"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Reflecting on my transition into higher education, I have gained clearer insight regarding the factors influencing academic adjustment, particularly the roles of preparation, emotional awareness, and robust support networks. Applying Gibbs’ Reflective Cycle and empowerment theory taught me how structured reflection leads to concrete improvements, such as building effective time management routines, proactively seeking academic assistance, and building resilience through frequent engagement with feedback (Gibbs, 1988; Rappaport &amp; Seidman, 2000). Over this period, I learned to connect abstract ideas to daily academic practice by participating in workshops and seeking advice, which directly improved my study skills and communication abilities. Actively seeking help to address challenges and using feedback to improve my approaches enabled me to build self-confidence and become more adaptable when confronted with new academic demands. Overall, this journey hasn't only formed my intentions but also given me practical approaches to handle future challenges in higher education more effectively.</w:t>
      </w:r>
    </w:p>
    <w:p w14:paraId="053FDBA6"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7DDA2BEB"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 xml:space="preserve">As I plan for future study, I intend to thoroughly research degree programmes that correspond with my broader aspirations. To strengthen my applications, I will strive for academic distinction and push myself in extracurricular activities, showing my interests and values. Committed to ongoing reflective practice, I will keep a journal to record progress, challenges, and achievements. This routine will help me work through experiences and track development, as taking 1 hour each week for reading corresponds to Gibbs’ model (Gibbs, 2013). In addition, I want to find mentors who can help guide my long-term goals, expand my skill set, and open </w:t>
      </w:r>
      <w:r w:rsidRPr="00DC524B">
        <w:rPr>
          <w:rFonts w:ascii="Times New Roman" w:eastAsia="Times New Roman" w:hAnsi="Times New Roman" w:cs="Times New Roman"/>
          <w:kern w:val="0"/>
          <w:lang w:eastAsia="en-GB"/>
          <w14:ligatures w14:val="none"/>
        </w:rPr>
        <w:lastRenderedPageBreak/>
        <w:t xml:space="preserve">new doors. By applying these strategies in my daily life, I am increasing my confidence and getting ready for future academic or career challenges. </w:t>
      </w:r>
    </w:p>
    <w:p w14:paraId="35D3D48D"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1A8DFA92"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References</w:t>
      </w:r>
    </w:p>
    <w:p w14:paraId="53D2623E"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
    <w:p w14:paraId="490FCEFF"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proofErr w:type="gramStart"/>
      <w:r w:rsidRPr="00DC524B">
        <w:rPr>
          <w:rFonts w:ascii="Times New Roman" w:eastAsia="Times New Roman" w:hAnsi="Times New Roman" w:cs="Times New Roman"/>
          <w:kern w:val="0"/>
          <w:lang w:eastAsia="en-GB"/>
          <w14:ligatures w14:val="none"/>
        </w:rPr>
        <w:t>.Gibbs</w:t>
      </w:r>
      <w:proofErr w:type="gramEnd"/>
      <w:r w:rsidRPr="00DC524B">
        <w:rPr>
          <w:rFonts w:ascii="Times New Roman" w:eastAsia="Times New Roman" w:hAnsi="Times New Roman" w:cs="Times New Roman"/>
          <w:kern w:val="0"/>
          <w:lang w:eastAsia="en-GB"/>
          <w14:ligatures w14:val="none"/>
        </w:rPr>
        <w:t>, G. (1988) Learning by Doing: A Guide to Teaching and Learning Methods. Oxford: Oxford Polytechnic.</w:t>
      </w:r>
    </w:p>
    <w:p w14:paraId="7E84EABE"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Gibbs, G. (2013) Learning by Doing: A Guide to Teaching and Learning Methods. 2nd ed. Oxford: Oxford Brookes University.</w:t>
      </w:r>
    </w:p>
    <w:p w14:paraId="4C2E809F"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(If this is not the edition you used, tell me and I’ll correct it.)</w:t>
      </w:r>
    </w:p>
    <w:p w14:paraId="2F092882"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 xml:space="preserve">Moon, J. (1999). Reflection in Learning and Professional Development: Theory and Practice. London: </w:t>
      </w:r>
      <w:proofErr w:type="spellStart"/>
      <w:r w:rsidRPr="00DC524B">
        <w:rPr>
          <w:rFonts w:ascii="Times New Roman" w:eastAsia="Times New Roman" w:hAnsi="Times New Roman" w:cs="Times New Roman"/>
          <w:kern w:val="0"/>
          <w:lang w:eastAsia="en-GB"/>
          <w14:ligatures w14:val="none"/>
        </w:rPr>
        <w:t>RoutledgeFalmer</w:t>
      </w:r>
      <w:proofErr w:type="spellEnd"/>
      <w:r w:rsidRPr="00DC524B">
        <w:rPr>
          <w:rFonts w:ascii="Times New Roman" w:eastAsia="Times New Roman" w:hAnsi="Times New Roman" w:cs="Times New Roman"/>
          <w:kern w:val="0"/>
          <w:lang w:eastAsia="en-GB"/>
          <w14:ligatures w14:val="none"/>
        </w:rPr>
        <w:t>.</w:t>
      </w:r>
    </w:p>
    <w:p w14:paraId="0D63C76A" w14:textId="77777777" w:rsidR="00DC524B" w:rsidRPr="00DC524B"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Moon, J. (2013). Reflection and Employability. London: Routledge.</w:t>
      </w:r>
    </w:p>
    <w:p w14:paraId="68139DC0" w14:textId="47E5EC39" w:rsidR="00D75EF0" w:rsidRPr="00D75EF0" w:rsidRDefault="00DC524B" w:rsidP="00DC524B">
      <w:pPr>
        <w:spacing w:after="0" w:line="240" w:lineRule="auto"/>
        <w:jc w:val="both"/>
        <w:rPr>
          <w:rFonts w:ascii="Times New Roman" w:eastAsia="Times New Roman" w:hAnsi="Times New Roman" w:cs="Times New Roman"/>
          <w:kern w:val="0"/>
          <w:lang w:eastAsia="en-GB"/>
          <w14:ligatures w14:val="none"/>
        </w:rPr>
      </w:pPr>
      <w:r w:rsidRPr="00DC524B">
        <w:rPr>
          <w:rFonts w:ascii="Times New Roman" w:eastAsia="Times New Roman" w:hAnsi="Times New Roman" w:cs="Times New Roman"/>
          <w:kern w:val="0"/>
          <w:lang w:eastAsia="en-GB"/>
          <w14:ligatures w14:val="none"/>
        </w:rPr>
        <w:t>Rappaport, J. &amp; Seidman, E. (2000). Handbook of Community Psychology. New York: Springer.</w:t>
      </w:r>
    </w:p>
    <w:sectPr w:rsidR="00D75EF0" w:rsidRPr="00D75E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1E4"/>
    <w:rsid w:val="003831E4"/>
    <w:rsid w:val="00651E3F"/>
    <w:rsid w:val="007C2C2F"/>
    <w:rsid w:val="007C4BEA"/>
    <w:rsid w:val="00851F01"/>
    <w:rsid w:val="00AD01F1"/>
    <w:rsid w:val="00D75EF0"/>
    <w:rsid w:val="00D805B8"/>
    <w:rsid w:val="00DC524B"/>
    <w:rsid w:val="00E80D35"/>
    <w:rsid w:val="00F84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C821B"/>
  <w15:chartTrackingRefBased/>
  <w15:docId w15:val="{0E3C6D3D-31F5-41DA-8564-A9024B783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31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31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31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31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31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31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31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31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31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31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31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31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31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31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31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31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31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31E4"/>
    <w:rPr>
      <w:rFonts w:eastAsiaTheme="majorEastAsia" w:cstheme="majorBidi"/>
      <w:color w:val="272727" w:themeColor="text1" w:themeTint="D8"/>
    </w:rPr>
  </w:style>
  <w:style w:type="paragraph" w:styleId="Title">
    <w:name w:val="Title"/>
    <w:basedOn w:val="Normal"/>
    <w:next w:val="Normal"/>
    <w:link w:val="TitleChar"/>
    <w:uiPriority w:val="10"/>
    <w:qFormat/>
    <w:rsid w:val="003831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31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31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31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31E4"/>
    <w:pPr>
      <w:spacing w:before="160"/>
      <w:jc w:val="center"/>
    </w:pPr>
    <w:rPr>
      <w:i/>
      <w:iCs/>
      <w:color w:val="404040" w:themeColor="text1" w:themeTint="BF"/>
    </w:rPr>
  </w:style>
  <w:style w:type="character" w:customStyle="1" w:styleId="QuoteChar">
    <w:name w:val="Quote Char"/>
    <w:basedOn w:val="DefaultParagraphFont"/>
    <w:link w:val="Quote"/>
    <w:uiPriority w:val="29"/>
    <w:rsid w:val="003831E4"/>
    <w:rPr>
      <w:i/>
      <w:iCs/>
      <w:color w:val="404040" w:themeColor="text1" w:themeTint="BF"/>
    </w:rPr>
  </w:style>
  <w:style w:type="paragraph" w:styleId="ListParagraph">
    <w:name w:val="List Paragraph"/>
    <w:basedOn w:val="Normal"/>
    <w:uiPriority w:val="34"/>
    <w:qFormat/>
    <w:rsid w:val="003831E4"/>
    <w:pPr>
      <w:ind w:left="720"/>
      <w:contextualSpacing/>
    </w:pPr>
  </w:style>
  <w:style w:type="character" w:styleId="IntenseEmphasis">
    <w:name w:val="Intense Emphasis"/>
    <w:basedOn w:val="DefaultParagraphFont"/>
    <w:uiPriority w:val="21"/>
    <w:qFormat/>
    <w:rsid w:val="003831E4"/>
    <w:rPr>
      <w:i/>
      <w:iCs/>
      <w:color w:val="0F4761" w:themeColor="accent1" w:themeShade="BF"/>
    </w:rPr>
  </w:style>
  <w:style w:type="paragraph" w:styleId="IntenseQuote">
    <w:name w:val="Intense Quote"/>
    <w:basedOn w:val="Normal"/>
    <w:next w:val="Normal"/>
    <w:link w:val="IntenseQuoteChar"/>
    <w:uiPriority w:val="30"/>
    <w:qFormat/>
    <w:rsid w:val="003831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31E4"/>
    <w:rPr>
      <w:i/>
      <w:iCs/>
      <w:color w:val="0F4761" w:themeColor="accent1" w:themeShade="BF"/>
    </w:rPr>
  </w:style>
  <w:style w:type="character" w:styleId="IntenseReference">
    <w:name w:val="Intense Reference"/>
    <w:basedOn w:val="DefaultParagraphFont"/>
    <w:uiPriority w:val="32"/>
    <w:qFormat/>
    <w:rsid w:val="003831E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1622</Words>
  <Characters>9455</Characters>
  <Application>Microsoft Office Word</Application>
  <DocSecurity>0</DocSecurity>
  <Lines>161</Lines>
  <Paragraphs>30</Paragraphs>
  <ScaleCrop>false</ScaleCrop>
  <Company/>
  <LinksUpToDate>false</LinksUpToDate>
  <CharactersWithSpaces>11047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ashh 12</dc:creator>
  <cp:keywords/>
  <dc:description/>
  <cp:lastModifiedBy>ashh 12</cp:lastModifiedBy>
  <cp:revision>7</cp:revision>
  <dcterms:created xsi:type="dcterms:W3CDTF">2026-03-09T16:04:00Z</dcterms:created>
  <dcterms:modified xsi:type="dcterms:W3CDTF">2026-03-23T10:48:00Z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dba265d7-d944-4663-b7b6-63afdb0b279f</vt:lpwstr>
  </property>
</Properties>
</file>