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54779C78" w14:textId="77777777" w:rsidR="005B6CD9" w:rsidRDefault="005B6CD9" w:rsidP="005B6CD9">
      <w:pPr>
        <w:pStyle w:val="NormalWeb"/>
        <w:spacing w:line="360" w:lineRule="auto"/>
        <w:ind w:left="4320"/>
        <w:jc w:val="both"/>
        <w:rPr>
          <w:rFonts w:ascii="Arial" w:hAnsi="Arial" w:cs="Arial"/>
          <w:b/>
          <w:sz w:val="22"/>
          <w:szCs w:val="22"/>
        </w:rPr>
      </w:pPr>
      <w:r>
        <w:rPr>
          <w:rFonts w:ascii="Arial" w:hAnsi="Arial" w:cs="Arial"/>
          <w:b/>
          <w:noProof/>
          <w:sz w:val="22"/>
          <w:szCs w:val="22"/>
        </w:rPr>
        <w:drawing>
          <wp:inline distT="0" distB="0" distL="0" distR="0" wp14:anchorId="0B8590AA" wp14:editId="523323EF">
            <wp:extent cx="2792095" cy="1158240"/>
            <wp:effectExtent l="0" t="0" r="825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792095" cy="1158240"/>
                    </a:xfrm>
                    <a:prstGeom prst="rect">
                      <a:avLst/>
                    </a:prstGeom>
                    <a:noFill/>
                  </pic:spPr>
                </pic:pic>
              </a:graphicData>
            </a:graphic>
          </wp:inline>
        </w:drawing>
      </w:r>
    </w:p>
    <w:tbl>
      <w:tblPr>
        <w:tblStyle w:val="TableGrid"/>
        <w:tblW w:w="0" w:type="auto"/>
        <w:jc w:val="center"/>
        <w:tblBorders>
          <w:top w:val="single" w:sz="18" w:space="0" w:color="auto"/>
          <w:left w:val="single" w:sz="18" w:space="0" w:color="auto"/>
          <w:bottom w:val="single" w:sz="18" w:space="0" w:color="auto"/>
          <w:right w:val="single" w:sz="18" w:space="0" w:color="auto"/>
          <w:insideH w:val="single" w:sz="6" w:space="0" w:color="auto"/>
          <w:insideV w:val="single" w:sz="6" w:space="0" w:color="auto"/>
        </w:tblBorders>
        <w:tblLook w:val="04A0" w:firstRow="1" w:lastRow="0" w:firstColumn="1" w:lastColumn="0" w:noHBand="0" w:noVBand="1"/>
      </w:tblPr>
      <w:tblGrid>
        <w:gridCol w:w="2515"/>
        <w:gridCol w:w="5825"/>
      </w:tblGrid>
      <w:tr w:rsidR="005B6CD9" w:rsidRPr="005B6CD9" w14:paraId="1F3C6A86" w14:textId="77777777" w:rsidTr="007071EA">
        <w:trPr>
          <w:trHeight w:val="179"/>
          <w:jc w:val="center"/>
        </w:trPr>
        <w:tc>
          <w:tcPr>
            <w:tcW w:w="0" w:type="auto"/>
            <w:hideMark/>
          </w:tcPr>
          <w:p w14:paraId="0BBA7A3E" w14:textId="77777777" w:rsidR="005B6CD9" w:rsidRPr="005B6CD9" w:rsidRDefault="005B6CD9" w:rsidP="005B6CD9">
            <w:pPr>
              <w:tabs>
                <w:tab w:val="right" w:pos="2299"/>
              </w:tabs>
              <w:spacing w:line="360" w:lineRule="auto"/>
              <w:jc w:val="both"/>
              <w:rPr>
                <w:rFonts w:ascii="Arial" w:eastAsia="Times New Roman" w:hAnsi="Arial" w:cs="Arial"/>
                <w:b/>
                <w:bCs/>
              </w:rPr>
            </w:pPr>
            <w:r w:rsidRPr="005B6CD9">
              <w:rPr>
                <w:rFonts w:ascii="Arial" w:eastAsia="Times New Roman" w:hAnsi="Arial" w:cs="Arial"/>
                <w:b/>
                <w:bCs/>
              </w:rPr>
              <w:t>Student Name:</w:t>
            </w:r>
            <w:r w:rsidRPr="005B6CD9">
              <w:rPr>
                <w:rFonts w:ascii="Arial" w:eastAsia="Times New Roman" w:hAnsi="Arial" w:cs="Arial"/>
                <w:b/>
                <w:bCs/>
              </w:rPr>
              <w:tab/>
            </w:r>
          </w:p>
        </w:tc>
        <w:tc>
          <w:tcPr>
            <w:tcW w:w="5825" w:type="dxa"/>
            <w:hideMark/>
          </w:tcPr>
          <w:p w14:paraId="0BF05D6A" w14:textId="75E6FE41" w:rsidR="005B6CD9" w:rsidRPr="005B6CD9" w:rsidRDefault="00842168" w:rsidP="005B6CD9">
            <w:pPr>
              <w:spacing w:line="360" w:lineRule="auto"/>
              <w:jc w:val="both"/>
              <w:rPr>
                <w:rFonts w:ascii="Arial" w:eastAsia="Times New Roman" w:hAnsi="Arial" w:cs="Arial"/>
                <w:b/>
                <w:bCs/>
              </w:rPr>
            </w:pPr>
            <w:r>
              <w:rPr>
                <w:rFonts w:ascii="Arial" w:eastAsia="Times New Roman" w:hAnsi="Arial" w:cs="Arial"/>
                <w:b/>
                <w:bCs/>
              </w:rPr>
              <w:t>Kainat ajaz</w:t>
            </w:r>
          </w:p>
        </w:tc>
      </w:tr>
      <w:tr w:rsidR="005B6CD9" w:rsidRPr="005B6CD9" w14:paraId="322C35D3" w14:textId="77777777" w:rsidTr="007071EA">
        <w:trPr>
          <w:jc w:val="center"/>
        </w:trPr>
        <w:tc>
          <w:tcPr>
            <w:tcW w:w="0" w:type="auto"/>
            <w:hideMark/>
          </w:tcPr>
          <w:p w14:paraId="6BCF674D" w14:textId="77777777" w:rsidR="005B6CD9" w:rsidRPr="005B6CD9" w:rsidRDefault="005B6CD9" w:rsidP="005B6CD9">
            <w:pPr>
              <w:spacing w:line="360" w:lineRule="auto"/>
              <w:jc w:val="both"/>
              <w:rPr>
                <w:rFonts w:ascii="Arial" w:eastAsia="Times New Roman" w:hAnsi="Arial" w:cs="Arial"/>
              </w:rPr>
            </w:pPr>
            <w:r w:rsidRPr="005B6CD9">
              <w:rPr>
                <w:rFonts w:ascii="Arial" w:eastAsia="Times New Roman" w:hAnsi="Arial" w:cs="Arial"/>
                <w:b/>
                <w:bCs/>
              </w:rPr>
              <w:t>Student ID Number:</w:t>
            </w:r>
          </w:p>
        </w:tc>
        <w:tc>
          <w:tcPr>
            <w:tcW w:w="5825" w:type="dxa"/>
            <w:hideMark/>
          </w:tcPr>
          <w:p w14:paraId="0EBADFE6" w14:textId="023897D8" w:rsidR="005B6CD9" w:rsidRPr="005B6CD9" w:rsidRDefault="00AD5C23" w:rsidP="005B6CD9">
            <w:pPr>
              <w:spacing w:line="360" w:lineRule="auto"/>
              <w:jc w:val="both"/>
              <w:rPr>
                <w:rFonts w:ascii="Arial" w:eastAsia="Times New Roman" w:hAnsi="Arial" w:cs="Arial"/>
                <w:b/>
              </w:rPr>
            </w:pPr>
            <w:r>
              <w:rPr>
                <w:rFonts w:ascii="Arial" w:eastAsia="Times New Roman" w:hAnsi="Arial" w:cs="Arial"/>
                <w:b/>
              </w:rPr>
              <w:t>250</w:t>
            </w:r>
            <w:r w:rsidR="00CD2F3F">
              <w:rPr>
                <w:rFonts w:ascii="Arial" w:eastAsia="Times New Roman" w:hAnsi="Arial" w:cs="Arial"/>
                <w:b/>
              </w:rPr>
              <w:t>9933</w:t>
            </w:r>
          </w:p>
        </w:tc>
      </w:tr>
      <w:tr w:rsidR="005B6CD9" w:rsidRPr="005B6CD9" w14:paraId="7C98F6D7" w14:textId="77777777" w:rsidTr="007071EA">
        <w:trPr>
          <w:jc w:val="center"/>
        </w:trPr>
        <w:tc>
          <w:tcPr>
            <w:tcW w:w="0" w:type="auto"/>
            <w:hideMark/>
          </w:tcPr>
          <w:p w14:paraId="6519AD20" w14:textId="77777777" w:rsidR="005B6CD9" w:rsidRPr="005B6CD9" w:rsidRDefault="005B6CD9" w:rsidP="005B6CD9">
            <w:pPr>
              <w:spacing w:line="360" w:lineRule="auto"/>
              <w:jc w:val="both"/>
              <w:rPr>
                <w:rFonts w:ascii="Arial" w:eastAsia="Times New Roman" w:hAnsi="Arial" w:cs="Arial"/>
              </w:rPr>
            </w:pPr>
            <w:r w:rsidRPr="005B6CD9">
              <w:rPr>
                <w:rFonts w:ascii="Arial" w:eastAsia="Times New Roman" w:hAnsi="Arial" w:cs="Arial"/>
                <w:b/>
                <w:bCs/>
              </w:rPr>
              <w:t>Programme:</w:t>
            </w:r>
          </w:p>
        </w:tc>
        <w:tc>
          <w:tcPr>
            <w:tcW w:w="5825" w:type="dxa"/>
            <w:hideMark/>
          </w:tcPr>
          <w:p w14:paraId="25139DC9" w14:textId="77777777" w:rsidR="005B6CD9" w:rsidRPr="005B6CD9" w:rsidRDefault="005B6CD9" w:rsidP="005B6CD9">
            <w:pPr>
              <w:spacing w:line="360" w:lineRule="auto"/>
              <w:jc w:val="both"/>
              <w:rPr>
                <w:rFonts w:ascii="Arial" w:eastAsia="Times New Roman" w:hAnsi="Arial" w:cs="Arial"/>
                <w:b/>
              </w:rPr>
            </w:pPr>
            <w:r w:rsidRPr="005B6CD9">
              <w:rPr>
                <w:rFonts w:ascii="Arial" w:hAnsi="Arial" w:cs="Arial"/>
                <w:b/>
              </w:rPr>
              <w:t>Certificate of Higher Education Skills for the Workplace (Health &amp; Social Care)</w:t>
            </w:r>
          </w:p>
        </w:tc>
      </w:tr>
      <w:tr w:rsidR="005B6CD9" w:rsidRPr="005B6CD9" w14:paraId="4222F6F6" w14:textId="77777777" w:rsidTr="007071EA">
        <w:trPr>
          <w:jc w:val="center"/>
        </w:trPr>
        <w:tc>
          <w:tcPr>
            <w:tcW w:w="0" w:type="auto"/>
            <w:hideMark/>
          </w:tcPr>
          <w:p w14:paraId="1342999C" w14:textId="77777777" w:rsidR="005B6CD9" w:rsidRPr="005B6CD9" w:rsidRDefault="005B6CD9" w:rsidP="005B6CD9">
            <w:pPr>
              <w:spacing w:line="360" w:lineRule="auto"/>
              <w:jc w:val="both"/>
              <w:rPr>
                <w:rFonts w:ascii="Arial" w:eastAsia="Times New Roman" w:hAnsi="Arial" w:cs="Arial"/>
              </w:rPr>
            </w:pPr>
            <w:r w:rsidRPr="005B6CD9">
              <w:rPr>
                <w:rFonts w:ascii="Arial" w:eastAsia="Times New Roman" w:hAnsi="Arial" w:cs="Arial"/>
                <w:b/>
                <w:bCs/>
              </w:rPr>
              <w:t>Module Title:</w:t>
            </w:r>
          </w:p>
        </w:tc>
        <w:tc>
          <w:tcPr>
            <w:tcW w:w="5825" w:type="dxa"/>
            <w:hideMark/>
          </w:tcPr>
          <w:p w14:paraId="7D0BA0C1" w14:textId="77777777" w:rsidR="005B6CD9" w:rsidRPr="005B6CD9" w:rsidRDefault="005B6CD9" w:rsidP="005B6CD9">
            <w:pPr>
              <w:spacing w:line="360" w:lineRule="auto"/>
              <w:jc w:val="both"/>
              <w:rPr>
                <w:rFonts w:ascii="Arial" w:eastAsia="Times New Roman" w:hAnsi="Arial" w:cs="Arial"/>
                <w:b/>
              </w:rPr>
            </w:pPr>
            <w:r w:rsidRPr="005B6CD9">
              <w:rPr>
                <w:rFonts w:ascii="Arial" w:hAnsi="Arial" w:cs="Arial"/>
                <w:b/>
              </w:rPr>
              <w:t>Digital Skills and Research Methods</w:t>
            </w:r>
          </w:p>
        </w:tc>
      </w:tr>
      <w:tr w:rsidR="005B6CD9" w:rsidRPr="005B6CD9" w14:paraId="49497765" w14:textId="77777777" w:rsidTr="007071EA">
        <w:trPr>
          <w:jc w:val="center"/>
        </w:trPr>
        <w:tc>
          <w:tcPr>
            <w:tcW w:w="0" w:type="auto"/>
            <w:hideMark/>
          </w:tcPr>
          <w:p w14:paraId="526915F4" w14:textId="77777777" w:rsidR="005B6CD9" w:rsidRPr="005B6CD9" w:rsidRDefault="005B6CD9" w:rsidP="005B6CD9">
            <w:pPr>
              <w:spacing w:line="360" w:lineRule="auto"/>
              <w:jc w:val="both"/>
              <w:rPr>
                <w:rFonts w:ascii="Arial" w:eastAsia="Times New Roman" w:hAnsi="Arial" w:cs="Arial"/>
              </w:rPr>
            </w:pPr>
            <w:r w:rsidRPr="005B6CD9">
              <w:rPr>
                <w:rFonts w:ascii="Arial" w:eastAsia="Times New Roman" w:hAnsi="Arial" w:cs="Arial"/>
                <w:b/>
                <w:bCs/>
              </w:rPr>
              <w:t>Module Code:</w:t>
            </w:r>
          </w:p>
        </w:tc>
        <w:tc>
          <w:tcPr>
            <w:tcW w:w="5825" w:type="dxa"/>
            <w:hideMark/>
          </w:tcPr>
          <w:p w14:paraId="247C22A2" w14:textId="77777777" w:rsidR="005B6CD9" w:rsidRPr="005B6CD9" w:rsidRDefault="005B6CD9" w:rsidP="005B6CD9">
            <w:pPr>
              <w:spacing w:line="360" w:lineRule="auto"/>
              <w:jc w:val="both"/>
              <w:rPr>
                <w:rFonts w:ascii="Arial" w:eastAsia="Times New Roman" w:hAnsi="Arial" w:cs="Arial"/>
                <w:b/>
              </w:rPr>
            </w:pPr>
            <w:r w:rsidRPr="005B6CD9">
              <w:rPr>
                <w:rFonts w:ascii="Arial" w:hAnsi="Arial" w:cs="Arial"/>
                <w:b/>
              </w:rPr>
              <w:t>LCHS4007</w:t>
            </w:r>
          </w:p>
        </w:tc>
      </w:tr>
    </w:tbl>
    <w:p w14:paraId="22762FAA" w14:textId="77777777" w:rsidR="005B6CD9" w:rsidRDefault="005B6CD9" w:rsidP="008E4190">
      <w:pPr>
        <w:pStyle w:val="NormalWeb"/>
        <w:spacing w:line="360" w:lineRule="auto"/>
        <w:jc w:val="both"/>
        <w:rPr>
          <w:rFonts w:ascii="Arial" w:hAnsi="Arial" w:cs="Arial"/>
          <w:b/>
          <w:sz w:val="22"/>
          <w:szCs w:val="22"/>
        </w:rPr>
      </w:pPr>
    </w:p>
    <w:p w14:paraId="2B0F5BA9" w14:textId="77777777" w:rsidR="005B6CD9" w:rsidRDefault="005B6CD9" w:rsidP="008E4190">
      <w:pPr>
        <w:pStyle w:val="NormalWeb"/>
        <w:spacing w:line="360" w:lineRule="auto"/>
        <w:jc w:val="both"/>
        <w:rPr>
          <w:rFonts w:ascii="Arial" w:hAnsi="Arial" w:cs="Arial"/>
          <w:b/>
          <w:sz w:val="22"/>
          <w:szCs w:val="22"/>
        </w:rPr>
      </w:pPr>
    </w:p>
    <w:p w14:paraId="073C2024" w14:textId="77777777" w:rsidR="005B6CD9" w:rsidRDefault="005B6CD9" w:rsidP="008E4190">
      <w:pPr>
        <w:pStyle w:val="NormalWeb"/>
        <w:spacing w:line="360" w:lineRule="auto"/>
        <w:jc w:val="both"/>
        <w:rPr>
          <w:rFonts w:ascii="Arial" w:hAnsi="Arial" w:cs="Arial"/>
          <w:b/>
          <w:sz w:val="22"/>
          <w:szCs w:val="22"/>
        </w:rPr>
      </w:pPr>
    </w:p>
    <w:p w14:paraId="28A9ABF8" w14:textId="77777777" w:rsidR="005B6CD9" w:rsidRDefault="005B6CD9" w:rsidP="008E4190">
      <w:pPr>
        <w:pStyle w:val="NormalWeb"/>
        <w:spacing w:line="360" w:lineRule="auto"/>
        <w:jc w:val="both"/>
        <w:rPr>
          <w:rFonts w:ascii="Arial" w:hAnsi="Arial" w:cs="Arial"/>
          <w:b/>
          <w:sz w:val="22"/>
          <w:szCs w:val="22"/>
        </w:rPr>
      </w:pPr>
    </w:p>
    <w:p w14:paraId="103706FD" w14:textId="77777777" w:rsidR="005B6CD9" w:rsidRDefault="005B6CD9" w:rsidP="008E4190">
      <w:pPr>
        <w:pStyle w:val="NormalWeb"/>
        <w:spacing w:line="360" w:lineRule="auto"/>
        <w:jc w:val="both"/>
        <w:rPr>
          <w:rFonts w:ascii="Arial" w:hAnsi="Arial" w:cs="Arial"/>
          <w:b/>
          <w:sz w:val="22"/>
          <w:szCs w:val="22"/>
        </w:rPr>
      </w:pPr>
    </w:p>
    <w:p w14:paraId="2A13CCBC" w14:textId="77777777" w:rsidR="005B6CD9" w:rsidRDefault="005B6CD9" w:rsidP="008E4190">
      <w:pPr>
        <w:pStyle w:val="NormalWeb"/>
        <w:spacing w:line="360" w:lineRule="auto"/>
        <w:jc w:val="both"/>
        <w:rPr>
          <w:rFonts w:ascii="Arial" w:hAnsi="Arial" w:cs="Arial"/>
          <w:b/>
          <w:sz w:val="22"/>
          <w:szCs w:val="22"/>
        </w:rPr>
      </w:pPr>
    </w:p>
    <w:p w14:paraId="54A2244F" w14:textId="77777777" w:rsidR="005B6CD9" w:rsidRDefault="005B6CD9" w:rsidP="008E4190">
      <w:pPr>
        <w:pStyle w:val="NormalWeb"/>
        <w:spacing w:line="360" w:lineRule="auto"/>
        <w:jc w:val="both"/>
        <w:rPr>
          <w:rFonts w:ascii="Arial" w:hAnsi="Arial" w:cs="Arial"/>
          <w:b/>
          <w:sz w:val="22"/>
          <w:szCs w:val="22"/>
        </w:rPr>
      </w:pPr>
    </w:p>
    <w:p w14:paraId="6B57C6A2" w14:textId="77777777" w:rsidR="005B6CD9" w:rsidRDefault="005B6CD9" w:rsidP="008E4190">
      <w:pPr>
        <w:pStyle w:val="NormalWeb"/>
        <w:spacing w:line="360" w:lineRule="auto"/>
        <w:jc w:val="both"/>
        <w:rPr>
          <w:rFonts w:ascii="Arial" w:hAnsi="Arial" w:cs="Arial"/>
          <w:b/>
          <w:sz w:val="22"/>
          <w:szCs w:val="22"/>
        </w:rPr>
      </w:pPr>
    </w:p>
    <w:p w14:paraId="216C3030" w14:textId="77777777" w:rsidR="005B6CD9" w:rsidRDefault="005B6CD9" w:rsidP="008E4190">
      <w:pPr>
        <w:pStyle w:val="NormalWeb"/>
        <w:spacing w:line="360" w:lineRule="auto"/>
        <w:jc w:val="both"/>
        <w:rPr>
          <w:rFonts w:ascii="Arial" w:hAnsi="Arial" w:cs="Arial"/>
          <w:b/>
          <w:sz w:val="22"/>
          <w:szCs w:val="22"/>
        </w:rPr>
      </w:pPr>
    </w:p>
    <w:p w14:paraId="4E81542A" w14:textId="77777777" w:rsidR="005B6CD9" w:rsidRDefault="005B6CD9" w:rsidP="008E4190">
      <w:pPr>
        <w:pStyle w:val="NormalWeb"/>
        <w:spacing w:line="360" w:lineRule="auto"/>
        <w:jc w:val="both"/>
        <w:rPr>
          <w:rFonts w:ascii="Arial" w:hAnsi="Arial" w:cs="Arial"/>
          <w:b/>
          <w:sz w:val="22"/>
          <w:szCs w:val="22"/>
        </w:rPr>
      </w:pPr>
    </w:p>
    <w:p w14:paraId="5286A7F9" w14:textId="77777777" w:rsidR="005B6CD9" w:rsidRDefault="005B6CD9" w:rsidP="008E4190">
      <w:pPr>
        <w:pStyle w:val="NormalWeb"/>
        <w:spacing w:line="360" w:lineRule="auto"/>
        <w:jc w:val="both"/>
        <w:rPr>
          <w:rFonts w:ascii="Arial" w:hAnsi="Arial" w:cs="Arial"/>
          <w:b/>
          <w:sz w:val="22"/>
          <w:szCs w:val="22"/>
        </w:rPr>
      </w:pPr>
    </w:p>
    <w:p w14:paraId="12E6D7B2" w14:textId="77777777" w:rsidR="005B6CD9" w:rsidRDefault="005B6CD9" w:rsidP="008E4190">
      <w:pPr>
        <w:pStyle w:val="NormalWeb"/>
        <w:spacing w:line="360" w:lineRule="auto"/>
        <w:jc w:val="both"/>
        <w:rPr>
          <w:rFonts w:ascii="Arial" w:hAnsi="Arial" w:cs="Arial"/>
          <w:b/>
          <w:sz w:val="22"/>
          <w:szCs w:val="22"/>
        </w:rPr>
      </w:pPr>
    </w:p>
    <w:p w14:paraId="3CED9225" w14:textId="77777777" w:rsidR="005B6CD9" w:rsidRPr="005B6CD9" w:rsidRDefault="005B6CD9" w:rsidP="005B6CD9">
      <w:pPr>
        <w:spacing w:before="100" w:beforeAutospacing="1" w:after="100" w:afterAutospacing="1" w:line="240" w:lineRule="auto"/>
        <w:outlineLvl w:val="0"/>
        <w:rPr>
          <w:rFonts w:ascii="Arial" w:eastAsia="Times New Roman" w:hAnsi="Arial" w:cs="Arial"/>
          <w:b/>
          <w:bCs/>
          <w:kern w:val="36"/>
          <w:sz w:val="24"/>
          <w:szCs w:val="24"/>
        </w:rPr>
      </w:pPr>
      <w:r w:rsidRPr="005B6CD9">
        <w:rPr>
          <w:rFonts w:ascii="Arial" w:eastAsia="Times New Roman" w:hAnsi="Arial" w:cs="Arial"/>
          <w:b/>
          <w:bCs/>
          <w:kern w:val="36"/>
          <w:sz w:val="24"/>
          <w:szCs w:val="24"/>
        </w:rPr>
        <w:lastRenderedPageBreak/>
        <w:t>Table of Contents</w:t>
      </w:r>
    </w:p>
    <w:p w14:paraId="010C5E0D" w14:textId="77777777" w:rsidR="005B6CD9" w:rsidRPr="005B6CD9" w:rsidRDefault="005B6CD9" w:rsidP="005B6CD9">
      <w:pPr>
        <w:spacing w:before="100" w:beforeAutospacing="1" w:after="100" w:afterAutospacing="1" w:line="240" w:lineRule="auto"/>
        <w:rPr>
          <w:rFonts w:ascii="Arial" w:eastAsia="Times New Roman" w:hAnsi="Arial" w:cs="Arial"/>
          <w:sz w:val="24"/>
          <w:szCs w:val="24"/>
        </w:rPr>
      </w:pPr>
      <w:r w:rsidRPr="005B6CD9">
        <w:rPr>
          <w:rFonts w:ascii="Arial" w:eastAsia="Times New Roman" w:hAnsi="Arial" w:cs="Arial"/>
          <w:b/>
          <w:bCs/>
          <w:sz w:val="24"/>
          <w:szCs w:val="24"/>
        </w:rPr>
        <w:t>Introduction</w:t>
      </w:r>
      <w:r w:rsidRPr="005B6CD9">
        <w:rPr>
          <w:rFonts w:ascii="Arial" w:eastAsia="Times New Roman" w:hAnsi="Arial" w:cs="Arial"/>
          <w:sz w:val="24"/>
          <w:szCs w:val="24"/>
        </w:rPr>
        <w:t xml:space="preserve"> ..........................................................................</w:t>
      </w:r>
      <w:r w:rsidR="008D3101">
        <w:rPr>
          <w:rFonts w:ascii="Arial" w:eastAsia="Times New Roman" w:hAnsi="Arial" w:cs="Arial"/>
          <w:sz w:val="24"/>
          <w:szCs w:val="24"/>
        </w:rPr>
        <w:t>....................</w:t>
      </w:r>
      <w:r w:rsidRPr="005B6CD9">
        <w:rPr>
          <w:rFonts w:ascii="Arial" w:eastAsia="Times New Roman" w:hAnsi="Arial" w:cs="Arial"/>
          <w:sz w:val="24"/>
          <w:szCs w:val="24"/>
        </w:rPr>
        <w:t>..................... 3</w:t>
      </w:r>
    </w:p>
    <w:p w14:paraId="5280CC92" w14:textId="77777777" w:rsidR="005B6CD9" w:rsidRPr="005B6CD9" w:rsidRDefault="005B6CD9" w:rsidP="005B6CD9">
      <w:pPr>
        <w:spacing w:before="100" w:beforeAutospacing="1" w:after="100" w:afterAutospacing="1" w:line="240" w:lineRule="auto"/>
        <w:rPr>
          <w:rFonts w:ascii="Arial" w:eastAsia="Times New Roman" w:hAnsi="Arial" w:cs="Arial"/>
          <w:sz w:val="24"/>
          <w:szCs w:val="24"/>
        </w:rPr>
      </w:pPr>
      <w:r w:rsidRPr="005B6CD9">
        <w:rPr>
          <w:rFonts w:ascii="Arial" w:eastAsia="Times New Roman" w:hAnsi="Arial" w:cs="Arial"/>
          <w:b/>
          <w:bCs/>
          <w:sz w:val="24"/>
          <w:szCs w:val="24"/>
        </w:rPr>
        <w:t>Task 1: Selection of Research Topic</w:t>
      </w:r>
      <w:r w:rsidRPr="005B6CD9">
        <w:rPr>
          <w:rFonts w:ascii="Arial" w:eastAsia="Times New Roman" w:hAnsi="Arial" w:cs="Arial"/>
          <w:sz w:val="24"/>
          <w:szCs w:val="24"/>
        </w:rPr>
        <w:t xml:space="preserve"> .....................................</w:t>
      </w:r>
      <w:r w:rsidR="008D3101">
        <w:rPr>
          <w:rFonts w:ascii="Arial" w:eastAsia="Times New Roman" w:hAnsi="Arial" w:cs="Arial"/>
          <w:sz w:val="24"/>
          <w:szCs w:val="24"/>
        </w:rPr>
        <w:t>....................</w:t>
      </w:r>
      <w:r w:rsidR="0004506A">
        <w:rPr>
          <w:rFonts w:ascii="Arial" w:eastAsia="Times New Roman" w:hAnsi="Arial" w:cs="Arial"/>
          <w:sz w:val="24"/>
          <w:szCs w:val="24"/>
        </w:rPr>
        <w:t>................. 4</w:t>
      </w:r>
    </w:p>
    <w:p w14:paraId="3234F18E" w14:textId="77777777" w:rsidR="005B6CD9" w:rsidRPr="005B6CD9" w:rsidRDefault="005B6CD9" w:rsidP="005B6CD9">
      <w:pPr>
        <w:spacing w:before="100" w:beforeAutospacing="1" w:after="100" w:afterAutospacing="1" w:line="240" w:lineRule="auto"/>
        <w:rPr>
          <w:rFonts w:ascii="Arial" w:eastAsia="Times New Roman" w:hAnsi="Arial" w:cs="Arial"/>
          <w:sz w:val="24"/>
          <w:szCs w:val="24"/>
        </w:rPr>
      </w:pPr>
      <w:r w:rsidRPr="005B6CD9">
        <w:rPr>
          <w:rFonts w:ascii="Arial" w:eastAsia="Times New Roman" w:hAnsi="Arial" w:cs="Arial"/>
          <w:b/>
          <w:bCs/>
          <w:sz w:val="24"/>
          <w:szCs w:val="24"/>
        </w:rPr>
        <w:t>Task 2: Evaluating Information Sources</w:t>
      </w:r>
      <w:r w:rsidRPr="005B6CD9">
        <w:rPr>
          <w:rFonts w:ascii="Arial" w:eastAsia="Times New Roman" w:hAnsi="Arial" w:cs="Arial"/>
          <w:sz w:val="24"/>
          <w:szCs w:val="24"/>
        </w:rPr>
        <w:t xml:space="preserve"> ....................................</w:t>
      </w:r>
      <w:r w:rsidR="008D3101">
        <w:rPr>
          <w:rFonts w:ascii="Arial" w:eastAsia="Times New Roman" w:hAnsi="Arial" w:cs="Arial"/>
          <w:sz w:val="24"/>
          <w:szCs w:val="24"/>
        </w:rPr>
        <w:t>....................</w:t>
      </w:r>
      <w:r w:rsidR="0004506A">
        <w:rPr>
          <w:rFonts w:ascii="Arial" w:eastAsia="Times New Roman" w:hAnsi="Arial" w:cs="Arial"/>
          <w:sz w:val="24"/>
          <w:szCs w:val="24"/>
        </w:rPr>
        <w:t>............ 5</w:t>
      </w:r>
    </w:p>
    <w:p w14:paraId="3423A4D6" w14:textId="77777777" w:rsidR="005B6CD9" w:rsidRPr="005B6CD9" w:rsidRDefault="005B6CD9" w:rsidP="005B6CD9">
      <w:pPr>
        <w:spacing w:before="100" w:beforeAutospacing="1" w:after="100" w:afterAutospacing="1" w:line="240" w:lineRule="auto"/>
        <w:rPr>
          <w:rFonts w:ascii="Arial" w:eastAsia="Times New Roman" w:hAnsi="Arial" w:cs="Arial"/>
          <w:sz w:val="24"/>
          <w:szCs w:val="24"/>
        </w:rPr>
      </w:pPr>
      <w:r w:rsidRPr="005B6CD9">
        <w:rPr>
          <w:rFonts w:ascii="Arial" w:eastAsia="Times New Roman" w:hAnsi="Arial" w:cs="Arial"/>
          <w:b/>
          <w:bCs/>
          <w:sz w:val="24"/>
          <w:szCs w:val="24"/>
        </w:rPr>
        <w:t>Task 3: Research Methodologies</w:t>
      </w:r>
      <w:r w:rsidRPr="005B6CD9">
        <w:rPr>
          <w:rFonts w:ascii="Arial" w:eastAsia="Times New Roman" w:hAnsi="Arial" w:cs="Arial"/>
          <w:sz w:val="24"/>
          <w:szCs w:val="24"/>
        </w:rPr>
        <w:t xml:space="preserve"> ..................................................</w:t>
      </w:r>
      <w:r w:rsidR="008D3101">
        <w:rPr>
          <w:rFonts w:ascii="Arial" w:eastAsia="Times New Roman" w:hAnsi="Arial" w:cs="Arial"/>
          <w:sz w:val="24"/>
          <w:szCs w:val="24"/>
        </w:rPr>
        <w:t>....................</w:t>
      </w:r>
      <w:r w:rsidRPr="005B6CD9">
        <w:rPr>
          <w:rFonts w:ascii="Arial" w:eastAsia="Times New Roman" w:hAnsi="Arial" w:cs="Arial"/>
          <w:sz w:val="24"/>
          <w:szCs w:val="24"/>
        </w:rPr>
        <w:t>.......... 6</w:t>
      </w:r>
    </w:p>
    <w:p w14:paraId="56776DD2" w14:textId="77777777" w:rsidR="005B6CD9" w:rsidRPr="005B6CD9" w:rsidRDefault="005B6CD9" w:rsidP="005B6CD9">
      <w:pPr>
        <w:spacing w:before="100" w:beforeAutospacing="1" w:after="100" w:afterAutospacing="1" w:line="240" w:lineRule="auto"/>
        <w:rPr>
          <w:rFonts w:ascii="Arial" w:eastAsia="Times New Roman" w:hAnsi="Arial" w:cs="Arial"/>
          <w:sz w:val="24"/>
          <w:szCs w:val="24"/>
        </w:rPr>
      </w:pPr>
      <w:r w:rsidRPr="005B6CD9">
        <w:rPr>
          <w:rFonts w:ascii="Arial" w:eastAsia="Times New Roman" w:hAnsi="Arial" w:cs="Arial"/>
          <w:b/>
          <w:bCs/>
          <w:sz w:val="24"/>
          <w:szCs w:val="24"/>
        </w:rPr>
        <w:t>Task 4: Data Collection</w:t>
      </w:r>
      <w:r w:rsidRPr="005B6CD9">
        <w:rPr>
          <w:rFonts w:ascii="Arial" w:eastAsia="Times New Roman" w:hAnsi="Arial" w:cs="Arial"/>
          <w:sz w:val="24"/>
          <w:szCs w:val="24"/>
        </w:rPr>
        <w:t xml:space="preserve"> ..................................................................</w:t>
      </w:r>
      <w:r w:rsidR="008D3101">
        <w:rPr>
          <w:rFonts w:ascii="Arial" w:eastAsia="Times New Roman" w:hAnsi="Arial" w:cs="Arial"/>
          <w:sz w:val="24"/>
          <w:szCs w:val="24"/>
        </w:rPr>
        <w:t>....................</w:t>
      </w:r>
      <w:r w:rsidRPr="005B6CD9">
        <w:rPr>
          <w:rFonts w:ascii="Arial" w:eastAsia="Times New Roman" w:hAnsi="Arial" w:cs="Arial"/>
          <w:sz w:val="24"/>
          <w:szCs w:val="24"/>
        </w:rPr>
        <w:t>.......... 7</w:t>
      </w:r>
    </w:p>
    <w:p w14:paraId="3EBD0774" w14:textId="77777777" w:rsidR="005B6CD9" w:rsidRPr="005B6CD9" w:rsidRDefault="005B6CD9" w:rsidP="005B6CD9">
      <w:pPr>
        <w:spacing w:before="100" w:beforeAutospacing="1" w:after="100" w:afterAutospacing="1" w:line="240" w:lineRule="auto"/>
        <w:rPr>
          <w:rFonts w:ascii="Arial" w:eastAsia="Times New Roman" w:hAnsi="Arial" w:cs="Arial"/>
          <w:sz w:val="24"/>
          <w:szCs w:val="24"/>
        </w:rPr>
      </w:pPr>
      <w:r w:rsidRPr="005B6CD9">
        <w:rPr>
          <w:rFonts w:ascii="Arial" w:eastAsia="Times New Roman" w:hAnsi="Arial" w:cs="Arial"/>
          <w:b/>
          <w:bCs/>
          <w:sz w:val="24"/>
          <w:szCs w:val="24"/>
        </w:rPr>
        <w:t>Conclusion</w:t>
      </w:r>
      <w:r w:rsidRPr="005B6CD9">
        <w:rPr>
          <w:rFonts w:ascii="Arial" w:eastAsia="Times New Roman" w:hAnsi="Arial" w:cs="Arial"/>
          <w:sz w:val="24"/>
          <w:szCs w:val="24"/>
        </w:rPr>
        <w:t xml:space="preserve"> ...........................................................................................</w:t>
      </w:r>
      <w:r w:rsidR="008D3101">
        <w:rPr>
          <w:rFonts w:ascii="Arial" w:eastAsia="Times New Roman" w:hAnsi="Arial" w:cs="Arial"/>
          <w:sz w:val="24"/>
          <w:szCs w:val="24"/>
        </w:rPr>
        <w:t>....................</w:t>
      </w:r>
      <w:r w:rsidRPr="005B6CD9">
        <w:rPr>
          <w:rFonts w:ascii="Arial" w:eastAsia="Times New Roman" w:hAnsi="Arial" w:cs="Arial"/>
          <w:sz w:val="24"/>
          <w:szCs w:val="24"/>
        </w:rPr>
        <w:t>..... 8</w:t>
      </w:r>
    </w:p>
    <w:p w14:paraId="74D3B1C6" w14:textId="77777777" w:rsidR="005B6CD9" w:rsidRPr="005B6CD9" w:rsidRDefault="005B6CD9" w:rsidP="005B6CD9">
      <w:pPr>
        <w:spacing w:before="100" w:beforeAutospacing="1" w:after="100" w:afterAutospacing="1" w:line="240" w:lineRule="auto"/>
        <w:rPr>
          <w:rFonts w:ascii="Arial" w:eastAsia="Times New Roman" w:hAnsi="Arial" w:cs="Arial"/>
          <w:sz w:val="24"/>
          <w:szCs w:val="24"/>
        </w:rPr>
      </w:pPr>
      <w:r w:rsidRPr="005B6CD9">
        <w:rPr>
          <w:rFonts w:ascii="Arial" w:eastAsia="Times New Roman" w:hAnsi="Arial" w:cs="Arial"/>
          <w:b/>
          <w:bCs/>
          <w:sz w:val="24"/>
          <w:szCs w:val="24"/>
        </w:rPr>
        <w:t>References</w:t>
      </w:r>
      <w:r w:rsidRPr="005B6CD9">
        <w:rPr>
          <w:rFonts w:ascii="Arial" w:eastAsia="Times New Roman" w:hAnsi="Arial" w:cs="Arial"/>
          <w:sz w:val="24"/>
          <w:szCs w:val="24"/>
        </w:rPr>
        <w:t xml:space="preserve"> ...........................................................................................</w:t>
      </w:r>
      <w:r w:rsidR="008D3101">
        <w:rPr>
          <w:rFonts w:ascii="Arial" w:eastAsia="Times New Roman" w:hAnsi="Arial" w:cs="Arial"/>
          <w:sz w:val="24"/>
          <w:szCs w:val="24"/>
        </w:rPr>
        <w:t>....................</w:t>
      </w:r>
      <w:r w:rsidRPr="005B6CD9">
        <w:rPr>
          <w:rFonts w:ascii="Arial" w:eastAsia="Times New Roman" w:hAnsi="Arial" w:cs="Arial"/>
          <w:sz w:val="24"/>
          <w:szCs w:val="24"/>
        </w:rPr>
        <w:t>..... 9</w:t>
      </w:r>
    </w:p>
    <w:p w14:paraId="7857E174" w14:textId="77777777" w:rsidR="005B6CD9" w:rsidRDefault="005B6CD9" w:rsidP="008E4190">
      <w:pPr>
        <w:pStyle w:val="NormalWeb"/>
        <w:spacing w:line="360" w:lineRule="auto"/>
        <w:jc w:val="both"/>
        <w:rPr>
          <w:rFonts w:ascii="Arial" w:hAnsi="Arial" w:cs="Arial"/>
          <w:b/>
          <w:sz w:val="22"/>
          <w:szCs w:val="22"/>
        </w:rPr>
      </w:pPr>
    </w:p>
    <w:p w14:paraId="5E7107F7" w14:textId="77777777" w:rsidR="005B6CD9" w:rsidRDefault="005B6CD9" w:rsidP="008E4190">
      <w:pPr>
        <w:pStyle w:val="NormalWeb"/>
        <w:spacing w:line="360" w:lineRule="auto"/>
        <w:jc w:val="both"/>
        <w:rPr>
          <w:rFonts w:ascii="Arial" w:hAnsi="Arial" w:cs="Arial"/>
          <w:b/>
          <w:sz w:val="22"/>
          <w:szCs w:val="22"/>
        </w:rPr>
      </w:pPr>
    </w:p>
    <w:p w14:paraId="314B6D11" w14:textId="77777777" w:rsidR="005B6CD9" w:rsidRDefault="005B6CD9" w:rsidP="008E4190">
      <w:pPr>
        <w:pStyle w:val="NormalWeb"/>
        <w:spacing w:line="360" w:lineRule="auto"/>
        <w:jc w:val="both"/>
        <w:rPr>
          <w:rFonts w:ascii="Arial" w:hAnsi="Arial" w:cs="Arial"/>
          <w:b/>
          <w:sz w:val="22"/>
          <w:szCs w:val="22"/>
        </w:rPr>
      </w:pPr>
    </w:p>
    <w:p w14:paraId="35A3F2F4" w14:textId="77777777" w:rsidR="005B6CD9" w:rsidRDefault="005B6CD9" w:rsidP="008E4190">
      <w:pPr>
        <w:pStyle w:val="NormalWeb"/>
        <w:spacing w:line="360" w:lineRule="auto"/>
        <w:jc w:val="both"/>
        <w:rPr>
          <w:rFonts w:ascii="Arial" w:hAnsi="Arial" w:cs="Arial"/>
          <w:b/>
          <w:sz w:val="22"/>
          <w:szCs w:val="22"/>
        </w:rPr>
      </w:pPr>
    </w:p>
    <w:p w14:paraId="6DAC42F2" w14:textId="77777777" w:rsidR="005B6CD9" w:rsidRDefault="005B6CD9" w:rsidP="008E4190">
      <w:pPr>
        <w:pStyle w:val="NormalWeb"/>
        <w:spacing w:line="360" w:lineRule="auto"/>
        <w:jc w:val="both"/>
        <w:rPr>
          <w:rFonts w:ascii="Arial" w:hAnsi="Arial" w:cs="Arial"/>
          <w:b/>
          <w:sz w:val="22"/>
          <w:szCs w:val="22"/>
        </w:rPr>
      </w:pPr>
    </w:p>
    <w:p w14:paraId="0491229F" w14:textId="77777777" w:rsidR="005B6CD9" w:rsidRDefault="005B6CD9" w:rsidP="008E4190">
      <w:pPr>
        <w:pStyle w:val="NormalWeb"/>
        <w:spacing w:line="360" w:lineRule="auto"/>
        <w:jc w:val="both"/>
        <w:rPr>
          <w:rFonts w:ascii="Arial" w:hAnsi="Arial" w:cs="Arial"/>
          <w:b/>
          <w:sz w:val="22"/>
          <w:szCs w:val="22"/>
        </w:rPr>
      </w:pPr>
    </w:p>
    <w:p w14:paraId="4EE9E608" w14:textId="77777777" w:rsidR="005B6CD9" w:rsidRDefault="005B6CD9" w:rsidP="008E4190">
      <w:pPr>
        <w:pStyle w:val="NormalWeb"/>
        <w:spacing w:line="360" w:lineRule="auto"/>
        <w:jc w:val="both"/>
        <w:rPr>
          <w:rFonts w:ascii="Arial" w:hAnsi="Arial" w:cs="Arial"/>
          <w:b/>
          <w:sz w:val="22"/>
          <w:szCs w:val="22"/>
        </w:rPr>
      </w:pPr>
    </w:p>
    <w:p w14:paraId="7E2AAA8D" w14:textId="77777777" w:rsidR="005B6CD9" w:rsidRDefault="005B6CD9" w:rsidP="008E4190">
      <w:pPr>
        <w:pStyle w:val="NormalWeb"/>
        <w:spacing w:line="360" w:lineRule="auto"/>
        <w:jc w:val="both"/>
        <w:rPr>
          <w:rFonts w:ascii="Arial" w:hAnsi="Arial" w:cs="Arial"/>
          <w:b/>
          <w:sz w:val="22"/>
          <w:szCs w:val="22"/>
        </w:rPr>
      </w:pPr>
    </w:p>
    <w:p w14:paraId="45DDE7C5" w14:textId="77777777" w:rsidR="005B6CD9" w:rsidRDefault="005B6CD9" w:rsidP="008E4190">
      <w:pPr>
        <w:pStyle w:val="NormalWeb"/>
        <w:spacing w:line="360" w:lineRule="auto"/>
        <w:jc w:val="both"/>
        <w:rPr>
          <w:rFonts w:ascii="Arial" w:hAnsi="Arial" w:cs="Arial"/>
          <w:b/>
          <w:sz w:val="22"/>
          <w:szCs w:val="22"/>
        </w:rPr>
      </w:pPr>
    </w:p>
    <w:p w14:paraId="6D1156D7" w14:textId="77777777" w:rsidR="005B6CD9" w:rsidRDefault="005B6CD9" w:rsidP="008E4190">
      <w:pPr>
        <w:pStyle w:val="NormalWeb"/>
        <w:spacing w:line="360" w:lineRule="auto"/>
        <w:jc w:val="both"/>
        <w:rPr>
          <w:rFonts w:ascii="Arial" w:hAnsi="Arial" w:cs="Arial"/>
          <w:b/>
          <w:sz w:val="22"/>
          <w:szCs w:val="22"/>
        </w:rPr>
      </w:pPr>
    </w:p>
    <w:p w14:paraId="4D3D73FC" w14:textId="77777777" w:rsidR="005B6CD9" w:rsidRDefault="005B6CD9" w:rsidP="008E4190">
      <w:pPr>
        <w:pStyle w:val="NormalWeb"/>
        <w:spacing w:line="360" w:lineRule="auto"/>
        <w:jc w:val="both"/>
        <w:rPr>
          <w:rFonts w:ascii="Arial" w:hAnsi="Arial" w:cs="Arial"/>
          <w:b/>
          <w:sz w:val="22"/>
          <w:szCs w:val="22"/>
        </w:rPr>
      </w:pPr>
    </w:p>
    <w:p w14:paraId="49976A61" w14:textId="77777777" w:rsidR="005B6CD9" w:rsidRDefault="005B6CD9" w:rsidP="008E4190">
      <w:pPr>
        <w:pStyle w:val="NormalWeb"/>
        <w:spacing w:line="360" w:lineRule="auto"/>
        <w:jc w:val="both"/>
        <w:rPr>
          <w:rFonts w:ascii="Arial" w:hAnsi="Arial" w:cs="Arial"/>
          <w:b/>
          <w:sz w:val="22"/>
          <w:szCs w:val="22"/>
        </w:rPr>
      </w:pPr>
    </w:p>
    <w:p w14:paraId="50D8F14A" w14:textId="77777777" w:rsidR="005B6CD9" w:rsidRPr="005B6CD9" w:rsidRDefault="005B6CD9" w:rsidP="008E4190">
      <w:pPr>
        <w:pStyle w:val="NormalWeb"/>
        <w:spacing w:line="360" w:lineRule="auto"/>
        <w:jc w:val="both"/>
        <w:rPr>
          <w:rFonts w:ascii="Arial" w:hAnsi="Arial" w:cs="Arial"/>
          <w:b/>
          <w:sz w:val="22"/>
          <w:szCs w:val="22"/>
        </w:rPr>
      </w:pPr>
      <w:r>
        <w:rPr>
          <w:rFonts w:ascii="Arial" w:hAnsi="Arial" w:cs="Arial"/>
          <w:b/>
          <w:sz w:val="22"/>
          <w:szCs w:val="22"/>
        </w:rPr>
        <w:lastRenderedPageBreak/>
        <w:t>“</w:t>
      </w:r>
      <w:r w:rsidRPr="005B6CD9">
        <w:rPr>
          <w:rFonts w:ascii="Arial" w:hAnsi="Arial" w:cs="Arial"/>
          <w:b/>
          <w:sz w:val="22"/>
          <w:szCs w:val="22"/>
        </w:rPr>
        <w:t>Improving Ho</w:t>
      </w:r>
      <w:r>
        <w:rPr>
          <w:rFonts w:ascii="Arial" w:hAnsi="Arial" w:cs="Arial"/>
          <w:b/>
          <w:sz w:val="22"/>
          <w:szCs w:val="22"/>
        </w:rPr>
        <w:t>spital Discharge Communication b</w:t>
      </w:r>
      <w:r w:rsidRPr="005B6CD9">
        <w:rPr>
          <w:rFonts w:ascii="Arial" w:hAnsi="Arial" w:cs="Arial"/>
          <w:b/>
          <w:sz w:val="22"/>
          <w:szCs w:val="22"/>
        </w:rPr>
        <w:t>etween NHS Hospitals and Community Health and Social Care Services: A Mixed-Methods Research Report</w:t>
      </w:r>
      <w:r>
        <w:rPr>
          <w:rFonts w:ascii="Arial" w:hAnsi="Arial" w:cs="Arial"/>
          <w:b/>
          <w:sz w:val="22"/>
          <w:szCs w:val="22"/>
        </w:rPr>
        <w:t>”</w:t>
      </w:r>
    </w:p>
    <w:p w14:paraId="2DAD8CDC" w14:textId="77777777" w:rsidR="008E4190" w:rsidRDefault="008E4190" w:rsidP="008E4190">
      <w:pPr>
        <w:pStyle w:val="NormalWeb"/>
        <w:spacing w:line="360" w:lineRule="auto"/>
        <w:jc w:val="both"/>
        <w:rPr>
          <w:rFonts w:ascii="Arial" w:hAnsi="Arial" w:cs="Arial"/>
          <w:b/>
          <w:sz w:val="22"/>
          <w:szCs w:val="22"/>
        </w:rPr>
      </w:pPr>
      <w:r w:rsidRPr="008E4190">
        <w:rPr>
          <w:rFonts w:ascii="Arial" w:hAnsi="Arial" w:cs="Arial"/>
          <w:b/>
          <w:sz w:val="22"/>
          <w:szCs w:val="22"/>
        </w:rPr>
        <w:t>Introduction</w:t>
      </w:r>
    </w:p>
    <w:p w14:paraId="760199C1" w14:textId="77777777" w:rsidR="0004506A" w:rsidRPr="0004506A" w:rsidRDefault="0004506A" w:rsidP="008E4190">
      <w:pPr>
        <w:pStyle w:val="NormalWeb"/>
        <w:spacing w:line="360" w:lineRule="auto"/>
        <w:jc w:val="both"/>
        <w:rPr>
          <w:rFonts w:ascii="Arial" w:hAnsi="Arial" w:cs="Arial"/>
          <w:sz w:val="22"/>
          <w:szCs w:val="22"/>
        </w:rPr>
      </w:pPr>
      <w:r w:rsidRPr="0004506A">
        <w:rPr>
          <w:rFonts w:ascii="Arial" w:hAnsi="Arial" w:cs="Arial"/>
          <w:sz w:val="22"/>
          <w:szCs w:val="22"/>
        </w:rPr>
        <w:t xml:space="preserve">Good discharge communication is very important in providing safe and </w:t>
      </w:r>
      <w:r w:rsidR="00DC09C6">
        <w:rPr>
          <w:rFonts w:ascii="Arial" w:hAnsi="Arial" w:cs="Arial"/>
          <w:sz w:val="22"/>
          <w:szCs w:val="22"/>
        </w:rPr>
        <w:t>coordinated care when</w:t>
      </w:r>
      <w:r w:rsidRPr="0004506A">
        <w:rPr>
          <w:rFonts w:ascii="Arial" w:hAnsi="Arial" w:cs="Arial"/>
          <w:sz w:val="22"/>
          <w:szCs w:val="22"/>
        </w:rPr>
        <w:t xml:space="preserve"> patients transfer from NHS hospitals to community health and social care settings. Communication problems at the point of hospital discharge can result in medication mistakes, delayed follow-ups, preventable admissions and reduced safety of patients, hence increased strain on the healthcare system (Tyler et al., 2023). The need to enhance discharge communication has been identified due to the importance of good information flow in improving coordinated care and patient outcomes (Bur</w:t>
      </w:r>
      <w:r w:rsidR="00DC09C6">
        <w:rPr>
          <w:rFonts w:ascii="Arial" w:hAnsi="Arial" w:cs="Arial"/>
          <w:sz w:val="22"/>
          <w:szCs w:val="22"/>
        </w:rPr>
        <w:t xml:space="preserve">gener et al., 2021). This report </w:t>
      </w:r>
      <w:r w:rsidRPr="0004506A">
        <w:rPr>
          <w:rFonts w:ascii="Arial" w:hAnsi="Arial" w:cs="Arial"/>
          <w:sz w:val="22"/>
          <w:szCs w:val="22"/>
        </w:rPr>
        <w:t>explores this topic, analyzes current research findings, highlights research gaps, and recommends research methodologies.</w:t>
      </w:r>
    </w:p>
    <w:p w14:paraId="3674660B" w14:textId="77777777" w:rsidR="005B6CD9" w:rsidRDefault="00566F24" w:rsidP="00566F24">
      <w:pPr>
        <w:pStyle w:val="NormalWeb"/>
        <w:spacing w:line="360" w:lineRule="auto"/>
        <w:ind w:left="720"/>
        <w:jc w:val="both"/>
        <w:rPr>
          <w:rFonts w:ascii="Arial" w:hAnsi="Arial" w:cs="Arial"/>
          <w:sz w:val="22"/>
          <w:szCs w:val="22"/>
        </w:rPr>
      </w:pPr>
      <w:r>
        <w:rPr>
          <w:rFonts w:ascii="Arial" w:hAnsi="Arial" w:cs="Arial"/>
          <w:noProof/>
          <w:sz w:val="22"/>
          <w:szCs w:val="22"/>
        </w:rPr>
        <w:drawing>
          <wp:inline distT="0" distB="0" distL="0" distR="0" wp14:anchorId="7DB68797" wp14:editId="0EF668B6">
            <wp:extent cx="4908550" cy="4216400"/>
            <wp:effectExtent l="0" t="0" r="635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909972" cy="4217621"/>
                    </a:xfrm>
                    <a:prstGeom prst="rect">
                      <a:avLst/>
                    </a:prstGeom>
                    <a:noFill/>
                  </pic:spPr>
                </pic:pic>
              </a:graphicData>
            </a:graphic>
          </wp:inline>
        </w:drawing>
      </w:r>
      <w:r>
        <w:rPr>
          <w:noProof/>
        </w:rPr>
        <mc:AlternateContent>
          <mc:Choice Requires="wps">
            <w:drawing>
              <wp:inline distT="0" distB="0" distL="0" distR="0" wp14:anchorId="6CAE2E59" wp14:editId="719E1644">
                <wp:extent cx="304800" cy="304800"/>
                <wp:effectExtent l="0" t="0" r="0" b="0"/>
                <wp:docPr id="2" name="AutoShape 2" descr="Hospital discharge planning: The importance of a smooth and safe transition  from hospital to home or other care settings - FasterCapital"/>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19E1112" id="AutoShape 2" o:spid="_x0000_s1026" alt="Hospital discharge planning: The importance of a smooth and safe transition  from hospital to home or other care settings - FasterCapital"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" filled="f" stroked="f">
                <o:lock v:ext="edit" aspectratio="t"/>
                <w10:anchorlock/>
              </v:rect>
            </w:pict>
          </mc:Fallback>
        </mc:AlternateContent>
      </w:r>
    </w:p>
    <w:p w14:paraId="2A7B8140" w14:textId="77777777" w:rsidR="005B6CD9" w:rsidRPr="008E4190" w:rsidRDefault="005B6CD9" w:rsidP="005B6CD9">
      <w:pPr>
        <w:pStyle w:val="NormalWeb"/>
        <w:spacing w:line="360" w:lineRule="auto"/>
        <w:ind w:left="1440"/>
        <w:jc w:val="both"/>
        <w:rPr>
          <w:rFonts w:ascii="Arial" w:hAnsi="Arial" w:cs="Arial"/>
          <w:sz w:val="22"/>
          <w:szCs w:val="22"/>
        </w:rPr>
      </w:pPr>
      <w:r>
        <w:rPr>
          <w:rFonts w:ascii="Arial" w:hAnsi="Arial" w:cs="Arial"/>
          <w:sz w:val="22"/>
          <w:szCs w:val="22"/>
        </w:rPr>
        <w:t xml:space="preserve">                            (</w:t>
      </w:r>
      <w:r w:rsidR="00740E45">
        <w:rPr>
          <w:rFonts w:ascii="Arial" w:hAnsi="Arial" w:cs="Arial"/>
          <w:sz w:val="22"/>
          <w:szCs w:val="22"/>
        </w:rPr>
        <w:t>Wills</w:t>
      </w:r>
      <w:r>
        <w:rPr>
          <w:rFonts w:ascii="Arial" w:hAnsi="Arial" w:cs="Arial"/>
          <w:sz w:val="22"/>
          <w:szCs w:val="22"/>
        </w:rPr>
        <w:t>, 2024)</w:t>
      </w:r>
    </w:p>
    <w:p w14:paraId="5F1A3224" w14:textId="77777777" w:rsidR="008E4190" w:rsidRPr="008E4190" w:rsidRDefault="008E4190" w:rsidP="008E4190">
      <w:pPr>
        <w:spacing w:before="100" w:beforeAutospacing="1" w:after="100" w:afterAutospacing="1" w:line="360" w:lineRule="auto"/>
        <w:jc w:val="both"/>
        <w:outlineLvl w:val="1"/>
        <w:rPr>
          <w:rFonts w:ascii="Arial" w:eastAsia="Times New Roman" w:hAnsi="Arial" w:cs="Arial"/>
          <w:b/>
          <w:bCs/>
        </w:rPr>
      </w:pPr>
      <w:r w:rsidRPr="008E4190">
        <w:rPr>
          <w:rFonts w:ascii="Arial" w:eastAsia="Times New Roman" w:hAnsi="Arial" w:cs="Arial"/>
          <w:b/>
          <w:bCs/>
        </w:rPr>
        <w:lastRenderedPageBreak/>
        <w:t>Task 1 – Selection of a Research Topic</w:t>
      </w:r>
    </w:p>
    <w:p w14:paraId="0B026A45" w14:textId="77777777" w:rsidR="008E4190" w:rsidRPr="008E4190" w:rsidRDefault="008E4190" w:rsidP="008E4190">
      <w:pPr>
        <w:spacing w:before="100" w:beforeAutospacing="1" w:after="100" w:afterAutospacing="1" w:line="360" w:lineRule="auto"/>
        <w:jc w:val="both"/>
        <w:outlineLvl w:val="2"/>
        <w:rPr>
          <w:rFonts w:ascii="Arial" w:eastAsia="Times New Roman" w:hAnsi="Arial" w:cs="Arial"/>
          <w:b/>
          <w:bCs/>
        </w:rPr>
      </w:pPr>
      <w:r w:rsidRPr="008E4190">
        <w:rPr>
          <w:rFonts w:ascii="Arial" w:eastAsia="Times New Roman" w:hAnsi="Arial" w:cs="Arial"/>
          <w:b/>
          <w:bCs/>
        </w:rPr>
        <w:t>1.1 Current Health and Social Care Issue</w:t>
      </w:r>
    </w:p>
    <w:p w14:paraId="76B38EB6" w14:textId="77777777" w:rsidR="0004506A" w:rsidRDefault="0004506A" w:rsidP="008E4190">
      <w:pPr>
        <w:spacing w:before="100" w:beforeAutospacing="1" w:after="100" w:afterAutospacing="1" w:line="360" w:lineRule="auto"/>
        <w:jc w:val="both"/>
        <w:outlineLvl w:val="2"/>
        <w:rPr>
          <w:rFonts w:ascii="Arial" w:eastAsia="Times New Roman" w:hAnsi="Arial" w:cs="Arial"/>
        </w:rPr>
      </w:pPr>
      <w:r w:rsidRPr="0004506A">
        <w:rPr>
          <w:rFonts w:ascii="Arial" w:eastAsia="Times New Roman" w:hAnsi="Arial" w:cs="Arial"/>
        </w:rPr>
        <w:t>Discharge communication is a major problem in the UK health and social care system since it determines the safety of transferring patients from NHS hospitals into community services. Discharge communication entails communicating the diagnosis, medications, treatment and care plans between the hospital staff and the community health care providers. Despite this, there are many cases of poor communication that have been associated with medication mistakes, delays in care, and even unnecessary readmission to the hospitals (Tyler et al., 2023). The increasing complexity of patients, staffing challenges, and poor coordination of services make this issue quite relevant.</w:t>
      </w:r>
    </w:p>
    <w:p w14:paraId="6176DE6A" w14:textId="77777777" w:rsidR="008E4190" w:rsidRPr="008E4190" w:rsidRDefault="008E4190" w:rsidP="008E4190">
      <w:pPr>
        <w:spacing w:before="100" w:beforeAutospacing="1" w:after="100" w:afterAutospacing="1" w:line="360" w:lineRule="auto"/>
        <w:jc w:val="both"/>
        <w:outlineLvl w:val="2"/>
        <w:rPr>
          <w:rFonts w:ascii="Arial" w:eastAsia="Times New Roman" w:hAnsi="Arial" w:cs="Arial"/>
          <w:b/>
          <w:bCs/>
        </w:rPr>
      </w:pPr>
      <w:r w:rsidRPr="008E4190">
        <w:rPr>
          <w:rFonts w:ascii="Arial" w:eastAsia="Times New Roman" w:hAnsi="Arial" w:cs="Arial"/>
          <w:b/>
          <w:bCs/>
        </w:rPr>
        <w:t>1.2 Who Is Affected and Why It Matters</w:t>
      </w:r>
    </w:p>
    <w:p w14:paraId="283F83EB" w14:textId="77777777" w:rsidR="008E4190" w:rsidRPr="008E4190" w:rsidRDefault="008E4190" w:rsidP="008E4190">
      <w:pPr>
        <w:spacing w:before="100" w:beforeAutospacing="1" w:after="100" w:afterAutospacing="1" w:line="360" w:lineRule="auto"/>
        <w:jc w:val="both"/>
        <w:rPr>
          <w:rFonts w:ascii="Arial" w:eastAsia="Times New Roman" w:hAnsi="Arial" w:cs="Arial"/>
        </w:rPr>
      </w:pPr>
      <w:r w:rsidRPr="008E4190">
        <w:rPr>
          <w:rFonts w:ascii="Arial" w:eastAsia="Times New Roman" w:hAnsi="Arial" w:cs="Arial"/>
        </w:rPr>
        <w:t xml:space="preserve">Poor </w:t>
      </w:r>
      <w:r w:rsidR="0004506A" w:rsidRPr="0004506A">
        <w:rPr>
          <w:rFonts w:ascii="Arial" w:eastAsia="Times New Roman" w:hAnsi="Arial" w:cs="Arial"/>
        </w:rPr>
        <w:t>discharge communication impacts patients, carers, and healthcare professionals alike. Elderly individuals as well as those with chronic illnesses are especially susceptible to poor communication since they rely heavily on coordinated care from community nurses, GPs, pharmacists, and social care. Discharge information could be critical to help healthcare professionals provide proper assistance and to reduce unnecessary utilization of NHS resources (Tyler et al., 2023).</w:t>
      </w:r>
    </w:p>
    <w:p w14:paraId="27B48811" w14:textId="77777777" w:rsidR="008E4190" w:rsidRPr="008E4190" w:rsidRDefault="008E4190" w:rsidP="008E4190">
      <w:pPr>
        <w:spacing w:before="100" w:beforeAutospacing="1" w:after="100" w:afterAutospacing="1" w:line="360" w:lineRule="auto"/>
        <w:jc w:val="both"/>
        <w:outlineLvl w:val="2"/>
        <w:rPr>
          <w:rFonts w:ascii="Arial" w:eastAsia="Times New Roman" w:hAnsi="Arial" w:cs="Arial"/>
          <w:b/>
          <w:bCs/>
        </w:rPr>
      </w:pPr>
      <w:r w:rsidRPr="008E4190">
        <w:rPr>
          <w:rFonts w:ascii="Arial" w:eastAsia="Times New Roman" w:hAnsi="Arial" w:cs="Arial"/>
          <w:b/>
          <w:bCs/>
        </w:rPr>
        <w:t>1.3 Personal Reflection</w:t>
      </w:r>
    </w:p>
    <w:p w14:paraId="53D4C8C5" w14:textId="77777777" w:rsidR="008E4190" w:rsidRPr="008E4190" w:rsidRDefault="0004506A" w:rsidP="008E4190">
      <w:pPr>
        <w:spacing w:before="100" w:beforeAutospacing="1" w:after="100" w:afterAutospacing="1" w:line="360" w:lineRule="auto"/>
        <w:jc w:val="both"/>
        <w:rPr>
          <w:rFonts w:ascii="Arial" w:eastAsia="Times New Roman" w:hAnsi="Arial" w:cs="Arial"/>
        </w:rPr>
      </w:pPr>
      <w:r w:rsidRPr="0004506A">
        <w:rPr>
          <w:rFonts w:ascii="Arial" w:eastAsia="Times New Roman" w:hAnsi="Arial" w:cs="Arial"/>
        </w:rPr>
        <w:t>The reason for choosing this topic is the importance of good communication in providing a safe and person-centred approach to care. Being a student on a Health and Social Care course, I have an interest in how the communication between hospital and community care providers affects the continuity of care. By exploring this area, I will enrich my understanding of integrated working and evidence-based practice along with gaining some useful research skills which I will need in my future career. The results may also be used in suggesting ways of im</w:t>
      </w:r>
      <w:r>
        <w:rPr>
          <w:rFonts w:ascii="Arial" w:eastAsia="Times New Roman" w:hAnsi="Arial" w:cs="Arial"/>
        </w:rPr>
        <w:t>proving discharge communication</w:t>
      </w:r>
      <w:r w:rsidR="008E4190" w:rsidRPr="008E4190">
        <w:rPr>
          <w:rFonts w:ascii="Arial" w:eastAsia="Times New Roman" w:hAnsi="Arial" w:cs="Arial"/>
        </w:rPr>
        <w:t xml:space="preserve"> (Burgener </w:t>
      </w:r>
      <w:r w:rsidR="008E4190" w:rsidRPr="008E4190">
        <w:rPr>
          <w:rFonts w:ascii="Arial" w:eastAsia="Times New Roman" w:hAnsi="Arial" w:cs="Arial"/>
          <w:iCs/>
        </w:rPr>
        <w:t>et al</w:t>
      </w:r>
      <w:r w:rsidR="008E4190" w:rsidRPr="008E4190">
        <w:rPr>
          <w:rFonts w:ascii="Arial" w:eastAsia="Times New Roman" w:hAnsi="Arial" w:cs="Arial"/>
        </w:rPr>
        <w:t>., 2021).</w:t>
      </w:r>
    </w:p>
    <w:p w14:paraId="25270A2E" w14:textId="77777777" w:rsidR="0004506A" w:rsidRDefault="0004506A" w:rsidP="008E4190">
      <w:pPr>
        <w:spacing w:before="100" w:beforeAutospacing="1" w:after="100" w:afterAutospacing="1" w:line="360" w:lineRule="auto"/>
        <w:jc w:val="both"/>
        <w:outlineLvl w:val="1"/>
        <w:rPr>
          <w:rFonts w:ascii="Arial" w:eastAsia="Times New Roman" w:hAnsi="Arial" w:cs="Arial"/>
          <w:b/>
          <w:bCs/>
        </w:rPr>
      </w:pPr>
    </w:p>
    <w:p w14:paraId="65BE4DAB" w14:textId="77777777" w:rsidR="0004506A" w:rsidRDefault="0004506A" w:rsidP="008E4190">
      <w:pPr>
        <w:spacing w:before="100" w:beforeAutospacing="1" w:after="100" w:afterAutospacing="1" w:line="360" w:lineRule="auto"/>
        <w:jc w:val="both"/>
        <w:outlineLvl w:val="1"/>
        <w:rPr>
          <w:rFonts w:ascii="Arial" w:eastAsia="Times New Roman" w:hAnsi="Arial" w:cs="Arial"/>
          <w:b/>
          <w:bCs/>
        </w:rPr>
      </w:pPr>
    </w:p>
    <w:p w14:paraId="50B6737C" w14:textId="77777777" w:rsidR="008E4190" w:rsidRPr="008E4190" w:rsidRDefault="008E4190" w:rsidP="008E4190">
      <w:pPr>
        <w:spacing w:before="100" w:beforeAutospacing="1" w:after="100" w:afterAutospacing="1" w:line="360" w:lineRule="auto"/>
        <w:jc w:val="both"/>
        <w:outlineLvl w:val="1"/>
        <w:rPr>
          <w:rFonts w:ascii="Arial" w:eastAsia="Times New Roman" w:hAnsi="Arial" w:cs="Arial"/>
          <w:b/>
          <w:bCs/>
        </w:rPr>
      </w:pPr>
      <w:r w:rsidRPr="008E4190">
        <w:rPr>
          <w:rFonts w:ascii="Arial" w:eastAsia="Times New Roman" w:hAnsi="Arial" w:cs="Arial"/>
          <w:b/>
          <w:bCs/>
        </w:rPr>
        <w:lastRenderedPageBreak/>
        <w:t>Task 2 – Evaluating Information Sources</w:t>
      </w:r>
    </w:p>
    <w:p w14:paraId="02793823" w14:textId="77777777" w:rsidR="008E4190" w:rsidRPr="008E4190" w:rsidRDefault="008E4190" w:rsidP="008E4190">
      <w:pPr>
        <w:spacing w:before="100" w:beforeAutospacing="1" w:after="100" w:afterAutospacing="1" w:line="360" w:lineRule="auto"/>
        <w:jc w:val="both"/>
        <w:outlineLvl w:val="2"/>
        <w:rPr>
          <w:rFonts w:ascii="Arial" w:eastAsia="Times New Roman" w:hAnsi="Arial" w:cs="Arial"/>
          <w:b/>
          <w:bCs/>
        </w:rPr>
      </w:pPr>
      <w:r w:rsidRPr="008E4190">
        <w:rPr>
          <w:rFonts w:ascii="Arial" w:eastAsia="Times New Roman" w:hAnsi="Arial" w:cs="Arial"/>
          <w:b/>
          <w:bCs/>
        </w:rPr>
        <w:t xml:space="preserve">2.1 Source 1: Tyler </w:t>
      </w:r>
      <w:r w:rsidRPr="008E4190">
        <w:rPr>
          <w:rFonts w:ascii="Arial" w:eastAsia="Times New Roman" w:hAnsi="Arial" w:cs="Arial"/>
          <w:b/>
          <w:bCs/>
          <w:iCs/>
        </w:rPr>
        <w:t>et al.</w:t>
      </w:r>
      <w:r w:rsidRPr="008E4190">
        <w:rPr>
          <w:rFonts w:ascii="Arial" w:eastAsia="Times New Roman" w:hAnsi="Arial" w:cs="Arial"/>
          <w:b/>
          <w:bCs/>
        </w:rPr>
        <w:t xml:space="preserve"> (2023)</w:t>
      </w:r>
    </w:p>
    <w:p w14:paraId="7F6B5341" w14:textId="77777777" w:rsidR="0004506A" w:rsidRDefault="0004506A" w:rsidP="008E4190">
      <w:pPr>
        <w:spacing w:before="100" w:beforeAutospacing="1" w:after="100" w:afterAutospacing="1" w:line="360" w:lineRule="auto"/>
        <w:jc w:val="both"/>
        <w:outlineLvl w:val="2"/>
        <w:rPr>
          <w:rFonts w:ascii="Arial" w:eastAsia="Times New Roman" w:hAnsi="Arial" w:cs="Arial"/>
        </w:rPr>
      </w:pPr>
      <w:r w:rsidRPr="0004506A">
        <w:rPr>
          <w:rFonts w:ascii="Arial" w:eastAsia="Times New Roman" w:hAnsi="Arial" w:cs="Arial"/>
        </w:rPr>
        <w:t>A systematic review and network meta-analysis done by Tyler et al. (2023) was carried out to assess transitional care interventions for assisting patients transitioning from a hospital environment to community care settings. This review indicated that discharge interventions increase continuity of care by lowering hospital readmission rates and increasing medication compliance and patient satisfaction. It is a systematic review of randomized controlled trials and is highly credible. This study is especially helpful because it shows that well-developed discharge process leads to better outcomes for patients and reduces pressures on healthcare facilities. However, since the study broadly covers the topic of transitional care, it does not cover the issue of communication between NHS hospitals and community care</w:t>
      </w:r>
      <w:r w:rsidR="00DC09C6">
        <w:rPr>
          <w:rFonts w:ascii="Arial" w:eastAsia="Times New Roman" w:hAnsi="Arial" w:cs="Arial"/>
        </w:rPr>
        <w:t xml:space="preserve"> facilities. Despite this limitation</w:t>
      </w:r>
      <w:r w:rsidRPr="0004506A">
        <w:rPr>
          <w:rFonts w:ascii="Arial" w:eastAsia="Times New Roman" w:hAnsi="Arial" w:cs="Arial"/>
        </w:rPr>
        <w:t>, it can serve as a good basis for studying this topic.</w:t>
      </w:r>
    </w:p>
    <w:p w14:paraId="5365DBD3" w14:textId="77777777" w:rsidR="008E4190" w:rsidRPr="008E4190" w:rsidRDefault="008E4190" w:rsidP="008E4190">
      <w:pPr>
        <w:spacing w:before="100" w:beforeAutospacing="1" w:after="100" w:afterAutospacing="1" w:line="360" w:lineRule="auto"/>
        <w:jc w:val="both"/>
        <w:outlineLvl w:val="2"/>
        <w:rPr>
          <w:rFonts w:ascii="Arial" w:eastAsia="Times New Roman" w:hAnsi="Arial" w:cs="Arial"/>
          <w:b/>
          <w:bCs/>
        </w:rPr>
      </w:pPr>
      <w:r w:rsidRPr="008E4190">
        <w:rPr>
          <w:rFonts w:ascii="Arial" w:eastAsia="Times New Roman" w:hAnsi="Arial" w:cs="Arial"/>
          <w:b/>
          <w:bCs/>
        </w:rPr>
        <w:t xml:space="preserve">2.2 Source 2: Jensen </w:t>
      </w:r>
      <w:r w:rsidRPr="008E4190">
        <w:rPr>
          <w:rFonts w:ascii="Arial" w:eastAsia="Times New Roman" w:hAnsi="Arial" w:cs="Arial"/>
          <w:b/>
          <w:bCs/>
          <w:iCs/>
        </w:rPr>
        <w:t>et al</w:t>
      </w:r>
      <w:r w:rsidRPr="008E4190">
        <w:rPr>
          <w:rFonts w:ascii="Arial" w:eastAsia="Times New Roman" w:hAnsi="Arial" w:cs="Arial"/>
          <w:b/>
          <w:bCs/>
          <w:i/>
          <w:iCs/>
        </w:rPr>
        <w:t>.</w:t>
      </w:r>
      <w:r w:rsidRPr="008E4190">
        <w:rPr>
          <w:rFonts w:ascii="Arial" w:eastAsia="Times New Roman" w:hAnsi="Arial" w:cs="Arial"/>
          <w:b/>
          <w:bCs/>
        </w:rPr>
        <w:t xml:space="preserve"> (2024)</w:t>
      </w:r>
    </w:p>
    <w:p w14:paraId="05AF1E20" w14:textId="77777777" w:rsidR="0004506A" w:rsidRDefault="0004506A" w:rsidP="008E4190">
      <w:pPr>
        <w:spacing w:before="100" w:beforeAutospacing="1" w:after="100" w:afterAutospacing="1" w:line="360" w:lineRule="auto"/>
        <w:jc w:val="both"/>
        <w:outlineLvl w:val="2"/>
        <w:rPr>
          <w:rFonts w:ascii="Arial" w:eastAsia="Times New Roman" w:hAnsi="Arial" w:cs="Arial"/>
        </w:rPr>
      </w:pPr>
      <w:r w:rsidRPr="0004506A">
        <w:rPr>
          <w:rFonts w:ascii="Arial" w:eastAsia="Times New Roman" w:hAnsi="Arial" w:cs="Arial"/>
        </w:rPr>
        <w:t>Jensen et al. (2024) have conducted a scoping review on the use of asynchronous digital communication among patients and healthcare providers post-hospital discharge. The review has found out that digital communication helps improve the exchange of information, engagement, and continuity of care but mentions some implementation issues like digital literacy, workload, and access to technology. This resource can be regarded as very relevant due to its reflection of current trends in discharge communication as well as showing the ways digital communication can be used to enhance communication outside hospital. Despite the fact that it is not a study measuring the effectiveness of the interventions clinically, it still raises certain practical issues for consideration.</w:t>
      </w:r>
    </w:p>
    <w:p w14:paraId="2A235764" w14:textId="77777777" w:rsidR="008E4190" w:rsidRPr="008E4190" w:rsidRDefault="008E4190" w:rsidP="008E4190">
      <w:pPr>
        <w:spacing w:before="100" w:beforeAutospacing="1" w:after="100" w:afterAutospacing="1" w:line="360" w:lineRule="auto"/>
        <w:jc w:val="both"/>
        <w:outlineLvl w:val="2"/>
        <w:rPr>
          <w:rFonts w:ascii="Arial" w:eastAsia="Times New Roman" w:hAnsi="Arial" w:cs="Arial"/>
          <w:b/>
          <w:bCs/>
        </w:rPr>
      </w:pPr>
      <w:r w:rsidRPr="008E4190">
        <w:rPr>
          <w:rFonts w:ascii="Arial" w:eastAsia="Times New Roman" w:hAnsi="Arial" w:cs="Arial"/>
          <w:b/>
          <w:bCs/>
        </w:rPr>
        <w:t>2.3 Source 3: Cantrell, Chambers and Booth (2024)</w:t>
      </w:r>
    </w:p>
    <w:p w14:paraId="28DC5FC9" w14:textId="77777777" w:rsidR="0004506A" w:rsidRDefault="0004506A" w:rsidP="008E4190">
      <w:pPr>
        <w:spacing w:before="100" w:beforeAutospacing="1" w:after="100" w:afterAutospacing="1" w:line="360" w:lineRule="auto"/>
        <w:jc w:val="both"/>
        <w:outlineLvl w:val="2"/>
        <w:rPr>
          <w:rFonts w:ascii="Arial" w:eastAsia="Times New Roman" w:hAnsi="Arial" w:cs="Arial"/>
        </w:rPr>
      </w:pPr>
      <w:r w:rsidRPr="0004506A">
        <w:rPr>
          <w:rFonts w:ascii="Arial" w:eastAsia="Times New Roman" w:hAnsi="Arial" w:cs="Arial"/>
        </w:rPr>
        <w:t xml:space="preserve">A rapid review of UK evidence about discharge planning and integrated care interventions was conducted by Cantrell, Chambers and Booth (2024). The results of the review found that effective cooperation between hospitals, primary and community health and social care were necessary for discharge success, but their implementation differs significantly between NHS trusts. This paper is very relevant as it examines the UK healthcare system and organizational factors that impact the quality of discharge. Nevertheless, it mainly examines the current service delivery </w:t>
      </w:r>
      <w:r w:rsidRPr="0004506A">
        <w:rPr>
          <w:rFonts w:ascii="Arial" w:eastAsia="Times New Roman" w:hAnsi="Arial" w:cs="Arial"/>
        </w:rPr>
        <w:lastRenderedPageBreak/>
        <w:t>models without investigating the experiences of patients and practitioners. Therefore, it offers important evidence for policy and organization but further primary research is still needed.</w:t>
      </w:r>
    </w:p>
    <w:p w14:paraId="29536E4C" w14:textId="77777777" w:rsidR="008E4190" w:rsidRPr="008E4190" w:rsidRDefault="008E4190" w:rsidP="008E4190">
      <w:pPr>
        <w:spacing w:before="100" w:beforeAutospacing="1" w:after="100" w:afterAutospacing="1" w:line="360" w:lineRule="auto"/>
        <w:jc w:val="both"/>
        <w:outlineLvl w:val="2"/>
        <w:rPr>
          <w:rFonts w:ascii="Arial" w:eastAsia="Times New Roman" w:hAnsi="Arial" w:cs="Arial"/>
          <w:b/>
          <w:bCs/>
        </w:rPr>
      </w:pPr>
      <w:r w:rsidRPr="008E4190">
        <w:rPr>
          <w:rFonts w:ascii="Arial" w:eastAsia="Times New Roman" w:hAnsi="Arial" w:cs="Arial"/>
          <w:b/>
          <w:bCs/>
        </w:rPr>
        <w:t>2.4 Research Gap and Rationale for the Proposed Study</w:t>
      </w:r>
    </w:p>
    <w:p w14:paraId="00BB3002" w14:textId="77777777" w:rsidR="0004506A" w:rsidRDefault="0004506A" w:rsidP="008E4190">
      <w:pPr>
        <w:spacing w:before="100" w:beforeAutospacing="1" w:after="100" w:afterAutospacing="1" w:line="360" w:lineRule="auto"/>
        <w:jc w:val="both"/>
        <w:outlineLvl w:val="1"/>
        <w:rPr>
          <w:rFonts w:ascii="Arial" w:eastAsia="Times New Roman" w:hAnsi="Arial" w:cs="Arial"/>
        </w:rPr>
      </w:pPr>
      <w:r w:rsidRPr="0004506A">
        <w:rPr>
          <w:rFonts w:ascii="Arial" w:eastAsia="Times New Roman" w:hAnsi="Arial" w:cs="Arial"/>
        </w:rPr>
        <w:t>Overall, the above studies prove that good discharge communication contributes to better continuity of care, patient safety and healthcare results. At the same time, the current literature does not investigate communication of NHS hospital staff with community health and social care professionals, taking into account patients' views as well. In addition, the available UK evidence fails to integrate qualitative and quantitative data to explore communication challenges and potential solutions. Thus, the suggested research will contribute to filling the research gap by exploring how discharge communication affects continuity of care within NHS and community organizations.</w:t>
      </w:r>
    </w:p>
    <w:p w14:paraId="282D5A66" w14:textId="77777777" w:rsidR="008E4190" w:rsidRPr="008E4190" w:rsidRDefault="008E4190" w:rsidP="008E4190">
      <w:pPr>
        <w:spacing w:before="100" w:beforeAutospacing="1" w:after="100" w:afterAutospacing="1" w:line="360" w:lineRule="auto"/>
        <w:jc w:val="both"/>
        <w:outlineLvl w:val="1"/>
        <w:rPr>
          <w:rFonts w:ascii="Arial" w:eastAsia="Times New Roman" w:hAnsi="Arial" w:cs="Arial"/>
          <w:b/>
          <w:bCs/>
        </w:rPr>
      </w:pPr>
      <w:r w:rsidRPr="008E4190">
        <w:rPr>
          <w:rFonts w:ascii="Arial" w:eastAsia="Times New Roman" w:hAnsi="Arial" w:cs="Arial"/>
          <w:b/>
          <w:bCs/>
        </w:rPr>
        <w:t>Task 3 – Research Methodologies</w:t>
      </w:r>
    </w:p>
    <w:p w14:paraId="6EF1D232" w14:textId="77777777" w:rsidR="008E4190" w:rsidRPr="008E4190" w:rsidRDefault="008E4190" w:rsidP="008E4190">
      <w:pPr>
        <w:spacing w:before="100" w:beforeAutospacing="1" w:after="100" w:afterAutospacing="1" w:line="360" w:lineRule="auto"/>
        <w:jc w:val="both"/>
        <w:outlineLvl w:val="2"/>
        <w:rPr>
          <w:rFonts w:ascii="Arial" w:eastAsia="Times New Roman" w:hAnsi="Arial" w:cs="Arial"/>
          <w:b/>
          <w:bCs/>
        </w:rPr>
      </w:pPr>
      <w:r w:rsidRPr="008E4190">
        <w:rPr>
          <w:rFonts w:ascii="Arial" w:eastAsia="Times New Roman" w:hAnsi="Arial" w:cs="Arial"/>
          <w:b/>
          <w:bCs/>
        </w:rPr>
        <w:t>3.1 Quantitative Research</w:t>
      </w:r>
    </w:p>
    <w:p w14:paraId="4E19B705" w14:textId="77777777" w:rsidR="0004506A" w:rsidRDefault="0004506A" w:rsidP="008E4190">
      <w:pPr>
        <w:spacing w:before="100" w:beforeAutospacing="1" w:after="100" w:afterAutospacing="1" w:line="360" w:lineRule="auto"/>
        <w:jc w:val="both"/>
        <w:outlineLvl w:val="2"/>
        <w:rPr>
          <w:rFonts w:ascii="Arial" w:eastAsia="Times New Roman" w:hAnsi="Arial" w:cs="Arial"/>
        </w:rPr>
      </w:pPr>
      <w:r w:rsidRPr="0004506A">
        <w:rPr>
          <w:rFonts w:ascii="Arial" w:eastAsia="Times New Roman" w:hAnsi="Arial" w:cs="Arial"/>
        </w:rPr>
        <w:t xml:space="preserve">Quantitative research refers to a research methodology that uses numbers as its data and tries to find out the relationship between the numbers through statistical </w:t>
      </w:r>
      <w:r>
        <w:rPr>
          <w:rFonts w:ascii="Arial" w:eastAsia="Times New Roman" w:hAnsi="Arial" w:cs="Arial"/>
        </w:rPr>
        <w:t>analysis (Sileyew, 2022). In this</w:t>
      </w:r>
      <w:r w:rsidRPr="0004506A">
        <w:rPr>
          <w:rFonts w:ascii="Arial" w:eastAsia="Times New Roman" w:hAnsi="Arial" w:cs="Arial"/>
        </w:rPr>
        <w:t xml:space="preserve"> proposed study, there may be some areas where quantitative research can apply such as conducting surveys among patients who have just been discharged from the hospital.</w:t>
      </w:r>
    </w:p>
    <w:p w14:paraId="4B8F1DCC" w14:textId="77777777" w:rsidR="008E4190" w:rsidRPr="008E4190" w:rsidRDefault="008E4190" w:rsidP="008E4190">
      <w:pPr>
        <w:spacing w:before="100" w:beforeAutospacing="1" w:after="100" w:afterAutospacing="1" w:line="360" w:lineRule="auto"/>
        <w:jc w:val="both"/>
        <w:outlineLvl w:val="2"/>
        <w:rPr>
          <w:rFonts w:ascii="Arial" w:eastAsia="Times New Roman" w:hAnsi="Arial" w:cs="Arial"/>
          <w:b/>
          <w:bCs/>
        </w:rPr>
      </w:pPr>
      <w:r w:rsidRPr="008E4190">
        <w:rPr>
          <w:rFonts w:ascii="Arial" w:eastAsia="Times New Roman" w:hAnsi="Arial" w:cs="Arial"/>
          <w:b/>
          <w:bCs/>
        </w:rPr>
        <w:t>3.2 Qualitative Research</w:t>
      </w:r>
    </w:p>
    <w:p w14:paraId="4C76F2ED" w14:textId="77777777" w:rsidR="0004506A" w:rsidRDefault="0004506A" w:rsidP="008E4190">
      <w:pPr>
        <w:spacing w:before="100" w:beforeAutospacing="1" w:after="100" w:afterAutospacing="1" w:line="360" w:lineRule="auto"/>
        <w:jc w:val="both"/>
        <w:outlineLvl w:val="2"/>
        <w:rPr>
          <w:rFonts w:ascii="Arial" w:eastAsia="Times New Roman" w:hAnsi="Arial" w:cs="Arial"/>
        </w:rPr>
      </w:pPr>
      <w:r w:rsidRPr="0004506A">
        <w:rPr>
          <w:rFonts w:ascii="Arial" w:eastAsia="Times New Roman" w:hAnsi="Arial" w:cs="Arial"/>
        </w:rPr>
        <w:t>Qualitative research is about examining people’s experiences, perspectives, and actions through the collection of descriptive data that i</w:t>
      </w:r>
      <w:r w:rsidR="00DB1B49">
        <w:rPr>
          <w:rFonts w:ascii="Arial" w:eastAsia="Times New Roman" w:hAnsi="Arial" w:cs="Arial"/>
        </w:rPr>
        <w:t>s not numerical (Busetto, Wick and</w:t>
      </w:r>
      <w:r w:rsidRPr="0004506A">
        <w:rPr>
          <w:rFonts w:ascii="Arial" w:eastAsia="Times New Roman" w:hAnsi="Arial" w:cs="Arial"/>
        </w:rPr>
        <w:t xml:space="preserve"> Gumbinger, 2020). In relation to this particular research, it is appropriate to conduct semi-structured interviews with patients, community nurses, and discharge planners to obtain information.</w:t>
      </w:r>
    </w:p>
    <w:p w14:paraId="0A524372" w14:textId="77777777" w:rsidR="008E4190" w:rsidRPr="008E4190" w:rsidRDefault="008E4190" w:rsidP="008E4190">
      <w:pPr>
        <w:spacing w:before="100" w:beforeAutospacing="1" w:after="100" w:afterAutospacing="1" w:line="360" w:lineRule="auto"/>
        <w:jc w:val="both"/>
        <w:outlineLvl w:val="2"/>
        <w:rPr>
          <w:rFonts w:ascii="Arial" w:eastAsia="Times New Roman" w:hAnsi="Arial" w:cs="Arial"/>
          <w:b/>
          <w:bCs/>
        </w:rPr>
      </w:pPr>
      <w:r w:rsidRPr="008E4190">
        <w:rPr>
          <w:rFonts w:ascii="Arial" w:eastAsia="Times New Roman" w:hAnsi="Arial" w:cs="Arial"/>
          <w:b/>
          <w:bCs/>
        </w:rPr>
        <w:t>3.3 Mixed-Methods Research</w:t>
      </w:r>
    </w:p>
    <w:p w14:paraId="10F21B9F" w14:textId="77777777" w:rsidR="0004506A" w:rsidRDefault="0004506A" w:rsidP="008E4190">
      <w:pPr>
        <w:spacing w:before="100" w:beforeAutospacing="1" w:after="100" w:afterAutospacing="1" w:line="360" w:lineRule="auto"/>
        <w:jc w:val="both"/>
        <w:outlineLvl w:val="2"/>
        <w:rPr>
          <w:rFonts w:ascii="Arial" w:eastAsia="Times New Roman" w:hAnsi="Arial" w:cs="Arial"/>
        </w:rPr>
      </w:pPr>
      <w:r w:rsidRPr="0004506A">
        <w:rPr>
          <w:rFonts w:ascii="Arial" w:eastAsia="Times New Roman" w:hAnsi="Arial" w:cs="Arial"/>
        </w:rPr>
        <w:t>Mixed-method research involves integrating quantitative and qualitative research methods into one study to help understand better a research problem (Creswell and Plano Clark, 2023). Integration of numerical data with the participants' experiences helps the researcher understand both the results and the causes of those results.</w:t>
      </w:r>
    </w:p>
    <w:p w14:paraId="331A66DF" w14:textId="77777777" w:rsidR="008E4190" w:rsidRPr="008E4190" w:rsidRDefault="008E4190" w:rsidP="008E4190">
      <w:pPr>
        <w:spacing w:before="100" w:beforeAutospacing="1" w:after="100" w:afterAutospacing="1" w:line="360" w:lineRule="auto"/>
        <w:jc w:val="both"/>
        <w:outlineLvl w:val="2"/>
        <w:rPr>
          <w:rFonts w:ascii="Arial" w:eastAsia="Times New Roman" w:hAnsi="Arial" w:cs="Arial"/>
          <w:b/>
          <w:bCs/>
        </w:rPr>
      </w:pPr>
      <w:r w:rsidRPr="008E4190">
        <w:rPr>
          <w:rFonts w:ascii="Arial" w:eastAsia="Times New Roman" w:hAnsi="Arial" w:cs="Arial"/>
          <w:b/>
          <w:bCs/>
        </w:rPr>
        <w:t>3.4 Selected Methodology and Justification</w:t>
      </w:r>
    </w:p>
    <w:p w14:paraId="16E95720" w14:textId="77777777" w:rsidR="0004506A" w:rsidRDefault="0004506A" w:rsidP="008E4190">
      <w:pPr>
        <w:spacing w:before="100" w:beforeAutospacing="1" w:after="100" w:afterAutospacing="1" w:line="360" w:lineRule="auto"/>
        <w:jc w:val="both"/>
        <w:outlineLvl w:val="1"/>
        <w:rPr>
          <w:rFonts w:ascii="Arial" w:eastAsia="Times New Roman" w:hAnsi="Arial" w:cs="Arial"/>
        </w:rPr>
      </w:pPr>
      <w:r w:rsidRPr="0004506A">
        <w:rPr>
          <w:rFonts w:ascii="Arial" w:eastAsia="Times New Roman" w:hAnsi="Arial" w:cs="Arial"/>
        </w:rPr>
        <w:t>For this proposed study, the methodology that can be best applied is the mixed methods design since it will enable both statistical data and in-depth perspective to be generated regarding discharge communication. Questionnaires will be useful in identifying the communication problems experienced by the patients, while the interviews will help find out how the practitioners and patients view these problems. Combining the two sets of data will make the research outcomes more reliable and give suggestions on how to improve the discharge communication process.</w:t>
      </w:r>
    </w:p>
    <w:p w14:paraId="10C01F80" w14:textId="77777777" w:rsidR="008E4190" w:rsidRPr="008E4190" w:rsidRDefault="008E4190" w:rsidP="008E4190">
      <w:pPr>
        <w:spacing w:before="100" w:beforeAutospacing="1" w:after="100" w:afterAutospacing="1" w:line="360" w:lineRule="auto"/>
        <w:jc w:val="both"/>
        <w:outlineLvl w:val="1"/>
        <w:rPr>
          <w:rFonts w:ascii="Arial" w:eastAsia="Times New Roman" w:hAnsi="Arial" w:cs="Arial"/>
          <w:b/>
          <w:bCs/>
        </w:rPr>
      </w:pPr>
      <w:r w:rsidRPr="008E4190">
        <w:rPr>
          <w:rFonts w:ascii="Arial" w:eastAsia="Times New Roman" w:hAnsi="Arial" w:cs="Arial"/>
          <w:b/>
          <w:bCs/>
        </w:rPr>
        <w:t>Task 4 – Data Collection</w:t>
      </w:r>
    </w:p>
    <w:p w14:paraId="35851FCF" w14:textId="77777777" w:rsidR="008E4190" w:rsidRPr="008E4190" w:rsidRDefault="008E4190" w:rsidP="008E4190">
      <w:pPr>
        <w:spacing w:before="100" w:beforeAutospacing="1" w:after="100" w:afterAutospacing="1" w:line="360" w:lineRule="auto"/>
        <w:jc w:val="both"/>
        <w:outlineLvl w:val="2"/>
        <w:rPr>
          <w:rFonts w:ascii="Arial" w:eastAsia="Times New Roman" w:hAnsi="Arial" w:cs="Arial"/>
          <w:b/>
          <w:bCs/>
        </w:rPr>
      </w:pPr>
      <w:r w:rsidRPr="008E4190">
        <w:rPr>
          <w:rFonts w:ascii="Arial" w:eastAsia="Times New Roman" w:hAnsi="Arial" w:cs="Arial"/>
          <w:b/>
          <w:bCs/>
        </w:rPr>
        <w:t>4.1 Primary and Secondary Data</w:t>
      </w:r>
    </w:p>
    <w:p w14:paraId="4F22056A" w14:textId="77777777" w:rsidR="0004506A" w:rsidRDefault="0004506A" w:rsidP="008E4190">
      <w:pPr>
        <w:spacing w:before="100" w:beforeAutospacing="1" w:after="100" w:afterAutospacing="1" w:line="360" w:lineRule="auto"/>
        <w:jc w:val="both"/>
        <w:outlineLvl w:val="2"/>
        <w:rPr>
          <w:rFonts w:ascii="Arial" w:eastAsia="Times New Roman" w:hAnsi="Arial" w:cs="Arial"/>
        </w:rPr>
      </w:pPr>
      <w:r w:rsidRPr="0004506A">
        <w:rPr>
          <w:rFonts w:ascii="Arial" w:eastAsia="Times New Roman" w:hAnsi="Arial" w:cs="Arial"/>
        </w:rPr>
        <w:t>The primary data is information that is gathered first-hand by the researcher to solve a particular research problem through techniques such as questionnaires, interviews, observation, and focus groups. On the other hand, the secondary data is the pre-existing information which can include published articles and reports from the NHS and the government (Johnston, 2021).</w:t>
      </w:r>
    </w:p>
    <w:p w14:paraId="67369CB4" w14:textId="77777777" w:rsidR="008E4190" w:rsidRPr="008E4190" w:rsidRDefault="008E4190" w:rsidP="008E4190">
      <w:pPr>
        <w:spacing w:before="100" w:beforeAutospacing="1" w:after="100" w:afterAutospacing="1" w:line="360" w:lineRule="auto"/>
        <w:jc w:val="both"/>
        <w:outlineLvl w:val="2"/>
        <w:rPr>
          <w:rFonts w:ascii="Arial" w:eastAsia="Times New Roman" w:hAnsi="Arial" w:cs="Arial"/>
          <w:b/>
          <w:bCs/>
        </w:rPr>
      </w:pPr>
      <w:r w:rsidRPr="008E4190">
        <w:rPr>
          <w:rFonts w:ascii="Arial" w:eastAsia="Times New Roman" w:hAnsi="Arial" w:cs="Arial"/>
          <w:b/>
          <w:bCs/>
        </w:rPr>
        <w:t>4.2 Selected Data Collection Method</w:t>
      </w:r>
    </w:p>
    <w:p w14:paraId="3526A67E" w14:textId="77777777" w:rsidR="0004506A" w:rsidRDefault="0004506A" w:rsidP="008E4190">
      <w:pPr>
        <w:spacing w:before="100" w:beforeAutospacing="1" w:after="100" w:afterAutospacing="1" w:line="360" w:lineRule="auto"/>
        <w:jc w:val="both"/>
        <w:outlineLvl w:val="2"/>
        <w:rPr>
          <w:rFonts w:ascii="Arial" w:eastAsia="Times New Roman" w:hAnsi="Arial" w:cs="Arial"/>
        </w:rPr>
      </w:pPr>
      <w:r w:rsidRPr="0004506A">
        <w:rPr>
          <w:rFonts w:ascii="Arial" w:eastAsia="Times New Roman" w:hAnsi="Arial" w:cs="Arial"/>
        </w:rPr>
        <w:t>The most suitable approach to the data collection for this study is primary data collection, because the data collected will be fresh and applicable to the discharge communication process in NHS and community health and social care services. The structured questionnaire will be used for measuring the level of discharge communication experienced by recently discharged patients from NHS hospitals. Semi-structured interviews will be carried out with a purposive sample of patients, community nurses, discharge coordinators and social workers in order to analyze the issues related to discharge communication and find the ways to solve them.</w:t>
      </w:r>
    </w:p>
    <w:p w14:paraId="26CE0857" w14:textId="77777777" w:rsidR="008E4190" w:rsidRPr="008E4190" w:rsidRDefault="008E4190" w:rsidP="008E4190">
      <w:pPr>
        <w:spacing w:before="100" w:beforeAutospacing="1" w:after="100" w:afterAutospacing="1" w:line="360" w:lineRule="auto"/>
        <w:jc w:val="both"/>
        <w:outlineLvl w:val="2"/>
        <w:rPr>
          <w:rFonts w:ascii="Arial" w:eastAsia="Times New Roman" w:hAnsi="Arial" w:cs="Arial"/>
          <w:b/>
          <w:bCs/>
        </w:rPr>
      </w:pPr>
      <w:r w:rsidRPr="008E4190">
        <w:rPr>
          <w:rFonts w:ascii="Arial" w:eastAsia="Times New Roman" w:hAnsi="Arial" w:cs="Arial"/>
          <w:b/>
          <w:bCs/>
        </w:rPr>
        <w:t>4.3 Advantages and Challenges</w:t>
      </w:r>
    </w:p>
    <w:p w14:paraId="4922BFE8" w14:textId="77777777" w:rsidR="0004506A" w:rsidRDefault="0004506A" w:rsidP="008B3A3A">
      <w:pPr>
        <w:spacing w:before="100" w:beforeAutospacing="1" w:after="100" w:afterAutospacing="1" w:line="360" w:lineRule="auto"/>
        <w:jc w:val="both"/>
        <w:outlineLvl w:val="2"/>
        <w:rPr>
          <w:rFonts w:ascii="Arial" w:eastAsia="Times New Roman" w:hAnsi="Arial" w:cs="Arial"/>
        </w:rPr>
      </w:pPr>
      <w:r w:rsidRPr="0004506A">
        <w:rPr>
          <w:rFonts w:ascii="Arial" w:eastAsia="Times New Roman" w:hAnsi="Arial" w:cs="Arial"/>
        </w:rPr>
        <w:t>Advantages of using primary data are that it provides first-hand information that answers the research question and captures the contemporary practices in healthcare. In addition, the use of primary data helps researchers gather more information from the participants, which helps to make practical suggestions for the improvement of discha</w:t>
      </w:r>
      <w:r w:rsidR="00DC09C6">
        <w:rPr>
          <w:rFonts w:ascii="Arial" w:eastAsia="Times New Roman" w:hAnsi="Arial" w:cs="Arial"/>
        </w:rPr>
        <w:t>rge communication. But, t</w:t>
      </w:r>
      <w:r w:rsidRPr="0004506A">
        <w:rPr>
          <w:rFonts w:ascii="Arial" w:eastAsia="Times New Roman" w:hAnsi="Arial" w:cs="Arial"/>
        </w:rPr>
        <w:t>he process of gathering primary data takes a lot of time due to the need to plan participant recruiting, ethical approval, and data analysis. Moreover, there is a possibility of response bias, when people are reluctant to talk about the negative experience</w:t>
      </w:r>
      <w:r w:rsidR="008B3A3A">
        <w:rPr>
          <w:rFonts w:ascii="Arial" w:eastAsia="Times New Roman" w:hAnsi="Arial" w:cs="Arial"/>
        </w:rPr>
        <w:t xml:space="preserve"> (</w:t>
      </w:r>
      <w:r w:rsidR="008B3A3A" w:rsidRPr="0004506A">
        <w:rPr>
          <w:rFonts w:ascii="Arial" w:eastAsia="Times New Roman" w:hAnsi="Arial" w:cs="Arial"/>
        </w:rPr>
        <w:t>Johnston, 2021).</w:t>
      </w:r>
    </w:p>
    <w:p w14:paraId="5528FA00" w14:textId="77777777" w:rsidR="008E4190" w:rsidRPr="008E4190" w:rsidRDefault="008E4190" w:rsidP="008E4190">
      <w:pPr>
        <w:spacing w:before="100" w:beforeAutospacing="1" w:after="100" w:afterAutospacing="1" w:line="360" w:lineRule="auto"/>
        <w:jc w:val="both"/>
        <w:outlineLvl w:val="1"/>
        <w:rPr>
          <w:rFonts w:ascii="Arial" w:eastAsia="Times New Roman" w:hAnsi="Arial" w:cs="Arial"/>
          <w:b/>
          <w:bCs/>
        </w:rPr>
      </w:pPr>
      <w:r w:rsidRPr="008E4190">
        <w:rPr>
          <w:rFonts w:ascii="Arial" w:eastAsia="Times New Roman" w:hAnsi="Arial" w:cs="Arial"/>
          <w:b/>
          <w:bCs/>
        </w:rPr>
        <w:t>Conclusion</w:t>
      </w:r>
    </w:p>
    <w:p w14:paraId="200BC039" w14:textId="77777777" w:rsidR="0004506A" w:rsidRDefault="0004506A" w:rsidP="008E4190">
      <w:pPr>
        <w:spacing w:before="100" w:beforeAutospacing="1" w:after="100" w:afterAutospacing="1" w:line="360" w:lineRule="auto"/>
        <w:jc w:val="both"/>
        <w:rPr>
          <w:rFonts w:ascii="Arial" w:eastAsia="Times New Roman" w:hAnsi="Arial" w:cs="Arial"/>
        </w:rPr>
      </w:pPr>
      <w:r w:rsidRPr="0004506A">
        <w:rPr>
          <w:rFonts w:ascii="Arial" w:eastAsia="Times New Roman" w:hAnsi="Arial" w:cs="Arial"/>
        </w:rPr>
        <w:t>Communication at discharge from hospital is an important problem that affects the continuity of care in the UK health and social care services. As evidenced in this report, proper communication between NHS hospitals and community service helps to ensure the safety of patients, avoid unnecessary readmission and achieve better health outcomes. The evaluation of existing research has indicated the advantages of having proper discharge process as well as the shortcomings in the existing literature. Mixed-methods design of the research based on primary data collection was considered to be the best strategy for the investigation of the problem.</w:t>
      </w:r>
    </w:p>
    <w:p w14:paraId="7DDA0599" w14:textId="77777777" w:rsidR="0004506A" w:rsidRDefault="0004506A" w:rsidP="008E4190">
      <w:pPr>
        <w:spacing w:before="100" w:beforeAutospacing="1" w:after="100" w:afterAutospacing="1" w:line="360" w:lineRule="auto"/>
        <w:jc w:val="both"/>
        <w:rPr>
          <w:rFonts w:ascii="Arial" w:eastAsia="Times New Roman" w:hAnsi="Arial" w:cs="Arial"/>
          <w:b/>
        </w:rPr>
      </w:pPr>
    </w:p>
    <w:p w14:paraId="3015B5F2" w14:textId="77777777" w:rsidR="0004506A" w:rsidRDefault="0004506A" w:rsidP="008E4190">
      <w:pPr>
        <w:spacing w:before="100" w:beforeAutospacing="1" w:after="100" w:afterAutospacing="1" w:line="360" w:lineRule="auto"/>
        <w:jc w:val="both"/>
        <w:rPr>
          <w:rFonts w:ascii="Arial" w:eastAsia="Times New Roman" w:hAnsi="Arial" w:cs="Arial"/>
          <w:b/>
        </w:rPr>
      </w:pPr>
    </w:p>
    <w:p w14:paraId="4BF1C607" w14:textId="77777777" w:rsidR="0004506A" w:rsidRDefault="0004506A" w:rsidP="008E4190">
      <w:pPr>
        <w:spacing w:before="100" w:beforeAutospacing="1" w:after="100" w:afterAutospacing="1" w:line="360" w:lineRule="auto"/>
        <w:jc w:val="both"/>
        <w:rPr>
          <w:rFonts w:ascii="Arial" w:eastAsia="Times New Roman" w:hAnsi="Arial" w:cs="Arial"/>
          <w:b/>
        </w:rPr>
      </w:pPr>
    </w:p>
    <w:p w14:paraId="1546CE77" w14:textId="77777777" w:rsidR="0004506A" w:rsidRDefault="0004506A" w:rsidP="008E4190">
      <w:pPr>
        <w:spacing w:before="100" w:beforeAutospacing="1" w:after="100" w:afterAutospacing="1" w:line="360" w:lineRule="auto"/>
        <w:jc w:val="both"/>
        <w:rPr>
          <w:rFonts w:ascii="Arial" w:eastAsia="Times New Roman" w:hAnsi="Arial" w:cs="Arial"/>
          <w:b/>
        </w:rPr>
      </w:pPr>
    </w:p>
    <w:p w14:paraId="586B6F7D" w14:textId="77777777" w:rsidR="0004506A" w:rsidRDefault="0004506A" w:rsidP="008E4190">
      <w:pPr>
        <w:spacing w:before="100" w:beforeAutospacing="1" w:after="100" w:afterAutospacing="1" w:line="360" w:lineRule="auto"/>
        <w:jc w:val="both"/>
        <w:rPr>
          <w:rFonts w:ascii="Arial" w:eastAsia="Times New Roman" w:hAnsi="Arial" w:cs="Arial"/>
          <w:b/>
        </w:rPr>
      </w:pPr>
    </w:p>
    <w:p w14:paraId="2CA0FA75" w14:textId="77777777" w:rsidR="0004506A" w:rsidRDefault="0004506A" w:rsidP="008E4190">
      <w:pPr>
        <w:spacing w:before="100" w:beforeAutospacing="1" w:after="100" w:afterAutospacing="1" w:line="360" w:lineRule="auto"/>
        <w:jc w:val="both"/>
        <w:rPr>
          <w:rFonts w:ascii="Arial" w:eastAsia="Times New Roman" w:hAnsi="Arial" w:cs="Arial"/>
          <w:b/>
        </w:rPr>
      </w:pPr>
    </w:p>
    <w:p w14:paraId="36B5317F" w14:textId="77777777" w:rsidR="0004506A" w:rsidRDefault="0004506A" w:rsidP="008E4190">
      <w:pPr>
        <w:spacing w:before="100" w:beforeAutospacing="1" w:after="100" w:afterAutospacing="1" w:line="360" w:lineRule="auto"/>
        <w:jc w:val="both"/>
        <w:rPr>
          <w:rFonts w:ascii="Arial" w:eastAsia="Times New Roman" w:hAnsi="Arial" w:cs="Arial"/>
          <w:b/>
        </w:rPr>
      </w:pPr>
    </w:p>
    <w:p w14:paraId="6038AA8E" w14:textId="77777777" w:rsidR="0004506A" w:rsidRDefault="0004506A" w:rsidP="008E4190">
      <w:pPr>
        <w:spacing w:before="100" w:beforeAutospacing="1" w:after="100" w:afterAutospacing="1" w:line="360" w:lineRule="auto"/>
        <w:jc w:val="both"/>
        <w:rPr>
          <w:rFonts w:ascii="Arial" w:eastAsia="Times New Roman" w:hAnsi="Arial" w:cs="Arial"/>
          <w:b/>
        </w:rPr>
      </w:pPr>
    </w:p>
    <w:p w14:paraId="78F3E61F" w14:textId="77777777" w:rsidR="0004506A" w:rsidRDefault="0004506A" w:rsidP="008E4190">
      <w:pPr>
        <w:spacing w:before="100" w:beforeAutospacing="1" w:after="100" w:afterAutospacing="1" w:line="360" w:lineRule="auto"/>
        <w:jc w:val="both"/>
        <w:rPr>
          <w:rFonts w:ascii="Arial" w:eastAsia="Times New Roman" w:hAnsi="Arial" w:cs="Arial"/>
          <w:b/>
        </w:rPr>
      </w:pPr>
    </w:p>
    <w:p w14:paraId="3FD0199D" w14:textId="77777777" w:rsidR="0004506A" w:rsidRDefault="0004506A" w:rsidP="008E4190">
      <w:pPr>
        <w:spacing w:before="100" w:beforeAutospacing="1" w:after="100" w:afterAutospacing="1" w:line="360" w:lineRule="auto"/>
        <w:jc w:val="both"/>
        <w:rPr>
          <w:rFonts w:ascii="Arial" w:eastAsia="Times New Roman" w:hAnsi="Arial" w:cs="Arial"/>
          <w:b/>
        </w:rPr>
      </w:pPr>
    </w:p>
    <w:p w14:paraId="2D737A85" w14:textId="77777777" w:rsidR="0004506A" w:rsidRDefault="0004506A" w:rsidP="008E4190">
      <w:pPr>
        <w:spacing w:before="100" w:beforeAutospacing="1" w:after="100" w:afterAutospacing="1" w:line="360" w:lineRule="auto"/>
        <w:jc w:val="both"/>
        <w:rPr>
          <w:rFonts w:ascii="Arial" w:eastAsia="Times New Roman" w:hAnsi="Arial" w:cs="Arial"/>
          <w:b/>
        </w:rPr>
      </w:pPr>
    </w:p>
    <w:p w14:paraId="42301C07" w14:textId="77777777" w:rsidR="0004506A" w:rsidRDefault="0004506A" w:rsidP="008E4190">
      <w:pPr>
        <w:spacing w:before="100" w:beforeAutospacing="1" w:after="100" w:afterAutospacing="1" w:line="360" w:lineRule="auto"/>
        <w:jc w:val="both"/>
        <w:rPr>
          <w:rFonts w:ascii="Arial" w:eastAsia="Times New Roman" w:hAnsi="Arial" w:cs="Arial"/>
          <w:b/>
        </w:rPr>
      </w:pPr>
    </w:p>
    <w:p w14:paraId="4AB01EF8" w14:textId="77777777" w:rsidR="0004506A" w:rsidRDefault="0004506A" w:rsidP="008E4190">
      <w:pPr>
        <w:spacing w:before="100" w:beforeAutospacing="1" w:after="100" w:afterAutospacing="1" w:line="360" w:lineRule="auto"/>
        <w:jc w:val="both"/>
        <w:rPr>
          <w:rFonts w:ascii="Arial" w:eastAsia="Times New Roman" w:hAnsi="Arial" w:cs="Arial"/>
          <w:b/>
        </w:rPr>
      </w:pPr>
    </w:p>
    <w:p w14:paraId="61A0F58C" w14:textId="77777777" w:rsidR="008E4190" w:rsidRPr="008E4190" w:rsidRDefault="008E4190" w:rsidP="008E4190">
      <w:pPr>
        <w:spacing w:before="100" w:beforeAutospacing="1" w:after="100" w:afterAutospacing="1" w:line="360" w:lineRule="auto"/>
        <w:jc w:val="both"/>
        <w:rPr>
          <w:rFonts w:ascii="Arial" w:eastAsia="Times New Roman" w:hAnsi="Arial" w:cs="Arial"/>
        </w:rPr>
      </w:pPr>
      <w:r w:rsidRPr="008E4190">
        <w:rPr>
          <w:rFonts w:ascii="Arial" w:eastAsia="Times New Roman" w:hAnsi="Arial" w:cs="Arial"/>
          <w:b/>
        </w:rPr>
        <w:t>REFERENCES</w:t>
      </w:r>
    </w:p>
    <w:p w14:paraId="76F8D373" w14:textId="77777777" w:rsidR="008E4190" w:rsidRPr="008E4190" w:rsidRDefault="008E4190" w:rsidP="008E4190">
      <w:pPr>
        <w:spacing w:line="360" w:lineRule="auto"/>
        <w:jc w:val="both"/>
        <w:rPr>
          <w:rFonts w:ascii="Arial" w:hAnsi="Arial" w:cs="Arial"/>
        </w:rPr>
      </w:pPr>
      <w:r w:rsidRPr="008E4190">
        <w:rPr>
          <w:rFonts w:ascii="Arial" w:hAnsi="Arial" w:cs="Arial"/>
        </w:rPr>
        <w:t xml:space="preserve">Burgener, C., Schwab, S., Signorell, A., Zeller, A. and Huber, S.I. (2021) </w:t>
      </w:r>
      <w:r w:rsidRPr="008E4190">
        <w:rPr>
          <w:rStyle w:val="Emphasis"/>
          <w:rFonts w:ascii="Arial" w:hAnsi="Arial" w:cs="Arial"/>
        </w:rPr>
        <w:t>Interventions to improve communication at hospital discharge and rates of readmission: A systematic review and meta-analysis</w:t>
      </w:r>
      <w:r w:rsidRPr="008E4190">
        <w:rPr>
          <w:rFonts w:ascii="Arial" w:hAnsi="Arial" w:cs="Arial"/>
        </w:rPr>
        <w:t xml:space="preserve">. </w:t>
      </w:r>
      <w:r w:rsidRPr="008E4190">
        <w:rPr>
          <w:rStyle w:val="Strong"/>
          <w:rFonts w:ascii="Arial" w:hAnsi="Arial" w:cs="Arial"/>
          <w:b w:val="0"/>
          <w:i/>
        </w:rPr>
        <w:t>JAMA Network Open</w:t>
      </w:r>
      <w:r w:rsidRPr="008E4190">
        <w:rPr>
          <w:rFonts w:ascii="Arial" w:hAnsi="Arial" w:cs="Arial"/>
        </w:rPr>
        <w:t>, 4(8), e2125056.</w:t>
      </w:r>
    </w:p>
    <w:p w14:paraId="42D4C994" w14:textId="77777777" w:rsidR="008E4190" w:rsidRPr="008E4190" w:rsidRDefault="008E4190" w:rsidP="008E4190">
      <w:pPr>
        <w:spacing w:before="100" w:beforeAutospacing="1" w:after="100" w:afterAutospacing="1" w:line="360" w:lineRule="auto"/>
        <w:jc w:val="both"/>
        <w:rPr>
          <w:rFonts w:ascii="Arial" w:eastAsia="Times New Roman" w:hAnsi="Arial" w:cs="Arial"/>
        </w:rPr>
      </w:pPr>
      <w:r w:rsidRPr="008E4190">
        <w:rPr>
          <w:rFonts w:ascii="Arial" w:eastAsia="Times New Roman" w:hAnsi="Arial" w:cs="Arial"/>
        </w:rPr>
        <w:t xml:space="preserve">Busetto, L., Wick, W. and Gumbinger, C. (2020) ‘How to use and assess qualitative research methods’, </w:t>
      </w:r>
      <w:r w:rsidRPr="008E4190">
        <w:rPr>
          <w:rFonts w:ascii="Arial" w:eastAsia="Times New Roman" w:hAnsi="Arial" w:cs="Arial"/>
          <w:i/>
          <w:iCs/>
        </w:rPr>
        <w:t>Neurological Research and Practice</w:t>
      </w:r>
      <w:r w:rsidRPr="008E4190">
        <w:rPr>
          <w:rFonts w:ascii="Arial" w:eastAsia="Times New Roman" w:hAnsi="Arial" w:cs="Arial"/>
        </w:rPr>
        <w:t>, 2(14).</w:t>
      </w:r>
    </w:p>
    <w:p w14:paraId="784614B2" w14:textId="77777777" w:rsidR="008E4190" w:rsidRPr="008E4190" w:rsidRDefault="008E4190" w:rsidP="008E4190">
      <w:pPr>
        <w:spacing w:before="100" w:beforeAutospacing="1" w:after="100" w:afterAutospacing="1" w:line="360" w:lineRule="auto"/>
        <w:jc w:val="both"/>
        <w:rPr>
          <w:rFonts w:ascii="Arial" w:eastAsia="Times New Roman" w:hAnsi="Arial" w:cs="Arial"/>
        </w:rPr>
      </w:pPr>
      <w:r w:rsidRPr="008E4190">
        <w:rPr>
          <w:rFonts w:ascii="Arial" w:eastAsia="Times New Roman" w:hAnsi="Arial" w:cs="Arial"/>
        </w:rPr>
        <w:t xml:space="preserve">Cantrell, A., Chambers, D. and Booth, A. (2024) </w:t>
      </w:r>
      <w:r w:rsidRPr="008E4190">
        <w:rPr>
          <w:rFonts w:ascii="Arial" w:eastAsia="Times New Roman" w:hAnsi="Arial" w:cs="Arial"/>
          <w:i/>
          <w:iCs/>
        </w:rPr>
        <w:t>Interventions to minimise hospital winter pressures related to discharge planning and integrated care: A rapid mapping review of UK evidence</w:t>
      </w:r>
      <w:r w:rsidRPr="008E4190">
        <w:rPr>
          <w:rFonts w:ascii="Arial" w:eastAsia="Times New Roman" w:hAnsi="Arial" w:cs="Arial"/>
        </w:rPr>
        <w:t xml:space="preserve">. </w:t>
      </w:r>
      <w:r w:rsidRPr="008E4190">
        <w:rPr>
          <w:rFonts w:ascii="Arial" w:eastAsia="Times New Roman" w:hAnsi="Arial" w:cs="Arial"/>
          <w:i/>
          <w:iCs/>
        </w:rPr>
        <w:t>Health and Social Care Delivery Research</w:t>
      </w:r>
      <w:r w:rsidRPr="008E4190">
        <w:rPr>
          <w:rFonts w:ascii="Arial" w:eastAsia="Times New Roman" w:hAnsi="Arial" w:cs="Arial"/>
        </w:rPr>
        <w:t>, 12(31), pp. 1–116.</w:t>
      </w:r>
    </w:p>
    <w:p w14:paraId="3394DA04" w14:textId="77777777" w:rsidR="008E4190" w:rsidRPr="008E4190" w:rsidRDefault="008E4190" w:rsidP="008E4190">
      <w:pPr>
        <w:spacing w:before="100" w:beforeAutospacing="1" w:after="100" w:afterAutospacing="1" w:line="360" w:lineRule="auto"/>
        <w:jc w:val="both"/>
        <w:rPr>
          <w:rFonts w:ascii="Arial" w:eastAsia="Times New Roman" w:hAnsi="Arial" w:cs="Arial"/>
        </w:rPr>
      </w:pPr>
      <w:r w:rsidRPr="008E4190">
        <w:rPr>
          <w:rFonts w:ascii="Arial" w:eastAsia="Times New Roman" w:hAnsi="Arial" w:cs="Arial"/>
        </w:rPr>
        <w:t xml:space="preserve">Creswell, J.W. and Plano Clark, V.L. (2023) </w:t>
      </w:r>
      <w:r w:rsidRPr="008E4190">
        <w:rPr>
          <w:rFonts w:ascii="Arial" w:eastAsia="Times New Roman" w:hAnsi="Arial" w:cs="Arial"/>
          <w:i/>
          <w:iCs/>
        </w:rPr>
        <w:t>Designing and Conducting Mixed Methods Research</w:t>
      </w:r>
      <w:r w:rsidRPr="008E4190">
        <w:rPr>
          <w:rFonts w:ascii="Arial" w:eastAsia="Times New Roman" w:hAnsi="Arial" w:cs="Arial"/>
        </w:rPr>
        <w:t>. 4th edn. Thousand Oaks, CA: SAGE Publications.</w:t>
      </w:r>
    </w:p>
    <w:p w14:paraId="707C8DC3" w14:textId="77777777" w:rsidR="008E4190" w:rsidRPr="008E4190" w:rsidRDefault="008E4190" w:rsidP="008E4190">
      <w:pPr>
        <w:spacing w:before="100" w:beforeAutospacing="1" w:after="100" w:afterAutospacing="1" w:line="360" w:lineRule="auto"/>
        <w:jc w:val="both"/>
        <w:rPr>
          <w:rFonts w:ascii="Arial" w:eastAsia="Times New Roman" w:hAnsi="Arial" w:cs="Arial"/>
        </w:rPr>
      </w:pPr>
      <w:r w:rsidRPr="008E4190">
        <w:rPr>
          <w:rFonts w:ascii="Arial" w:eastAsia="Times New Roman" w:hAnsi="Arial" w:cs="Arial"/>
        </w:rPr>
        <w:t xml:space="preserve">Jensen, L.W.H., Ghaffari, A., Rahbek, O., Dinesen, B. and Kold, S. (2024) ‘The use of asynchronous digital two-way communication between patients and healthcare professionals after hospital discharge: A scoping review’, </w:t>
      </w:r>
      <w:r w:rsidRPr="008E4190">
        <w:rPr>
          <w:rFonts w:ascii="Arial" w:eastAsia="Times New Roman" w:hAnsi="Arial" w:cs="Arial"/>
          <w:i/>
          <w:iCs/>
        </w:rPr>
        <w:t>Patient Education and Counseling</w:t>
      </w:r>
      <w:r w:rsidRPr="008E4190">
        <w:rPr>
          <w:rFonts w:ascii="Arial" w:eastAsia="Times New Roman" w:hAnsi="Arial" w:cs="Arial"/>
        </w:rPr>
        <w:t>, 128, 108393.</w:t>
      </w:r>
    </w:p>
    <w:p w14:paraId="75576886" w14:textId="77777777" w:rsidR="008E4190" w:rsidRPr="008E4190" w:rsidRDefault="008E4190" w:rsidP="008E4190">
      <w:pPr>
        <w:spacing w:before="100" w:beforeAutospacing="1" w:after="100" w:afterAutospacing="1" w:line="360" w:lineRule="auto"/>
        <w:jc w:val="both"/>
        <w:rPr>
          <w:rFonts w:ascii="Arial" w:eastAsia="Times New Roman" w:hAnsi="Arial" w:cs="Arial"/>
        </w:rPr>
      </w:pPr>
      <w:r w:rsidRPr="008E4190">
        <w:rPr>
          <w:rFonts w:ascii="Arial" w:eastAsia="Times New Roman" w:hAnsi="Arial" w:cs="Arial"/>
        </w:rPr>
        <w:t xml:space="preserve">Johnston, M.P. (2021) ‘Secondary data analysis: A method of which the time has come’, </w:t>
      </w:r>
      <w:r w:rsidRPr="008E4190">
        <w:rPr>
          <w:rFonts w:ascii="Arial" w:eastAsia="Times New Roman" w:hAnsi="Arial" w:cs="Arial"/>
          <w:i/>
          <w:iCs/>
        </w:rPr>
        <w:t>Qualitative and Quantitative Methods in Libraries</w:t>
      </w:r>
      <w:r w:rsidRPr="008E4190">
        <w:rPr>
          <w:rFonts w:ascii="Arial" w:eastAsia="Times New Roman" w:hAnsi="Arial" w:cs="Arial"/>
        </w:rPr>
        <w:t>, 3(3), pp. 619–626.</w:t>
      </w:r>
    </w:p>
    <w:p w14:paraId="3551D218" w14:textId="77777777" w:rsidR="008E4190" w:rsidRPr="008E4190" w:rsidRDefault="008E4190" w:rsidP="008E4190">
      <w:pPr>
        <w:spacing w:before="100" w:beforeAutospacing="1" w:after="100" w:afterAutospacing="1" w:line="360" w:lineRule="auto"/>
        <w:jc w:val="both"/>
        <w:rPr>
          <w:rFonts w:ascii="Arial" w:eastAsia="Times New Roman" w:hAnsi="Arial" w:cs="Arial"/>
        </w:rPr>
      </w:pPr>
      <w:r w:rsidRPr="008E4190">
        <w:rPr>
          <w:rFonts w:ascii="Arial" w:eastAsia="Times New Roman" w:hAnsi="Arial" w:cs="Arial"/>
        </w:rPr>
        <w:t xml:space="preserve">Sileyew, K.J. (2022) ‘Research design and methodology’, in Abu-Taieh, E., El Mouatasim, H. and Al Hadid, I. (eds.) </w:t>
      </w:r>
      <w:r w:rsidRPr="008E4190">
        <w:rPr>
          <w:rFonts w:ascii="Arial" w:eastAsia="Times New Roman" w:hAnsi="Arial" w:cs="Arial"/>
          <w:i/>
          <w:iCs/>
        </w:rPr>
        <w:t>Research Methods and Methodologies for Knowledge Management</w:t>
      </w:r>
      <w:r w:rsidRPr="008E4190">
        <w:rPr>
          <w:rFonts w:ascii="Arial" w:eastAsia="Times New Roman" w:hAnsi="Arial" w:cs="Arial"/>
        </w:rPr>
        <w:t>. London: IntechOpen.</w:t>
      </w:r>
    </w:p>
    <w:p w14:paraId="1EF5AE79" w14:textId="77777777" w:rsidR="008E4190" w:rsidRPr="008E4190" w:rsidRDefault="008E4190" w:rsidP="008E4190">
      <w:pPr>
        <w:spacing w:before="100" w:beforeAutospacing="1" w:after="100" w:afterAutospacing="1" w:line="360" w:lineRule="auto"/>
        <w:jc w:val="both"/>
        <w:rPr>
          <w:rFonts w:ascii="Arial" w:eastAsia="Times New Roman" w:hAnsi="Arial" w:cs="Arial"/>
        </w:rPr>
      </w:pPr>
      <w:r w:rsidRPr="008E4190">
        <w:rPr>
          <w:rFonts w:ascii="Arial" w:eastAsia="Times New Roman" w:hAnsi="Arial" w:cs="Arial"/>
        </w:rPr>
        <w:t xml:space="preserve">Tyler, N., Hodkinson, A., Planner, C., Angelakis, I., Keyworth, C., Hall, A., Pascall Jones, P., Wright, O.G., Keers, R., Blakeman, T. and Panagioti, M. (2023) ‘Transitional care interventions from hospital to community to reduce health care use and improve patient outcomes: A systematic review and network meta-analysis’, </w:t>
      </w:r>
      <w:r w:rsidRPr="008E4190">
        <w:rPr>
          <w:rFonts w:ascii="Arial" w:eastAsia="Times New Roman" w:hAnsi="Arial" w:cs="Arial"/>
          <w:i/>
          <w:iCs/>
        </w:rPr>
        <w:t>JAMA Network Open</w:t>
      </w:r>
      <w:r w:rsidRPr="008E4190">
        <w:rPr>
          <w:rFonts w:ascii="Arial" w:eastAsia="Times New Roman" w:hAnsi="Arial" w:cs="Arial"/>
        </w:rPr>
        <w:t>, 6(11), e2344825.</w:t>
      </w:r>
    </w:p>
    <w:sectPr w:rsidR="008E4190" w:rsidRPr="008E4190" w:rsidSect="008E4190">
      <w:footerReference w:type="default" r:id="rId8"/>
      <w:pgSz w:w="12240" w:h="15840"/>
      <w:pgMar w:top="1440" w:right="1440" w:bottom="1440" w:left="1440" w:header="720" w:footer="720" w:gutter="0"/>
      <w:pgBorders w:offsetFrom="page">
        <w:top w:val="single" w:sz="12" w:space="24" w:color="auto"/>
        <w:left w:val="single" w:sz="12" w:space="24" w:color="auto"/>
        <w:bottom w:val="single" w:sz="12" w:space="24" w:color="auto"/>
        <w:right w:val="single" w:sz="12"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3B0B2520" w14:textId="77777777" w:rsidR="00E50CD5" w:rsidRDefault="00E50CD5" w:rsidP="008E4190">
      <w:pPr>
        <w:spacing w:after="0" w:line="240" w:lineRule="auto"/>
      </w:pPr>
      <w:r>
        <w:separator/>
      </w:r>
    </w:p>
  </w:endnote>
  <w:endnote w:type="continuationSeparator" w:id="0">
    <w:p w14:paraId="3CEC095F" w14:textId="77777777" w:rsidR="00E50CD5" w:rsidRDefault="00E50CD5" w:rsidP="008E41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Calibri">
    <w:panose1 w:val="020F0502020204030204"/>
    <w:charset w:val="00"/>
    <w:family w:val="swiss"/>
    <w:pitch w:val="variable"/>
    <w:sig w:usb0="E4002EFF" w:usb1="C2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999151537"/>
      <w:docPartObj>
        <w:docPartGallery w:val="Page Numbers (Bottom of Page)"/>
        <w:docPartUnique/>
      </w:docPartObj>
    </w:sdtPr>
    <w:sdtEndPr>
      <w:rPr>
        <w:noProof/>
      </w:rPr>
    </w:sdtEndPr>
    <w:sdtContent>
      <w:p w14:paraId="49CB4ABE" w14:textId="77777777" w:rsidR="008E4190" w:rsidRDefault="008E4190">
        <w:pPr>
          <w:pStyle w:val="Footer"/>
          <w:jc w:val="right"/>
        </w:pPr>
        <w:r>
          <w:fldChar w:fldCharType="begin"/>
        </w:r>
        <w:r>
          <w:instrText xml:space="preserve"> PAGE   \* MERGEFORMAT </w:instrText>
        </w:r>
        <w:r>
          <w:fldChar w:fldCharType="separate"/>
        </w:r>
        <w:r w:rsidR="00DB1B49">
          <w:rPr>
            <w:noProof/>
          </w:rPr>
          <w:t>1</w:t>
        </w:r>
        <w:r>
          <w:rPr>
            <w:noProof/>
          </w:rPr>
          <w:fldChar w:fldCharType="end"/>
        </w:r>
      </w:p>
    </w:sdtContent>
  </w:sdt>
  <w:p w14:paraId="16FF48CC" w14:textId="77777777" w:rsidR="008E4190" w:rsidRDefault="008E41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4A6D66FB" w14:textId="77777777" w:rsidR="00E50CD5" w:rsidRDefault="00E50CD5" w:rsidP="008E4190">
      <w:pPr>
        <w:spacing w:after="0" w:line="240" w:lineRule="auto"/>
      </w:pPr>
      <w:r>
        <w:separator/>
      </w:r>
    </w:p>
  </w:footnote>
  <w:footnote w:type="continuationSeparator" w:id="0">
    <w:p w14:paraId="4845C898" w14:textId="77777777" w:rsidR="00E50CD5" w:rsidRDefault="00E50CD5" w:rsidP="008E4190">
      <w:pPr>
        <w:spacing w:after="0" w:line="240" w:lineRule="auto"/>
      </w:pPr>
      <w:r>
        <w:continuationSeparator/>
      </w:r>
    </w:p>
  </w:footnote>
</w:footnote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E4190"/>
    <w:rsid w:val="0004506A"/>
    <w:rsid w:val="00541563"/>
    <w:rsid w:val="00566F24"/>
    <w:rsid w:val="005B6CD9"/>
    <w:rsid w:val="00740E45"/>
    <w:rsid w:val="00842168"/>
    <w:rsid w:val="008B3A3A"/>
    <w:rsid w:val="008D3101"/>
    <w:rsid w:val="008E4190"/>
    <w:rsid w:val="00A01A64"/>
    <w:rsid w:val="00AD5C23"/>
    <w:rsid w:val="00BC615E"/>
    <w:rsid w:val="00CD2F3F"/>
    <w:rsid w:val="00D428D3"/>
    <w:rsid w:val="00DB1B49"/>
    <w:rsid w:val="00DC09C6"/>
    <w:rsid w:val="00E50CD5"/>
    <w:rsid w:val="00EA499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103C1E"/>
  <w15:chartTrackingRefBased/>
  <w15:docId w15:val="{84B997D7-8918-459F-81F8-90281443FD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E4190"/>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8E4190"/>
    <w:rPr>
      <w:i/>
      <w:iCs/>
    </w:rPr>
  </w:style>
  <w:style w:type="character" w:styleId="Strong">
    <w:name w:val="Strong"/>
    <w:basedOn w:val="DefaultParagraphFont"/>
    <w:uiPriority w:val="22"/>
    <w:qFormat/>
    <w:rsid w:val="008E4190"/>
    <w:rPr>
      <w:b/>
      <w:bCs/>
    </w:rPr>
  </w:style>
  <w:style w:type="paragraph" w:styleId="Header">
    <w:name w:val="header"/>
    <w:basedOn w:val="Normal"/>
    <w:link w:val="HeaderChar"/>
    <w:uiPriority w:val="99"/>
    <w:unhideWhenUsed/>
    <w:rsid w:val="008E4190"/>
    <w:pPr>
      <w:tabs>
        <w:tab w:val="center" w:pos="4680"/>
        <w:tab w:val="right" w:pos="9360"/>
      </w:tabs>
      <w:spacing w:after="0" w:line="240" w:lineRule="auto"/>
    </w:pPr>
  </w:style>
  <w:style w:type="character" w:customStyle="1" w:styleId="HeaderChar">
    <w:name w:val="Header Char"/>
    <w:basedOn w:val="DefaultParagraphFont"/>
    <w:link w:val="Header"/>
    <w:uiPriority w:val="99"/>
    <w:rsid w:val="008E4190"/>
  </w:style>
  <w:style w:type="paragraph" w:styleId="Footer">
    <w:name w:val="footer"/>
    <w:basedOn w:val="Normal"/>
    <w:link w:val="FooterChar"/>
    <w:uiPriority w:val="99"/>
    <w:unhideWhenUsed/>
    <w:rsid w:val="008E4190"/>
    <w:pPr>
      <w:tabs>
        <w:tab w:val="center" w:pos="4680"/>
        <w:tab w:val="right" w:pos="9360"/>
      </w:tabs>
      <w:spacing w:after="0" w:line="240" w:lineRule="auto"/>
    </w:pPr>
  </w:style>
  <w:style w:type="character" w:customStyle="1" w:styleId="FooterChar">
    <w:name w:val="Footer Char"/>
    <w:basedOn w:val="DefaultParagraphFont"/>
    <w:link w:val="Footer"/>
    <w:uiPriority w:val="99"/>
    <w:rsid w:val="008E4190"/>
  </w:style>
  <w:style w:type="table" w:styleId="TableGrid">
    <w:name w:val="Table Grid"/>
    <w:basedOn w:val="TableNormal"/>
    <w:uiPriority w:val="39"/>
    <w:rsid w:val="005B6C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123155424">
      <w:bodyDiv w:val="1"/>
      <w:marLeft w:val="0"/>
      <w:marRight w:val="0"/>
      <w:marTop w:val="0"/>
      <w:marBottom w:val="0"/>
      <w:divBdr>
        <w:top w:val="none" w:sz="0" w:space="0" w:color="auto"/>
        <w:left w:val="none" w:sz="0" w:space="0" w:color="auto"/>
        <w:bottom w:val="none" w:sz="0" w:space="0" w:color="auto"/>
        <w:right w:val="none" w:sz="0" w:space="0" w:color="auto"/>
      </w:divBdr>
    </w:div>
    <w:div w:id="523786578">
      <w:bodyDiv w:val="1"/>
      <w:marLeft w:val="0"/>
      <w:marRight w:val="0"/>
      <w:marTop w:val="0"/>
      <w:marBottom w:val="0"/>
      <w:divBdr>
        <w:top w:val="none" w:sz="0" w:space="0" w:color="auto"/>
        <w:left w:val="none" w:sz="0" w:space="0" w:color="auto"/>
        <w:bottom w:val="none" w:sz="0" w:space="0" w:color="auto"/>
        <w:right w:val="none" w:sz="0" w:space="0" w:color="auto"/>
      </w:divBdr>
    </w:div>
    <w:div w:id="608195881">
      <w:bodyDiv w:val="1"/>
      <w:marLeft w:val="0"/>
      <w:marRight w:val="0"/>
      <w:marTop w:val="0"/>
      <w:marBottom w:val="0"/>
      <w:divBdr>
        <w:top w:val="none" w:sz="0" w:space="0" w:color="auto"/>
        <w:left w:val="none" w:sz="0" w:space="0" w:color="auto"/>
        <w:bottom w:val="none" w:sz="0" w:space="0" w:color="auto"/>
        <w:right w:val="none" w:sz="0" w:space="0" w:color="auto"/>
      </w:divBdr>
    </w:div>
    <w:div w:id="909343631">
      <w:bodyDiv w:val="1"/>
      <w:marLeft w:val="0"/>
      <w:marRight w:val="0"/>
      <w:marTop w:val="0"/>
      <w:marBottom w:val="0"/>
      <w:divBdr>
        <w:top w:val="none" w:sz="0" w:space="0" w:color="auto"/>
        <w:left w:val="none" w:sz="0" w:space="0" w:color="auto"/>
        <w:bottom w:val="none" w:sz="0" w:space="0" w:color="auto"/>
        <w:right w:val="none" w:sz="0" w:space="0" w:color="auto"/>
      </w:divBdr>
    </w:div>
    <w:div w:id="1908757492">
      <w:bodyDiv w:val="1"/>
      <w:marLeft w:val="0"/>
      <w:marRight w:val="0"/>
      <w:marTop w:val="0"/>
      <w:marBottom w:val="0"/>
      <w:divBdr>
        <w:top w:val="none" w:sz="0" w:space="0" w:color="auto"/>
        <w:left w:val="none" w:sz="0" w:space="0" w:color="auto"/>
        <w:bottom w:val="none" w:sz="0" w:space="0" w:color="auto"/>
        <w:right w:val="none" w:sz="0" w:space="0" w:color="auto"/>
      </w:divBdr>
    </w:div>
    <w:div w:id="1976176329">
      <w:bodyDiv w:val="1"/>
      <w:marLeft w:val="0"/>
      <w:marRight w:val="0"/>
      <w:marTop w:val="0"/>
      <w:marBottom w:val="0"/>
      <w:divBdr>
        <w:top w:val="none" w:sz="0" w:space="0" w:color="auto"/>
        <w:left w:val="none" w:sz="0" w:space="0" w:color="auto"/>
        <w:bottom w:val="none" w:sz="0" w:space="0" w:color="auto"/>
        <w:right w:val="none" w:sz="0" w:space="0" w:color="auto"/>
      </w:divBdr>
    </w:div>
    <w:div w:id="19976049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1981</Words>
  <Characters>11297</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Zuhra Asghar</dc:creator>
  <cp:keywords/>
  <dc:description/>
  <cp:lastModifiedBy>Anisah Hasan (2508993)</cp:lastModifiedBy>
  <cp:revision>2</cp:revision>
  <dcterms:created xsi:type="dcterms:W3CDTF">2026-07-31T21:04:00Z</dcterms:created>
  <dcterms:modified xsi:type="dcterms:W3CDTF">2026-07-31T21:04:00Z</dcterms:modified>
</cp:coreProperties>
</file>