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8DEF5" w14:textId="34E21F2F" w:rsidR="00EE6382" w:rsidRPr="00603EF2" w:rsidRDefault="00EB36AF" w:rsidP="00EE6382">
      <w:pPr>
        <w:spacing w:line="360" w:lineRule="auto"/>
        <w:jc w:val="center"/>
        <w:rPr>
          <w:rFonts w:ascii="Arial" w:hAnsi="Arial" w:cs="Arial"/>
          <w:b/>
          <w:bCs/>
        </w:rPr>
      </w:pPr>
      <w:r w:rsidRPr="00603EF2">
        <w:rPr>
          <w:rFonts w:ascii="Arial" w:hAnsi="Arial" w:cs="Arial"/>
          <w:b/>
          <w:bCs/>
          <w:noProof/>
        </w:rPr>
        <w:drawing>
          <wp:anchor distT="0" distB="0" distL="0" distR="0" simplePos="0" relativeHeight="251661312" behindDoc="0" locked="0" layoutInCell="1" allowOverlap="1" wp14:anchorId="5C9FD21F" wp14:editId="1E620E22">
            <wp:simplePos x="0" y="0"/>
            <wp:positionH relativeFrom="column">
              <wp:posOffset>-70485</wp:posOffset>
            </wp:positionH>
            <wp:positionV relativeFrom="paragraph">
              <wp:posOffset>-177165</wp:posOffset>
            </wp:positionV>
            <wp:extent cx="1767205" cy="1008380"/>
            <wp:effectExtent l="0" t="0" r="0" b="0"/>
            <wp:wrapNone/>
            <wp:docPr id="1"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stretch/>
                  </pic:blipFill>
                  <pic:spPr>
                    <a:xfrm>
                      <a:off x="0" y="0"/>
                      <a:ext cx="1767205" cy="1008380"/>
                    </a:xfrm>
                    <a:prstGeom prst="rect">
                      <a:avLst/>
                    </a:prstGeom>
                    <a:ln w="0">
                      <a:noFill/>
                    </a:ln>
                  </pic:spPr>
                </pic:pic>
              </a:graphicData>
            </a:graphic>
          </wp:anchor>
        </w:drawing>
      </w:r>
    </w:p>
    <w:p w14:paraId="6A6CB3F0" w14:textId="6AF2BFD0" w:rsidR="006C6552" w:rsidRPr="00603EF2" w:rsidRDefault="006C6552" w:rsidP="00EE6382">
      <w:pPr>
        <w:spacing w:line="360" w:lineRule="auto"/>
        <w:jc w:val="center"/>
        <w:rPr>
          <w:rFonts w:ascii="Arial" w:hAnsi="Arial" w:cs="Arial"/>
          <w:b/>
          <w:bCs/>
        </w:rPr>
      </w:pPr>
    </w:p>
    <w:p w14:paraId="6ADE2562" w14:textId="6F23362C" w:rsidR="00EE6382" w:rsidRPr="00603EF2" w:rsidRDefault="00EE6382" w:rsidP="00EE6382">
      <w:pPr>
        <w:spacing w:line="360" w:lineRule="auto"/>
        <w:jc w:val="center"/>
        <w:rPr>
          <w:rFonts w:ascii="Arial" w:hAnsi="Arial" w:cs="Arial"/>
          <w:b/>
          <w:bCs/>
        </w:rPr>
      </w:pPr>
    </w:p>
    <w:p w14:paraId="5AF2EE72" w14:textId="77777777" w:rsidR="00EE6382" w:rsidRPr="00603EF2" w:rsidRDefault="00EE6382" w:rsidP="00EE6382">
      <w:pPr>
        <w:spacing w:line="360" w:lineRule="auto"/>
        <w:rPr>
          <w:rFonts w:ascii="Arial" w:hAnsi="Arial" w:cs="Arial"/>
          <w:b/>
          <w:bCs/>
        </w:rPr>
      </w:pPr>
    </w:p>
    <w:p w14:paraId="34B261F5" w14:textId="77777777" w:rsidR="00EE6382" w:rsidRPr="00603EF2" w:rsidRDefault="00EE6382" w:rsidP="00EE6382">
      <w:pPr>
        <w:spacing w:line="360" w:lineRule="auto"/>
        <w:rPr>
          <w:rFonts w:ascii="Arial" w:hAnsi="Arial" w:cs="Arial"/>
          <w:b/>
          <w:bCs/>
        </w:rPr>
      </w:pPr>
      <w:r w:rsidRPr="00603EF2">
        <w:rPr>
          <w:rFonts w:ascii="Arial" w:hAnsi="Arial" w:cs="Arial"/>
          <w:b/>
          <w:bCs/>
        </w:rPr>
        <w:t>Student Name: Patricia Kelly-Lambo</w:t>
      </w:r>
    </w:p>
    <w:p w14:paraId="3A64C5FA" w14:textId="77777777" w:rsidR="00EE6382" w:rsidRPr="00603EF2" w:rsidRDefault="00EE6382" w:rsidP="00EE6382">
      <w:pPr>
        <w:spacing w:line="360" w:lineRule="auto"/>
        <w:rPr>
          <w:rFonts w:ascii="Arial" w:hAnsi="Arial" w:cs="Arial"/>
          <w:b/>
          <w:bCs/>
        </w:rPr>
      </w:pPr>
      <w:r w:rsidRPr="00603EF2">
        <w:rPr>
          <w:rFonts w:ascii="Arial" w:hAnsi="Arial" w:cs="Arial"/>
          <w:b/>
          <w:bCs/>
        </w:rPr>
        <w:t>Student ID:2215117</w:t>
      </w:r>
    </w:p>
    <w:p w14:paraId="470BD6B8" w14:textId="77777777" w:rsidR="00EE6382" w:rsidRPr="00603EF2" w:rsidRDefault="00EE6382" w:rsidP="00EE6382">
      <w:pPr>
        <w:spacing w:line="360" w:lineRule="auto"/>
        <w:rPr>
          <w:rFonts w:ascii="Arial" w:hAnsi="Arial" w:cs="Arial"/>
          <w:b/>
          <w:bCs/>
        </w:rPr>
      </w:pPr>
      <w:r w:rsidRPr="00603EF2">
        <w:rPr>
          <w:rFonts w:ascii="Arial" w:hAnsi="Arial" w:cs="Arial"/>
          <w:b/>
          <w:bCs/>
        </w:rPr>
        <w:t>Module Code: LCHS7006_LON</w:t>
      </w:r>
    </w:p>
    <w:p w14:paraId="2C3934F3" w14:textId="77777777" w:rsidR="00EE6382" w:rsidRPr="00603EF2" w:rsidRDefault="00EE6382" w:rsidP="00EE6382">
      <w:pPr>
        <w:spacing w:line="360" w:lineRule="auto"/>
        <w:rPr>
          <w:rFonts w:ascii="Arial" w:hAnsi="Arial" w:cs="Arial"/>
          <w:b/>
          <w:bCs/>
        </w:rPr>
      </w:pPr>
      <w:r w:rsidRPr="00603EF2">
        <w:rPr>
          <w:rFonts w:ascii="Arial" w:hAnsi="Arial" w:cs="Arial"/>
          <w:b/>
          <w:bCs/>
        </w:rPr>
        <w:t>Module Title: Quality Assurance and Service Improvements</w:t>
      </w:r>
    </w:p>
    <w:p w14:paraId="29B11B88" w14:textId="77777777" w:rsidR="00EE6382" w:rsidRPr="00603EF2" w:rsidRDefault="00EE6382" w:rsidP="00EE6382">
      <w:pPr>
        <w:spacing w:line="360" w:lineRule="auto"/>
        <w:rPr>
          <w:rFonts w:ascii="Arial" w:hAnsi="Arial" w:cs="Arial"/>
          <w:b/>
          <w:bCs/>
        </w:rPr>
      </w:pPr>
      <w:r w:rsidRPr="00603EF2">
        <w:rPr>
          <w:rFonts w:ascii="Arial" w:hAnsi="Arial" w:cs="Arial"/>
          <w:b/>
          <w:bCs/>
        </w:rPr>
        <w:t>Lecturer Name: Dr Arif Ahmed</w:t>
      </w:r>
    </w:p>
    <w:p w14:paraId="0A79EE4D" w14:textId="77777777" w:rsidR="00EE6382" w:rsidRPr="00603EF2" w:rsidRDefault="00EE6382" w:rsidP="00EE6382">
      <w:pPr>
        <w:spacing w:line="360" w:lineRule="auto"/>
        <w:rPr>
          <w:rFonts w:ascii="Arial" w:hAnsi="Arial" w:cs="Arial"/>
          <w:b/>
          <w:bCs/>
        </w:rPr>
      </w:pPr>
      <w:r w:rsidRPr="00603EF2">
        <w:rPr>
          <w:rFonts w:ascii="Arial" w:hAnsi="Arial" w:cs="Arial"/>
          <w:b/>
          <w:bCs/>
        </w:rPr>
        <w:t>Report Title: Service Improvement and Quality Management in Healthcare</w:t>
      </w:r>
    </w:p>
    <w:p w14:paraId="02B7B4CD" w14:textId="77777777" w:rsidR="00EE6382" w:rsidRPr="00603EF2" w:rsidRDefault="00EE6382" w:rsidP="00EE6382">
      <w:pPr>
        <w:spacing w:line="360" w:lineRule="auto"/>
        <w:jc w:val="center"/>
        <w:rPr>
          <w:rFonts w:ascii="Arial" w:hAnsi="Arial" w:cs="Arial"/>
        </w:rPr>
      </w:pPr>
    </w:p>
    <w:p w14:paraId="0CDAA649" w14:textId="77777777" w:rsidR="00D85430" w:rsidRPr="00603EF2" w:rsidRDefault="00D85430" w:rsidP="00D85430">
      <w:pPr>
        <w:spacing w:line="360" w:lineRule="auto"/>
        <w:jc w:val="both"/>
        <w:rPr>
          <w:rFonts w:ascii="Arial" w:hAnsi="Arial" w:cs="Arial"/>
        </w:rPr>
      </w:pPr>
    </w:p>
    <w:p w14:paraId="518C2873" w14:textId="77777777" w:rsidR="00D85430" w:rsidRPr="00603EF2" w:rsidRDefault="00D85430" w:rsidP="00D85430">
      <w:pPr>
        <w:spacing w:line="360" w:lineRule="auto"/>
        <w:jc w:val="both"/>
        <w:rPr>
          <w:rFonts w:ascii="Arial" w:hAnsi="Arial" w:cs="Arial"/>
        </w:rPr>
      </w:pPr>
    </w:p>
    <w:p w14:paraId="441CCF92" w14:textId="77777777" w:rsidR="00D85430" w:rsidRPr="00603EF2" w:rsidRDefault="00D85430" w:rsidP="00D85430">
      <w:pPr>
        <w:spacing w:line="360" w:lineRule="auto"/>
        <w:jc w:val="both"/>
        <w:rPr>
          <w:rFonts w:ascii="Arial" w:hAnsi="Arial" w:cs="Arial"/>
        </w:rPr>
      </w:pPr>
    </w:p>
    <w:p w14:paraId="501B93ED" w14:textId="77777777" w:rsidR="00D85430" w:rsidRPr="00603EF2" w:rsidRDefault="00D85430" w:rsidP="00D85430">
      <w:pPr>
        <w:spacing w:line="360" w:lineRule="auto"/>
        <w:jc w:val="both"/>
        <w:rPr>
          <w:rFonts w:ascii="Arial" w:hAnsi="Arial" w:cs="Arial"/>
        </w:rPr>
      </w:pPr>
    </w:p>
    <w:p w14:paraId="177EBFB5" w14:textId="77777777" w:rsidR="00D85430" w:rsidRPr="00603EF2" w:rsidRDefault="00D85430" w:rsidP="00D85430">
      <w:pPr>
        <w:spacing w:line="360" w:lineRule="auto"/>
        <w:jc w:val="both"/>
        <w:rPr>
          <w:rFonts w:ascii="Arial" w:hAnsi="Arial" w:cs="Arial"/>
        </w:rPr>
      </w:pPr>
    </w:p>
    <w:p w14:paraId="6A6BAFD3" w14:textId="77777777" w:rsidR="00D85430" w:rsidRPr="00603EF2" w:rsidRDefault="00D85430" w:rsidP="00D85430">
      <w:pPr>
        <w:spacing w:line="360" w:lineRule="auto"/>
        <w:jc w:val="both"/>
        <w:rPr>
          <w:rFonts w:ascii="Arial" w:hAnsi="Arial" w:cs="Arial"/>
        </w:rPr>
      </w:pPr>
    </w:p>
    <w:p w14:paraId="379C86FE" w14:textId="77777777" w:rsidR="00D85430" w:rsidRPr="00603EF2" w:rsidRDefault="00D85430" w:rsidP="00D85430">
      <w:pPr>
        <w:spacing w:line="360" w:lineRule="auto"/>
        <w:jc w:val="both"/>
        <w:rPr>
          <w:rFonts w:ascii="Arial" w:hAnsi="Arial" w:cs="Arial"/>
        </w:rPr>
      </w:pPr>
    </w:p>
    <w:p w14:paraId="3D842931" w14:textId="77777777" w:rsidR="00D85430" w:rsidRPr="00603EF2" w:rsidRDefault="00D85430" w:rsidP="00D85430">
      <w:pPr>
        <w:spacing w:line="360" w:lineRule="auto"/>
        <w:jc w:val="both"/>
        <w:rPr>
          <w:rFonts w:ascii="Arial" w:hAnsi="Arial" w:cs="Arial"/>
        </w:rPr>
      </w:pPr>
    </w:p>
    <w:p w14:paraId="6593F137" w14:textId="77777777" w:rsidR="00D85430" w:rsidRPr="00603EF2" w:rsidRDefault="00D85430" w:rsidP="00D85430">
      <w:pPr>
        <w:spacing w:line="360" w:lineRule="auto"/>
        <w:jc w:val="both"/>
        <w:rPr>
          <w:rFonts w:ascii="Arial" w:hAnsi="Arial" w:cs="Arial"/>
        </w:rPr>
      </w:pPr>
    </w:p>
    <w:p w14:paraId="5FB8F6E7" w14:textId="77777777" w:rsidR="00D85430" w:rsidRPr="00603EF2" w:rsidRDefault="00D85430" w:rsidP="00D85430">
      <w:pPr>
        <w:spacing w:line="360" w:lineRule="auto"/>
        <w:jc w:val="both"/>
        <w:rPr>
          <w:rFonts w:ascii="Arial" w:hAnsi="Arial" w:cs="Arial"/>
        </w:rPr>
      </w:pPr>
    </w:p>
    <w:p w14:paraId="4A0E20F0" w14:textId="77777777" w:rsidR="00D85430" w:rsidRPr="00603EF2" w:rsidRDefault="00D85430" w:rsidP="00D85430">
      <w:pPr>
        <w:spacing w:line="360" w:lineRule="auto"/>
        <w:jc w:val="both"/>
        <w:rPr>
          <w:rFonts w:ascii="Arial" w:hAnsi="Arial" w:cs="Arial"/>
        </w:rPr>
      </w:pPr>
    </w:p>
    <w:p w14:paraId="2D02B12A" w14:textId="77777777" w:rsidR="00D85430" w:rsidRPr="00603EF2" w:rsidRDefault="00D85430" w:rsidP="00D85430">
      <w:pPr>
        <w:spacing w:line="360" w:lineRule="auto"/>
        <w:jc w:val="both"/>
        <w:rPr>
          <w:rFonts w:ascii="Arial" w:hAnsi="Arial" w:cs="Arial"/>
        </w:rPr>
      </w:pPr>
    </w:p>
    <w:sdt>
      <w:sdtPr>
        <w:rPr>
          <w:rFonts w:ascii="Arial" w:eastAsiaTheme="minorHAnsi" w:hAnsi="Arial" w:cs="Arial"/>
          <w:color w:val="auto"/>
          <w:sz w:val="22"/>
          <w:szCs w:val="22"/>
        </w:rPr>
        <w:id w:val="2122643088"/>
        <w:docPartObj>
          <w:docPartGallery w:val="Table of Contents"/>
          <w:docPartUnique/>
        </w:docPartObj>
      </w:sdtPr>
      <w:sdtEndPr>
        <w:rPr>
          <w:noProof/>
        </w:rPr>
      </w:sdtEndPr>
      <w:sdtContent>
        <w:p w14:paraId="30B85B5A" w14:textId="77777777" w:rsidR="00FE0E27" w:rsidRPr="00603EF2" w:rsidRDefault="00FE0E27" w:rsidP="00FE0E27">
          <w:pPr>
            <w:pStyle w:val="TOCHeading"/>
            <w:jc w:val="center"/>
            <w:rPr>
              <w:rFonts w:ascii="Arial" w:hAnsi="Arial" w:cs="Arial"/>
              <w:b/>
              <w:bCs/>
              <w:color w:val="auto"/>
              <w:sz w:val="24"/>
              <w:szCs w:val="24"/>
            </w:rPr>
          </w:pPr>
          <w:r w:rsidRPr="00603EF2">
            <w:rPr>
              <w:rFonts w:ascii="Arial" w:hAnsi="Arial" w:cs="Arial"/>
              <w:b/>
              <w:bCs/>
              <w:color w:val="auto"/>
              <w:sz w:val="24"/>
              <w:szCs w:val="24"/>
            </w:rPr>
            <w:t>Table of Contents</w:t>
          </w:r>
        </w:p>
        <w:p w14:paraId="2BC3BD32" w14:textId="754AE98F" w:rsidR="00513C41" w:rsidRDefault="00FE0E27">
          <w:pPr>
            <w:pStyle w:val="TOC1"/>
            <w:tabs>
              <w:tab w:val="right" w:leader="dot" w:pos="9350"/>
            </w:tabs>
            <w:rPr>
              <w:rFonts w:eastAsiaTheme="minorEastAsia"/>
              <w:noProof/>
              <w:kern w:val="2"/>
              <w:sz w:val="24"/>
              <w:szCs w:val="24"/>
              <w:lang w:val="en-GB" w:eastAsia="en-GB"/>
              <w14:ligatures w14:val="standardContextual"/>
            </w:rPr>
          </w:pPr>
          <w:r w:rsidRPr="00603EF2">
            <w:rPr>
              <w:rFonts w:ascii="Arial" w:hAnsi="Arial" w:cs="Arial"/>
            </w:rPr>
            <w:fldChar w:fldCharType="begin"/>
          </w:r>
          <w:r w:rsidRPr="00603EF2">
            <w:rPr>
              <w:rFonts w:ascii="Arial" w:hAnsi="Arial" w:cs="Arial"/>
            </w:rPr>
            <w:instrText xml:space="preserve"> TOC \o "1-3" \h \z \u </w:instrText>
          </w:r>
          <w:r w:rsidRPr="00603EF2">
            <w:rPr>
              <w:rFonts w:ascii="Arial" w:hAnsi="Arial" w:cs="Arial"/>
            </w:rPr>
            <w:fldChar w:fldCharType="separate"/>
          </w:r>
          <w:hyperlink w:anchor="_Toc227665927" w:history="1">
            <w:r w:rsidR="00513C41" w:rsidRPr="00817550">
              <w:rPr>
                <w:rStyle w:val="Hyperlink"/>
                <w:rFonts w:ascii="Arial" w:hAnsi="Arial" w:cs="Arial"/>
                <w:b/>
                <w:bCs/>
                <w:noProof/>
              </w:rPr>
              <w:t>1. Introduction</w:t>
            </w:r>
            <w:r w:rsidR="00513C41">
              <w:rPr>
                <w:noProof/>
                <w:webHidden/>
              </w:rPr>
              <w:tab/>
            </w:r>
            <w:r w:rsidR="00513C41">
              <w:rPr>
                <w:noProof/>
                <w:webHidden/>
              </w:rPr>
              <w:fldChar w:fldCharType="begin"/>
            </w:r>
            <w:r w:rsidR="00513C41">
              <w:rPr>
                <w:noProof/>
                <w:webHidden/>
              </w:rPr>
              <w:instrText xml:space="preserve"> PAGEREF _Toc227665927 \h </w:instrText>
            </w:r>
            <w:r w:rsidR="00513C41">
              <w:rPr>
                <w:noProof/>
                <w:webHidden/>
              </w:rPr>
            </w:r>
            <w:r w:rsidR="00513C41">
              <w:rPr>
                <w:noProof/>
                <w:webHidden/>
              </w:rPr>
              <w:fldChar w:fldCharType="separate"/>
            </w:r>
            <w:r w:rsidR="00513C41">
              <w:rPr>
                <w:noProof/>
                <w:webHidden/>
              </w:rPr>
              <w:t>3</w:t>
            </w:r>
            <w:r w:rsidR="00513C41">
              <w:rPr>
                <w:noProof/>
                <w:webHidden/>
              </w:rPr>
              <w:fldChar w:fldCharType="end"/>
            </w:r>
          </w:hyperlink>
        </w:p>
        <w:p w14:paraId="0F3DF3AB" w14:textId="5114A199" w:rsidR="00513C41" w:rsidRDefault="00513C41">
          <w:pPr>
            <w:pStyle w:val="TOC1"/>
            <w:tabs>
              <w:tab w:val="right" w:leader="dot" w:pos="9350"/>
            </w:tabs>
            <w:rPr>
              <w:rFonts w:eastAsiaTheme="minorEastAsia"/>
              <w:noProof/>
              <w:kern w:val="2"/>
              <w:sz w:val="24"/>
              <w:szCs w:val="24"/>
              <w:lang w:val="en-GB" w:eastAsia="en-GB"/>
              <w14:ligatures w14:val="standardContextual"/>
            </w:rPr>
          </w:pPr>
          <w:hyperlink w:anchor="_Toc227665928" w:history="1">
            <w:r w:rsidRPr="00817550">
              <w:rPr>
                <w:rStyle w:val="Hyperlink"/>
                <w:rFonts w:ascii="Arial" w:hAnsi="Arial" w:cs="Arial"/>
                <w:b/>
                <w:bCs/>
                <w:noProof/>
              </w:rPr>
              <w:t>2.0 Overview of Quality Management in Healthcare</w:t>
            </w:r>
            <w:r>
              <w:rPr>
                <w:noProof/>
                <w:webHidden/>
              </w:rPr>
              <w:tab/>
            </w:r>
            <w:r>
              <w:rPr>
                <w:noProof/>
                <w:webHidden/>
              </w:rPr>
              <w:fldChar w:fldCharType="begin"/>
            </w:r>
            <w:r>
              <w:rPr>
                <w:noProof/>
                <w:webHidden/>
              </w:rPr>
              <w:instrText xml:space="preserve"> PAGEREF _Toc227665928 \h </w:instrText>
            </w:r>
            <w:r>
              <w:rPr>
                <w:noProof/>
                <w:webHidden/>
              </w:rPr>
            </w:r>
            <w:r>
              <w:rPr>
                <w:noProof/>
                <w:webHidden/>
              </w:rPr>
              <w:fldChar w:fldCharType="separate"/>
            </w:r>
            <w:r>
              <w:rPr>
                <w:noProof/>
                <w:webHidden/>
              </w:rPr>
              <w:t>4</w:t>
            </w:r>
            <w:r>
              <w:rPr>
                <w:noProof/>
                <w:webHidden/>
              </w:rPr>
              <w:fldChar w:fldCharType="end"/>
            </w:r>
          </w:hyperlink>
        </w:p>
        <w:p w14:paraId="56B9AC0E" w14:textId="4CFA2F46"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29" w:history="1">
            <w:r w:rsidRPr="00817550">
              <w:rPr>
                <w:rStyle w:val="Hyperlink"/>
                <w:rFonts w:ascii="Arial" w:hAnsi="Arial" w:cs="Arial"/>
                <w:b/>
                <w:bCs/>
                <w:noProof/>
              </w:rPr>
              <w:t>2.1 Swiss Cheese Model</w:t>
            </w:r>
            <w:r>
              <w:rPr>
                <w:noProof/>
                <w:webHidden/>
              </w:rPr>
              <w:tab/>
            </w:r>
            <w:r>
              <w:rPr>
                <w:noProof/>
                <w:webHidden/>
              </w:rPr>
              <w:fldChar w:fldCharType="begin"/>
            </w:r>
            <w:r>
              <w:rPr>
                <w:noProof/>
                <w:webHidden/>
              </w:rPr>
              <w:instrText xml:space="preserve"> PAGEREF _Toc227665929 \h </w:instrText>
            </w:r>
            <w:r>
              <w:rPr>
                <w:noProof/>
                <w:webHidden/>
              </w:rPr>
            </w:r>
            <w:r>
              <w:rPr>
                <w:noProof/>
                <w:webHidden/>
              </w:rPr>
              <w:fldChar w:fldCharType="separate"/>
            </w:r>
            <w:r>
              <w:rPr>
                <w:noProof/>
                <w:webHidden/>
              </w:rPr>
              <w:t>4</w:t>
            </w:r>
            <w:r>
              <w:rPr>
                <w:noProof/>
                <w:webHidden/>
              </w:rPr>
              <w:fldChar w:fldCharType="end"/>
            </w:r>
          </w:hyperlink>
        </w:p>
        <w:p w14:paraId="2C0A731F" w14:textId="1E0E1CB8"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30" w:history="1">
            <w:r w:rsidRPr="00817550">
              <w:rPr>
                <w:rStyle w:val="Hyperlink"/>
                <w:rFonts w:ascii="Arial" w:hAnsi="Arial" w:cs="Arial"/>
                <w:b/>
                <w:bCs/>
                <w:noProof/>
              </w:rPr>
              <w:t>2.2 Root Cause Analysis of the Quality Issue</w:t>
            </w:r>
            <w:r>
              <w:rPr>
                <w:noProof/>
                <w:webHidden/>
              </w:rPr>
              <w:tab/>
            </w:r>
            <w:r>
              <w:rPr>
                <w:noProof/>
                <w:webHidden/>
              </w:rPr>
              <w:fldChar w:fldCharType="begin"/>
            </w:r>
            <w:r>
              <w:rPr>
                <w:noProof/>
                <w:webHidden/>
              </w:rPr>
              <w:instrText xml:space="preserve"> PAGEREF _Toc227665930 \h </w:instrText>
            </w:r>
            <w:r>
              <w:rPr>
                <w:noProof/>
                <w:webHidden/>
              </w:rPr>
            </w:r>
            <w:r>
              <w:rPr>
                <w:noProof/>
                <w:webHidden/>
              </w:rPr>
              <w:fldChar w:fldCharType="separate"/>
            </w:r>
            <w:r>
              <w:rPr>
                <w:noProof/>
                <w:webHidden/>
              </w:rPr>
              <w:t>5</w:t>
            </w:r>
            <w:r>
              <w:rPr>
                <w:noProof/>
                <w:webHidden/>
              </w:rPr>
              <w:fldChar w:fldCharType="end"/>
            </w:r>
          </w:hyperlink>
        </w:p>
        <w:p w14:paraId="27EF4487" w14:textId="5A68AAC3" w:rsidR="00513C41" w:rsidRDefault="00513C41">
          <w:pPr>
            <w:pStyle w:val="TOC3"/>
            <w:tabs>
              <w:tab w:val="right" w:leader="dot" w:pos="9350"/>
            </w:tabs>
            <w:rPr>
              <w:rFonts w:eastAsiaTheme="minorEastAsia"/>
              <w:noProof/>
              <w:kern w:val="2"/>
              <w:sz w:val="24"/>
              <w:szCs w:val="24"/>
              <w:lang w:val="en-GB" w:eastAsia="en-GB"/>
              <w14:ligatures w14:val="standardContextual"/>
            </w:rPr>
          </w:pPr>
          <w:hyperlink w:anchor="_Toc227665931" w:history="1">
            <w:r w:rsidRPr="00817550">
              <w:rPr>
                <w:rStyle w:val="Hyperlink"/>
                <w:rFonts w:ascii="Arial" w:hAnsi="Arial" w:cs="Arial"/>
                <w:b/>
                <w:bCs/>
                <w:noProof/>
              </w:rPr>
              <w:t>2.2.1 Fishbone Analysis</w:t>
            </w:r>
            <w:r>
              <w:rPr>
                <w:noProof/>
                <w:webHidden/>
              </w:rPr>
              <w:tab/>
            </w:r>
            <w:r>
              <w:rPr>
                <w:noProof/>
                <w:webHidden/>
              </w:rPr>
              <w:fldChar w:fldCharType="begin"/>
            </w:r>
            <w:r>
              <w:rPr>
                <w:noProof/>
                <w:webHidden/>
              </w:rPr>
              <w:instrText xml:space="preserve"> PAGEREF _Toc227665931 \h </w:instrText>
            </w:r>
            <w:r>
              <w:rPr>
                <w:noProof/>
                <w:webHidden/>
              </w:rPr>
            </w:r>
            <w:r>
              <w:rPr>
                <w:noProof/>
                <w:webHidden/>
              </w:rPr>
              <w:fldChar w:fldCharType="separate"/>
            </w:r>
            <w:r>
              <w:rPr>
                <w:noProof/>
                <w:webHidden/>
              </w:rPr>
              <w:t>6</w:t>
            </w:r>
            <w:r>
              <w:rPr>
                <w:noProof/>
                <w:webHidden/>
              </w:rPr>
              <w:fldChar w:fldCharType="end"/>
            </w:r>
          </w:hyperlink>
        </w:p>
        <w:p w14:paraId="2124C7D6" w14:textId="520CAEE3" w:rsidR="00513C41" w:rsidRDefault="00513C41">
          <w:pPr>
            <w:pStyle w:val="TOC3"/>
            <w:tabs>
              <w:tab w:val="right" w:leader="dot" w:pos="9350"/>
            </w:tabs>
            <w:rPr>
              <w:rFonts w:eastAsiaTheme="minorEastAsia"/>
              <w:noProof/>
              <w:kern w:val="2"/>
              <w:sz w:val="24"/>
              <w:szCs w:val="24"/>
              <w:lang w:val="en-GB" w:eastAsia="en-GB"/>
              <w14:ligatures w14:val="standardContextual"/>
            </w:rPr>
          </w:pPr>
          <w:hyperlink w:anchor="_Toc227665932" w:history="1">
            <w:r w:rsidRPr="00817550">
              <w:rPr>
                <w:rStyle w:val="Hyperlink"/>
                <w:rFonts w:ascii="Arial" w:hAnsi="Arial" w:cs="Arial"/>
                <w:b/>
                <w:bCs/>
                <w:noProof/>
              </w:rPr>
              <w:t>2.2.2 5 Whys Analysis</w:t>
            </w:r>
            <w:r>
              <w:rPr>
                <w:noProof/>
                <w:webHidden/>
              </w:rPr>
              <w:tab/>
            </w:r>
            <w:r>
              <w:rPr>
                <w:noProof/>
                <w:webHidden/>
              </w:rPr>
              <w:fldChar w:fldCharType="begin"/>
            </w:r>
            <w:r>
              <w:rPr>
                <w:noProof/>
                <w:webHidden/>
              </w:rPr>
              <w:instrText xml:space="preserve"> PAGEREF _Toc227665932 \h </w:instrText>
            </w:r>
            <w:r>
              <w:rPr>
                <w:noProof/>
                <w:webHidden/>
              </w:rPr>
            </w:r>
            <w:r>
              <w:rPr>
                <w:noProof/>
                <w:webHidden/>
              </w:rPr>
              <w:fldChar w:fldCharType="separate"/>
            </w:r>
            <w:r>
              <w:rPr>
                <w:noProof/>
                <w:webHidden/>
              </w:rPr>
              <w:t>7</w:t>
            </w:r>
            <w:r>
              <w:rPr>
                <w:noProof/>
                <w:webHidden/>
              </w:rPr>
              <w:fldChar w:fldCharType="end"/>
            </w:r>
          </w:hyperlink>
        </w:p>
        <w:p w14:paraId="1B131996" w14:textId="0CC82BA1"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33" w:history="1">
            <w:r w:rsidRPr="00817550">
              <w:rPr>
                <w:rStyle w:val="Hyperlink"/>
                <w:rFonts w:ascii="Arial" w:hAnsi="Arial" w:cs="Arial"/>
                <w:b/>
                <w:bCs/>
                <w:noProof/>
              </w:rPr>
              <w:t>2.3 Application of Donabedian Model</w:t>
            </w:r>
            <w:r>
              <w:rPr>
                <w:noProof/>
                <w:webHidden/>
              </w:rPr>
              <w:tab/>
            </w:r>
            <w:r>
              <w:rPr>
                <w:noProof/>
                <w:webHidden/>
              </w:rPr>
              <w:fldChar w:fldCharType="begin"/>
            </w:r>
            <w:r>
              <w:rPr>
                <w:noProof/>
                <w:webHidden/>
              </w:rPr>
              <w:instrText xml:space="preserve"> PAGEREF _Toc227665933 \h </w:instrText>
            </w:r>
            <w:r>
              <w:rPr>
                <w:noProof/>
                <w:webHidden/>
              </w:rPr>
            </w:r>
            <w:r>
              <w:rPr>
                <w:noProof/>
                <w:webHidden/>
              </w:rPr>
              <w:fldChar w:fldCharType="separate"/>
            </w:r>
            <w:r>
              <w:rPr>
                <w:noProof/>
                <w:webHidden/>
              </w:rPr>
              <w:t>8</w:t>
            </w:r>
            <w:r>
              <w:rPr>
                <w:noProof/>
                <w:webHidden/>
              </w:rPr>
              <w:fldChar w:fldCharType="end"/>
            </w:r>
          </w:hyperlink>
        </w:p>
        <w:p w14:paraId="46C955DA" w14:textId="553A7A7D"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34" w:history="1">
            <w:r w:rsidRPr="00817550">
              <w:rPr>
                <w:rStyle w:val="Hyperlink"/>
                <w:rFonts w:ascii="Arial" w:hAnsi="Arial" w:cs="Arial"/>
                <w:b/>
                <w:bCs/>
                <w:noProof/>
              </w:rPr>
              <w:t>2.4 SWOT Analysis</w:t>
            </w:r>
            <w:r>
              <w:rPr>
                <w:noProof/>
                <w:webHidden/>
              </w:rPr>
              <w:tab/>
            </w:r>
            <w:r>
              <w:rPr>
                <w:noProof/>
                <w:webHidden/>
              </w:rPr>
              <w:fldChar w:fldCharType="begin"/>
            </w:r>
            <w:r>
              <w:rPr>
                <w:noProof/>
                <w:webHidden/>
              </w:rPr>
              <w:instrText xml:space="preserve"> PAGEREF _Toc227665934 \h </w:instrText>
            </w:r>
            <w:r>
              <w:rPr>
                <w:noProof/>
                <w:webHidden/>
              </w:rPr>
            </w:r>
            <w:r>
              <w:rPr>
                <w:noProof/>
                <w:webHidden/>
              </w:rPr>
              <w:fldChar w:fldCharType="separate"/>
            </w:r>
            <w:r>
              <w:rPr>
                <w:noProof/>
                <w:webHidden/>
              </w:rPr>
              <w:t>9</w:t>
            </w:r>
            <w:r>
              <w:rPr>
                <w:noProof/>
                <w:webHidden/>
              </w:rPr>
              <w:fldChar w:fldCharType="end"/>
            </w:r>
          </w:hyperlink>
        </w:p>
        <w:p w14:paraId="34EF552D" w14:textId="421F5A21" w:rsidR="00513C41" w:rsidRDefault="00513C41">
          <w:pPr>
            <w:pStyle w:val="TOC1"/>
            <w:tabs>
              <w:tab w:val="right" w:leader="dot" w:pos="9350"/>
            </w:tabs>
            <w:rPr>
              <w:rFonts w:eastAsiaTheme="minorEastAsia"/>
              <w:noProof/>
              <w:kern w:val="2"/>
              <w:sz w:val="24"/>
              <w:szCs w:val="24"/>
              <w:lang w:val="en-GB" w:eastAsia="en-GB"/>
              <w14:ligatures w14:val="standardContextual"/>
            </w:rPr>
          </w:pPr>
          <w:hyperlink w:anchor="_Toc227665935" w:history="1">
            <w:r w:rsidRPr="00817550">
              <w:rPr>
                <w:rStyle w:val="Hyperlink"/>
                <w:rFonts w:ascii="Arial" w:hAnsi="Arial" w:cs="Arial"/>
                <w:b/>
                <w:bCs/>
                <w:noProof/>
              </w:rPr>
              <w:t>3.0 Recommendations</w:t>
            </w:r>
            <w:r>
              <w:rPr>
                <w:noProof/>
                <w:webHidden/>
              </w:rPr>
              <w:tab/>
            </w:r>
            <w:r>
              <w:rPr>
                <w:noProof/>
                <w:webHidden/>
              </w:rPr>
              <w:fldChar w:fldCharType="begin"/>
            </w:r>
            <w:r>
              <w:rPr>
                <w:noProof/>
                <w:webHidden/>
              </w:rPr>
              <w:instrText xml:space="preserve"> PAGEREF _Toc227665935 \h </w:instrText>
            </w:r>
            <w:r>
              <w:rPr>
                <w:noProof/>
                <w:webHidden/>
              </w:rPr>
            </w:r>
            <w:r>
              <w:rPr>
                <w:noProof/>
                <w:webHidden/>
              </w:rPr>
              <w:fldChar w:fldCharType="separate"/>
            </w:r>
            <w:r>
              <w:rPr>
                <w:noProof/>
                <w:webHidden/>
              </w:rPr>
              <w:t>10</w:t>
            </w:r>
            <w:r>
              <w:rPr>
                <w:noProof/>
                <w:webHidden/>
              </w:rPr>
              <w:fldChar w:fldCharType="end"/>
            </w:r>
          </w:hyperlink>
        </w:p>
        <w:p w14:paraId="5CA3760A" w14:textId="4BA9B61E"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36" w:history="1">
            <w:r w:rsidRPr="00817550">
              <w:rPr>
                <w:rStyle w:val="Hyperlink"/>
                <w:rFonts w:ascii="Arial" w:hAnsi="Arial" w:cs="Arial"/>
                <w:b/>
                <w:bCs/>
                <w:noProof/>
              </w:rPr>
              <w:t>3.1 Strengthening Staffing and Workforce Planning</w:t>
            </w:r>
            <w:r>
              <w:rPr>
                <w:noProof/>
                <w:webHidden/>
              </w:rPr>
              <w:tab/>
            </w:r>
            <w:r>
              <w:rPr>
                <w:noProof/>
                <w:webHidden/>
              </w:rPr>
              <w:fldChar w:fldCharType="begin"/>
            </w:r>
            <w:r>
              <w:rPr>
                <w:noProof/>
                <w:webHidden/>
              </w:rPr>
              <w:instrText xml:space="preserve"> PAGEREF _Toc227665936 \h </w:instrText>
            </w:r>
            <w:r>
              <w:rPr>
                <w:noProof/>
                <w:webHidden/>
              </w:rPr>
            </w:r>
            <w:r>
              <w:rPr>
                <w:noProof/>
                <w:webHidden/>
              </w:rPr>
              <w:fldChar w:fldCharType="separate"/>
            </w:r>
            <w:r>
              <w:rPr>
                <w:noProof/>
                <w:webHidden/>
              </w:rPr>
              <w:t>10</w:t>
            </w:r>
            <w:r>
              <w:rPr>
                <w:noProof/>
                <w:webHidden/>
              </w:rPr>
              <w:fldChar w:fldCharType="end"/>
            </w:r>
          </w:hyperlink>
        </w:p>
        <w:p w14:paraId="05F43D8B" w14:textId="015D7FC0"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37" w:history="1">
            <w:r w:rsidRPr="00817550">
              <w:rPr>
                <w:rStyle w:val="Hyperlink"/>
                <w:rFonts w:ascii="Arial" w:hAnsi="Arial" w:cs="Arial"/>
                <w:b/>
                <w:bCs/>
                <w:noProof/>
              </w:rPr>
              <w:t>3.2 Enhancing Leadership and Clinical Governance</w:t>
            </w:r>
            <w:r>
              <w:rPr>
                <w:noProof/>
                <w:webHidden/>
              </w:rPr>
              <w:tab/>
            </w:r>
            <w:r>
              <w:rPr>
                <w:noProof/>
                <w:webHidden/>
              </w:rPr>
              <w:fldChar w:fldCharType="begin"/>
            </w:r>
            <w:r>
              <w:rPr>
                <w:noProof/>
                <w:webHidden/>
              </w:rPr>
              <w:instrText xml:space="preserve"> PAGEREF _Toc227665937 \h </w:instrText>
            </w:r>
            <w:r>
              <w:rPr>
                <w:noProof/>
                <w:webHidden/>
              </w:rPr>
            </w:r>
            <w:r>
              <w:rPr>
                <w:noProof/>
                <w:webHidden/>
              </w:rPr>
              <w:fldChar w:fldCharType="separate"/>
            </w:r>
            <w:r>
              <w:rPr>
                <w:noProof/>
                <w:webHidden/>
              </w:rPr>
              <w:t>10</w:t>
            </w:r>
            <w:r>
              <w:rPr>
                <w:noProof/>
                <w:webHidden/>
              </w:rPr>
              <w:fldChar w:fldCharType="end"/>
            </w:r>
          </w:hyperlink>
        </w:p>
        <w:p w14:paraId="05E9C428" w14:textId="7A5C7958"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38" w:history="1">
            <w:r w:rsidRPr="00817550">
              <w:rPr>
                <w:rStyle w:val="Hyperlink"/>
                <w:rFonts w:ascii="Arial" w:hAnsi="Arial" w:cs="Arial"/>
                <w:b/>
                <w:bCs/>
                <w:noProof/>
              </w:rPr>
              <w:t>3.3 Improving Incident Reporting and Organisational Learning</w:t>
            </w:r>
            <w:r>
              <w:rPr>
                <w:noProof/>
                <w:webHidden/>
              </w:rPr>
              <w:tab/>
            </w:r>
            <w:r>
              <w:rPr>
                <w:noProof/>
                <w:webHidden/>
              </w:rPr>
              <w:fldChar w:fldCharType="begin"/>
            </w:r>
            <w:r>
              <w:rPr>
                <w:noProof/>
                <w:webHidden/>
              </w:rPr>
              <w:instrText xml:space="preserve"> PAGEREF _Toc227665938 \h </w:instrText>
            </w:r>
            <w:r>
              <w:rPr>
                <w:noProof/>
                <w:webHidden/>
              </w:rPr>
            </w:r>
            <w:r>
              <w:rPr>
                <w:noProof/>
                <w:webHidden/>
              </w:rPr>
              <w:fldChar w:fldCharType="separate"/>
            </w:r>
            <w:r>
              <w:rPr>
                <w:noProof/>
                <w:webHidden/>
              </w:rPr>
              <w:t>11</w:t>
            </w:r>
            <w:r>
              <w:rPr>
                <w:noProof/>
                <w:webHidden/>
              </w:rPr>
              <w:fldChar w:fldCharType="end"/>
            </w:r>
          </w:hyperlink>
        </w:p>
        <w:p w14:paraId="7416F105" w14:textId="76369443"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39" w:history="1">
            <w:r w:rsidRPr="00817550">
              <w:rPr>
                <w:rStyle w:val="Hyperlink"/>
                <w:rFonts w:ascii="Arial" w:hAnsi="Arial" w:cs="Arial"/>
                <w:b/>
                <w:bCs/>
                <w:noProof/>
              </w:rPr>
              <w:t>3.4 Embedding a Patient-Centred Care Culture</w:t>
            </w:r>
            <w:r>
              <w:rPr>
                <w:noProof/>
                <w:webHidden/>
              </w:rPr>
              <w:tab/>
            </w:r>
            <w:r>
              <w:rPr>
                <w:noProof/>
                <w:webHidden/>
              </w:rPr>
              <w:fldChar w:fldCharType="begin"/>
            </w:r>
            <w:r>
              <w:rPr>
                <w:noProof/>
                <w:webHidden/>
              </w:rPr>
              <w:instrText xml:space="preserve"> PAGEREF _Toc227665939 \h </w:instrText>
            </w:r>
            <w:r>
              <w:rPr>
                <w:noProof/>
                <w:webHidden/>
              </w:rPr>
            </w:r>
            <w:r>
              <w:rPr>
                <w:noProof/>
                <w:webHidden/>
              </w:rPr>
              <w:fldChar w:fldCharType="separate"/>
            </w:r>
            <w:r>
              <w:rPr>
                <w:noProof/>
                <w:webHidden/>
              </w:rPr>
              <w:t>11</w:t>
            </w:r>
            <w:r>
              <w:rPr>
                <w:noProof/>
                <w:webHidden/>
              </w:rPr>
              <w:fldChar w:fldCharType="end"/>
            </w:r>
          </w:hyperlink>
        </w:p>
        <w:p w14:paraId="2F293964" w14:textId="64F2697D"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40" w:history="1">
            <w:r w:rsidRPr="00817550">
              <w:rPr>
                <w:rStyle w:val="Hyperlink"/>
                <w:rFonts w:ascii="Arial" w:hAnsi="Arial" w:cs="Arial"/>
                <w:b/>
                <w:bCs/>
                <w:noProof/>
              </w:rPr>
              <w:t>3.5 Implementation Using PDSA Cycle</w:t>
            </w:r>
            <w:r>
              <w:rPr>
                <w:noProof/>
                <w:webHidden/>
              </w:rPr>
              <w:tab/>
            </w:r>
            <w:r>
              <w:rPr>
                <w:noProof/>
                <w:webHidden/>
              </w:rPr>
              <w:fldChar w:fldCharType="begin"/>
            </w:r>
            <w:r>
              <w:rPr>
                <w:noProof/>
                <w:webHidden/>
              </w:rPr>
              <w:instrText xml:space="preserve"> PAGEREF _Toc227665940 \h </w:instrText>
            </w:r>
            <w:r>
              <w:rPr>
                <w:noProof/>
                <w:webHidden/>
              </w:rPr>
            </w:r>
            <w:r>
              <w:rPr>
                <w:noProof/>
                <w:webHidden/>
              </w:rPr>
              <w:fldChar w:fldCharType="separate"/>
            </w:r>
            <w:r>
              <w:rPr>
                <w:noProof/>
                <w:webHidden/>
              </w:rPr>
              <w:t>11</w:t>
            </w:r>
            <w:r>
              <w:rPr>
                <w:noProof/>
                <w:webHidden/>
              </w:rPr>
              <w:fldChar w:fldCharType="end"/>
            </w:r>
          </w:hyperlink>
        </w:p>
        <w:p w14:paraId="5B8B6C72" w14:textId="36D4976E"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41" w:history="1">
            <w:r w:rsidRPr="00817550">
              <w:rPr>
                <w:rStyle w:val="Hyperlink"/>
                <w:rFonts w:ascii="Arial" w:hAnsi="Arial" w:cs="Arial"/>
                <w:b/>
                <w:bCs/>
                <w:noProof/>
              </w:rPr>
              <w:t>3.6 Improving Efficiency Through Lean Principles</w:t>
            </w:r>
            <w:r>
              <w:rPr>
                <w:noProof/>
                <w:webHidden/>
              </w:rPr>
              <w:tab/>
            </w:r>
            <w:r>
              <w:rPr>
                <w:noProof/>
                <w:webHidden/>
              </w:rPr>
              <w:fldChar w:fldCharType="begin"/>
            </w:r>
            <w:r>
              <w:rPr>
                <w:noProof/>
                <w:webHidden/>
              </w:rPr>
              <w:instrText xml:space="preserve"> PAGEREF _Toc227665941 \h </w:instrText>
            </w:r>
            <w:r>
              <w:rPr>
                <w:noProof/>
                <w:webHidden/>
              </w:rPr>
            </w:r>
            <w:r>
              <w:rPr>
                <w:noProof/>
                <w:webHidden/>
              </w:rPr>
              <w:fldChar w:fldCharType="separate"/>
            </w:r>
            <w:r>
              <w:rPr>
                <w:noProof/>
                <w:webHidden/>
              </w:rPr>
              <w:t>12</w:t>
            </w:r>
            <w:r>
              <w:rPr>
                <w:noProof/>
                <w:webHidden/>
              </w:rPr>
              <w:fldChar w:fldCharType="end"/>
            </w:r>
          </w:hyperlink>
        </w:p>
        <w:p w14:paraId="0ECC3752" w14:textId="79585452" w:rsidR="00513C41" w:rsidRDefault="00513C41">
          <w:pPr>
            <w:pStyle w:val="TOC2"/>
            <w:tabs>
              <w:tab w:val="right" w:leader="dot" w:pos="9350"/>
            </w:tabs>
            <w:rPr>
              <w:rFonts w:eastAsiaTheme="minorEastAsia"/>
              <w:noProof/>
              <w:kern w:val="2"/>
              <w:sz w:val="24"/>
              <w:szCs w:val="24"/>
              <w:lang w:val="en-GB" w:eastAsia="en-GB"/>
              <w14:ligatures w14:val="standardContextual"/>
            </w:rPr>
          </w:pPr>
          <w:hyperlink w:anchor="_Toc227665942" w:history="1">
            <w:r w:rsidRPr="00817550">
              <w:rPr>
                <w:rStyle w:val="Hyperlink"/>
                <w:rFonts w:ascii="Arial" w:hAnsi="Arial" w:cs="Arial"/>
                <w:b/>
                <w:bCs/>
                <w:noProof/>
              </w:rPr>
              <w:t>3.7 Monitoring and Evaluation</w:t>
            </w:r>
            <w:r>
              <w:rPr>
                <w:noProof/>
                <w:webHidden/>
              </w:rPr>
              <w:tab/>
            </w:r>
            <w:r>
              <w:rPr>
                <w:noProof/>
                <w:webHidden/>
              </w:rPr>
              <w:fldChar w:fldCharType="begin"/>
            </w:r>
            <w:r>
              <w:rPr>
                <w:noProof/>
                <w:webHidden/>
              </w:rPr>
              <w:instrText xml:space="preserve"> PAGEREF _Toc227665942 \h </w:instrText>
            </w:r>
            <w:r>
              <w:rPr>
                <w:noProof/>
                <w:webHidden/>
              </w:rPr>
            </w:r>
            <w:r>
              <w:rPr>
                <w:noProof/>
                <w:webHidden/>
              </w:rPr>
              <w:fldChar w:fldCharType="separate"/>
            </w:r>
            <w:r>
              <w:rPr>
                <w:noProof/>
                <w:webHidden/>
              </w:rPr>
              <w:t>12</w:t>
            </w:r>
            <w:r>
              <w:rPr>
                <w:noProof/>
                <w:webHidden/>
              </w:rPr>
              <w:fldChar w:fldCharType="end"/>
            </w:r>
          </w:hyperlink>
        </w:p>
        <w:p w14:paraId="4B72F977" w14:textId="5D7970E0" w:rsidR="00513C41" w:rsidRDefault="00513C41">
          <w:pPr>
            <w:pStyle w:val="TOC1"/>
            <w:tabs>
              <w:tab w:val="right" w:leader="dot" w:pos="9350"/>
            </w:tabs>
            <w:rPr>
              <w:rFonts w:eastAsiaTheme="minorEastAsia"/>
              <w:noProof/>
              <w:kern w:val="2"/>
              <w:sz w:val="24"/>
              <w:szCs w:val="24"/>
              <w:lang w:val="en-GB" w:eastAsia="en-GB"/>
              <w14:ligatures w14:val="standardContextual"/>
            </w:rPr>
          </w:pPr>
          <w:hyperlink w:anchor="_Toc227665943" w:history="1">
            <w:r w:rsidRPr="00817550">
              <w:rPr>
                <w:rStyle w:val="Hyperlink"/>
                <w:rFonts w:ascii="Arial" w:hAnsi="Arial" w:cs="Arial"/>
                <w:b/>
                <w:bCs/>
                <w:noProof/>
              </w:rPr>
              <w:t>4.0 Conclusion</w:t>
            </w:r>
            <w:r>
              <w:rPr>
                <w:noProof/>
                <w:webHidden/>
              </w:rPr>
              <w:tab/>
            </w:r>
            <w:r>
              <w:rPr>
                <w:noProof/>
                <w:webHidden/>
              </w:rPr>
              <w:fldChar w:fldCharType="begin"/>
            </w:r>
            <w:r>
              <w:rPr>
                <w:noProof/>
                <w:webHidden/>
              </w:rPr>
              <w:instrText xml:space="preserve"> PAGEREF _Toc227665943 \h </w:instrText>
            </w:r>
            <w:r>
              <w:rPr>
                <w:noProof/>
                <w:webHidden/>
              </w:rPr>
            </w:r>
            <w:r>
              <w:rPr>
                <w:noProof/>
                <w:webHidden/>
              </w:rPr>
              <w:fldChar w:fldCharType="separate"/>
            </w:r>
            <w:r>
              <w:rPr>
                <w:noProof/>
                <w:webHidden/>
              </w:rPr>
              <w:t>12</w:t>
            </w:r>
            <w:r>
              <w:rPr>
                <w:noProof/>
                <w:webHidden/>
              </w:rPr>
              <w:fldChar w:fldCharType="end"/>
            </w:r>
          </w:hyperlink>
        </w:p>
        <w:p w14:paraId="14D9184F" w14:textId="7FD6455B" w:rsidR="00513C41" w:rsidRDefault="00513C41">
          <w:pPr>
            <w:pStyle w:val="TOC1"/>
            <w:tabs>
              <w:tab w:val="right" w:leader="dot" w:pos="9350"/>
            </w:tabs>
            <w:rPr>
              <w:rFonts w:eastAsiaTheme="minorEastAsia"/>
              <w:noProof/>
              <w:kern w:val="2"/>
              <w:sz w:val="24"/>
              <w:szCs w:val="24"/>
              <w:lang w:val="en-GB" w:eastAsia="en-GB"/>
              <w14:ligatures w14:val="standardContextual"/>
            </w:rPr>
          </w:pPr>
          <w:hyperlink w:anchor="_Toc227665944" w:history="1">
            <w:r w:rsidRPr="00817550">
              <w:rPr>
                <w:rStyle w:val="Hyperlink"/>
                <w:rFonts w:ascii="Arial" w:eastAsia="Times New Roman" w:hAnsi="Arial" w:cs="Arial"/>
                <w:b/>
                <w:bCs/>
                <w:noProof/>
              </w:rPr>
              <w:t>References</w:t>
            </w:r>
            <w:r>
              <w:rPr>
                <w:noProof/>
                <w:webHidden/>
              </w:rPr>
              <w:tab/>
            </w:r>
            <w:r>
              <w:rPr>
                <w:noProof/>
                <w:webHidden/>
              </w:rPr>
              <w:fldChar w:fldCharType="begin"/>
            </w:r>
            <w:r>
              <w:rPr>
                <w:noProof/>
                <w:webHidden/>
              </w:rPr>
              <w:instrText xml:space="preserve"> PAGEREF _Toc227665944 \h </w:instrText>
            </w:r>
            <w:r>
              <w:rPr>
                <w:noProof/>
                <w:webHidden/>
              </w:rPr>
            </w:r>
            <w:r>
              <w:rPr>
                <w:noProof/>
                <w:webHidden/>
              </w:rPr>
              <w:fldChar w:fldCharType="separate"/>
            </w:r>
            <w:r>
              <w:rPr>
                <w:noProof/>
                <w:webHidden/>
              </w:rPr>
              <w:t>14</w:t>
            </w:r>
            <w:r>
              <w:rPr>
                <w:noProof/>
                <w:webHidden/>
              </w:rPr>
              <w:fldChar w:fldCharType="end"/>
            </w:r>
          </w:hyperlink>
        </w:p>
        <w:p w14:paraId="437C5B41" w14:textId="67864C83" w:rsidR="00FE0E27" w:rsidRPr="00603EF2" w:rsidRDefault="00FE0E27">
          <w:pPr>
            <w:rPr>
              <w:rFonts w:ascii="Arial" w:hAnsi="Arial" w:cs="Arial"/>
            </w:rPr>
          </w:pPr>
          <w:r w:rsidRPr="00603EF2">
            <w:rPr>
              <w:rFonts w:ascii="Arial" w:hAnsi="Arial" w:cs="Arial"/>
              <w:noProof/>
            </w:rPr>
            <w:fldChar w:fldCharType="end"/>
          </w:r>
        </w:p>
      </w:sdtContent>
    </w:sdt>
    <w:p w14:paraId="421BF792" w14:textId="77777777" w:rsidR="00987BCE" w:rsidRPr="00603EF2" w:rsidRDefault="00987BCE" w:rsidP="00D85430">
      <w:pPr>
        <w:spacing w:line="360" w:lineRule="auto"/>
        <w:jc w:val="both"/>
        <w:rPr>
          <w:rFonts w:ascii="Arial" w:hAnsi="Arial" w:cs="Arial"/>
        </w:rPr>
      </w:pPr>
    </w:p>
    <w:p w14:paraId="71C9CC29" w14:textId="77777777" w:rsidR="00987BCE" w:rsidRPr="00603EF2" w:rsidRDefault="00987BCE" w:rsidP="00D85430">
      <w:pPr>
        <w:spacing w:line="360" w:lineRule="auto"/>
        <w:jc w:val="both"/>
        <w:rPr>
          <w:rFonts w:ascii="Arial" w:hAnsi="Arial" w:cs="Arial"/>
        </w:rPr>
      </w:pPr>
    </w:p>
    <w:p w14:paraId="4FB58C12" w14:textId="77777777" w:rsidR="00987BCE" w:rsidRPr="00603EF2" w:rsidRDefault="00987BCE" w:rsidP="00D85430">
      <w:pPr>
        <w:spacing w:line="360" w:lineRule="auto"/>
        <w:jc w:val="both"/>
        <w:rPr>
          <w:rFonts w:ascii="Arial" w:hAnsi="Arial" w:cs="Arial"/>
          <w:b/>
          <w:bCs/>
        </w:rPr>
      </w:pPr>
    </w:p>
    <w:p w14:paraId="53D71BB9" w14:textId="77777777" w:rsidR="00987BCE" w:rsidRPr="00603EF2" w:rsidRDefault="00987BCE" w:rsidP="00D85430">
      <w:pPr>
        <w:spacing w:line="360" w:lineRule="auto"/>
        <w:jc w:val="both"/>
        <w:rPr>
          <w:rFonts w:ascii="Arial" w:hAnsi="Arial" w:cs="Arial"/>
          <w:b/>
          <w:bCs/>
        </w:rPr>
      </w:pPr>
    </w:p>
    <w:p w14:paraId="48F811F0" w14:textId="77777777" w:rsidR="00987BCE" w:rsidRPr="00603EF2" w:rsidRDefault="00987BCE" w:rsidP="00D85430">
      <w:pPr>
        <w:spacing w:line="360" w:lineRule="auto"/>
        <w:jc w:val="both"/>
        <w:rPr>
          <w:rFonts w:ascii="Arial" w:hAnsi="Arial" w:cs="Arial"/>
          <w:b/>
          <w:bCs/>
        </w:rPr>
      </w:pPr>
    </w:p>
    <w:p w14:paraId="56C0BFA1" w14:textId="77777777" w:rsidR="00987BCE" w:rsidRPr="00603EF2" w:rsidRDefault="00987BCE" w:rsidP="00D85430">
      <w:pPr>
        <w:spacing w:line="360" w:lineRule="auto"/>
        <w:jc w:val="both"/>
        <w:rPr>
          <w:rFonts w:ascii="Arial" w:hAnsi="Arial" w:cs="Arial"/>
          <w:b/>
          <w:bCs/>
        </w:rPr>
      </w:pPr>
    </w:p>
    <w:p w14:paraId="6463FE7D" w14:textId="77777777" w:rsidR="00987BCE" w:rsidRPr="00603EF2" w:rsidRDefault="00987BCE" w:rsidP="00D85430">
      <w:pPr>
        <w:spacing w:line="360" w:lineRule="auto"/>
        <w:jc w:val="both"/>
        <w:rPr>
          <w:rFonts w:ascii="Arial" w:hAnsi="Arial" w:cs="Arial"/>
          <w:b/>
          <w:bCs/>
        </w:rPr>
      </w:pPr>
    </w:p>
    <w:p w14:paraId="51C37DB9" w14:textId="77777777" w:rsidR="00987BCE" w:rsidRPr="00603EF2" w:rsidRDefault="00987BCE" w:rsidP="00D85430">
      <w:pPr>
        <w:spacing w:line="360" w:lineRule="auto"/>
        <w:jc w:val="both"/>
        <w:rPr>
          <w:rFonts w:ascii="Arial" w:hAnsi="Arial" w:cs="Arial"/>
          <w:b/>
          <w:bCs/>
        </w:rPr>
      </w:pPr>
    </w:p>
    <w:p w14:paraId="4B1E7F18" w14:textId="77777777" w:rsidR="00987BCE" w:rsidRPr="00603EF2" w:rsidRDefault="00987BCE" w:rsidP="00D85430">
      <w:pPr>
        <w:spacing w:line="360" w:lineRule="auto"/>
        <w:jc w:val="both"/>
        <w:rPr>
          <w:rFonts w:ascii="Arial" w:hAnsi="Arial" w:cs="Arial"/>
          <w:b/>
          <w:bCs/>
        </w:rPr>
      </w:pPr>
    </w:p>
    <w:p w14:paraId="074A66DA" w14:textId="6F33AE9D" w:rsidR="00D85430" w:rsidRPr="00603EF2" w:rsidRDefault="009958E4" w:rsidP="002528E0">
      <w:pPr>
        <w:pStyle w:val="Heading1"/>
        <w:spacing w:line="360" w:lineRule="auto"/>
        <w:rPr>
          <w:rFonts w:ascii="Arial" w:hAnsi="Arial" w:cs="Arial"/>
          <w:b/>
          <w:bCs/>
          <w:color w:val="auto"/>
          <w:sz w:val="22"/>
          <w:szCs w:val="22"/>
        </w:rPr>
      </w:pPr>
      <w:bookmarkStart w:id="0" w:name="_Toc227665927"/>
      <w:r w:rsidRPr="00603EF2">
        <w:rPr>
          <w:rFonts w:ascii="Arial" w:hAnsi="Arial" w:cs="Arial"/>
          <w:b/>
          <w:bCs/>
          <w:color w:val="auto"/>
          <w:sz w:val="22"/>
          <w:szCs w:val="22"/>
        </w:rPr>
        <w:lastRenderedPageBreak/>
        <w:t xml:space="preserve">1. </w:t>
      </w:r>
      <w:r w:rsidR="00D85430" w:rsidRPr="00603EF2">
        <w:rPr>
          <w:rFonts w:ascii="Arial" w:hAnsi="Arial" w:cs="Arial"/>
          <w:b/>
          <w:bCs/>
          <w:color w:val="auto"/>
          <w:sz w:val="22"/>
          <w:szCs w:val="22"/>
        </w:rPr>
        <w:t>Introduction</w:t>
      </w:r>
      <w:bookmarkEnd w:id="0"/>
    </w:p>
    <w:p w14:paraId="4C58803A" w14:textId="0017DA44" w:rsidR="00D85430" w:rsidRPr="00603EF2" w:rsidRDefault="00D85430" w:rsidP="002528E0">
      <w:pPr>
        <w:spacing w:line="360" w:lineRule="auto"/>
        <w:jc w:val="both"/>
        <w:rPr>
          <w:rFonts w:ascii="Arial" w:hAnsi="Arial" w:cs="Arial"/>
        </w:rPr>
      </w:pPr>
      <w:r w:rsidRPr="00603EF2">
        <w:rPr>
          <w:rFonts w:ascii="Arial" w:hAnsi="Arial" w:cs="Arial"/>
        </w:rPr>
        <w:t>Healthcare systems</w:t>
      </w:r>
      <w:r w:rsidR="00A172EF" w:rsidRPr="00603EF2">
        <w:rPr>
          <w:rFonts w:ascii="Arial" w:hAnsi="Arial" w:cs="Arial"/>
        </w:rPr>
        <w:t>, according to</w:t>
      </w:r>
      <w:r w:rsidRPr="00603EF2">
        <w:rPr>
          <w:rFonts w:ascii="Arial" w:hAnsi="Arial" w:cs="Arial"/>
        </w:rPr>
        <w:t xml:space="preserve"> </w:t>
      </w:r>
      <w:r w:rsidR="00A172EF" w:rsidRPr="00603EF2">
        <w:rPr>
          <w:rFonts w:ascii="Arial" w:hAnsi="Arial" w:cs="Arial"/>
        </w:rPr>
        <w:t xml:space="preserve">Santana et al., (2018) </w:t>
      </w:r>
      <w:r w:rsidRPr="00603EF2">
        <w:rPr>
          <w:rFonts w:ascii="Arial" w:hAnsi="Arial" w:cs="Arial"/>
        </w:rPr>
        <w:t xml:space="preserve">are fundamentally designed to deliver safe, effective, and patient-centred care; however, failures in quality management can lead to severe adverse outcomes, including preventable morbidity and mortality. </w:t>
      </w:r>
      <w:r w:rsidR="00DB592A" w:rsidRPr="00603EF2">
        <w:rPr>
          <w:rFonts w:ascii="Arial" w:hAnsi="Arial" w:cs="Arial"/>
        </w:rPr>
        <w:t>The concept of quality in healthcare is usually measured using the following six dimensions: safety, effectiveness, timeliness, efficiency, equity, and patient-centredness, which are all critical to the accomplishment of the best health outcomes (Berwick and Fox, 2016). Although there are regulatory mechanisms and clinical governance models, systemic flaws especially in leadership, staffing, and organisational culture have continued to jeopardise service delivery in most healthcare facilities (McCormack et al., 2021). The mentioned failures remind of the significance of effective quality improvement strategies and ongoing monitoring in health and social care organisations.</w:t>
      </w:r>
    </w:p>
    <w:p w14:paraId="30616FC1" w14:textId="7C0F8509" w:rsidR="00DB592A" w:rsidRPr="00603EF2" w:rsidRDefault="00DB592A" w:rsidP="002528E0">
      <w:pPr>
        <w:spacing w:line="360" w:lineRule="auto"/>
        <w:jc w:val="both"/>
        <w:rPr>
          <w:rFonts w:ascii="Arial" w:hAnsi="Arial" w:cs="Arial"/>
        </w:rPr>
      </w:pPr>
      <w:r w:rsidRPr="00603EF2">
        <w:rPr>
          <w:rFonts w:ascii="Arial" w:hAnsi="Arial" w:cs="Arial"/>
        </w:rPr>
        <w:t>The most well-known healthcare quality failure on a large scale would be the scandal of the Mid Staffordshire NHS Foundation Trust that happened between the period of 2005 and 2009 in England. Other studies on the scandal disclosed that the Stafford Hospital was full of shortcomings in treating patients such as negligence, improper hydration and nutrition, poor hygiene standards and ineffective clinical observation (Francis, 2013). The investigations conducted by Francis (2013) also revealed that 400 to 1,200 patients sustained unnecessary harm or unnecessary mortality due to poor care. These were not the only failures but were symptomatic of systemic problems such as chronic understaffing, bad leadership, ineffective governance, and a culture that privileged the achievement of financial goals over patient safety (Mannion and Davies, 2015; Atkins et al., 2020). Moreover, the regulatory agencies could not react properly to the warning signals, which shows a lot of lapses in regulation and responsibility frameworks.</w:t>
      </w:r>
    </w:p>
    <w:p w14:paraId="2509107D" w14:textId="168CD82C" w:rsidR="00DB592A" w:rsidRPr="00603EF2" w:rsidRDefault="00DB592A" w:rsidP="002528E0">
      <w:pPr>
        <w:spacing w:line="360" w:lineRule="auto"/>
        <w:jc w:val="both"/>
        <w:rPr>
          <w:rFonts w:ascii="Arial" w:hAnsi="Arial" w:cs="Arial"/>
        </w:rPr>
      </w:pPr>
      <w:r w:rsidRPr="00603EF2">
        <w:rPr>
          <w:rFonts w:ascii="Arial" w:hAnsi="Arial" w:cs="Arial"/>
        </w:rPr>
        <w:t xml:space="preserve">The quality issue that is the basis of this report is hence the systemic nature of patient safety and care standards initiated by organisational, cultural, and structural shortcomings. The given issue is a severe public health challenge, and it directly influences the outcomes of patients, deteriorates the trust that a population has in healthcare systems, negatively impacts the principles of equal and efficient care provision (Chatburn et al., 2018). </w:t>
      </w:r>
      <w:r w:rsidR="003F5ED4" w:rsidRPr="00603EF2">
        <w:rPr>
          <w:rFonts w:ascii="Arial" w:hAnsi="Arial" w:cs="Arial"/>
        </w:rPr>
        <w:t xml:space="preserve">Peerally et al. (2017) </w:t>
      </w:r>
      <w:r w:rsidRPr="00603EF2">
        <w:rPr>
          <w:rFonts w:ascii="Arial" w:hAnsi="Arial" w:cs="Arial"/>
        </w:rPr>
        <w:t xml:space="preserve">indicates that most of such failures are </w:t>
      </w:r>
      <w:r w:rsidR="002528E0" w:rsidRPr="00603EF2">
        <w:rPr>
          <w:rFonts w:ascii="Arial" w:hAnsi="Arial" w:cs="Arial"/>
        </w:rPr>
        <w:t>multi-faceted</w:t>
      </w:r>
      <w:r w:rsidRPr="00603EF2">
        <w:rPr>
          <w:rFonts w:ascii="Arial" w:hAnsi="Arial" w:cs="Arial"/>
        </w:rPr>
        <w:t xml:space="preserve"> and thus they need greater analytical methods to establish the root causes and make informed improvements on the same in order to be sustainable.</w:t>
      </w:r>
    </w:p>
    <w:p w14:paraId="675F8008" w14:textId="67CA48ED" w:rsidR="00D85430" w:rsidRPr="00603EF2" w:rsidRDefault="00DB592A" w:rsidP="002528E0">
      <w:pPr>
        <w:spacing w:line="360" w:lineRule="auto"/>
        <w:jc w:val="both"/>
        <w:rPr>
          <w:rFonts w:ascii="Arial" w:hAnsi="Arial" w:cs="Arial"/>
        </w:rPr>
      </w:pPr>
      <w:r w:rsidRPr="00603EF2">
        <w:rPr>
          <w:rFonts w:ascii="Arial" w:hAnsi="Arial" w:cs="Arial"/>
        </w:rPr>
        <w:t xml:space="preserve">The proposed report is designed to critically examine the underlying causes of the identified quality issue as applied in the existing theoretical frameworks such as root cause analysis </w:t>
      </w:r>
      <w:r w:rsidRPr="00603EF2">
        <w:rPr>
          <w:rFonts w:ascii="Arial" w:hAnsi="Arial" w:cs="Arial"/>
        </w:rPr>
        <w:lastRenderedPageBreak/>
        <w:t>methodologies and healthcare quality models. It also utilises the strategic tools in assessing the organisational weaknesses and supporting evidence-based recommendation. The report will end with a logical service improvement proposal based on established quality improvement methodologies to facilitate increase of patient safety and curb incidences of similar failures in health care organisations</w:t>
      </w:r>
      <w:r w:rsidR="00D85430" w:rsidRPr="00603EF2">
        <w:rPr>
          <w:rFonts w:ascii="Arial" w:hAnsi="Arial" w:cs="Arial"/>
        </w:rPr>
        <w:t>.</w:t>
      </w:r>
    </w:p>
    <w:p w14:paraId="1D4E4D16" w14:textId="36DE1EA9" w:rsidR="0079798B" w:rsidRPr="00603EF2" w:rsidRDefault="0079798B" w:rsidP="002528E0">
      <w:pPr>
        <w:pStyle w:val="Heading1"/>
        <w:spacing w:line="360" w:lineRule="auto"/>
        <w:rPr>
          <w:rFonts w:ascii="Arial" w:hAnsi="Arial" w:cs="Arial"/>
          <w:b/>
          <w:bCs/>
          <w:color w:val="auto"/>
          <w:sz w:val="22"/>
          <w:szCs w:val="22"/>
        </w:rPr>
      </w:pPr>
      <w:bookmarkStart w:id="1" w:name="_Toc227665928"/>
      <w:r w:rsidRPr="00603EF2">
        <w:rPr>
          <w:rFonts w:ascii="Arial" w:hAnsi="Arial" w:cs="Arial"/>
          <w:b/>
          <w:bCs/>
          <w:color w:val="auto"/>
          <w:sz w:val="22"/>
          <w:szCs w:val="22"/>
        </w:rPr>
        <w:t>2.0 Overview of Quality Management in Healthcare</w:t>
      </w:r>
      <w:bookmarkEnd w:id="1"/>
    </w:p>
    <w:p w14:paraId="7844C0DF" w14:textId="418E61F2" w:rsidR="001434F9" w:rsidRPr="00603EF2" w:rsidRDefault="001434F9" w:rsidP="002528E0">
      <w:pPr>
        <w:spacing w:line="360" w:lineRule="auto"/>
        <w:jc w:val="both"/>
        <w:rPr>
          <w:rFonts w:ascii="Arial" w:hAnsi="Arial" w:cs="Arial"/>
        </w:rPr>
      </w:pPr>
      <w:r w:rsidRPr="00603EF2">
        <w:rPr>
          <w:rFonts w:ascii="Arial" w:hAnsi="Arial" w:cs="Arial"/>
        </w:rPr>
        <w:t>Quality management in healthcare is the thoughtful and mobili</w:t>
      </w:r>
      <w:r w:rsidR="003F5ED4" w:rsidRPr="00603EF2">
        <w:rPr>
          <w:rFonts w:ascii="Arial" w:hAnsi="Arial" w:cs="Arial"/>
        </w:rPr>
        <w:t>s</w:t>
      </w:r>
      <w:r w:rsidRPr="00603EF2">
        <w:rPr>
          <w:rFonts w:ascii="Arial" w:hAnsi="Arial" w:cs="Arial"/>
        </w:rPr>
        <w:t>ed procedures and frameworks that are put in place to ascertain that the care delivery is safe, effective, and patient-focused (</w:t>
      </w:r>
      <w:r w:rsidR="003D7B4A" w:rsidRPr="00603EF2">
        <w:rPr>
          <w:rFonts w:ascii="Arial" w:hAnsi="Arial" w:cs="Arial"/>
        </w:rPr>
        <w:t>NHS Wales, 2024</w:t>
      </w:r>
      <w:r w:rsidRPr="00603EF2">
        <w:rPr>
          <w:rFonts w:ascii="Arial" w:hAnsi="Arial" w:cs="Arial"/>
        </w:rPr>
        <w:t>). According to Parast and Golmohammadi (2019)</w:t>
      </w:r>
      <w:r w:rsidR="00EB08FE" w:rsidRPr="00603EF2">
        <w:rPr>
          <w:rFonts w:ascii="Arial" w:hAnsi="Arial" w:cs="Arial"/>
        </w:rPr>
        <w:t>,</w:t>
      </w:r>
      <w:r w:rsidRPr="00603EF2">
        <w:rPr>
          <w:rFonts w:ascii="Arial" w:hAnsi="Arial" w:cs="Arial"/>
        </w:rPr>
        <w:t xml:space="preserve"> It includes continuous improvement, adherence to clinical standards and accountability measures that are intended to optimise patient outcomes. Carter and Kline (2017) note that the quality management failures in most cases are associated with the weaknesses of the organisation and the system, especially in staffing, governance, and leadership as it can be seen in the largest healthcare crises. Thus, quality management, which was disclosed by Young and Smith, (2025) involves the incorporation of various principles that address clinical governance, risk management, and evidence-based practice to reduce the number of mistakes and the reliability of the services.</w:t>
      </w:r>
    </w:p>
    <w:p w14:paraId="18A25126" w14:textId="00A82227" w:rsidR="0079798B" w:rsidRPr="00603EF2" w:rsidRDefault="001434F9" w:rsidP="002528E0">
      <w:pPr>
        <w:spacing w:line="360" w:lineRule="auto"/>
        <w:jc w:val="both"/>
        <w:rPr>
          <w:rFonts w:ascii="Arial" w:hAnsi="Arial" w:cs="Arial"/>
        </w:rPr>
      </w:pPr>
      <w:r w:rsidRPr="00603EF2">
        <w:rPr>
          <w:rFonts w:ascii="Arial" w:hAnsi="Arial" w:cs="Arial"/>
        </w:rPr>
        <w:t>Quality management involves patient safety as its core element since it is concerned with avoiding harm when providing care. According to Eilenberg (2017), communication failures, surveillance, and organisational culture can undermine the level of safety and cause negative patient outcomes greatly. Moreover, leadership is very important in instilling a quality and accountability culture. Harris et al. (2023) argue that robust and cooperative leadership models are critical towards enhancing continuous improvement and making sure that healthcare systems react well to the new challenges. Effective, safe, and quality healthcare services delivery, therefore, can only be attained through the implementation of robust quality management systems</w:t>
      </w:r>
      <w:r w:rsidR="0079798B" w:rsidRPr="00603EF2">
        <w:rPr>
          <w:rFonts w:ascii="Arial" w:hAnsi="Arial" w:cs="Arial"/>
        </w:rPr>
        <w:t>.</w:t>
      </w:r>
    </w:p>
    <w:p w14:paraId="2F129855" w14:textId="7533DAC5" w:rsidR="008E4B07" w:rsidRPr="00603EF2" w:rsidRDefault="008E4B07" w:rsidP="00B94F0D">
      <w:pPr>
        <w:pStyle w:val="Heading2"/>
        <w:rPr>
          <w:rFonts w:ascii="Arial" w:hAnsi="Arial" w:cs="Arial"/>
          <w:b/>
          <w:bCs/>
          <w:color w:val="auto"/>
          <w:sz w:val="22"/>
          <w:szCs w:val="22"/>
        </w:rPr>
      </w:pPr>
      <w:bookmarkStart w:id="2" w:name="_Toc227665929"/>
      <w:r w:rsidRPr="00603EF2">
        <w:rPr>
          <w:rFonts w:ascii="Arial" w:hAnsi="Arial" w:cs="Arial"/>
          <w:b/>
          <w:bCs/>
          <w:color w:val="auto"/>
          <w:sz w:val="22"/>
          <w:szCs w:val="22"/>
        </w:rPr>
        <w:t>2.1 Swiss Cheese Model</w:t>
      </w:r>
      <w:bookmarkEnd w:id="2"/>
    </w:p>
    <w:p w14:paraId="72CBBF43" w14:textId="16F68B2A" w:rsidR="00A60B0B" w:rsidRPr="00603EF2" w:rsidRDefault="00A60B0B" w:rsidP="00A60B0B">
      <w:pPr>
        <w:spacing w:line="360" w:lineRule="auto"/>
        <w:jc w:val="both"/>
        <w:rPr>
          <w:rFonts w:ascii="Arial" w:hAnsi="Arial" w:cs="Arial"/>
        </w:rPr>
      </w:pPr>
      <w:r w:rsidRPr="00603EF2">
        <w:rPr>
          <w:rFonts w:ascii="Arial" w:hAnsi="Arial" w:cs="Arial"/>
        </w:rPr>
        <w:t xml:space="preserve">The Swiss Cheese Model, developed by Reason (1990), is a foundational framework in patient safety that explains how adverse events occur in complex systems. It depicts multiple layers of defence (the “slices” of Swiss cheese) designed to prevent harm. Each slice contains “holes” representing either active failures (individual errors, such as slips in care) or latent conditions (systemic weaknesses, such as poor design or inadequate resources). Normally, these holes do not align, so hazards are blocked. However, when the holes line up across several layers, a hazard can penetrate all defences, resulting in patient harm. Crucially, the model demonstrates </w:t>
      </w:r>
      <w:r w:rsidRPr="00603EF2">
        <w:rPr>
          <w:rFonts w:ascii="Arial" w:hAnsi="Arial" w:cs="Arial"/>
        </w:rPr>
        <w:lastRenderedPageBreak/>
        <w:t>that no single layer is foolproof; catastrophic failure requires the simultaneous breakdown of multiple imperfect systems rather than one isolated error (Wiegmann et al., 2022).</w:t>
      </w:r>
    </w:p>
    <w:p w14:paraId="0D756F45" w14:textId="77777777" w:rsidR="00A60B0B" w:rsidRPr="00603EF2" w:rsidRDefault="00A60B0B" w:rsidP="00A60B0B">
      <w:pPr>
        <w:spacing w:line="360" w:lineRule="auto"/>
        <w:jc w:val="both"/>
        <w:rPr>
          <w:rFonts w:ascii="Arial" w:hAnsi="Arial" w:cs="Arial"/>
        </w:rPr>
      </w:pPr>
      <w:r w:rsidRPr="00603EF2">
        <w:rPr>
          <w:rFonts w:ascii="Arial" w:hAnsi="Arial" w:cs="Arial"/>
        </w:rPr>
        <w:t>In the Mid Staffordshire NHS Foundation Trust scandal, the model clearly illustrates how aligned system failures enabled widespread harm. As shown in Figure 2: Swiss Cheese Model of Mid Staffordshire NHS Failures, the layers of Poor Leadership &amp; Governance, Staffing Shortages, Weak Incident Reporting, Regulatory Failures, and Lack of Oversight lined up, allowing preventable patient harm to occur. Chronic understaffing and weak governance (latent conditions) combined with frontline care omissions (active failures), while regulatory oversight failed to intervene (Francis, 2013).</w:t>
      </w:r>
    </w:p>
    <w:p w14:paraId="322B1E93" w14:textId="77777777" w:rsidR="00A60B0B" w:rsidRPr="00603EF2" w:rsidRDefault="00A60B0B" w:rsidP="00A60B0B">
      <w:pPr>
        <w:spacing w:line="360" w:lineRule="auto"/>
        <w:jc w:val="both"/>
        <w:rPr>
          <w:rFonts w:ascii="Arial" w:hAnsi="Arial" w:cs="Arial"/>
          <w:b/>
          <w:bCs/>
        </w:rPr>
      </w:pPr>
      <w:r w:rsidRPr="00603EF2">
        <w:rPr>
          <w:rFonts w:ascii="Arial" w:hAnsi="Arial" w:cs="Arial"/>
          <w:noProof/>
        </w:rPr>
        <w:drawing>
          <wp:inline distT="0" distB="0" distL="0" distR="0" wp14:anchorId="3E39D1EE" wp14:editId="4B376DA1">
            <wp:extent cx="5824855" cy="2902569"/>
            <wp:effectExtent l="0" t="0" r="4445" b="0"/>
            <wp:docPr id="574205691" name="Picture 1">
              <a:extLst xmlns:a="http://schemas.openxmlformats.org/drawingml/2006/main">
                <a:ext uri="{FF2B5EF4-FFF2-40B4-BE49-F238E27FC236}">
                  <a16:creationId xmlns:a16="http://schemas.microsoft.com/office/drawing/2014/main" id="{F00F413A-B413-6E62-850B-61CA8161CD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00F413A-B413-6E62-850B-61CA8161CD3F}"/>
                        </a:ext>
                      </a:extLst>
                    </pic:cNvPr>
                    <pic:cNvPicPr>
                      <a:picLocks noChangeAspect="1"/>
                    </pic:cNvPicPr>
                  </pic:nvPicPr>
                  <pic:blipFill rotWithShape="1">
                    <a:blip r:embed="rId7" cstate="print">
                      <a:extLst>
                        <a:ext uri="{28A0092B-C50C-407E-A947-70E740481C1C}">
                          <a14:useLocalDpi xmlns:a14="http://schemas.microsoft.com/office/drawing/2010/main" val="0"/>
                        </a:ext>
                      </a:extLst>
                    </a:blip>
                    <a:srcRect l="3686" t="16336" r="5609" b="15866"/>
                    <a:stretch>
                      <a:fillRect/>
                    </a:stretch>
                  </pic:blipFill>
                  <pic:spPr bwMode="auto">
                    <a:xfrm>
                      <a:off x="0" y="0"/>
                      <a:ext cx="5825277" cy="2902779"/>
                    </a:xfrm>
                    <a:prstGeom prst="rect">
                      <a:avLst/>
                    </a:prstGeom>
                    <a:ln>
                      <a:noFill/>
                    </a:ln>
                    <a:extLst>
                      <a:ext uri="{53640926-AAD7-44D8-BBD7-CCE9431645EC}">
                        <a14:shadowObscured xmlns:a14="http://schemas.microsoft.com/office/drawing/2010/main"/>
                      </a:ext>
                    </a:extLst>
                  </pic:spPr>
                </pic:pic>
              </a:graphicData>
            </a:graphic>
          </wp:inline>
        </w:drawing>
      </w:r>
    </w:p>
    <w:p w14:paraId="3B40C106" w14:textId="30371EE6" w:rsidR="00A60B0B" w:rsidRPr="00603EF2" w:rsidRDefault="00A60B0B" w:rsidP="00A60B0B">
      <w:pPr>
        <w:spacing w:line="360" w:lineRule="auto"/>
        <w:jc w:val="center"/>
        <w:rPr>
          <w:rFonts w:ascii="Arial" w:hAnsi="Arial" w:cs="Arial"/>
          <w:b/>
          <w:bCs/>
        </w:rPr>
      </w:pPr>
      <w:r w:rsidRPr="00603EF2">
        <w:rPr>
          <w:rFonts w:ascii="Arial" w:hAnsi="Arial" w:cs="Arial"/>
          <w:b/>
          <w:bCs/>
        </w:rPr>
        <w:t xml:space="preserve">Figure 1: </w:t>
      </w:r>
      <w:r w:rsidRPr="00603EF2">
        <w:rPr>
          <w:rFonts w:ascii="Arial" w:hAnsi="Arial" w:cs="Arial"/>
        </w:rPr>
        <w:t>Swiss Cheese Model of Mid Staffordshire NHS Foundation Trust scandal (Source: Wiegmann et al., 2022)</w:t>
      </w:r>
    </w:p>
    <w:p w14:paraId="6D3A5C57" w14:textId="28758EFC" w:rsidR="00A60B0B" w:rsidRPr="00603EF2" w:rsidRDefault="00A60B0B" w:rsidP="00A60B0B">
      <w:pPr>
        <w:spacing w:line="360" w:lineRule="auto"/>
        <w:jc w:val="both"/>
        <w:rPr>
          <w:rFonts w:ascii="Arial" w:hAnsi="Arial" w:cs="Arial"/>
        </w:rPr>
      </w:pPr>
      <w:r w:rsidRPr="00603EF2">
        <w:rPr>
          <w:rFonts w:ascii="Arial" w:hAnsi="Arial" w:cs="Arial"/>
        </w:rPr>
        <w:t>Seshia et al. (2017) expand the model to highlight dynamic cognitive and organisational factors in healthcare, while studies of major NHS inquiries confirm that patient safety breakdowns are rarely caused by individuals alone but by multiple non-foolproof defences aligning (Buist, 2018). The model therefore supports the need for multi-layered, resilient quality systems.</w:t>
      </w:r>
    </w:p>
    <w:p w14:paraId="4C380D15" w14:textId="5731BD48" w:rsidR="00D85430" w:rsidRPr="00603EF2" w:rsidRDefault="00F93EF7" w:rsidP="002528E0">
      <w:pPr>
        <w:pStyle w:val="Heading2"/>
        <w:spacing w:line="360" w:lineRule="auto"/>
        <w:rPr>
          <w:rFonts w:ascii="Arial" w:hAnsi="Arial" w:cs="Arial"/>
          <w:b/>
          <w:bCs/>
          <w:color w:val="auto"/>
          <w:sz w:val="22"/>
          <w:szCs w:val="22"/>
        </w:rPr>
      </w:pPr>
      <w:bookmarkStart w:id="3" w:name="_Toc227665930"/>
      <w:r w:rsidRPr="00603EF2">
        <w:rPr>
          <w:rFonts w:ascii="Arial" w:hAnsi="Arial" w:cs="Arial"/>
          <w:b/>
          <w:bCs/>
          <w:color w:val="auto"/>
          <w:sz w:val="22"/>
          <w:szCs w:val="22"/>
        </w:rPr>
        <w:t>2.</w:t>
      </w:r>
      <w:r w:rsidR="00B94F0D" w:rsidRPr="00603EF2">
        <w:rPr>
          <w:rFonts w:ascii="Arial" w:hAnsi="Arial" w:cs="Arial"/>
          <w:b/>
          <w:bCs/>
          <w:color w:val="auto"/>
          <w:sz w:val="22"/>
          <w:szCs w:val="22"/>
        </w:rPr>
        <w:t>2</w:t>
      </w:r>
      <w:r w:rsidRPr="00603EF2">
        <w:rPr>
          <w:rFonts w:ascii="Arial" w:hAnsi="Arial" w:cs="Arial"/>
          <w:b/>
          <w:bCs/>
          <w:color w:val="auto"/>
          <w:sz w:val="22"/>
          <w:szCs w:val="22"/>
        </w:rPr>
        <w:t xml:space="preserve"> Root Cause Analysis of the Quality Issue</w:t>
      </w:r>
      <w:bookmarkEnd w:id="3"/>
    </w:p>
    <w:p w14:paraId="1EBA175C" w14:textId="0CFE2FB7" w:rsidR="00B504D1" w:rsidRPr="00603EF2" w:rsidRDefault="00B504D1" w:rsidP="002528E0">
      <w:pPr>
        <w:spacing w:line="360" w:lineRule="auto"/>
        <w:jc w:val="both"/>
        <w:rPr>
          <w:rFonts w:ascii="Arial" w:hAnsi="Arial" w:cs="Arial"/>
        </w:rPr>
      </w:pPr>
      <w:r w:rsidRPr="00603EF2">
        <w:rPr>
          <w:rFonts w:ascii="Arial" w:hAnsi="Arial" w:cs="Arial"/>
        </w:rPr>
        <w:t xml:space="preserve">Root cause analysis is essential for identifying the underlying factors contributing to healthcare failures rather than merely addressing surface-level problems. In this report, structured </w:t>
      </w:r>
      <w:r w:rsidRPr="00603EF2">
        <w:rPr>
          <w:rFonts w:ascii="Arial" w:hAnsi="Arial" w:cs="Arial"/>
        </w:rPr>
        <w:lastRenderedPageBreak/>
        <w:t>approaches such as the Fishbone Diagram and 5 Whys are applied to systematically examine the key drivers of poor-quality care.</w:t>
      </w:r>
    </w:p>
    <w:p w14:paraId="4AA65609" w14:textId="27BF76BB" w:rsidR="0079798B" w:rsidRPr="00603EF2" w:rsidRDefault="007252E4" w:rsidP="002528E0">
      <w:pPr>
        <w:pStyle w:val="Heading3"/>
        <w:spacing w:line="360" w:lineRule="auto"/>
        <w:rPr>
          <w:rFonts w:ascii="Arial" w:hAnsi="Arial" w:cs="Arial"/>
          <w:b/>
          <w:bCs/>
          <w:color w:val="auto"/>
          <w:sz w:val="22"/>
          <w:szCs w:val="22"/>
        </w:rPr>
      </w:pPr>
      <w:bookmarkStart w:id="4" w:name="_Toc227665931"/>
      <w:r w:rsidRPr="00603EF2">
        <w:rPr>
          <w:rFonts w:ascii="Arial" w:hAnsi="Arial" w:cs="Arial"/>
          <w:b/>
          <w:bCs/>
          <w:color w:val="auto"/>
          <w:sz w:val="22"/>
          <w:szCs w:val="22"/>
        </w:rPr>
        <w:t>2.</w:t>
      </w:r>
      <w:r w:rsidR="00B94F0D" w:rsidRPr="00603EF2">
        <w:rPr>
          <w:rFonts w:ascii="Arial" w:hAnsi="Arial" w:cs="Arial"/>
          <w:b/>
          <w:bCs/>
          <w:color w:val="auto"/>
          <w:sz w:val="22"/>
          <w:szCs w:val="22"/>
        </w:rPr>
        <w:t>2</w:t>
      </w:r>
      <w:r w:rsidRPr="00603EF2">
        <w:rPr>
          <w:rFonts w:ascii="Arial" w:hAnsi="Arial" w:cs="Arial"/>
          <w:b/>
          <w:bCs/>
          <w:color w:val="auto"/>
          <w:sz w:val="22"/>
          <w:szCs w:val="22"/>
        </w:rPr>
        <w:t xml:space="preserve">.1 </w:t>
      </w:r>
      <w:r w:rsidR="0047237A" w:rsidRPr="00603EF2">
        <w:rPr>
          <w:rFonts w:ascii="Arial" w:hAnsi="Arial" w:cs="Arial"/>
          <w:b/>
          <w:bCs/>
          <w:color w:val="auto"/>
          <w:sz w:val="22"/>
          <w:szCs w:val="22"/>
        </w:rPr>
        <w:t>Fishbone Analysis</w:t>
      </w:r>
      <w:bookmarkEnd w:id="4"/>
    </w:p>
    <w:p w14:paraId="351C3020" w14:textId="58F5AD35" w:rsidR="00A63F8D" w:rsidRPr="00603EF2" w:rsidRDefault="00D0776E" w:rsidP="002528E0">
      <w:pPr>
        <w:spacing w:line="360" w:lineRule="auto"/>
        <w:jc w:val="both"/>
        <w:rPr>
          <w:rFonts w:ascii="Arial" w:hAnsi="Arial" w:cs="Arial"/>
        </w:rPr>
      </w:pPr>
      <w:r w:rsidRPr="00603EF2">
        <w:rPr>
          <w:rFonts w:ascii="Arial" w:hAnsi="Arial" w:cs="Arial"/>
        </w:rPr>
        <w:t xml:space="preserve">The Fishbone Diagram is applied to systematically identify and categorise the root causes of poor care delivery in the Mid Staffordshire NHS Foundation Trust scandal. As seen in Figure </w:t>
      </w:r>
      <w:r w:rsidR="008E3125" w:rsidRPr="00603EF2">
        <w:rPr>
          <w:rFonts w:ascii="Arial" w:hAnsi="Arial" w:cs="Arial"/>
        </w:rPr>
        <w:t>2</w:t>
      </w:r>
      <w:r w:rsidRPr="00603EF2">
        <w:rPr>
          <w:rFonts w:ascii="Arial" w:hAnsi="Arial" w:cs="Arial"/>
        </w:rPr>
        <w:t xml:space="preserve">, the model visually maps multiple contributing factors leading to patient harm, enabling a structured examination of systemic failures rather than isolated </w:t>
      </w:r>
      <w:r w:rsidR="002528E0" w:rsidRPr="00603EF2">
        <w:rPr>
          <w:rFonts w:ascii="Arial" w:hAnsi="Arial" w:cs="Arial"/>
        </w:rPr>
        <w:t>incidents.</w:t>
      </w:r>
    </w:p>
    <w:p w14:paraId="62C7FA31" w14:textId="5532B4D2" w:rsidR="00A63F8D" w:rsidRPr="00603EF2" w:rsidRDefault="00D0776E" w:rsidP="002528E0">
      <w:pPr>
        <w:spacing w:line="360" w:lineRule="auto"/>
        <w:jc w:val="center"/>
        <w:rPr>
          <w:rFonts w:ascii="Arial" w:hAnsi="Arial" w:cs="Arial"/>
        </w:rPr>
      </w:pPr>
      <w:r w:rsidRPr="00603EF2">
        <w:rPr>
          <w:rFonts w:ascii="Arial" w:hAnsi="Arial" w:cs="Arial"/>
          <w:noProof/>
        </w:rPr>
        <w:drawing>
          <wp:anchor distT="0" distB="0" distL="114300" distR="114300" simplePos="0" relativeHeight="251658240" behindDoc="0" locked="0" layoutInCell="1" allowOverlap="1" wp14:anchorId="493147E3" wp14:editId="194E6321">
            <wp:simplePos x="0" y="0"/>
            <wp:positionH relativeFrom="column">
              <wp:posOffset>-482600</wp:posOffset>
            </wp:positionH>
            <wp:positionV relativeFrom="paragraph">
              <wp:posOffset>0</wp:posOffset>
            </wp:positionV>
            <wp:extent cx="6667500" cy="3225800"/>
            <wp:effectExtent l="0" t="0" r="0" b="0"/>
            <wp:wrapSquare wrapText="bothSides"/>
            <wp:docPr id="2" name="Picture 1">
              <a:extLst xmlns:a="http://schemas.openxmlformats.org/drawingml/2006/main">
                <a:ext uri="{FF2B5EF4-FFF2-40B4-BE49-F238E27FC236}">
                  <a16:creationId xmlns:a16="http://schemas.microsoft.com/office/drawing/2014/main" id="{CB9B92BF-FDEC-9091-2FEE-9956F2891A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B9B92BF-FDEC-9091-2FEE-9956F2891A95}"/>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t="18590"/>
                    <a:stretch>
                      <a:fillRect/>
                    </a:stretch>
                  </pic:blipFill>
                  <pic:spPr bwMode="auto">
                    <a:xfrm>
                      <a:off x="0" y="0"/>
                      <a:ext cx="6667500" cy="3225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03EF2">
        <w:rPr>
          <w:rFonts w:ascii="Arial" w:hAnsi="Arial" w:cs="Arial"/>
        </w:rPr>
        <w:t xml:space="preserve">Figure </w:t>
      </w:r>
      <w:r w:rsidR="008E3125" w:rsidRPr="00603EF2">
        <w:rPr>
          <w:rFonts w:ascii="Arial" w:hAnsi="Arial" w:cs="Arial"/>
        </w:rPr>
        <w:t>2</w:t>
      </w:r>
      <w:r w:rsidRPr="00603EF2">
        <w:rPr>
          <w:rFonts w:ascii="Arial" w:hAnsi="Arial" w:cs="Arial"/>
        </w:rPr>
        <w:t xml:space="preserve">: Fishbone Analysis of Mid Staffordshire NHS Foundation Trust scandal (Source: </w:t>
      </w:r>
      <w:r w:rsidR="00257D02" w:rsidRPr="00603EF2">
        <w:rPr>
          <w:rFonts w:ascii="Arial" w:hAnsi="Arial" w:cs="Arial"/>
        </w:rPr>
        <w:t>Ross, 2017</w:t>
      </w:r>
      <w:r w:rsidRPr="00603EF2">
        <w:rPr>
          <w:rFonts w:ascii="Arial" w:hAnsi="Arial" w:cs="Arial"/>
        </w:rPr>
        <w:t>)</w:t>
      </w:r>
    </w:p>
    <w:p w14:paraId="173D2665" w14:textId="3381ECCC" w:rsidR="00466A6F" w:rsidRPr="00603EF2" w:rsidRDefault="00466A6F" w:rsidP="002528E0">
      <w:pPr>
        <w:spacing w:line="360" w:lineRule="auto"/>
        <w:jc w:val="both"/>
        <w:rPr>
          <w:rFonts w:ascii="Arial" w:hAnsi="Arial" w:cs="Arial"/>
        </w:rPr>
      </w:pPr>
      <w:r w:rsidRPr="00603EF2">
        <w:rPr>
          <w:rFonts w:ascii="Arial" w:hAnsi="Arial" w:cs="Arial"/>
        </w:rPr>
        <w:t>Under the staff category, there were problems like nurse shortage and low morale levels among staff which reduced the ability to provide safe and patient-based care to the greatest degree. Santana et al. (2018) state that sufficient staffing is the key to ensuring high-quality interactions and responsiveness to patient needs. Regarding leadership, there was poor clinical leadership and an ineffective incident reporting system that led to a situation where there was no challenge or correction of poor practices. According to Eilenberg (201</w:t>
      </w:r>
      <w:r w:rsidR="00B975AE" w:rsidRPr="00603EF2">
        <w:rPr>
          <w:rFonts w:ascii="Arial" w:hAnsi="Arial" w:cs="Arial"/>
        </w:rPr>
        <w:t>7</w:t>
      </w:r>
      <w:r w:rsidRPr="00603EF2">
        <w:rPr>
          <w:rFonts w:ascii="Arial" w:hAnsi="Arial" w:cs="Arial"/>
        </w:rPr>
        <w:t>), leadership failure and accountability created organisational deviance as usual.</w:t>
      </w:r>
    </w:p>
    <w:p w14:paraId="1FF6A66B" w14:textId="77777777" w:rsidR="00466A6F" w:rsidRPr="00603EF2" w:rsidRDefault="00466A6F" w:rsidP="002528E0">
      <w:pPr>
        <w:spacing w:line="360" w:lineRule="auto"/>
        <w:jc w:val="both"/>
        <w:rPr>
          <w:rFonts w:ascii="Arial" w:hAnsi="Arial" w:cs="Arial"/>
        </w:rPr>
      </w:pPr>
      <w:r w:rsidRPr="00603EF2">
        <w:rPr>
          <w:rFonts w:ascii="Arial" w:hAnsi="Arial" w:cs="Arial"/>
        </w:rPr>
        <w:t xml:space="preserve">The processes dimension identifies the failure of patient monitoring and complaint handling that made it impossible to detect worsened patient conditions in time. These inefficiencies of the process correspond to the results of Petrillo et al. (2017), who note that operational processes </w:t>
      </w:r>
      <w:r w:rsidRPr="00603EF2">
        <w:rPr>
          <w:rFonts w:ascii="Arial" w:hAnsi="Arial" w:cs="Arial"/>
        </w:rPr>
        <w:lastRenderedPageBreak/>
        <w:t>can be poorly designed, thus resulting in human and system errors. In the environment category, poor resources and high patient demand further burdened the delivery of services worsening threats of patient safety. Finally, the policy dynamics like the need to achieve target performance performance and absence of protection of whistle blowers deterred transparency and disclosure of issues.</w:t>
      </w:r>
    </w:p>
    <w:p w14:paraId="3BD149A8" w14:textId="409A4931" w:rsidR="00C167AF" w:rsidRPr="00603EF2" w:rsidRDefault="00466A6F" w:rsidP="002528E0">
      <w:pPr>
        <w:spacing w:line="360" w:lineRule="auto"/>
        <w:jc w:val="both"/>
        <w:rPr>
          <w:rFonts w:ascii="Arial" w:hAnsi="Arial" w:cs="Arial"/>
        </w:rPr>
      </w:pPr>
      <w:r w:rsidRPr="00603EF2">
        <w:rPr>
          <w:rFonts w:ascii="Arial" w:hAnsi="Arial" w:cs="Arial"/>
        </w:rPr>
        <w:t>The Fishbone analysis proves that the quality failures were multidimensional and highly intertwined in the organisational systems, which supports the necessity of a holistic and systematic improvement plans</w:t>
      </w:r>
      <w:r w:rsidR="008F0ECA">
        <w:rPr>
          <w:rFonts w:ascii="Arial" w:hAnsi="Arial" w:cs="Arial"/>
        </w:rPr>
        <w:t>.</w:t>
      </w:r>
    </w:p>
    <w:p w14:paraId="4D51E64E" w14:textId="21E2D9E0" w:rsidR="00160750" w:rsidRPr="00603EF2" w:rsidRDefault="00C167AF" w:rsidP="002528E0">
      <w:pPr>
        <w:pStyle w:val="Heading3"/>
        <w:spacing w:line="360" w:lineRule="auto"/>
        <w:rPr>
          <w:rFonts w:ascii="Arial" w:hAnsi="Arial" w:cs="Arial"/>
          <w:b/>
          <w:bCs/>
          <w:color w:val="auto"/>
          <w:sz w:val="22"/>
          <w:szCs w:val="22"/>
        </w:rPr>
      </w:pPr>
      <w:bookmarkStart w:id="5" w:name="_Toc227665932"/>
      <w:r w:rsidRPr="00603EF2">
        <w:rPr>
          <w:rFonts w:ascii="Arial" w:hAnsi="Arial" w:cs="Arial"/>
          <w:b/>
          <w:bCs/>
          <w:color w:val="auto"/>
          <w:sz w:val="22"/>
          <w:szCs w:val="22"/>
        </w:rPr>
        <w:t>2.</w:t>
      </w:r>
      <w:r w:rsidR="00B94F0D" w:rsidRPr="00603EF2">
        <w:rPr>
          <w:rFonts w:ascii="Arial" w:hAnsi="Arial" w:cs="Arial"/>
          <w:b/>
          <w:bCs/>
          <w:color w:val="auto"/>
          <w:sz w:val="22"/>
          <w:szCs w:val="22"/>
        </w:rPr>
        <w:t>2</w:t>
      </w:r>
      <w:r w:rsidRPr="00603EF2">
        <w:rPr>
          <w:rFonts w:ascii="Arial" w:hAnsi="Arial" w:cs="Arial"/>
          <w:b/>
          <w:bCs/>
          <w:color w:val="auto"/>
          <w:sz w:val="22"/>
          <w:szCs w:val="22"/>
        </w:rPr>
        <w:t xml:space="preserve">.2 </w:t>
      </w:r>
      <w:r w:rsidR="00160750" w:rsidRPr="00603EF2">
        <w:rPr>
          <w:rFonts w:ascii="Arial" w:hAnsi="Arial" w:cs="Arial"/>
          <w:b/>
          <w:bCs/>
          <w:color w:val="auto"/>
          <w:sz w:val="22"/>
          <w:szCs w:val="22"/>
        </w:rPr>
        <w:t>5 Whys Analysis</w:t>
      </w:r>
      <w:bookmarkEnd w:id="5"/>
    </w:p>
    <w:p w14:paraId="106B7338" w14:textId="2E445F13" w:rsidR="00160750" w:rsidRPr="00603EF2" w:rsidRDefault="00466A6F" w:rsidP="002528E0">
      <w:pPr>
        <w:spacing w:line="360" w:lineRule="auto"/>
        <w:jc w:val="both"/>
        <w:rPr>
          <w:rFonts w:ascii="Arial" w:hAnsi="Arial" w:cs="Arial"/>
        </w:rPr>
      </w:pPr>
      <w:r w:rsidRPr="00603EF2">
        <w:rPr>
          <w:rFonts w:ascii="Arial" w:hAnsi="Arial" w:cs="Arial"/>
        </w:rPr>
        <w:t xml:space="preserve">The 5 Whys is used to go beyond the superficial causes of failure and reveal the underlying systemic causes of failure in the Mid Staffordshire NHS Foundation Trust scandal. Instead of blaming the poor performance on the frontline staff, this method is being applied to question the underlying organisational dynamics based on an iterative questioning process as shown in figure </w:t>
      </w:r>
      <w:r w:rsidR="008E3125" w:rsidRPr="00603EF2">
        <w:rPr>
          <w:rFonts w:ascii="Arial" w:hAnsi="Arial" w:cs="Arial"/>
        </w:rPr>
        <w:t>3</w:t>
      </w:r>
      <w:r w:rsidRPr="00603EF2">
        <w:rPr>
          <w:rFonts w:ascii="Arial" w:hAnsi="Arial" w:cs="Arial"/>
        </w:rPr>
        <w:t>.</w:t>
      </w:r>
    </w:p>
    <w:p w14:paraId="637ACE51" w14:textId="06C8AA4B" w:rsidR="00C625B6" w:rsidRPr="00603EF2" w:rsidRDefault="00C625B6" w:rsidP="002528E0">
      <w:pPr>
        <w:spacing w:line="360" w:lineRule="auto"/>
        <w:jc w:val="center"/>
        <w:rPr>
          <w:rFonts w:ascii="Arial" w:hAnsi="Arial" w:cs="Arial"/>
        </w:rPr>
      </w:pPr>
      <w:r w:rsidRPr="00603EF2">
        <w:rPr>
          <w:rFonts w:ascii="Arial" w:hAnsi="Arial" w:cs="Arial"/>
          <w:noProof/>
        </w:rPr>
        <w:drawing>
          <wp:inline distT="0" distB="0" distL="0" distR="0" wp14:anchorId="4270A69D" wp14:editId="16E7326E">
            <wp:extent cx="4137660" cy="2848610"/>
            <wp:effectExtent l="0" t="0" r="0" b="8890"/>
            <wp:docPr id="9192220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4271"/>
                    <a:stretch>
                      <a:fillRect/>
                    </a:stretch>
                  </pic:blipFill>
                  <pic:spPr bwMode="auto">
                    <a:xfrm>
                      <a:off x="0" y="0"/>
                      <a:ext cx="4181918" cy="2879080"/>
                    </a:xfrm>
                    <a:prstGeom prst="rect">
                      <a:avLst/>
                    </a:prstGeom>
                    <a:noFill/>
                    <a:ln>
                      <a:noFill/>
                    </a:ln>
                    <a:extLst>
                      <a:ext uri="{53640926-AAD7-44D8-BBD7-CCE9431645EC}">
                        <a14:shadowObscured xmlns:a14="http://schemas.microsoft.com/office/drawing/2010/main"/>
                      </a:ext>
                    </a:extLst>
                  </pic:spPr>
                </pic:pic>
              </a:graphicData>
            </a:graphic>
          </wp:inline>
        </w:drawing>
      </w:r>
    </w:p>
    <w:p w14:paraId="16BE192B" w14:textId="722ED64C" w:rsidR="00C625B6" w:rsidRPr="00603EF2" w:rsidRDefault="00C625B6" w:rsidP="002528E0">
      <w:pPr>
        <w:spacing w:line="360" w:lineRule="auto"/>
        <w:jc w:val="center"/>
        <w:rPr>
          <w:rFonts w:ascii="Arial" w:hAnsi="Arial" w:cs="Arial"/>
        </w:rPr>
      </w:pPr>
      <w:r w:rsidRPr="00603EF2">
        <w:rPr>
          <w:rFonts w:ascii="Arial" w:hAnsi="Arial" w:cs="Arial"/>
        </w:rPr>
        <w:t xml:space="preserve">Figure </w:t>
      </w:r>
      <w:r w:rsidR="008E3125" w:rsidRPr="00603EF2">
        <w:rPr>
          <w:rFonts w:ascii="Arial" w:hAnsi="Arial" w:cs="Arial"/>
        </w:rPr>
        <w:t>3</w:t>
      </w:r>
      <w:r w:rsidRPr="00603EF2">
        <w:rPr>
          <w:rFonts w:ascii="Arial" w:hAnsi="Arial" w:cs="Arial"/>
        </w:rPr>
        <w:t>: 5 Whys Model Analysis for the Mid Staffordshire NHS Foundation Trust scandal</w:t>
      </w:r>
    </w:p>
    <w:p w14:paraId="7AF31299" w14:textId="77777777" w:rsidR="0093086D" w:rsidRPr="00603EF2" w:rsidRDefault="00160750" w:rsidP="002528E0">
      <w:pPr>
        <w:spacing w:line="360" w:lineRule="auto"/>
        <w:jc w:val="both"/>
        <w:rPr>
          <w:rFonts w:ascii="Arial" w:hAnsi="Arial" w:cs="Arial"/>
        </w:rPr>
      </w:pPr>
      <w:r w:rsidRPr="00603EF2">
        <w:rPr>
          <w:rFonts w:ascii="Arial" w:hAnsi="Arial" w:cs="Arial"/>
        </w:rPr>
        <w:t xml:space="preserve">At the first level, </w:t>
      </w:r>
      <w:r w:rsidR="0093086D" w:rsidRPr="00603EF2">
        <w:rPr>
          <w:rFonts w:ascii="Arial" w:hAnsi="Arial" w:cs="Arial"/>
        </w:rPr>
        <w:t xml:space="preserve">damage to the patient was caused by the insufficiency of care and attention. The question of why will show that employees were overworked and could not attend to patients. A second why claims poor workforce planning and chronic understaffing. Subsequent enquiry reveals that staffing reduction was fueled by cost-cutting initiative and an institutional orientation </w:t>
      </w:r>
      <w:r w:rsidR="0093086D" w:rsidRPr="00603EF2">
        <w:rPr>
          <w:rFonts w:ascii="Arial" w:hAnsi="Arial" w:cs="Arial"/>
        </w:rPr>
        <w:lastRenderedPageBreak/>
        <w:t>of financial objectives. Further down the line, this prioritisation was as a result of poor leadership and governance frameworks that could not balance financial performance and patient safety. However, the bottom line is that there was a dysfunctional organisational culture in which accountability, transparency, and learning were stifled.</w:t>
      </w:r>
    </w:p>
    <w:p w14:paraId="1C4404C5" w14:textId="28F1BB99" w:rsidR="00160750" w:rsidRPr="00603EF2" w:rsidRDefault="0093086D" w:rsidP="002528E0">
      <w:pPr>
        <w:spacing w:line="360" w:lineRule="auto"/>
        <w:jc w:val="both"/>
        <w:rPr>
          <w:rFonts w:ascii="Arial" w:hAnsi="Arial" w:cs="Arial"/>
        </w:rPr>
      </w:pPr>
      <w:r w:rsidRPr="00603EF2">
        <w:rPr>
          <w:rFonts w:ascii="Arial" w:hAnsi="Arial" w:cs="Arial"/>
        </w:rPr>
        <w:t>Importantly, although the 5 Whys is a successful tool to reveal the causal chains, there are multiple limitations to the approach, and the approach may simplify healthcare systems, according to Card (2017), by assuming a linear causality. On the same note, Gangidi (2019) posits that there is reason to believe that deeper issues within the system may need more causal pathways and not a single chain. Hence, it is further reinforced when applied to the context by incorporating more organisational-wide understandings so that conclusions should not be based on particular causes, but on system-wide failures (Saporito and Georgis, 2025; Majka, 2024).</w:t>
      </w:r>
    </w:p>
    <w:p w14:paraId="4C5B714E" w14:textId="555FD220" w:rsidR="001465CD" w:rsidRPr="00603EF2" w:rsidRDefault="001465CD" w:rsidP="002528E0">
      <w:pPr>
        <w:pStyle w:val="Heading2"/>
        <w:spacing w:line="360" w:lineRule="auto"/>
        <w:rPr>
          <w:rFonts w:ascii="Arial" w:hAnsi="Arial" w:cs="Arial"/>
          <w:b/>
          <w:bCs/>
          <w:color w:val="auto"/>
          <w:sz w:val="22"/>
          <w:szCs w:val="22"/>
        </w:rPr>
      </w:pPr>
      <w:bookmarkStart w:id="6" w:name="_Toc227665933"/>
      <w:r w:rsidRPr="00603EF2">
        <w:rPr>
          <w:rFonts w:ascii="Arial" w:hAnsi="Arial" w:cs="Arial"/>
          <w:b/>
          <w:bCs/>
          <w:color w:val="auto"/>
          <w:sz w:val="22"/>
          <w:szCs w:val="22"/>
        </w:rPr>
        <w:t>2.</w:t>
      </w:r>
      <w:r w:rsidR="00B94F0D" w:rsidRPr="00603EF2">
        <w:rPr>
          <w:rFonts w:ascii="Arial" w:hAnsi="Arial" w:cs="Arial"/>
          <w:b/>
          <w:bCs/>
          <w:color w:val="auto"/>
          <w:sz w:val="22"/>
          <w:szCs w:val="22"/>
        </w:rPr>
        <w:t>3</w:t>
      </w:r>
      <w:r w:rsidR="00E31362" w:rsidRPr="00603EF2">
        <w:rPr>
          <w:rFonts w:ascii="Arial" w:hAnsi="Arial" w:cs="Arial"/>
          <w:b/>
          <w:bCs/>
          <w:color w:val="auto"/>
          <w:sz w:val="22"/>
          <w:szCs w:val="22"/>
        </w:rPr>
        <w:t xml:space="preserve"> </w:t>
      </w:r>
      <w:r w:rsidRPr="00603EF2">
        <w:rPr>
          <w:rFonts w:ascii="Arial" w:hAnsi="Arial" w:cs="Arial"/>
          <w:b/>
          <w:bCs/>
          <w:color w:val="auto"/>
          <w:sz w:val="22"/>
          <w:szCs w:val="22"/>
        </w:rPr>
        <w:t>Application of Donabedian Model</w:t>
      </w:r>
      <w:bookmarkEnd w:id="6"/>
    </w:p>
    <w:p w14:paraId="6B16A03D" w14:textId="66845731" w:rsidR="001465CD" w:rsidRPr="00603EF2" w:rsidRDefault="009A1814" w:rsidP="002528E0">
      <w:pPr>
        <w:spacing w:line="360" w:lineRule="auto"/>
        <w:jc w:val="both"/>
        <w:rPr>
          <w:rFonts w:ascii="Arial" w:hAnsi="Arial" w:cs="Arial"/>
        </w:rPr>
      </w:pPr>
      <w:r w:rsidRPr="00603EF2">
        <w:rPr>
          <w:rFonts w:ascii="Arial" w:hAnsi="Arial" w:cs="Arial"/>
        </w:rPr>
        <w:t xml:space="preserve">The Donabedian Model offers an </w:t>
      </w:r>
      <w:r w:rsidR="002528E0" w:rsidRPr="00603EF2">
        <w:rPr>
          <w:rFonts w:ascii="Arial" w:hAnsi="Arial" w:cs="Arial"/>
        </w:rPr>
        <w:t>all-rounded</w:t>
      </w:r>
      <w:r w:rsidRPr="00603EF2">
        <w:rPr>
          <w:rFonts w:ascii="Arial" w:hAnsi="Arial" w:cs="Arial"/>
        </w:rPr>
        <w:t xml:space="preserve"> approach to evaluating the healthcare quality based on the interrelation of structure, process, and outcomes (Donabedian, 1988). As it can be observed in Figure </w:t>
      </w:r>
      <w:r w:rsidR="008E3125" w:rsidRPr="00603EF2">
        <w:rPr>
          <w:rFonts w:ascii="Arial" w:hAnsi="Arial" w:cs="Arial"/>
        </w:rPr>
        <w:t>4</w:t>
      </w:r>
      <w:r w:rsidRPr="00603EF2">
        <w:rPr>
          <w:rFonts w:ascii="Arial" w:hAnsi="Arial" w:cs="Arial"/>
        </w:rPr>
        <w:t xml:space="preserve"> this model is used to provide a critical evaluation of the systemic failures in the Mid Staffordshire NHS Foundation Trust scandal</w:t>
      </w:r>
      <w:r w:rsidR="001465CD" w:rsidRPr="00603EF2">
        <w:rPr>
          <w:rFonts w:ascii="Arial" w:hAnsi="Arial" w:cs="Arial"/>
        </w:rPr>
        <w:t>.</w:t>
      </w:r>
    </w:p>
    <w:p w14:paraId="326B3254" w14:textId="7E11E357" w:rsidR="00836E42" w:rsidRPr="00603EF2" w:rsidRDefault="002A4645" w:rsidP="00F11DAA">
      <w:pPr>
        <w:spacing w:line="360" w:lineRule="auto"/>
        <w:jc w:val="center"/>
        <w:rPr>
          <w:rFonts w:ascii="Arial" w:hAnsi="Arial" w:cs="Arial"/>
        </w:rPr>
      </w:pPr>
      <w:r w:rsidRPr="00603EF2">
        <w:rPr>
          <w:rFonts w:ascii="Arial" w:hAnsi="Arial" w:cs="Arial"/>
          <w:noProof/>
        </w:rPr>
        <w:drawing>
          <wp:anchor distT="0" distB="0" distL="114300" distR="114300" simplePos="0" relativeHeight="251659264" behindDoc="0" locked="0" layoutInCell="1" allowOverlap="1" wp14:anchorId="3C528FEE" wp14:editId="4E3FF2F2">
            <wp:simplePos x="0" y="0"/>
            <wp:positionH relativeFrom="margin">
              <wp:posOffset>38100</wp:posOffset>
            </wp:positionH>
            <wp:positionV relativeFrom="paragraph">
              <wp:posOffset>280670</wp:posOffset>
            </wp:positionV>
            <wp:extent cx="5922645" cy="2425065"/>
            <wp:effectExtent l="0" t="0" r="1905" b="0"/>
            <wp:wrapSquare wrapText="bothSides"/>
            <wp:docPr id="4" name="Picture 3">
              <a:extLst xmlns:a="http://schemas.openxmlformats.org/drawingml/2006/main">
                <a:ext uri="{FF2B5EF4-FFF2-40B4-BE49-F238E27FC236}">
                  <a16:creationId xmlns:a16="http://schemas.microsoft.com/office/drawing/2014/main" id="{B71D0CF5-B476-1C72-F8C9-1DD21E5F5A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71D0CF5-B476-1C72-F8C9-1DD21E5F5ADF}"/>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t="19634" b="9616"/>
                    <a:stretch>
                      <a:fillRect/>
                    </a:stretch>
                  </pic:blipFill>
                  <pic:spPr bwMode="auto">
                    <a:xfrm>
                      <a:off x="0" y="0"/>
                      <a:ext cx="5922645" cy="2425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65CD" w:rsidRPr="00603EF2">
        <w:rPr>
          <w:rFonts w:ascii="Arial" w:hAnsi="Arial" w:cs="Arial"/>
        </w:rPr>
        <w:t xml:space="preserve">Figure </w:t>
      </w:r>
      <w:r w:rsidR="008E3125" w:rsidRPr="00603EF2">
        <w:rPr>
          <w:rFonts w:ascii="Arial" w:hAnsi="Arial" w:cs="Arial"/>
        </w:rPr>
        <w:t>4</w:t>
      </w:r>
      <w:r w:rsidR="001465CD" w:rsidRPr="00603EF2">
        <w:rPr>
          <w:rFonts w:ascii="Arial" w:hAnsi="Arial" w:cs="Arial"/>
        </w:rPr>
        <w:t xml:space="preserve">: Donabedian Model Evakluation of Healthcare Quality </w:t>
      </w:r>
      <w:r w:rsidR="00836E42" w:rsidRPr="00603EF2">
        <w:rPr>
          <w:rFonts w:ascii="Arial" w:hAnsi="Arial" w:cs="Arial"/>
          <w:lang w:val="fr-FR"/>
        </w:rPr>
        <w:t>(Donabedian, 1988)</w:t>
      </w:r>
    </w:p>
    <w:p w14:paraId="3DDD7E9D" w14:textId="1E7B0296" w:rsidR="0035369C" w:rsidRPr="00603EF2" w:rsidRDefault="0035369C" w:rsidP="002528E0">
      <w:pPr>
        <w:spacing w:line="360" w:lineRule="auto"/>
        <w:jc w:val="both"/>
        <w:rPr>
          <w:rFonts w:ascii="Arial" w:hAnsi="Arial" w:cs="Arial"/>
        </w:rPr>
      </w:pPr>
      <w:r w:rsidRPr="00603EF2">
        <w:rPr>
          <w:rFonts w:ascii="Arial" w:hAnsi="Arial" w:cs="Arial"/>
        </w:rPr>
        <w:t xml:space="preserve">Structurally, the shortage in the level of staffing, lack of sufficient resources in the hospital, and poor governance systems greatly affected care delivery. Donabedian (1988) argues that quality care is based on structural factors hence, their failure leads to the direct undermining of service effectiveness. The systemic understaffing and inadequate leadership as observed in the case </w:t>
      </w:r>
      <w:r w:rsidRPr="00603EF2">
        <w:rPr>
          <w:rFonts w:ascii="Arial" w:hAnsi="Arial" w:cs="Arial"/>
        </w:rPr>
        <w:lastRenderedPageBreak/>
        <w:t>depict how institutional flaws provided reasons as to why the unsafe practices were allowed to continue.</w:t>
      </w:r>
    </w:p>
    <w:p w14:paraId="754F1304" w14:textId="77777777" w:rsidR="0035369C" w:rsidRPr="00603EF2" w:rsidRDefault="0035369C" w:rsidP="002528E0">
      <w:pPr>
        <w:spacing w:line="360" w:lineRule="auto"/>
        <w:jc w:val="both"/>
        <w:rPr>
          <w:rFonts w:ascii="Arial" w:hAnsi="Arial" w:cs="Arial"/>
        </w:rPr>
      </w:pPr>
      <w:r w:rsidRPr="00603EF2">
        <w:rPr>
          <w:rFonts w:ascii="Arial" w:hAnsi="Arial" w:cs="Arial"/>
        </w:rPr>
        <w:t>Process wise, patient monitoring failures, ineffective incident reporting and ineffective clinical decision-making are the signs of failures in the provision of care. According to the disclosures made by Tossaint-Schoenmakers et al. (2021), poor systems and failure to integrate the components of care are the common cause of ineffective processes. These shortcomings hampered timely identification of patient progression and provided a proper clinical response.</w:t>
      </w:r>
    </w:p>
    <w:p w14:paraId="58E51FE2" w14:textId="75997351" w:rsidR="001465CD" w:rsidRPr="00603EF2" w:rsidRDefault="0035369C" w:rsidP="002528E0">
      <w:pPr>
        <w:spacing w:line="360" w:lineRule="auto"/>
        <w:jc w:val="both"/>
        <w:rPr>
          <w:rFonts w:ascii="Arial" w:hAnsi="Arial" w:cs="Arial"/>
        </w:rPr>
      </w:pPr>
      <w:r w:rsidRPr="00603EF2">
        <w:rPr>
          <w:rFonts w:ascii="Arial" w:hAnsi="Arial" w:cs="Arial"/>
        </w:rPr>
        <w:t>The outcomes dimension underscores the outcomes of these failures with respect to higher cases of mortality and poor patient experience. Yang et al. (2025) highlight that the outcomes are immediate measures of the healthcare quality and are influenced by structural and process factors. More importantly, the model illustrates a causal relationship in that poor structures resulted in poor processes, which eventually caused poor patient outcomes. This analysis is interconnected, which supports the necessity of system-wide quality improvement interventions</w:t>
      </w:r>
      <w:r w:rsidR="001465CD" w:rsidRPr="00603EF2">
        <w:rPr>
          <w:rFonts w:ascii="Arial" w:hAnsi="Arial" w:cs="Arial"/>
        </w:rPr>
        <w:t>.</w:t>
      </w:r>
    </w:p>
    <w:p w14:paraId="3D94AB7D" w14:textId="04766C75" w:rsidR="00190801" w:rsidRPr="00603EF2" w:rsidRDefault="00E31362" w:rsidP="002528E0">
      <w:pPr>
        <w:pStyle w:val="Heading2"/>
        <w:spacing w:line="360" w:lineRule="auto"/>
        <w:rPr>
          <w:rFonts w:ascii="Arial" w:hAnsi="Arial" w:cs="Arial"/>
          <w:b/>
          <w:bCs/>
          <w:color w:val="auto"/>
          <w:sz w:val="22"/>
          <w:szCs w:val="22"/>
        </w:rPr>
      </w:pPr>
      <w:bookmarkStart w:id="7" w:name="_Toc227665934"/>
      <w:r w:rsidRPr="00603EF2">
        <w:rPr>
          <w:rFonts w:ascii="Arial" w:hAnsi="Arial" w:cs="Arial"/>
          <w:b/>
          <w:bCs/>
          <w:color w:val="auto"/>
          <w:sz w:val="22"/>
          <w:szCs w:val="22"/>
        </w:rPr>
        <w:t>2.</w:t>
      </w:r>
      <w:r w:rsidR="00B94F0D" w:rsidRPr="00603EF2">
        <w:rPr>
          <w:rFonts w:ascii="Arial" w:hAnsi="Arial" w:cs="Arial"/>
          <w:b/>
          <w:bCs/>
          <w:color w:val="auto"/>
          <w:sz w:val="22"/>
          <w:szCs w:val="22"/>
        </w:rPr>
        <w:t>4</w:t>
      </w:r>
      <w:r w:rsidR="00190801" w:rsidRPr="00603EF2">
        <w:rPr>
          <w:rFonts w:ascii="Arial" w:hAnsi="Arial" w:cs="Arial"/>
          <w:b/>
          <w:bCs/>
          <w:color w:val="auto"/>
          <w:sz w:val="22"/>
          <w:szCs w:val="22"/>
        </w:rPr>
        <w:t xml:space="preserve"> SWOT Analysis</w:t>
      </w:r>
      <w:bookmarkEnd w:id="7"/>
    </w:p>
    <w:p w14:paraId="0B83B1B5" w14:textId="0B6C605E" w:rsidR="00190801" w:rsidRPr="00603EF2" w:rsidRDefault="000A7AB5" w:rsidP="002528E0">
      <w:pPr>
        <w:spacing w:line="360" w:lineRule="auto"/>
        <w:jc w:val="both"/>
        <w:rPr>
          <w:rFonts w:ascii="Arial" w:hAnsi="Arial" w:cs="Arial"/>
        </w:rPr>
      </w:pPr>
      <w:r w:rsidRPr="00603EF2">
        <w:rPr>
          <w:rFonts w:ascii="Arial" w:hAnsi="Arial" w:cs="Arial"/>
        </w:rPr>
        <w:t>The SWOT Analysis is implemented to analy</w:t>
      </w:r>
      <w:r w:rsidR="006A7E55" w:rsidRPr="00603EF2">
        <w:rPr>
          <w:rFonts w:ascii="Arial" w:hAnsi="Arial" w:cs="Arial"/>
        </w:rPr>
        <w:t>s</w:t>
      </w:r>
      <w:r w:rsidRPr="00603EF2">
        <w:rPr>
          <w:rFonts w:ascii="Arial" w:hAnsi="Arial" w:cs="Arial"/>
        </w:rPr>
        <w:t>e internal and external factors that contributed to the quality failures in the scandal in the Mid Staffordshire NHS Foundation Trust. This discussion justifies the establishment of strategic priorities in the area of sustainable service enhancement by connecting organisational weaknesses and actionable opportunities (Bradbury, 2022). The SWOT analysis, as illustrated in Table 1, shows that structural structures were there, but internal weaknesses contributed highly to the poor quality of care</w:t>
      </w:r>
      <w:r w:rsidR="004A1522" w:rsidRPr="00603EF2">
        <w:rPr>
          <w:rFonts w:ascii="Arial" w:hAnsi="Arial" w:cs="Arial"/>
        </w:rPr>
        <w:t>.</w:t>
      </w:r>
    </w:p>
    <w:p w14:paraId="03D0AC48" w14:textId="11769429" w:rsidR="004A1522" w:rsidRPr="00603EF2" w:rsidRDefault="004A1522" w:rsidP="00190801">
      <w:pPr>
        <w:spacing w:line="360" w:lineRule="auto"/>
        <w:jc w:val="both"/>
        <w:rPr>
          <w:rFonts w:ascii="Arial" w:hAnsi="Arial" w:cs="Arial"/>
        </w:rPr>
      </w:pPr>
      <w:r w:rsidRPr="00603EF2">
        <w:rPr>
          <w:rFonts w:ascii="Arial" w:hAnsi="Arial" w:cs="Arial"/>
        </w:rPr>
        <w:t>Table 1: SWOT Analysis of the Mid Staffordshire NHS Foundation Trust scandal</w:t>
      </w:r>
    </w:p>
    <w:tbl>
      <w:tblPr>
        <w:tblStyle w:val="TableGrid"/>
        <w:tblW w:w="11790" w:type="dxa"/>
        <w:tblInd w:w="-1265" w:type="dxa"/>
        <w:tblLook w:val="04A0" w:firstRow="1" w:lastRow="0" w:firstColumn="1" w:lastColumn="0" w:noHBand="0" w:noVBand="1"/>
      </w:tblPr>
      <w:tblGrid>
        <w:gridCol w:w="5940"/>
        <w:gridCol w:w="5850"/>
      </w:tblGrid>
      <w:tr w:rsidR="00987BCE" w:rsidRPr="00603EF2" w14:paraId="608ADB3C" w14:textId="77777777" w:rsidTr="00EF6821">
        <w:tc>
          <w:tcPr>
            <w:tcW w:w="5940" w:type="dxa"/>
            <w:shd w:val="clear" w:color="auto" w:fill="00B050"/>
            <w:vAlign w:val="center"/>
          </w:tcPr>
          <w:p w14:paraId="1B3F49C7" w14:textId="489D9AE5" w:rsidR="00EF6821" w:rsidRPr="00603EF2" w:rsidRDefault="00EF6821" w:rsidP="00EF6821">
            <w:pPr>
              <w:spacing w:line="360" w:lineRule="auto"/>
              <w:jc w:val="center"/>
              <w:rPr>
                <w:rFonts w:ascii="Arial" w:hAnsi="Arial" w:cs="Arial"/>
              </w:rPr>
            </w:pPr>
            <w:r w:rsidRPr="00603EF2">
              <w:rPr>
                <w:rFonts w:ascii="Arial" w:hAnsi="Arial" w:cs="Arial"/>
                <w:b/>
                <w:bCs/>
              </w:rPr>
              <w:t>Strengths</w:t>
            </w:r>
          </w:p>
        </w:tc>
        <w:tc>
          <w:tcPr>
            <w:tcW w:w="5850" w:type="dxa"/>
            <w:shd w:val="clear" w:color="auto" w:fill="C00000"/>
            <w:vAlign w:val="center"/>
          </w:tcPr>
          <w:p w14:paraId="65FE1C26" w14:textId="614C2A84" w:rsidR="00EF6821" w:rsidRPr="00603EF2" w:rsidRDefault="00EF6821" w:rsidP="00EF6821">
            <w:pPr>
              <w:spacing w:line="360" w:lineRule="auto"/>
              <w:jc w:val="center"/>
              <w:rPr>
                <w:rFonts w:ascii="Arial" w:hAnsi="Arial" w:cs="Arial"/>
              </w:rPr>
            </w:pPr>
            <w:r w:rsidRPr="00603EF2">
              <w:rPr>
                <w:rFonts w:ascii="Arial" w:hAnsi="Arial" w:cs="Arial"/>
                <w:b/>
                <w:bCs/>
              </w:rPr>
              <w:t>Weaknesses</w:t>
            </w:r>
          </w:p>
        </w:tc>
      </w:tr>
      <w:tr w:rsidR="00987BCE" w:rsidRPr="00603EF2" w14:paraId="4FF38A23" w14:textId="77777777" w:rsidTr="00EF6821">
        <w:tc>
          <w:tcPr>
            <w:tcW w:w="5940" w:type="dxa"/>
            <w:vAlign w:val="center"/>
          </w:tcPr>
          <w:p w14:paraId="4A09692F" w14:textId="29F6A0B7" w:rsidR="00EF6821" w:rsidRPr="00603EF2" w:rsidRDefault="00EF6821" w:rsidP="00EF6821">
            <w:pPr>
              <w:spacing w:line="360" w:lineRule="auto"/>
              <w:jc w:val="both"/>
              <w:rPr>
                <w:rFonts w:ascii="Arial" w:hAnsi="Arial" w:cs="Arial"/>
              </w:rPr>
            </w:pPr>
            <w:r w:rsidRPr="00603EF2">
              <w:rPr>
                <w:rFonts w:ascii="Arial" w:hAnsi="Arial" w:cs="Arial"/>
              </w:rPr>
              <w:t>Established NHS framework with defined clinical governance structures</w:t>
            </w:r>
            <w:r w:rsidR="00AB29F4" w:rsidRPr="00603EF2">
              <w:rPr>
                <w:rFonts w:ascii="Arial" w:hAnsi="Arial" w:cs="Arial"/>
              </w:rPr>
              <w:t xml:space="preserve"> (Bradbury, 2022)</w:t>
            </w:r>
          </w:p>
        </w:tc>
        <w:tc>
          <w:tcPr>
            <w:tcW w:w="5850" w:type="dxa"/>
            <w:vAlign w:val="center"/>
          </w:tcPr>
          <w:p w14:paraId="6615087D" w14:textId="6892CE7D" w:rsidR="00EF6821" w:rsidRPr="00603EF2" w:rsidRDefault="00EF6821" w:rsidP="00EF6821">
            <w:pPr>
              <w:spacing w:line="360" w:lineRule="auto"/>
              <w:jc w:val="both"/>
              <w:rPr>
                <w:rFonts w:ascii="Arial" w:hAnsi="Arial" w:cs="Arial"/>
              </w:rPr>
            </w:pPr>
            <w:r w:rsidRPr="00603EF2">
              <w:rPr>
                <w:rFonts w:ascii="Arial" w:hAnsi="Arial" w:cs="Arial"/>
              </w:rPr>
              <w:t>Poor leadership and weak clinical oversight</w:t>
            </w:r>
            <w:r w:rsidR="000F4253" w:rsidRPr="00603EF2">
              <w:rPr>
                <w:rFonts w:ascii="Arial" w:hAnsi="Arial" w:cs="Arial"/>
              </w:rPr>
              <w:t xml:space="preserve"> (Balakumaran, 2024)</w:t>
            </w:r>
          </w:p>
        </w:tc>
      </w:tr>
      <w:tr w:rsidR="00987BCE" w:rsidRPr="00603EF2" w14:paraId="12CE90BB" w14:textId="77777777" w:rsidTr="00EF6821">
        <w:tc>
          <w:tcPr>
            <w:tcW w:w="5940" w:type="dxa"/>
            <w:vAlign w:val="center"/>
          </w:tcPr>
          <w:p w14:paraId="4D073BAD" w14:textId="22890EED" w:rsidR="00EF6821" w:rsidRPr="00603EF2" w:rsidRDefault="00EF6821" w:rsidP="00EF6821">
            <w:pPr>
              <w:spacing w:line="360" w:lineRule="auto"/>
              <w:jc w:val="both"/>
              <w:rPr>
                <w:rFonts w:ascii="Arial" w:hAnsi="Arial" w:cs="Arial"/>
              </w:rPr>
            </w:pPr>
            <w:r w:rsidRPr="00603EF2">
              <w:rPr>
                <w:rFonts w:ascii="Arial" w:hAnsi="Arial" w:cs="Arial"/>
              </w:rPr>
              <w:t>Availability of national policies and quality standards</w:t>
            </w:r>
            <w:r w:rsidR="003E487E" w:rsidRPr="00603EF2">
              <w:rPr>
                <w:rFonts w:ascii="Arial" w:hAnsi="Arial" w:cs="Arial"/>
              </w:rPr>
              <w:t xml:space="preserve"> (Yang et al., 2025)</w:t>
            </w:r>
          </w:p>
        </w:tc>
        <w:tc>
          <w:tcPr>
            <w:tcW w:w="5850" w:type="dxa"/>
            <w:vAlign w:val="center"/>
          </w:tcPr>
          <w:p w14:paraId="29894952" w14:textId="0700920E" w:rsidR="00EF6821" w:rsidRPr="00603EF2" w:rsidRDefault="00EF6821" w:rsidP="00EF6821">
            <w:pPr>
              <w:spacing w:line="360" w:lineRule="auto"/>
              <w:jc w:val="both"/>
              <w:rPr>
                <w:rFonts w:ascii="Arial" w:hAnsi="Arial" w:cs="Arial"/>
              </w:rPr>
            </w:pPr>
            <w:r w:rsidRPr="00603EF2">
              <w:rPr>
                <w:rFonts w:ascii="Arial" w:hAnsi="Arial" w:cs="Arial"/>
              </w:rPr>
              <w:t>Chronic understaffing and resource constraints</w:t>
            </w:r>
            <w:r w:rsidR="003A61F8" w:rsidRPr="00603EF2">
              <w:rPr>
                <w:rFonts w:ascii="Arial" w:hAnsi="Arial" w:cs="Arial"/>
              </w:rPr>
              <w:t xml:space="preserve"> (Ramsey et al., 2022)</w:t>
            </w:r>
          </w:p>
        </w:tc>
      </w:tr>
      <w:tr w:rsidR="00987BCE" w:rsidRPr="00603EF2" w14:paraId="148F5E11" w14:textId="77777777" w:rsidTr="00EF6821">
        <w:tc>
          <w:tcPr>
            <w:tcW w:w="5940" w:type="dxa"/>
            <w:vAlign w:val="center"/>
          </w:tcPr>
          <w:p w14:paraId="1993036B" w14:textId="2AFA0C78" w:rsidR="00EF6821" w:rsidRPr="00603EF2" w:rsidRDefault="00EF6821" w:rsidP="00EF6821">
            <w:pPr>
              <w:spacing w:line="360" w:lineRule="auto"/>
              <w:jc w:val="both"/>
              <w:rPr>
                <w:rFonts w:ascii="Arial" w:hAnsi="Arial" w:cs="Arial"/>
              </w:rPr>
            </w:pPr>
            <w:r w:rsidRPr="00603EF2">
              <w:rPr>
                <w:rFonts w:ascii="Arial" w:hAnsi="Arial" w:cs="Arial"/>
              </w:rPr>
              <w:t>Formal reporting and regulatory systems in place</w:t>
            </w:r>
            <w:r w:rsidR="003E487E" w:rsidRPr="00603EF2">
              <w:rPr>
                <w:rFonts w:ascii="Arial" w:hAnsi="Arial" w:cs="Arial"/>
              </w:rPr>
              <w:t xml:space="preserve"> (Macleod and Hodges, 2022)</w:t>
            </w:r>
          </w:p>
        </w:tc>
        <w:tc>
          <w:tcPr>
            <w:tcW w:w="5850" w:type="dxa"/>
            <w:vAlign w:val="center"/>
          </w:tcPr>
          <w:p w14:paraId="37F6DD2A" w14:textId="38E91B02" w:rsidR="00EF6821" w:rsidRPr="00603EF2" w:rsidRDefault="00EF6821" w:rsidP="00EF6821">
            <w:pPr>
              <w:spacing w:line="360" w:lineRule="auto"/>
              <w:jc w:val="both"/>
              <w:rPr>
                <w:rFonts w:ascii="Arial" w:hAnsi="Arial" w:cs="Arial"/>
              </w:rPr>
            </w:pPr>
            <w:r w:rsidRPr="00603EF2">
              <w:rPr>
                <w:rFonts w:ascii="Arial" w:hAnsi="Arial" w:cs="Arial"/>
              </w:rPr>
              <w:t>Ineffective incident reporting and complaint handling</w:t>
            </w:r>
          </w:p>
        </w:tc>
      </w:tr>
      <w:tr w:rsidR="00987BCE" w:rsidRPr="00603EF2" w14:paraId="016D61FE" w14:textId="77777777" w:rsidTr="00EF6821">
        <w:tc>
          <w:tcPr>
            <w:tcW w:w="5940" w:type="dxa"/>
            <w:vAlign w:val="center"/>
          </w:tcPr>
          <w:p w14:paraId="53FAE2D9" w14:textId="33EF7624" w:rsidR="00EF6821" w:rsidRPr="00603EF2" w:rsidRDefault="00EF6821" w:rsidP="00EF6821">
            <w:pPr>
              <w:spacing w:line="360" w:lineRule="auto"/>
              <w:jc w:val="both"/>
              <w:rPr>
                <w:rFonts w:ascii="Arial" w:hAnsi="Arial" w:cs="Arial"/>
              </w:rPr>
            </w:pPr>
            <w:r w:rsidRPr="00603EF2">
              <w:rPr>
                <w:rFonts w:ascii="Arial" w:hAnsi="Arial" w:cs="Arial"/>
              </w:rPr>
              <w:t>Access to trained healthcare professionals</w:t>
            </w:r>
            <w:r w:rsidR="00CF17C3" w:rsidRPr="00603EF2">
              <w:rPr>
                <w:rFonts w:ascii="Arial" w:hAnsi="Arial" w:cs="Arial"/>
              </w:rPr>
              <w:t xml:space="preserve"> (Karas et al., 2020)</w:t>
            </w:r>
          </w:p>
        </w:tc>
        <w:tc>
          <w:tcPr>
            <w:tcW w:w="5850" w:type="dxa"/>
            <w:vAlign w:val="center"/>
          </w:tcPr>
          <w:p w14:paraId="5ADD936B" w14:textId="5619E154" w:rsidR="00EF6821" w:rsidRPr="00603EF2" w:rsidRDefault="00EF6821" w:rsidP="00EF6821">
            <w:pPr>
              <w:spacing w:line="360" w:lineRule="auto"/>
              <w:jc w:val="both"/>
              <w:rPr>
                <w:rFonts w:ascii="Arial" w:hAnsi="Arial" w:cs="Arial"/>
              </w:rPr>
            </w:pPr>
            <w:r w:rsidRPr="00603EF2">
              <w:rPr>
                <w:rFonts w:ascii="Arial" w:hAnsi="Arial" w:cs="Arial"/>
              </w:rPr>
              <w:t>Organisational culture prioritising targets over patient safety</w:t>
            </w:r>
            <w:r w:rsidR="00BE7D96" w:rsidRPr="00603EF2">
              <w:rPr>
                <w:rFonts w:ascii="Arial" w:hAnsi="Arial" w:cs="Arial"/>
              </w:rPr>
              <w:t xml:space="preserve"> (</w:t>
            </w:r>
            <w:r w:rsidR="00743856" w:rsidRPr="00603EF2">
              <w:rPr>
                <w:rFonts w:ascii="Arial" w:hAnsi="Arial" w:cs="Arial"/>
              </w:rPr>
              <w:t>Chatburn et al., 2018</w:t>
            </w:r>
            <w:r w:rsidR="00BE7D96" w:rsidRPr="00603EF2">
              <w:rPr>
                <w:rFonts w:ascii="Arial" w:hAnsi="Arial" w:cs="Arial"/>
              </w:rPr>
              <w:t>)</w:t>
            </w:r>
          </w:p>
        </w:tc>
      </w:tr>
      <w:tr w:rsidR="00987BCE" w:rsidRPr="00603EF2" w14:paraId="64AE2B6F" w14:textId="77777777" w:rsidTr="00EF6821">
        <w:tc>
          <w:tcPr>
            <w:tcW w:w="5940" w:type="dxa"/>
            <w:shd w:val="clear" w:color="auto" w:fill="00B050"/>
            <w:vAlign w:val="center"/>
          </w:tcPr>
          <w:p w14:paraId="2AD46C2E" w14:textId="0D26BA57" w:rsidR="00EF6821" w:rsidRPr="00603EF2" w:rsidRDefault="00EF6821" w:rsidP="00EF6821">
            <w:pPr>
              <w:spacing w:line="360" w:lineRule="auto"/>
              <w:jc w:val="center"/>
              <w:rPr>
                <w:rFonts w:ascii="Arial" w:hAnsi="Arial" w:cs="Arial"/>
              </w:rPr>
            </w:pPr>
            <w:r w:rsidRPr="00603EF2">
              <w:rPr>
                <w:rFonts w:ascii="Arial" w:hAnsi="Arial" w:cs="Arial"/>
                <w:b/>
                <w:bCs/>
              </w:rPr>
              <w:t>Opportunities</w:t>
            </w:r>
          </w:p>
        </w:tc>
        <w:tc>
          <w:tcPr>
            <w:tcW w:w="5850" w:type="dxa"/>
            <w:shd w:val="clear" w:color="auto" w:fill="C00000"/>
            <w:vAlign w:val="center"/>
          </w:tcPr>
          <w:p w14:paraId="3246E439" w14:textId="21C744D1" w:rsidR="00EF6821" w:rsidRPr="00603EF2" w:rsidRDefault="00EF6821" w:rsidP="00EF6821">
            <w:pPr>
              <w:spacing w:line="360" w:lineRule="auto"/>
              <w:jc w:val="center"/>
              <w:rPr>
                <w:rFonts w:ascii="Arial" w:hAnsi="Arial" w:cs="Arial"/>
              </w:rPr>
            </w:pPr>
            <w:r w:rsidRPr="00603EF2">
              <w:rPr>
                <w:rFonts w:ascii="Arial" w:hAnsi="Arial" w:cs="Arial"/>
                <w:b/>
                <w:bCs/>
              </w:rPr>
              <w:t>Threats</w:t>
            </w:r>
          </w:p>
        </w:tc>
      </w:tr>
      <w:tr w:rsidR="00987BCE" w:rsidRPr="00603EF2" w14:paraId="5481CE82" w14:textId="77777777">
        <w:tc>
          <w:tcPr>
            <w:tcW w:w="5940" w:type="dxa"/>
            <w:vAlign w:val="center"/>
          </w:tcPr>
          <w:p w14:paraId="31AE6311" w14:textId="3C742A04" w:rsidR="00EF6821" w:rsidRPr="00603EF2" w:rsidRDefault="00EF6821" w:rsidP="00EF6821">
            <w:pPr>
              <w:spacing w:line="360" w:lineRule="auto"/>
              <w:jc w:val="both"/>
              <w:rPr>
                <w:rFonts w:ascii="Arial" w:hAnsi="Arial" w:cs="Arial"/>
              </w:rPr>
            </w:pPr>
            <w:r w:rsidRPr="00603EF2">
              <w:rPr>
                <w:rFonts w:ascii="Arial" w:hAnsi="Arial" w:cs="Arial"/>
              </w:rPr>
              <w:lastRenderedPageBreak/>
              <w:t>Policy reforms following the Francis Inquiry to strengthen accountability</w:t>
            </w:r>
            <w:r w:rsidR="00837D83" w:rsidRPr="00603EF2">
              <w:rPr>
                <w:rFonts w:ascii="Arial" w:hAnsi="Arial" w:cs="Arial"/>
              </w:rPr>
              <w:t xml:space="preserve"> (</w:t>
            </w:r>
            <w:r w:rsidR="001548A2" w:rsidRPr="00603EF2">
              <w:rPr>
                <w:rFonts w:ascii="Arial" w:hAnsi="Arial" w:cs="Arial"/>
              </w:rPr>
              <w:t>Ramsey et al., 2022</w:t>
            </w:r>
            <w:r w:rsidR="00837D83" w:rsidRPr="00603EF2">
              <w:rPr>
                <w:rFonts w:ascii="Arial" w:hAnsi="Arial" w:cs="Arial"/>
              </w:rPr>
              <w:t>)</w:t>
            </w:r>
          </w:p>
        </w:tc>
        <w:tc>
          <w:tcPr>
            <w:tcW w:w="5850" w:type="dxa"/>
            <w:vAlign w:val="center"/>
          </w:tcPr>
          <w:p w14:paraId="0A1B4DBC" w14:textId="7E85EAC3" w:rsidR="00EF6821" w:rsidRPr="00603EF2" w:rsidRDefault="00EF6821" w:rsidP="00EF6821">
            <w:pPr>
              <w:spacing w:line="360" w:lineRule="auto"/>
              <w:jc w:val="both"/>
              <w:rPr>
                <w:rFonts w:ascii="Arial" w:hAnsi="Arial" w:cs="Arial"/>
              </w:rPr>
            </w:pPr>
            <w:r w:rsidRPr="00603EF2">
              <w:rPr>
                <w:rFonts w:ascii="Arial" w:hAnsi="Arial" w:cs="Arial"/>
              </w:rPr>
              <w:t>Loss of public trust and reputational damage</w:t>
            </w:r>
            <w:r w:rsidR="00837D83" w:rsidRPr="00603EF2">
              <w:rPr>
                <w:rFonts w:ascii="Arial" w:hAnsi="Arial" w:cs="Arial"/>
              </w:rPr>
              <w:t xml:space="preserve"> (Francis, 2013)</w:t>
            </w:r>
          </w:p>
        </w:tc>
      </w:tr>
      <w:tr w:rsidR="00987BCE" w:rsidRPr="00603EF2" w14:paraId="3120EA1E" w14:textId="77777777">
        <w:tc>
          <w:tcPr>
            <w:tcW w:w="5940" w:type="dxa"/>
            <w:vAlign w:val="center"/>
          </w:tcPr>
          <w:p w14:paraId="6FAE0235" w14:textId="54DE3B30" w:rsidR="00EF6821" w:rsidRPr="00603EF2" w:rsidRDefault="00EF6821" w:rsidP="00EF6821">
            <w:pPr>
              <w:spacing w:line="360" w:lineRule="auto"/>
              <w:jc w:val="both"/>
              <w:rPr>
                <w:rFonts w:ascii="Arial" w:hAnsi="Arial" w:cs="Arial"/>
              </w:rPr>
            </w:pPr>
            <w:r w:rsidRPr="00603EF2">
              <w:rPr>
                <w:rFonts w:ascii="Arial" w:hAnsi="Arial" w:cs="Arial"/>
              </w:rPr>
              <w:t>Implementation of stronger patient safety and quality monitoring systems</w:t>
            </w:r>
            <w:r w:rsidR="00246390" w:rsidRPr="00603EF2">
              <w:rPr>
                <w:rFonts w:ascii="Arial" w:hAnsi="Arial" w:cs="Arial"/>
              </w:rPr>
              <w:t xml:space="preserve"> (</w:t>
            </w:r>
            <w:r w:rsidR="0079798B" w:rsidRPr="00603EF2">
              <w:rPr>
                <w:rFonts w:ascii="Arial" w:hAnsi="Arial" w:cs="Arial"/>
              </w:rPr>
              <w:t>Smith</w:t>
            </w:r>
            <w:r w:rsidR="009179E7" w:rsidRPr="00603EF2">
              <w:rPr>
                <w:rFonts w:ascii="Arial" w:hAnsi="Arial" w:cs="Arial"/>
              </w:rPr>
              <w:t xml:space="preserve"> </w:t>
            </w:r>
            <w:r w:rsidR="00743856" w:rsidRPr="00603EF2">
              <w:rPr>
                <w:rFonts w:ascii="Arial" w:hAnsi="Arial" w:cs="Arial"/>
              </w:rPr>
              <w:t xml:space="preserve">and </w:t>
            </w:r>
            <w:r w:rsidR="0079798B" w:rsidRPr="00603EF2">
              <w:rPr>
                <w:rFonts w:ascii="Arial" w:hAnsi="Arial" w:cs="Arial"/>
              </w:rPr>
              <w:t>Chambers</w:t>
            </w:r>
            <w:r w:rsidR="009179E7" w:rsidRPr="00603EF2">
              <w:rPr>
                <w:rFonts w:ascii="Arial" w:hAnsi="Arial" w:cs="Arial"/>
              </w:rPr>
              <w:t>, 2019</w:t>
            </w:r>
            <w:r w:rsidR="00246390" w:rsidRPr="00603EF2">
              <w:rPr>
                <w:rFonts w:ascii="Arial" w:hAnsi="Arial" w:cs="Arial"/>
              </w:rPr>
              <w:t>)</w:t>
            </w:r>
          </w:p>
        </w:tc>
        <w:tc>
          <w:tcPr>
            <w:tcW w:w="5850" w:type="dxa"/>
            <w:vAlign w:val="center"/>
          </w:tcPr>
          <w:p w14:paraId="0197A1A5" w14:textId="3FC6844E" w:rsidR="00EF6821" w:rsidRPr="00603EF2" w:rsidRDefault="00EF6821" w:rsidP="00EF6821">
            <w:pPr>
              <w:spacing w:line="360" w:lineRule="auto"/>
              <w:jc w:val="both"/>
              <w:rPr>
                <w:rFonts w:ascii="Arial" w:hAnsi="Arial" w:cs="Arial"/>
              </w:rPr>
            </w:pPr>
            <w:r w:rsidRPr="00603EF2">
              <w:rPr>
                <w:rFonts w:ascii="Arial" w:hAnsi="Arial" w:cs="Arial"/>
              </w:rPr>
              <w:t>Regulatory failures and delayed intervention</w:t>
            </w:r>
            <w:r w:rsidR="00246390" w:rsidRPr="00603EF2">
              <w:rPr>
                <w:rFonts w:ascii="Arial" w:hAnsi="Arial" w:cs="Arial"/>
              </w:rPr>
              <w:t xml:space="preserve"> (</w:t>
            </w:r>
            <w:r w:rsidR="0079798B" w:rsidRPr="00603EF2">
              <w:rPr>
                <w:rFonts w:ascii="Arial" w:hAnsi="Arial" w:cs="Arial"/>
              </w:rPr>
              <w:t>Petrillo</w:t>
            </w:r>
            <w:r w:rsidR="00246390" w:rsidRPr="00603EF2">
              <w:rPr>
                <w:rFonts w:ascii="Arial" w:hAnsi="Arial" w:cs="Arial"/>
              </w:rPr>
              <w:t xml:space="preserve"> et al., 2017)</w:t>
            </w:r>
          </w:p>
        </w:tc>
      </w:tr>
      <w:tr w:rsidR="00987BCE" w:rsidRPr="00603EF2" w14:paraId="0BCFCD56" w14:textId="77777777">
        <w:tc>
          <w:tcPr>
            <w:tcW w:w="5940" w:type="dxa"/>
            <w:vAlign w:val="center"/>
          </w:tcPr>
          <w:p w14:paraId="588F7584" w14:textId="304B1314" w:rsidR="00EF6821" w:rsidRPr="00603EF2" w:rsidRDefault="00EF6821" w:rsidP="00EF6821">
            <w:pPr>
              <w:spacing w:line="360" w:lineRule="auto"/>
              <w:jc w:val="both"/>
              <w:rPr>
                <w:rFonts w:ascii="Arial" w:hAnsi="Arial" w:cs="Arial"/>
              </w:rPr>
            </w:pPr>
            <w:r w:rsidRPr="00603EF2">
              <w:rPr>
                <w:rFonts w:ascii="Arial" w:hAnsi="Arial" w:cs="Arial"/>
              </w:rPr>
              <w:t>Staff training and leadership development programmes</w:t>
            </w:r>
            <w:r w:rsidR="00246390" w:rsidRPr="00603EF2">
              <w:rPr>
                <w:rFonts w:ascii="Arial" w:hAnsi="Arial" w:cs="Arial"/>
              </w:rPr>
              <w:t xml:space="preserve"> (</w:t>
            </w:r>
            <w:r w:rsidR="009179E7" w:rsidRPr="00603EF2">
              <w:rPr>
                <w:rFonts w:ascii="Arial" w:hAnsi="Arial" w:cs="Arial"/>
              </w:rPr>
              <w:t>McCormack et al., 2021</w:t>
            </w:r>
            <w:r w:rsidR="00246390" w:rsidRPr="00603EF2">
              <w:rPr>
                <w:rFonts w:ascii="Arial" w:hAnsi="Arial" w:cs="Arial"/>
              </w:rPr>
              <w:t>)</w:t>
            </w:r>
          </w:p>
        </w:tc>
        <w:tc>
          <w:tcPr>
            <w:tcW w:w="5850" w:type="dxa"/>
            <w:vAlign w:val="center"/>
          </w:tcPr>
          <w:p w14:paraId="129C28A4" w14:textId="4A1255D8" w:rsidR="00EF6821" w:rsidRPr="00603EF2" w:rsidRDefault="00EF6821" w:rsidP="00EF6821">
            <w:pPr>
              <w:spacing w:line="360" w:lineRule="auto"/>
              <w:jc w:val="both"/>
              <w:rPr>
                <w:rFonts w:ascii="Arial" w:hAnsi="Arial" w:cs="Arial"/>
              </w:rPr>
            </w:pPr>
            <w:r w:rsidRPr="00603EF2">
              <w:rPr>
                <w:rFonts w:ascii="Arial" w:hAnsi="Arial" w:cs="Arial"/>
              </w:rPr>
              <w:t>Resistance to organisational change</w:t>
            </w:r>
            <w:r w:rsidR="001548A2" w:rsidRPr="00603EF2">
              <w:rPr>
                <w:rFonts w:ascii="Arial" w:hAnsi="Arial" w:cs="Arial"/>
              </w:rPr>
              <w:t xml:space="preserve"> (Ramsey et al., 2022)</w:t>
            </w:r>
          </w:p>
        </w:tc>
      </w:tr>
      <w:tr w:rsidR="00987BCE" w:rsidRPr="00603EF2" w14:paraId="7C83D1C1" w14:textId="77777777">
        <w:tc>
          <w:tcPr>
            <w:tcW w:w="5940" w:type="dxa"/>
            <w:vAlign w:val="center"/>
          </w:tcPr>
          <w:p w14:paraId="18120B64" w14:textId="2416A6EF" w:rsidR="00EF6821" w:rsidRPr="00603EF2" w:rsidRDefault="00EF6821" w:rsidP="00EF6821">
            <w:pPr>
              <w:spacing w:line="360" w:lineRule="auto"/>
              <w:jc w:val="both"/>
              <w:rPr>
                <w:rFonts w:ascii="Arial" w:hAnsi="Arial" w:cs="Arial"/>
              </w:rPr>
            </w:pPr>
            <w:r w:rsidRPr="00603EF2">
              <w:rPr>
                <w:rFonts w:ascii="Arial" w:hAnsi="Arial" w:cs="Arial"/>
              </w:rPr>
              <w:t>Adoption of quality improvement frameworks (</w:t>
            </w:r>
            <w:r w:rsidR="00585A0C" w:rsidRPr="00603EF2">
              <w:rPr>
                <w:rFonts w:ascii="Arial" w:hAnsi="Arial" w:cs="Arial"/>
              </w:rPr>
              <w:t>Bradbury, 2022</w:t>
            </w:r>
            <w:r w:rsidRPr="00603EF2">
              <w:rPr>
                <w:rFonts w:ascii="Arial" w:hAnsi="Arial" w:cs="Arial"/>
              </w:rPr>
              <w:t>)</w:t>
            </w:r>
          </w:p>
        </w:tc>
        <w:tc>
          <w:tcPr>
            <w:tcW w:w="5850" w:type="dxa"/>
            <w:vAlign w:val="center"/>
          </w:tcPr>
          <w:p w14:paraId="074BA84A" w14:textId="27CE4F5D" w:rsidR="00EF6821" w:rsidRPr="00603EF2" w:rsidRDefault="00EF6821" w:rsidP="00EF6821">
            <w:pPr>
              <w:spacing w:line="360" w:lineRule="auto"/>
              <w:jc w:val="both"/>
              <w:rPr>
                <w:rFonts w:ascii="Arial" w:hAnsi="Arial" w:cs="Arial"/>
              </w:rPr>
            </w:pPr>
            <w:r w:rsidRPr="00603EF2">
              <w:rPr>
                <w:rFonts w:ascii="Arial" w:hAnsi="Arial" w:cs="Arial"/>
              </w:rPr>
              <w:t>Increasing demand on healthcare services</w:t>
            </w:r>
            <w:r w:rsidR="001548A2" w:rsidRPr="00603EF2">
              <w:rPr>
                <w:rFonts w:ascii="Arial" w:hAnsi="Arial" w:cs="Arial"/>
              </w:rPr>
              <w:t xml:space="preserve"> (Karas et al., 2020)</w:t>
            </w:r>
          </w:p>
        </w:tc>
      </w:tr>
    </w:tbl>
    <w:p w14:paraId="2A35B0F7" w14:textId="56451151" w:rsidR="00C167AF" w:rsidRPr="00603EF2" w:rsidRDefault="00C167AF" w:rsidP="00C167AF">
      <w:pPr>
        <w:spacing w:line="360" w:lineRule="auto"/>
        <w:jc w:val="both"/>
        <w:rPr>
          <w:rFonts w:ascii="Arial" w:hAnsi="Arial" w:cs="Arial"/>
        </w:rPr>
      </w:pPr>
    </w:p>
    <w:p w14:paraId="2CCBD46B" w14:textId="0C197119" w:rsidR="00A63F8D" w:rsidRPr="00603EF2" w:rsidRDefault="00385FCE" w:rsidP="002528E0">
      <w:pPr>
        <w:pStyle w:val="Heading1"/>
        <w:spacing w:line="360" w:lineRule="auto"/>
        <w:rPr>
          <w:rFonts w:ascii="Arial" w:hAnsi="Arial" w:cs="Arial"/>
          <w:b/>
          <w:bCs/>
          <w:color w:val="auto"/>
          <w:sz w:val="22"/>
          <w:szCs w:val="22"/>
        </w:rPr>
      </w:pPr>
      <w:bookmarkStart w:id="8" w:name="_Toc227665935"/>
      <w:r w:rsidRPr="00603EF2">
        <w:rPr>
          <w:rFonts w:ascii="Arial" w:hAnsi="Arial" w:cs="Arial"/>
          <w:b/>
          <w:bCs/>
          <w:color w:val="auto"/>
          <w:sz w:val="22"/>
          <w:szCs w:val="22"/>
        </w:rPr>
        <w:t xml:space="preserve">3.0 </w:t>
      </w:r>
      <w:r w:rsidR="000E19E6" w:rsidRPr="00603EF2">
        <w:rPr>
          <w:rFonts w:ascii="Arial" w:hAnsi="Arial" w:cs="Arial"/>
          <w:b/>
          <w:bCs/>
          <w:color w:val="auto"/>
          <w:sz w:val="22"/>
          <w:szCs w:val="22"/>
        </w:rPr>
        <w:t>Recommendations</w:t>
      </w:r>
      <w:bookmarkEnd w:id="8"/>
    </w:p>
    <w:p w14:paraId="43E68C1F" w14:textId="2A219BEB" w:rsidR="001F54C2" w:rsidRPr="00603EF2" w:rsidRDefault="00094D8A" w:rsidP="002528E0">
      <w:pPr>
        <w:spacing w:line="360" w:lineRule="auto"/>
        <w:jc w:val="both"/>
        <w:rPr>
          <w:rFonts w:ascii="Arial" w:hAnsi="Arial" w:cs="Arial"/>
        </w:rPr>
      </w:pPr>
      <w:r w:rsidRPr="00603EF2">
        <w:rPr>
          <w:rFonts w:ascii="Arial" w:hAnsi="Arial" w:cs="Arial"/>
        </w:rPr>
        <w:t>The following recommendations are directly correlated to the systemic failure that was observed in the Mid Staffordshire NHS Foundation Trust scandal, namely, the shortcomings in the staffing, misleadership, ineffective reporting, and poor organisational culture. It focuses on practical and sustainable interventions that have the potential to enhance patient safety and service quality.</w:t>
      </w:r>
    </w:p>
    <w:p w14:paraId="352A3309" w14:textId="77777777" w:rsidR="00385FCE" w:rsidRPr="00603EF2" w:rsidRDefault="00385FCE" w:rsidP="002528E0">
      <w:pPr>
        <w:pStyle w:val="Heading2"/>
        <w:spacing w:line="360" w:lineRule="auto"/>
        <w:rPr>
          <w:rFonts w:ascii="Arial" w:hAnsi="Arial" w:cs="Arial"/>
          <w:b/>
          <w:bCs/>
          <w:color w:val="auto"/>
          <w:sz w:val="22"/>
          <w:szCs w:val="22"/>
        </w:rPr>
      </w:pPr>
      <w:bookmarkStart w:id="9" w:name="_Toc227665936"/>
      <w:r w:rsidRPr="00603EF2">
        <w:rPr>
          <w:rFonts w:ascii="Arial" w:hAnsi="Arial" w:cs="Arial"/>
          <w:b/>
          <w:bCs/>
          <w:color w:val="auto"/>
          <w:sz w:val="22"/>
          <w:szCs w:val="22"/>
        </w:rPr>
        <w:t>3.1 Strengthening Staffing and Workforce Planning</w:t>
      </w:r>
      <w:bookmarkEnd w:id="9"/>
    </w:p>
    <w:p w14:paraId="2EF4A967" w14:textId="660F28F3" w:rsidR="00385FCE" w:rsidRPr="00603EF2" w:rsidRDefault="00F842BC" w:rsidP="002528E0">
      <w:pPr>
        <w:spacing w:line="360" w:lineRule="auto"/>
        <w:jc w:val="both"/>
        <w:rPr>
          <w:rFonts w:ascii="Arial" w:hAnsi="Arial" w:cs="Arial"/>
        </w:rPr>
      </w:pPr>
      <w:r w:rsidRPr="00603EF2">
        <w:rPr>
          <w:rFonts w:ascii="Arial" w:hAnsi="Arial" w:cs="Arial"/>
        </w:rPr>
        <w:t xml:space="preserve">The shortage of staff shortages </w:t>
      </w:r>
      <w:r w:rsidR="002528E0" w:rsidRPr="00603EF2">
        <w:rPr>
          <w:rFonts w:ascii="Arial" w:hAnsi="Arial" w:cs="Arial"/>
        </w:rPr>
        <w:t>is</w:t>
      </w:r>
      <w:r w:rsidRPr="00603EF2">
        <w:rPr>
          <w:rFonts w:ascii="Arial" w:hAnsi="Arial" w:cs="Arial"/>
        </w:rPr>
        <w:t xml:space="preserve"> some of the issues that need to be addressed to enhance the quality of care. Healthcare organisations must have evidence-based workforce planning systems that match the level of staffing with the level of patient acuity and demand of the services. Griffiths et al. (2018) reveal that poor nurse staffing is closely linked to patient deaths and care omissions. Thus, institutionalisation of routine workforce audits should be introduced to determine the gaps, whereas minimum safe staffing levels should be implemented in all clinical units. Moreover, the staff wellbeing programmes and workloads management are important retention strategies that allow reducing burnout and ensuring the stability of the workforce</w:t>
      </w:r>
      <w:r w:rsidR="00385FCE" w:rsidRPr="00603EF2">
        <w:rPr>
          <w:rFonts w:ascii="Arial" w:hAnsi="Arial" w:cs="Arial"/>
        </w:rPr>
        <w:t>.</w:t>
      </w:r>
    </w:p>
    <w:p w14:paraId="7B1392AE" w14:textId="77777777" w:rsidR="00385FCE" w:rsidRPr="00603EF2" w:rsidRDefault="00385FCE" w:rsidP="002528E0">
      <w:pPr>
        <w:pStyle w:val="Heading2"/>
        <w:spacing w:line="360" w:lineRule="auto"/>
        <w:rPr>
          <w:rFonts w:ascii="Arial" w:hAnsi="Arial" w:cs="Arial"/>
          <w:b/>
          <w:bCs/>
          <w:color w:val="auto"/>
          <w:sz w:val="22"/>
          <w:szCs w:val="22"/>
        </w:rPr>
      </w:pPr>
      <w:bookmarkStart w:id="10" w:name="_Toc227665937"/>
      <w:r w:rsidRPr="00603EF2">
        <w:rPr>
          <w:rFonts w:ascii="Arial" w:hAnsi="Arial" w:cs="Arial"/>
          <w:b/>
          <w:bCs/>
          <w:color w:val="auto"/>
          <w:sz w:val="22"/>
          <w:szCs w:val="22"/>
        </w:rPr>
        <w:t>3.2 Enhancing Leadership and Clinical Governance</w:t>
      </w:r>
      <w:bookmarkEnd w:id="10"/>
    </w:p>
    <w:p w14:paraId="38EF1B3E" w14:textId="6C8C3657" w:rsidR="00385FCE" w:rsidRPr="00603EF2" w:rsidRDefault="00F842BC" w:rsidP="002528E0">
      <w:pPr>
        <w:spacing w:line="360" w:lineRule="auto"/>
        <w:jc w:val="both"/>
        <w:rPr>
          <w:rFonts w:ascii="Arial" w:hAnsi="Arial" w:cs="Arial"/>
        </w:rPr>
      </w:pPr>
      <w:r w:rsidRPr="00603EF2">
        <w:rPr>
          <w:rFonts w:ascii="Arial" w:hAnsi="Arial" w:cs="Arial"/>
        </w:rPr>
        <w:t>Developing leadership ability is very essential in accountability and quality control. Organisational structures should incorporate leadership development programmes that would prepare managers with patient safety, communication, and decision-making competencies. West et al. (2015) state that a culture of openness and continuous improvement developed through effective leadership is the key to quality care delivery. The governance structures also should be enhanced through the incorporation of frequent performance reviews, safety audits, and accountability lines of reporting such that preserving patient safety is highly placed as an organisational goal</w:t>
      </w:r>
      <w:r w:rsidR="00385FCE" w:rsidRPr="00603EF2">
        <w:rPr>
          <w:rFonts w:ascii="Arial" w:hAnsi="Arial" w:cs="Arial"/>
        </w:rPr>
        <w:t>.</w:t>
      </w:r>
    </w:p>
    <w:p w14:paraId="47F4E114" w14:textId="77777777" w:rsidR="00385FCE" w:rsidRPr="00603EF2" w:rsidRDefault="00385FCE" w:rsidP="002528E0">
      <w:pPr>
        <w:pStyle w:val="Heading2"/>
        <w:spacing w:line="360" w:lineRule="auto"/>
        <w:rPr>
          <w:rFonts w:ascii="Arial" w:hAnsi="Arial" w:cs="Arial"/>
          <w:b/>
          <w:bCs/>
          <w:color w:val="auto"/>
          <w:sz w:val="22"/>
          <w:szCs w:val="22"/>
        </w:rPr>
      </w:pPr>
      <w:bookmarkStart w:id="11" w:name="_Toc227665938"/>
      <w:r w:rsidRPr="00603EF2">
        <w:rPr>
          <w:rFonts w:ascii="Arial" w:hAnsi="Arial" w:cs="Arial"/>
          <w:b/>
          <w:bCs/>
          <w:color w:val="auto"/>
          <w:sz w:val="22"/>
          <w:szCs w:val="22"/>
        </w:rPr>
        <w:lastRenderedPageBreak/>
        <w:t>3.3 Improving Incident Reporting and Organisational Learning</w:t>
      </w:r>
      <w:bookmarkEnd w:id="11"/>
    </w:p>
    <w:p w14:paraId="186BA804" w14:textId="79E88E94" w:rsidR="00385FCE" w:rsidRPr="00603EF2" w:rsidRDefault="00F842BC" w:rsidP="002528E0">
      <w:pPr>
        <w:spacing w:line="360" w:lineRule="auto"/>
        <w:jc w:val="both"/>
        <w:rPr>
          <w:rFonts w:ascii="Arial" w:hAnsi="Arial" w:cs="Arial"/>
        </w:rPr>
      </w:pPr>
      <w:r w:rsidRPr="00603EF2">
        <w:rPr>
          <w:rFonts w:ascii="Arial" w:hAnsi="Arial" w:cs="Arial"/>
        </w:rPr>
        <w:t>It is important to develop a clear and non-punitive system of reporting incidents to detect the risk and avoid the same adverse events in the future. According to the World Health Organization (20</w:t>
      </w:r>
      <w:r w:rsidR="00D47650" w:rsidRPr="00603EF2">
        <w:rPr>
          <w:rFonts w:ascii="Arial" w:hAnsi="Arial" w:cs="Arial"/>
        </w:rPr>
        <w:t>20</w:t>
      </w:r>
      <w:r w:rsidRPr="00603EF2">
        <w:rPr>
          <w:rFonts w:ascii="Arial" w:hAnsi="Arial" w:cs="Arial"/>
        </w:rPr>
        <w:t>), one of the principles of patient safety improvement is having an effective system of reporting. Healthcare organisations ought to use digital reporting systems that can enable the anonymous submission of reports, hence motivate the staff to report issues without the fear of punishment. Moreover, the reported incidents should be systematically analysed, and the findings should be shared with the staff to facilitate learning and improvement within the organisation</w:t>
      </w:r>
      <w:r w:rsidR="00385FCE" w:rsidRPr="00603EF2">
        <w:rPr>
          <w:rFonts w:ascii="Arial" w:hAnsi="Arial" w:cs="Arial"/>
        </w:rPr>
        <w:t>.</w:t>
      </w:r>
    </w:p>
    <w:p w14:paraId="75195C92" w14:textId="77777777" w:rsidR="00385FCE" w:rsidRPr="00603EF2" w:rsidRDefault="00385FCE" w:rsidP="002528E0">
      <w:pPr>
        <w:pStyle w:val="Heading2"/>
        <w:spacing w:line="360" w:lineRule="auto"/>
        <w:rPr>
          <w:rFonts w:ascii="Arial" w:hAnsi="Arial" w:cs="Arial"/>
          <w:b/>
          <w:bCs/>
          <w:color w:val="auto"/>
          <w:sz w:val="22"/>
          <w:szCs w:val="22"/>
        </w:rPr>
      </w:pPr>
      <w:bookmarkStart w:id="12" w:name="_Toc227665939"/>
      <w:r w:rsidRPr="00603EF2">
        <w:rPr>
          <w:rFonts w:ascii="Arial" w:hAnsi="Arial" w:cs="Arial"/>
          <w:b/>
          <w:bCs/>
          <w:color w:val="auto"/>
          <w:sz w:val="22"/>
          <w:szCs w:val="22"/>
        </w:rPr>
        <w:t>3.4 Embedding a Patient-Centred Care Culture</w:t>
      </w:r>
      <w:bookmarkEnd w:id="12"/>
    </w:p>
    <w:p w14:paraId="690132F0" w14:textId="2C1E6CAE" w:rsidR="00385FCE" w:rsidRPr="00603EF2" w:rsidRDefault="00C85B63" w:rsidP="002528E0">
      <w:pPr>
        <w:spacing w:line="360" w:lineRule="auto"/>
        <w:jc w:val="both"/>
        <w:rPr>
          <w:rFonts w:ascii="Arial" w:hAnsi="Arial" w:cs="Arial"/>
        </w:rPr>
      </w:pPr>
      <w:r w:rsidRPr="00603EF2">
        <w:rPr>
          <w:rFonts w:ascii="Arial" w:hAnsi="Arial" w:cs="Arial"/>
        </w:rPr>
        <w:t xml:space="preserve">Patient-centred care has to shift the organisational culture, which will take a long process. This includes putting the patient with dignity, engagement and communication at the forefront of service delivery. According to Coulter </w:t>
      </w:r>
      <w:r w:rsidR="00D47650" w:rsidRPr="00603EF2">
        <w:rPr>
          <w:rFonts w:ascii="Arial" w:hAnsi="Arial" w:cs="Arial"/>
        </w:rPr>
        <w:t>and Oldham</w:t>
      </w:r>
      <w:r w:rsidR="00D47650" w:rsidRPr="00603EF2">
        <w:rPr>
          <w:rFonts w:ascii="Arial" w:hAnsi="Arial" w:cs="Arial"/>
        </w:rPr>
        <w:t xml:space="preserve"> (</w:t>
      </w:r>
      <w:r w:rsidR="00D47650" w:rsidRPr="00603EF2">
        <w:rPr>
          <w:rFonts w:ascii="Arial" w:hAnsi="Arial" w:cs="Arial"/>
        </w:rPr>
        <w:t>2016</w:t>
      </w:r>
      <w:r w:rsidRPr="00603EF2">
        <w:rPr>
          <w:rFonts w:ascii="Arial" w:hAnsi="Arial" w:cs="Arial"/>
        </w:rPr>
        <w:t>), patient-centred approaches enhance the level of satisfaction as well as clinical outcomes. To do this, there should be a system of patient feedback to performance evaluation systems which would guarantee service users take an active part in quality improvement processes. The leadership should also strengthen values that support compassion, transparency, and accountability at all organisational levels</w:t>
      </w:r>
      <w:r w:rsidR="00385FCE" w:rsidRPr="00603EF2">
        <w:rPr>
          <w:rFonts w:ascii="Arial" w:hAnsi="Arial" w:cs="Arial"/>
        </w:rPr>
        <w:t>.</w:t>
      </w:r>
    </w:p>
    <w:p w14:paraId="4BC4A17A" w14:textId="77777777" w:rsidR="00385FCE" w:rsidRPr="00603EF2" w:rsidRDefault="00385FCE" w:rsidP="002528E0">
      <w:pPr>
        <w:pStyle w:val="Heading2"/>
        <w:spacing w:line="360" w:lineRule="auto"/>
        <w:rPr>
          <w:rFonts w:ascii="Arial" w:hAnsi="Arial" w:cs="Arial"/>
          <w:b/>
          <w:bCs/>
          <w:color w:val="auto"/>
          <w:sz w:val="22"/>
          <w:szCs w:val="22"/>
        </w:rPr>
      </w:pPr>
      <w:bookmarkStart w:id="13" w:name="_Toc227665940"/>
      <w:r w:rsidRPr="00603EF2">
        <w:rPr>
          <w:rFonts w:ascii="Arial" w:hAnsi="Arial" w:cs="Arial"/>
          <w:b/>
          <w:bCs/>
          <w:color w:val="auto"/>
          <w:sz w:val="22"/>
          <w:szCs w:val="22"/>
        </w:rPr>
        <w:t>3.5 Implementation Using PDSA Cycle</w:t>
      </w:r>
      <w:bookmarkEnd w:id="13"/>
    </w:p>
    <w:p w14:paraId="3584A61A" w14:textId="42691465" w:rsidR="006A7E55" w:rsidRPr="00603EF2" w:rsidRDefault="00C85B63" w:rsidP="002528E0">
      <w:pPr>
        <w:spacing w:line="360" w:lineRule="auto"/>
        <w:jc w:val="both"/>
        <w:rPr>
          <w:rFonts w:ascii="Arial" w:hAnsi="Arial" w:cs="Arial"/>
        </w:rPr>
      </w:pPr>
      <w:r w:rsidRPr="00603EF2">
        <w:rPr>
          <w:rFonts w:ascii="Arial" w:hAnsi="Arial" w:cs="Arial"/>
        </w:rPr>
        <w:t>These recommendations can be successfully organi</w:t>
      </w:r>
      <w:r w:rsidR="002230F4" w:rsidRPr="00603EF2">
        <w:rPr>
          <w:rFonts w:ascii="Arial" w:hAnsi="Arial" w:cs="Arial"/>
        </w:rPr>
        <w:t>s</w:t>
      </w:r>
      <w:r w:rsidRPr="00603EF2">
        <w:rPr>
          <w:rFonts w:ascii="Arial" w:hAnsi="Arial" w:cs="Arial"/>
        </w:rPr>
        <w:t>ed with the help of PDSA</w:t>
      </w:r>
      <w:r w:rsidR="002230F4" w:rsidRPr="00603EF2">
        <w:rPr>
          <w:rFonts w:ascii="Arial" w:hAnsi="Arial" w:cs="Arial"/>
        </w:rPr>
        <w:t xml:space="preserve"> (</w:t>
      </w:r>
      <w:r w:rsidR="002230F4" w:rsidRPr="00603EF2">
        <w:rPr>
          <w:rFonts w:ascii="Arial" w:hAnsi="Arial" w:cs="Arial"/>
        </w:rPr>
        <w:t>Plan-do-study-act</w:t>
      </w:r>
      <w:r w:rsidR="002230F4" w:rsidRPr="00603EF2">
        <w:rPr>
          <w:rFonts w:ascii="Arial" w:hAnsi="Arial" w:cs="Arial"/>
        </w:rPr>
        <w:t>)</w:t>
      </w:r>
      <w:r w:rsidRPr="00603EF2">
        <w:rPr>
          <w:rFonts w:ascii="Arial" w:hAnsi="Arial" w:cs="Arial"/>
        </w:rPr>
        <w:t xml:space="preserve"> Cycle (as in table 2 below) that facilitates continuous improvement and repeated testing. As it is mentioned by</w:t>
      </w:r>
      <w:r w:rsidR="002230F4" w:rsidRPr="00603EF2">
        <w:rPr>
          <w:rFonts w:ascii="Arial" w:hAnsi="Arial" w:cs="Arial"/>
        </w:rPr>
        <w:t xml:space="preserve"> </w:t>
      </w:r>
      <w:r w:rsidR="002230F4" w:rsidRPr="00603EF2">
        <w:rPr>
          <w:rFonts w:ascii="Arial" w:hAnsi="Arial" w:cs="Arial"/>
        </w:rPr>
        <w:t xml:space="preserve">Knudsen et al. </w:t>
      </w:r>
      <w:r w:rsidR="002230F4" w:rsidRPr="00603EF2">
        <w:rPr>
          <w:rFonts w:ascii="Arial" w:hAnsi="Arial" w:cs="Arial"/>
        </w:rPr>
        <w:t>(</w:t>
      </w:r>
      <w:r w:rsidR="002230F4" w:rsidRPr="00603EF2">
        <w:rPr>
          <w:rFonts w:ascii="Arial" w:hAnsi="Arial" w:cs="Arial"/>
        </w:rPr>
        <w:t>2019)</w:t>
      </w:r>
      <w:r w:rsidR="002230F4" w:rsidRPr="00603EF2">
        <w:rPr>
          <w:rFonts w:ascii="Arial" w:hAnsi="Arial" w:cs="Arial"/>
        </w:rPr>
        <w:t xml:space="preserve">, </w:t>
      </w:r>
      <w:r w:rsidRPr="00603EF2">
        <w:rPr>
          <w:rFonts w:ascii="Arial" w:hAnsi="Arial" w:cs="Arial"/>
        </w:rPr>
        <w:t>the iterative character of the PDSA cycle enables organisations to improve interventions in accordance with the real-time feedback to increase sustainability</w:t>
      </w:r>
      <w:r w:rsidR="00F2421A" w:rsidRPr="00603EF2">
        <w:rPr>
          <w:rFonts w:ascii="Arial" w:hAnsi="Arial" w:cs="Arial"/>
        </w:rPr>
        <w:t>.</w:t>
      </w:r>
    </w:p>
    <w:p w14:paraId="5173A275" w14:textId="07274D14" w:rsidR="00385FCE" w:rsidRPr="00603EF2" w:rsidRDefault="00F2421A" w:rsidP="00385FCE">
      <w:pPr>
        <w:spacing w:line="360" w:lineRule="auto"/>
        <w:jc w:val="both"/>
        <w:rPr>
          <w:rFonts w:ascii="Arial" w:hAnsi="Arial" w:cs="Arial"/>
        </w:rPr>
      </w:pPr>
      <w:r w:rsidRPr="00603EF2">
        <w:rPr>
          <w:rFonts w:ascii="Arial" w:hAnsi="Arial" w:cs="Arial"/>
        </w:rPr>
        <w:t>Table 2: PDSA Cycle Implementation</w:t>
      </w:r>
    </w:p>
    <w:tbl>
      <w:tblPr>
        <w:tblStyle w:val="TableGrid"/>
        <w:tblW w:w="0" w:type="auto"/>
        <w:tblInd w:w="-1175" w:type="dxa"/>
        <w:tblLook w:val="04A0" w:firstRow="1" w:lastRow="0" w:firstColumn="1" w:lastColumn="0" w:noHBand="0" w:noVBand="1"/>
      </w:tblPr>
      <w:tblGrid>
        <w:gridCol w:w="2610"/>
        <w:gridCol w:w="7915"/>
      </w:tblGrid>
      <w:tr w:rsidR="00987BCE" w:rsidRPr="00603EF2" w14:paraId="67293F0D" w14:textId="77777777" w:rsidTr="00385FCE">
        <w:tc>
          <w:tcPr>
            <w:tcW w:w="2610" w:type="dxa"/>
            <w:vAlign w:val="center"/>
          </w:tcPr>
          <w:p w14:paraId="0812E261" w14:textId="6647A41E" w:rsidR="00385FCE" w:rsidRPr="00603EF2" w:rsidRDefault="00385FCE" w:rsidP="00385FCE">
            <w:pPr>
              <w:spacing w:line="360" w:lineRule="auto"/>
              <w:jc w:val="center"/>
              <w:rPr>
                <w:rFonts w:ascii="Arial" w:hAnsi="Arial" w:cs="Arial"/>
              </w:rPr>
            </w:pPr>
            <w:r w:rsidRPr="00603EF2">
              <w:rPr>
                <w:rFonts w:ascii="Arial" w:hAnsi="Arial" w:cs="Arial"/>
                <w:b/>
                <w:bCs/>
              </w:rPr>
              <w:t>Stage</w:t>
            </w:r>
          </w:p>
        </w:tc>
        <w:tc>
          <w:tcPr>
            <w:tcW w:w="7915" w:type="dxa"/>
            <w:vAlign w:val="center"/>
          </w:tcPr>
          <w:p w14:paraId="57836792" w14:textId="65700670" w:rsidR="00385FCE" w:rsidRPr="00603EF2" w:rsidRDefault="00385FCE" w:rsidP="00385FCE">
            <w:pPr>
              <w:spacing w:line="360" w:lineRule="auto"/>
              <w:jc w:val="center"/>
              <w:rPr>
                <w:rFonts w:ascii="Arial" w:hAnsi="Arial" w:cs="Arial"/>
              </w:rPr>
            </w:pPr>
            <w:r w:rsidRPr="00603EF2">
              <w:rPr>
                <w:rFonts w:ascii="Arial" w:hAnsi="Arial" w:cs="Arial"/>
                <w:b/>
                <w:bCs/>
              </w:rPr>
              <w:t>Application to the Case</w:t>
            </w:r>
          </w:p>
        </w:tc>
      </w:tr>
      <w:tr w:rsidR="00987BCE" w:rsidRPr="00603EF2" w14:paraId="182F0520" w14:textId="77777777" w:rsidTr="00FD0B47">
        <w:tc>
          <w:tcPr>
            <w:tcW w:w="2610" w:type="dxa"/>
            <w:shd w:val="clear" w:color="auto" w:fill="0070C0"/>
            <w:vAlign w:val="center"/>
          </w:tcPr>
          <w:p w14:paraId="3464CEF5" w14:textId="15B3D3FA" w:rsidR="00385FCE" w:rsidRPr="00603EF2" w:rsidRDefault="00385FCE" w:rsidP="00385FCE">
            <w:pPr>
              <w:spacing w:line="360" w:lineRule="auto"/>
              <w:jc w:val="center"/>
              <w:rPr>
                <w:rFonts w:ascii="Arial" w:hAnsi="Arial" w:cs="Arial"/>
                <w:b/>
                <w:bCs/>
              </w:rPr>
            </w:pPr>
            <w:r w:rsidRPr="00603EF2">
              <w:rPr>
                <w:rFonts w:ascii="Arial" w:hAnsi="Arial" w:cs="Arial"/>
                <w:b/>
                <w:bCs/>
              </w:rPr>
              <w:t>Plan</w:t>
            </w:r>
          </w:p>
        </w:tc>
        <w:tc>
          <w:tcPr>
            <w:tcW w:w="7915" w:type="dxa"/>
            <w:vAlign w:val="center"/>
          </w:tcPr>
          <w:p w14:paraId="1A6462CD" w14:textId="1B73990C" w:rsidR="00385FCE" w:rsidRPr="00603EF2" w:rsidRDefault="00385FCE" w:rsidP="00385FCE">
            <w:pPr>
              <w:spacing w:line="360" w:lineRule="auto"/>
              <w:jc w:val="both"/>
              <w:rPr>
                <w:rFonts w:ascii="Arial" w:hAnsi="Arial" w:cs="Arial"/>
              </w:rPr>
            </w:pPr>
            <w:r w:rsidRPr="00603EF2">
              <w:rPr>
                <w:rFonts w:ascii="Arial" w:hAnsi="Arial" w:cs="Arial"/>
              </w:rPr>
              <w:t>Key priorities such as improving staffing levels and strengthening incident reporting systems to be identified, with clear objectives established, including reduction in patient harm and improved staff performance.</w:t>
            </w:r>
          </w:p>
        </w:tc>
      </w:tr>
      <w:tr w:rsidR="00987BCE" w:rsidRPr="00603EF2" w14:paraId="32BFBF1E" w14:textId="77777777" w:rsidTr="00FD0B47">
        <w:tc>
          <w:tcPr>
            <w:tcW w:w="2610" w:type="dxa"/>
            <w:shd w:val="clear" w:color="auto" w:fill="FFC000"/>
            <w:vAlign w:val="center"/>
          </w:tcPr>
          <w:p w14:paraId="5EE46E5F" w14:textId="2956F8D8" w:rsidR="00385FCE" w:rsidRPr="00603EF2" w:rsidRDefault="00385FCE" w:rsidP="00385FCE">
            <w:pPr>
              <w:spacing w:line="360" w:lineRule="auto"/>
              <w:jc w:val="center"/>
              <w:rPr>
                <w:rFonts w:ascii="Arial" w:hAnsi="Arial" w:cs="Arial"/>
                <w:b/>
                <w:bCs/>
              </w:rPr>
            </w:pPr>
            <w:r w:rsidRPr="00603EF2">
              <w:rPr>
                <w:rFonts w:ascii="Arial" w:hAnsi="Arial" w:cs="Arial"/>
                <w:b/>
                <w:bCs/>
              </w:rPr>
              <w:t>Do</w:t>
            </w:r>
          </w:p>
        </w:tc>
        <w:tc>
          <w:tcPr>
            <w:tcW w:w="7915" w:type="dxa"/>
            <w:vAlign w:val="center"/>
          </w:tcPr>
          <w:p w14:paraId="7C6B12DE" w14:textId="5AAB6125" w:rsidR="00385FCE" w:rsidRPr="00603EF2" w:rsidRDefault="00385FCE" w:rsidP="00385FCE">
            <w:pPr>
              <w:spacing w:line="360" w:lineRule="auto"/>
              <w:jc w:val="both"/>
              <w:rPr>
                <w:rFonts w:ascii="Arial" w:hAnsi="Arial" w:cs="Arial"/>
              </w:rPr>
            </w:pPr>
            <w:r w:rsidRPr="00603EF2">
              <w:rPr>
                <w:rFonts w:ascii="Arial" w:hAnsi="Arial" w:cs="Arial"/>
              </w:rPr>
              <w:t>Interventions will be piloted within selected departments, such as introducing revised staffing models and digital reporting tools to test feasibility and effectiveness.</w:t>
            </w:r>
          </w:p>
        </w:tc>
      </w:tr>
      <w:tr w:rsidR="00987BCE" w:rsidRPr="00603EF2" w14:paraId="1CE1352C" w14:textId="77777777" w:rsidTr="00FD0B47">
        <w:tc>
          <w:tcPr>
            <w:tcW w:w="2610" w:type="dxa"/>
            <w:shd w:val="clear" w:color="auto" w:fill="00B050"/>
            <w:vAlign w:val="center"/>
          </w:tcPr>
          <w:p w14:paraId="0113AE1B" w14:textId="5E4E90E3" w:rsidR="00385FCE" w:rsidRPr="00603EF2" w:rsidRDefault="00385FCE" w:rsidP="00385FCE">
            <w:pPr>
              <w:spacing w:line="360" w:lineRule="auto"/>
              <w:jc w:val="center"/>
              <w:rPr>
                <w:rFonts w:ascii="Arial" w:hAnsi="Arial" w:cs="Arial"/>
                <w:b/>
                <w:bCs/>
              </w:rPr>
            </w:pPr>
            <w:r w:rsidRPr="00603EF2">
              <w:rPr>
                <w:rFonts w:ascii="Arial" w:hAnsi="Arial" w:cs="Arial"/>
                <w:b/>
                <w:bCs/>
              </w:rPr>
              <w:lastRenderedPageBreak/>
              <w:t>Study</w:t>
            </w:r>
          </w:p>
        </w:tc>
        <w:tc>
          <w:tcPr>
            <w:tcW w:w="7915" w:type="dxa"/>
            <w:vAlign w:val="center"/>
          </w:tcPr>
          <w:p w14:paraId="6B0AEADE" w14:textId="32F0768B" w:rsidR="00385FCE" w:rsidRPr="00603EF2" w:rsidRDefault="00385FCE" w:rsidP="00385FCE">
            <w:pPr>
              <w:spacing w:line="360" w:lineRule="auto"/>
              <w:jc w:val="both"/>
              <w:rPr>
                <w:rFonts w:ascii="Arial" w:hAnsi="Arial" w:cs="Arial"/>
              </w:rPr>
            </w:pPr>
            <w:r w:rsidRPr="00603EF2">
              <w:rPr>
                <w:rFonts w:ascii="Arial" w:hAnsi="Arial" w:cs="Arial"/>
              </w:rPr>
              <w:t>Outcomes will be evaluated using measurable indicators, including patient safety incidents, mortality rates, and staff satisfaction, to assess the impact of implemented changes.</w:t>
            </w:r>
          </w:p>
        </w:tc>
      </w:tr>
      <w:tr w:rsidR="00987BCE" w:rsidRPr="00603EF2" w14:paraId="3DE41B0F" w14:textId="77777777" w:rsidTr="00FD0B47">
        <w:tc>
          <w:tcPr>
            <w:tcW w:w="2610" w:type="dxa"/>
            <w:shd w:val="clear" w:color="auto" w:fill="0070C0"/>
            <w:vAlign w:val="center"/>
          </w:tcPr>
          <w:p w14:paraId="06C19501" w14:textId="6BAD9C88" w:rsidR="00385FCE" w:rsidRPr="00603EF2" w:rsidRDefault="00385FCE" w:rsidP="00385FCE">
            <w:pPr>
              <w:spacing w:line="360" w:lineRule="auto"/>
              <w:jc w:val="center"/>
              <w:rPr>
                <w:rFonts w:ascii="Arial" w:hAnsi="Arial" w:cs="Arial"/>
                <w:b/>
                <w:bCs/>
              </w:rPr>
            </w:pPr>
            <w:r w:rsidRPr="00603EF2">
              <w:rPr>
                <w:rFonts w:ascii="Arial" w:hAnsi="Arial" w:cs="Arial"/>
                <w:b/>
                <w:bCs/>
              </w:rPr>
              <w:t>Act</w:t>
            </w:r>
          </w:p>
        </w:tc>
        <w:tc>
          <w:tcPr>
            <w:tcW w:w="7915" w:type="dxa"/>
            <w:vAlign w:val="center"/>
          </w:tcPr>
          <w:p w14:paraId="4B7E0DCC" w14:textId="23646314" w:rsidR="00385FCE" w:rsidRPr="00603EF2" w:rsidRDefault="00385FCE" w:rsidP="00385FCE">
            <w:pPr>
              <w:spacing w:line="360" w:lineRule="auto"/>
              <w:jc w:val="both"/>
              <w:rPr>
                <w:rFonts w:ascii="Arial" w:hAnsi="Arial" w:cs="Arial"/>
              </w:rPr>
            </w:pPr>
            <w:r w:rsidRPr="00603EF2">
              <w:rPr>
                <w:rFonts w:ascii="Arial" w:hAnsi="Arial" w:cs="Arial"/>
              </w:rPr>
              <w:t>Successful interventions will be standardised and scaled across the organisation, while unsuccessful strategies are refined to ensure continuous improvement.</w:t>
            </w:r>
          </w:p>
        </w:tc>
      </w:tr>
    </w:tbl>
    <w:p w14:paraId="693464F8" w14:textId="77777777" w:rsidR="00385FCE" w:rsidRPr="00603EF2" w:rsidRDefault="00385FCE" w:rsidP="00C167AF">
      <w:pPr>
        <w:spacing w:line="360" w:lineRule="auto"/>
        <w:jc w:val="both"/>
        <w:rPr>
          <w:rFonts w:ascii="Arial" w:hAnsi="Arial" w:cs="Arial"/>
        </w:rPr>
      </w:pPr>
    </w:p>
    <w:p w14:paraId="0F3F6DFF" w14:textId="77777777" w:rsidR="00F2421A" w:rsidRPr="00603EF2" w:rsidRDefault="00F2421A" w:rsidP="002528E0">
      <w:pPr>
        <w:pStyle w:val="Heading2"/>
        <w:spacing w:line="360" w:lineRule="auto"/>
        <w:rPr>
          <w:rFonts w:ascii="Arial" w:hAnsi="Arial" w:cs="Arial"/>
          <w:b/>
          <w:bCs/>
          <w:color w:val="auto"/>
          <w:sz w:val="22"/>
          <w:szCs w:val="22"/>
        </w:rPr>
      </w:pPr>
      <w:bookmarkStart w:id="14" w:name="_Toc227665941"/>
      <w:r w:rsidRPr="00603EF2">
        <w:rPr>
          <w:rFonts w:ascii="Arial" w:hAnsi="Arial" w:cs="Arial"/>
          <w:b/>
          <w:bCs/>
          <w:color w:val="auto"/>
          <w:sz w:val="22"/>
          <w:szCs w:val="22"/>
        </w:rPr>
        <w:t>3.6 Improving Efficiency Through Lean Principles</w:t>
      </w:r>
      <w:bookmarkEnd w:id="14"/>
    </w:p>
    <w:p w14:paraId="0F6B79E6" w14:textId="3D392380" w:rsidR="00F2421A" w:rsidRPr="00603EF2" w:rsidRDefault="00502A26" w:rsidP="002528E0">
      <w:pPr>
        <w:spacing w:line="360" w:lineRule="auto"/>
        <w:jc w:val="both"/>
        <w:rPr>
          <w:rFonts w:ascii="Arial" w:hAnsi="Arial" w:cs="Arial"/>
        </w:rPr>
      </w:pPr>
      <w:r w:rsidRPr="00603EF2">
        <w:rPr>
          <w:rFonts w:ascii="Arial" w:hAnsi="Arial" w:cs="Arial"/>
        </w:rPr>
        <w:t xml:space="preserve">Incorporation of the Lean Methodology can also help to improve the efficiency of the services by removing non-value-added operations in the process of care. According to </w:t>
      </w:r>
      <w:r w:rsidR="007F4B88" w:rsidRPr="00603EF2">
        <w:rPr>
          <w:rFonts w:ascii="Arial" w:hAnsi="Arial" w:cs="Arial"/>
        </w:rPr>
        <w:t xml:space="preserve">Mahmoud et al. </w:t>
      </w:r>
      <w:r w:rsidR="007F4B88" w:rsidRPr="00603EF2">
        <w:rPr>
          <w:rFonts w:ascii="Arial" w:hAnsi="Arial" w:cs="Arial"/>
        </w:rPr>
        <w:t>(</w:t>
      </w:r>
      <w:r w:rsidR="007F4B88" w:rsidRPr="00603EF2">
        <w:rPr>
          <w:rFonts w:ascii="Arial" w:hAnsi="Arial" w:cs="Arial"/>
        </w:rPr>
        <w:t>2021</w:t>
      </w:r>
      <w:r w:rsidR="007F4B88" w:rsidRPr="00603EF2">
        <w:rPr>
          <w:rFonts w:ascii="Arial" w:hAnsi="Arial" w:cs="Arial"/>
        </w:rPr>
        <w:t>)</w:t>
      </w:r>
      <w:r w:rsidRPr="00603EF2">
        <w:rPr>
          <w:rFonts w:ascii="Arial" w:hAnsi="Arial" w:cs="Arial"/>
        </w:rPr>
        <w:t>, the application of Lean solutions leads to the enhancement of workflow, minimi</w:t>
      </w:r>
      <w:r w:rsidR="007F4B88" w:rsidRPr="00603EF2">
        <w:rPr>
          <w:rFonts w:ascii="Arial" w:hAnsi="Arial" w:cs="Arial"/>
        </w:rPr>
        <w:t>s</w:t>
      </w:r>
      <w:r w:rsidRPr="00603EF2">
        <w:rPr>
          <w:rFonts w:ascii="Arial" w:hAnsi="Arial" w:cs="Arial"/>
        </w:rPr>
        <w:t>ation of delays, and improved patient outcomes. In this respect, the optimi</w:t>
      </w:r>
      <w:r w:rsidR="009E4EEE" w:rsidRPr="00603EF2">
        <w:rPr>
          <w:rFonts w:ascii="Arial" w:hAnsi="Arial" w:cs="Arial"/>
        </w:rPr>
        <w:t>s</w:t>
      </w:r>
      <w:r w:rsidRPr="00603EF2">
        <w:rPr>
          <w:rFonts w:ascii="Arial" w:hAnsi="Arial" w:cs="Arial"/>
        </w:rPr>
        <w:t>ation of patient channels, the minimi</w:t>
      </w:r>
      <w:r w:rsidR="009E4EEE" w:rsidRPr="00603EF2">
        <w:rPr>
          <w:rFonts w:ascii="Arial" w:hAnsi="Arial" w:cs="Arial"/>
        </w:rPr>
        <w:t>s</w:t>
      </w:r>
      <w:r w:rsidRPr="00603EF2">
        <w:rPr>
          <w:rFonts w:ascii="Arial" w:hAnsi="Arial" w:cs="Arial"/>
        </w:rPr>
        <w:t>ation of administrative redundancy, as well as the better coordination between departments, can contribute greatly to the provision of services</w:t>
      </w:r>
      <w:r w:rsidR="00F2421A" w:rsidRPr="00603EF2">
        <w:rPr>
          <w:rFonts w:ascii="Arial" w:hAnsi="Arial" w:cs="Arial"/>
        </w:rPr>
        <w:t>.</w:t>
      </w:r>
    </w:p>
    <w:p w14:paraId="2930311E" w14:textId="77777777" w:rsidR="00F2421A" w:rsidRPr="00603EF2" w:rsidRDefault="00F2421A" w:rsidP="002528E0">
      <w:pPr>
        <w:pStyle w:val="Heading2"/>
        <w:spacing w:line="360" w:lineRule="auto"/>
        <w:rPr>
          <w:rFonts w:ascii="Arial" w:hAnsi="Arial" w:cs="Arial"/>
          <w:b/>
          <w:bCs/>
          <w:color w:val="auto"/>
          <w:sz w:val="22"/>
          <w:szCs w:val="22"/>
        </w:rPr>
      </w:pPr>
      <w:bookmarkStart w:id="15" w:name="_Toc227665942"/>
      <w:r w:rsidRPr="00603EF2">
        <w:rPr>
          <w:rFonts w:ascii="Arial" w:hAnsi="Arial" w:cs="Arial"/>
          <w:b/>
          <w:bCs/>
          <w:color w:val="auto"/>
          <w:sz w:val="22"/>
          <w:szCs w:val="22"/>
        </w:rPr>
        <w:t>3.7 Monitoring and Evaluation</w:t>
      </w:r>
      <w:bookmarkEnd w:id="15"/>
    </w:p>
    <w:p w14:paraId="38D90718" w14:textId="2617C94B" w:rsidR="00F2421A" w:rsidRPr="00603EF2" w:rsidRDefault="00C0083B" w:rsidP="002528E0">
      <w:pPr>
        <w:spacing w:line="360" w:lineRule="auto"/>
        <w:jc w:val="both"/>
        <w:rPr>
          <w:rFonts w:ascii="Arial" w:hAnsi="Arial" w:cs="Arial"/>
        </w:rPr>
      </w:pPr>
      <w:r w:rsidRPr="00603EF2">
        <w:rPr>
          <w:rFonts w:ascii="Arial" w:hAnsi="Arial" w:cs="Arial"/>
        </w:rPr>
        <w:t xml:space="preserve">A long-term improvement necessitates a powerful monitoring framework that would trace the performance over time. The main indicators that must be assessed frequently to understand the progress must include patient safety incidences, mortality rates, and patient satisfaction. </w:t>
      </w:r>
      <w:r w:rsidR="008218EC" w:rsidRPr="00603EF2">
        <w:rPr>
          <w:rFonts w:ascii="Arial" w:hAnsi="Arial" w:cs="Arial"/>
        </w:rPr>
        <w:t xml:space="preserve">NHS England </w:t>
      </w:r>
      <w:r w:rsidR="008218EC" w:rsidRPr="00603EF2">
        <w:rPr>
          <w:rFonts w:ascii="Arial" w:hAnsi="Arial" w:cs="Arial"/>
        </w:rPr>
        <w:t>(</w:t>
      </w:r>
      <w:r w:rsidR="008218EC" w:rsidRPr="00603EF2">
        <w:rPr>
          <w:rFonts w:ascii="Arial" w:hAnsi="Arial" w:cs="Arial"/>
        </w:rPr>
        <w:t>2023)</w:t>
      </w:r>
      <w:r w:rsidRPr="00603EF2">
        <w:rPr>
          <w:rFonts w:ascii="Arial" w:hAnsi="Arial" w:cs="Arial"/>
        </w:rPr>
        <w:t xml:space="preserve"> highlighted the importance of continuous monitoring and feedback to sustain improvements in the complicated healthcare systems. Clear reporting procedures must also be introduced </w:t>
      </w:r>
      <w:r w:rsidR="008F0ECA" w:rsidRPr="00603EF2">
        <w:rPr>
          <w:rFonts w:ascii="Arial" w:hAnsi="Arial" w:cs="Arial"/>
        </w:rPr>
        <w:t>to</w:t>
      </w:r>
      <w:r w:rsidRPr="00603EF2">
        <w:rPr>
          <w:rFonts w:ascii="Arial" w:hAnsi="Arial" w:cs="Arial"/>
        </w:rPr>
        <w:t xml:space="preserve"> hold them accountable and restore the trust people had on the services provided by the health care</w:t>
      </w:r>
      <w:r w:rsidR="00F2421A" w:rsidRPr="00603EF2">
        <w:rPr>
          <w:rFonts w:ascii="Arial" w:hAnsi="Arial" w:cs="Arial"/>
        </w:rPr>
        <w:t>.</w:t>
      </w:r>
    </w:p>
    <w:p w14:paraId="524553BE" w14:textId="77777777" w:rsidR="007E1CDD" w:rsidRPr="00603EF2" w:rsidRDefault="007E1CDD" w:rsidP="002528E0">
      <w:pPr>
        <w:pStyle w:val="Heading1"/>
        <w:spacing w:line="360" w:lineRule="auto"/>
        <w:rPr>
          <w:rFonts w:ascii="Arial" w:hAnsi="Arial" w:cs="Arial"/>
          <w:b/>
          <w:bCs/>
          <w:color w:val="auto"/>
          <w:sz w:val="22"/>
          <w:szCs w:val="22"/>
        </w:rPr>
      </w:pPr>
      <w:bookmarkStart w:id="16" w:name="_Toc227665943"/>
      <w:r w:rsidRPr="00603EF2">
        <w:rPr>
          <w:rFonts w:ascii="Arial" w:hAnsi="Arial" w:cs="Arial"/>
          <w:b/>
          <w:bCs/>
          <w:color w:val="auto"/>
          <w:sz w:val="22"/>
          <w:szCs w:val="22"/>
        </w:rPr>
        <w:t>4.0 Conclusion</w:t>
      </w:r>
      <w:bookmarkEnd w:id="16"/>
    </w:p>
    <w:p w14:paraId="5A318546" w14:textId="77777777" w:rsidR="00522AE3" w:rsidRPr="00603EF2" w:rsidRDefault="00522AE3" w:rsidP="002528E0">
      <w:pPr>
        <w:spacing w:line="360" w:lineRule="auto"/>
        <w:jc w:val="both"/>
        <w:rPr>
          <w:rFonts w:ascii="Arial" w:hAnsi="Arial" w:cs="Arial"/>
        </w:rPr>
      </w:pPr>
      <w:r w:rsidRPr="00603EF2">
        <w:rPr>
          <w:rFonts w:ascii="Arial" w:hAnsi="Arial" w:cs="Arial"/>
        </w:rPr>
        <w:t>This report has critically looked at the systemic quality failures that were linked to the Mid Staffordshire NHS foundation trust scandal where organisational, structural, and cultural failures were cited as the major contributors to patient safety and service delivery. As it was indicated in the analysis, the crisis did not come out of vacuum clinical errors but a product of deeply rooted system-wide problems such as chronic understaffing, poor leadership, poor governance, and lack of accountability.</w:t>
      </w:r>
    </w:p>
    <w:p w14:paraId="38D2B382" w14:textId="70E29C7D" w:rsidR="00522AE3" w:rsidRPr="00603EF2" w:rsidRDefault="00522AE3" w:rsidP="002528E0">
      <w:pPr>
        <w:spacing w:line="360" w:lineRule="auto"/>
        <w:jc w:val="both"/>
        <w:rPr>
          <w:rFonts w:ascii="Arial" w:hAnsi="Arial" w:cs="Arial"/>
        </w:rPr>
      </w:pPr>
      <w:r w:rsidRPr="00603EF2">
        <w:rPr>
          <w:rFonts w:ascii="Arial" w:hAnsi="Arial" w:cs="Arial"/>
        </w:rPr>
        <w:t xml:space="preserve">The report found that there were several interconnected causes that led to patient harm </w:t>
      </w:r>
      <w:r w:rsidR="008F0ECA" w:rsidRPr="00603EF2">
        <w:rPr>
          <w:rFonts w:ascii="Arial" w:hAnsi="Arial" w:cs="Arial"/>
        </w:rPr>
        <w:t>using</w:t>
      </w:r>
      <w:r w:rsidRPr="00603EF2">
        <w:rPr>
          <w:rFonts w:ascii="Arial" w:hAnsi="Arial" w:cs="Arial"/>
        </w:rPr>
        <w:t xml:space="preserve"> root cause analysis tools like the Fishbone Diagram and the 5 Whys. These instruments gave an </w:t>
      </w:r>
      <w:r w:rsidRPr="00603EF2">
        <w:rPr>
          <w:rFonts w:ascii="Arial" w:hAnsi="Arial" w:cs="Arial"/>
        </w:rPr>
        <w:lastRenderedPageBreak/>
        <w:t>insight into how failure at operational, managerial, and policy level interplay had provided a conducive environment where bad practices in care could thrive. Moreover, the use of the Donabedian Model offered an ordered assessment of how the lapses in the healthcare organi</w:t>
      </w:r>
      <w:r w:rsidR="006A7E55" w:rsidRPr="00603EF2">
        <w:rPr>
          <w:rFonts w:ascii="Arial" w:hAnsi="Arial" w:cs="Arial"/>
        </w:rPr>
        <w:t>s</w:t>
      </w:r>
      <w:r w:rsidRPr="00603EF2">
        <w:rPr>
          <w:rFonts w:ascii="Arial" w:hAnsi="Arial" w:cs="Arial"/>
        </w:rPr>
        <w:t>ations and procedures directly led to the unfavorable patient outcomes, such as high mortality rates and low patient satisfaction.</w:t>
      </w:r>
    </w:p>
    <w:p w14:paraId="063D5D58" w14:textId="560DBB77" w:rsidR="00522AE3" w:rsidRPr="00603EF2" w:rsidRDefault="00522AE3" w:rsidP="002528E0">
      <w:pPr>
        <w:spacing w:line="360" w:lineRule="auto"/>
        <w:jc w:val="both"/>
        <w:rPr>
          <w:rFonts w:ascii="Arial" w:hAnsi="Arial" w:cs="Arial"/>
        </w:rPr>
      </w:pPr>
      <w:r w:rsidRPr="00603EF2">
        <w:rPr>
          <w:rFonts w:ascii="Arial" w:hAnsi="Arial" w:cs="Arial"/>
        </w:rPr>
        <w:t xml:space="preserve">The strategic analysis also solidified the existence of major organisational weaknesses as well as pinpointing the reform opportunities available by way of better governance, leadership enhancement and policy interventions. Notably, the suggestions presented in this report focus on achievable and </w:t>
      </w:r>
      <w:r w:rsidR="00C16E16" w:rsidRPr="00603EF2">
        <w:rPr>
          <w:rFonts w:ascii="Arial" w:hAnsi="Arial" w:cs="Arial"/>
        </w:rPr>
        <w:t>long-lasting</w:t>
      </w:r>
      <w:r w:rsidRPr="00603EF2">
        <w:rPr>
          <w:rFonts w:ascii="Arial" w:hAnsi="Arial" w:cs="Arial"/>
        </w:rPr>
        <w:t xml:space="preserve"> changes, such as reinforcing the workforce planning, making leadership more accountable, improving incident reporting processes, and integrating a culture of patient-centredness.</w:t>
      </w:r>
    </w:p>
    <w:p w14:paraId="3A65BC0D" w14:textId="224DF953" w:rsidR="007E1CDD" w:rsidRPr="00603EF2" w:rsidRDefault="00522AE3" w:rsidP="002528E0">
      <w:pPr>
        <w:spacing w:line="360" w:lineRule="auto"/>
        <w:jc w:val="both"/>
        <w:rPr>
          <w:rFonts w:ascii="Arial" w:hAnsi="Arial" w:cs="Arial"/>
        </w:rPr>
      </w:pPr>
      <w:r w:rsidRPr="00603EF2">
        <w:rPr>
          <w:rFonts w:ascii="Arial" w:hAnsi="Arial" w:cs="Arial"/>
        </w:rPr>
        <w:t>Implementation can be tested, evaluated and refined in a systematic manner, and therefore long-term impact can be achieved through the use of the PDSA Cycle as an implementation framework. Finally, this report makes it clear that the necessity to enhance healthcare quality should be viewed holistically and, on a system-wide basis, with the emphasis put on the continuous learning, transparency, and leadership. Particular attention should be paid to the need to consider all these factors not only to eliminate the risk of the recurrence of similar failures but to also make sure that the population will be able to trust the health care and guarantee high-quality services that are offered with maximum safety</w:t>
      </w:r>
      <w:r w:rsidR="007E1CDD" w:rsidRPr="00603EF2">
        <w:rPr>
          <w:rFonts w:ascii="Arial" w:hAnsi="Arial" w:cs="Arial"/>
        </w:rPr>
        <w:t>.</w:t>
      </w:r>
    </w:p>
    <w:p w14:paraId="042F9467" w14:textId="6BEC1556" w:rsidR="001F54C2" w:rsidRPr="00603EF2" w:rsidRDefault="001F54C2" w:rsidP="002528E0">
      <w:pPr>
        <w:spacing w:line="360" w:lineRule="auto"/>
        <w:jc w:val="both"/>
        <w:rPr>
          <w:rFonts w:ascii="Arial" w:hAnsi="Arial" w:cs="Arial"/>
        </w:rPr>
      </w:pPr>
    </w:p>
    <w:p w14:paraId="78A51EC1" w14:textId="77777777" w:rsidR="001F54C2" w:rsidRPr="00603EF2" w:rsidRDefault="001F54C2" w:rsidP="002528E0">
      <w:pPr>
        <w:spacing w:line="360" w:lineRule="auto"/>
        <w:jc w:val="both"/>
        <w:rPr>
          <w:rFonts w:ascii="Arial" w:hAnsi="Arial" w:cs="Arial"/>
        </w:rPr>
      </w:pPr>
    </w:p>
    <w:p w14:paraId="34DB8289" w14:textId="77777777" w:rsidR="001F54C2" w:rsidRDefault="001F54C2" w:rsidP="002528E0">
      <w:pPr>
        <w:spacing w:line="360" w:lineRule="auto"/>
        <w:jc w:val="both"/>
        <w:rPr>
          <w:rFonts w:ascii="Arial" w:hAnsi="Arial" w:cs="Arial"/>
        </w:rPr>
      </w:pPr>
    </w:p>
    <w:p w14:paraId="5A427400" w14:textId="77777777" w:rsidR="00603EF2" w:rsidRDefault="00603EF2" w:rsidP="002528E0">
      <w:pPr>
        <w:spacing w:line="360" w:lineRule="auto"/>
        <w:jc w:val="both"/>
        <w:rPr>
          <w:rFonts w:ascii="Arial" w:hAnsi="Arial" w:cs="Arial"/>
        </w:rPr>
      </w:pPr>
    </w:p>
    <w:p w14:paraId="3CDF16C6" w14:textId="77777777" w:rsidR="00603EF2" w:rsidRDefault="00603EF2" w:rsidP="002528E0">
      <w:pPr>
        <w:spacing w:line="360" w:lineRule="auto"/>
        <w:jc w:val="both"/>
        <w:rPr>
          <w:rFonts w:ascii="Arial" w:hAnsi="Arial" w:cs="Arial"/>
        </w:rPr>
      </w:pPr>
    </w:p>
    <w:p w14:paraId="2FAA464B" w14:textId="77777777" w:rsidR="00603EF2" w:rsidRDefault="00603EF2" w:rsidP="002528E0">
      <w:pPr>
        <w:spacing w:line="360" w:lineRule="auto"/>
        <w:jc w:val="both"/>
        <w:rPr>
          <w:rFonts w:ascii="Arial" w:hAnsi="Arial" w:cs="Arial"/>
        </w:rPr>
      </w:pPr>
    </w:p>
    <w:p w14:paraId="626B70BB" w14:textId="77777777" w:rsidR="00603EF2" w:rsidRPr="00603EF2" w:rsidRDefault="00603EF2" w:rsidP="002528E0">
      <w:pPr>
        <w:spacing w:line="360" w:lineRule="auto"/>
        <w:jc w:val="both"/>
        <w:rPr>
          <w:rFonts w:ascii="Arial" w:hAnsi="Arial" w:cs="Arial"/>
        </w:rPr>
      </w:pPr>
    </w:p>
    <w:p w14:paraId="717B488D" w14:textId="7D3F4911" w:rsidR="00FA29FF" w:rsidRPr="00603EF2" w:rsidRDefault="00987BCE" w:rsidP="002528E0">
      <w:pPr>
        <w:spacing w:line="360" w:lineRule="auto"/>
        <w:jc w:val="both"/>
        <w:rPr>
          <w:rFonts w:ascii="Arial" w:hAnsi="Arial" w:cs="Arial"/>
        </w:rPr>
      </w:pPr>
      <w:r w:rsidRPr="00603EF2">
        <w:rPr>
          <w:rFonts w:ascii="Arial" w:hAnsi="Arial" w:cs="Arial"/>
        </w:rPr>
        <w:br/>
      </w:r>
    </w:p>
    <w:p w14:paraId="12C0BE4C" w14:textId="09EF1225" w:rsidR="00603EF2" w:rsidRPr="00603EF2" w:rsidRDefault="00603EF2" w:rsidP="00603EF2">
      <w:pPr>
        <w:keepNext/>
        <w:keepLines/>
        <w:spacing w:before="360" w:after="80"/>
        <w:outlineLvl w:val="0"/>
        <w:rPr>
          <w:rFonts w:ascii="Arial" w:eastAsia="Times New Roman" w:hAnsi="Arial" w:cs="Arial"/>
          <w:b/>
          <w:bCs/>
        </w:rPr>
      </w:pPr>
      <w:bookmarkStart w:id="17" w:name="_Toc227665944"/>
      <w:r w:rsidRPr="00603EF2">
        <w:rPr>
          <w:rFonts w:ascii="Arial" w:eastAsia="Times New Roman" w:hAnsi="Arial" w:cs="Arial"/>
          <w:b/>
          <w:bCs/>
        </w:rPr>
        <w:lastRenderedPageBreak/>
        <w:t>References</w:t>
      </w:r>
      <w:bookmarkEnd w:id="17"/>
      <w:r w:rsidRPr="00603EF2">
        <w:rPr>
          <w:rFonts w:ascii="Arial" w:eastAsia="Times New Roman" w:hAnsi="Arial" w:cs="Arial"/>
          <w:b/>
          <w:bCs/>
        </w:rPr>
        <w:t xml:space="preserve"> </w:t>
      </w:r>
    </w:p>
    <w:p w14:paraId="0751197E" w14:textId="77777777" w:rsidR="00603EF2" w:rsidRPr="00603EF2" w:rsidRDefault="00603EF2" w:rsidP="00603EF2">
      <w:pPr>
        <w:spacing w:line="360" w:lineRule="auto"/>
        <w:jc w:val="both"/>
        <w:rPr>
          <w:rFonts w:ascii="Arial" w:eastAsia="Calibri" w:hAnsi="Arial" w:cs="Arial"/>
        </w:rPr>
      </w:pPr>
      <w:r w:rsidRPr="00603EF2">
        <w:rPr>
          <w:rFonts w:ascii="Arial" w:eastAsia="Calibri" w:hAnsi="Arial" w:cs="Arial"/>
          <w:lang w:val="en-GB"/>
        </w:rPr>
        <w:t>‌</w:t>
      </w:r>
    </w:p>
    <w:p w14:paraId="4D4BACDF"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Atkins, L., Stefanidou, C., Chadborn, T., Thompson, K., Michie, S. and Lorencatto, F. (2020) ‘Influences on NHS Health Check behaviours: a systematic review’, </w:t>
      </w:r>
      <w:r w:rsidRPr="00603EF2">
        <w:rPr>
          <w:rFonts w:ascii="Arial" w:eastAsia="Calibri" w:hAnsi="Arial" w:cs="Arial"/>
          <w:i/>
          <w:iCs/>
        </w:rPr>
        <w:t>BMC Public Health</w:t>
      </w:r>
      <w:r w:rsidRPr="00603EF2">
        <w:rPr>
          <w:rFonts w:ascii="Arial" w:eastAsia="Calibri" w:hAnsi="Arial" w:cs="Arial"/>
        </w:rPr>
        <w:t xml:space="preserve">, 20(1). Available at: </w:t>
      </w:r>
      <w:hyperlink r:id="rId11" w:history="1">
        <w:r w:rsidRPr="00603EF2">
          <w:rPr>
            <w:rFonts w:ascii="Arial" w:eastAsia="Calibri" w:hAnsi="Arial" w:cs="Arial"/>
            <w:color w:val="467886"/>
            <w:u w:val="single"/>
          </w:rPr>
          <w:t>https://doi.org/10.1186/s12889-020-09365-2</w:t>
        </w:r>
      </w:hyperlink>
      <w:r w:rsidRPr="00603EF2">
        <w:rPr>
          <w:rFonts w:ascii="Arial" w:eastAsia="Calibri" w:hAnsi="Arial" w:cs="Arial"/>
        </w:rPr>
        <w:t xml:space="preserve"> </w:t>
      </w:r>
    </w:p>
    <w:p w14:paraId="6B33C665"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Balakumaran, S. (2024) ‘12 How can leadership in NHS hospitals be improved to ensure better quality of care for patients?’, </w:t>
      </w:r>
      <w:r w:rsidRPr="00603EF2">
        <w:rPr>
          <w:rFonts w:ascii="Arial" w:eastAsia="Calibri" w:hAnsi="Arial" w:cs="Arial"/>
          <w:i/>
          <w:iCs/>
          <w:lang w:val="en-GB"/>
        </w:rPr>
        <w:t>BMJ Leader</w:t>
      </w:r>
      <w:r w:rsidRPr="00603EF2">
        <w:rPr>
          <w:rFonts w:ascii="Arial" w:eastAsia="Calibri" w:hAnsi="Arial" w:cs="Arial"/>
          <w:lang w:val="en-GB"/>
        </w:rPr>
        <w:t xml:space="preserve">, 8(Suppl 1). Available at: </w:t>
      </w:r>
      <w:hyperlink r:id="rId12" w:history="1">
        <w:r w:rsidRPr="00603EF2">
          <w:rPr>
            <w:rFonts w:ascii="Arial" w:eastAsia="Calibri" w:hAnsi="Arial" w:cs="Arial"/>
            <w:color w:val="0563C1"/>
            <w:u w:val="single"/>
          </w:rPr>
          <w:t>https://doi.org/10.1136/leader-2024-FMLM.12</w:t>
        </w:r>
      </w:hyperlink>
    </w:p>
    <w:p w14:paraId="3C4EF34C"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t>Berwick, D. and Fox, D. M. (2016) ‘"Evaluating the Quality of Medical Care": Donabedian's Classic Article 50 Years Later’, </w:t>
      </w:r>
      <w:r w:rsidRPr="00603EF2">
        <w:rPr>
          <w:rFonts w:ascii="Arial" w:eastAsia="Calibri" w:hAnsi="Arial" w:cs="Arial"/>
          <w:i/>
          <w:iCs/>
          <w:lang w:val="en-GB"/>
        </w:rPr>
        <w:t>The Milbank quarterly</w:t>
      </w:r>
      <w:r w:rsidRPr="00603EF2">
        <w:rPr>
          <w:rFonts w:ascii="Arial" w:eastAsia="Calibri" w:hAnsi="Arial" w:cs="Arial"/>
          <w:lang w:val="en-GB"/>
        </w:rPr>
        <w:t>, </w:t>
      </w:r>
      <w:r w:rsidRPr="00603EF2">
        <w:rPr>
          <w:rFonts w:ascii="Arial" w:eastAsia="Calibri" w:hAnsi="Arial" w:cs="Arial"/>
          <w:i/>
          <w:iCs/>
          <w:lang w:val="en-GB"/>
        </w:rPr>
        <w:t>94</w:t>
      </w:r>
      <w:r w:rsidRPr="00603EF2">
        <w:rPr>
          <w:rFonts w:ascii="Arial" w:eastAsia="Calibri" w:hAnsi="Arial" w:cs="Arial"/>
          <w:lang w:val="en-GB"/>
        </w:rPr>
        <w:t xml:space="preserve">(2), 237–241. Available at: </w:t>
      </w:r>
      <w:hyperlink r:id="rId13" w:history="1">
        <w:r w:rsidRPr="00603EF2">
          <w:rPr>
            <w:rFonts w:ascii="Arial" w:eastAsia="Calibri" w:hAnsi="Arial" w:cs="Arial"/>
            <w:color w:val="467886"/>
            <w:u w:val="single"/>
            <w:lang w:val="en-GB"/>
          </w:rPr>
          <w:t>https://doi.org/10.1111/1468-0009.12189</w:t>
        </w:r>
      </w:hyperlink>
      <w:r w:rsidRPr="00603EF2">
        <w:rPr>
          <w:rFonts w:ascii="Arial" w:eastAsia="Calibri" w:hAnsi="Arial" w:cs="Arial"/>
          <w:lang w:val="en-GB"/>
        </w:rPr>
        <w:t xml:space="preserve"> </w:t>
      </w:r>
    </w:p>
    <w:p w14:paraId="3BD885F3"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t>Bradbury, B. (2022) Strategic leadership behaviours that develop organisational resilience in NHS Trusts in England: A multiple-case study. University of Southampton, Doctoral Thesis, 338pp.</w:t>
      </w:r>
      <w:r w:rsidRPr="00603EF2">
        <w:rPr>
          <w:rFonts w:ascii="Arial" w:eastAsia="Calibri" w:hAnsi="Arial" w:cs="Arial"/>
        </w:rPr>
        <w:t xml:space="preserve"> Available at: </w:t>
      </w:r>
      <w:hyperlink r:id="rId14" w:history="1">
        <w:r w:rsidRPr="00603EF2">
          <w:rPr>
            <w:rFonts w:ascii="Arial" w:eastAsia="Calibri" w:hAnsi="Arial" w:cs="Arial"/>
            <w:color w:val="0563C1"/>
            <w:u w:val="single"/>
          </w:rPr>
          <w:t>https://eprints.soton.ac.uk/470730/</w:t>
        </w:r>
      </w:hyperlink>
      <w:r w:rsidRPr="00603EF2">
        <w:rPr>
          <w:rFonts w:ascii="Arial" w:eastAsia="Calibri" w:hAnsi="Arial" w:cs="Arial"/>
        </w:rPr>
        <w:t xml:space="preserve"> (Accessed: 17 March 2026)</w:t>
      </w:r>
    </w:p>
    <w:p w14:paraId="7C977EDC"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Buist, M. (2018) ‘Adverse Events in Hospitals: “Swiss Cheese” Versus the “Hierarchal Referral Model of Care and Clinical Futile Cycles”’, </w:t>
      </w:r>
      <w:r w:rsidRPr="00603EF2">
        <w:rPr>
          <w:rFonts w:ascii="Arial" w:eastAsia="Calibri" w:hAnsi="Arial" w:cs="Arial"/>
          <w:i/>
          <w:iCs/>
        </w:rPr>
        <w:t>Vignettes in Patient Safety-Volume 3</w:t>
      </w:r>
      <w:r w:rsidRPr="00603EF2">
        <w:rPr>
          <w:rFonts w:ascii="Arial" w:eastAsia="Calibri" w:hAnsi="Arial" w:cs="Arial"/>
        </w:rPr>
        <w:t xml:space="preserve">, InTechOpen. Available at: </w:t>
      </w:r>
      <w:hyperlink r:id="rId15" w:history="1">
        <w:r w:rsidRPr="00603EF2">
          <w:rPr>
            <w:rFonts w:ascii="Arial" w:eastAsia="Calibri" w:hAnsi="Arial" w:cs="Arial"/>
            <w:color w:val="0563C1"/>
            <w:u w:val="single"/>
          </w:rPr>
          <w:t>https://www.intechopen.com/chapters/60108</w:t>
        </w:r>
      </w:hyperlink>
      <w:r w:rsidRPr="00603EF2">
        <w:rPr>
          <w:rFonts w:ascii="Arial" w:eastAsia="Aptos" w:hAnsi="Arial" w:cs="Arial"/>
          <w:kern w:val="2"/>
          <w:lang w:val="en-GB"/>
          <w14:ligatures w14:val="standardContextual"/>
        </w:rPr>
        <w:t xml:space="preserve"> (Accessed: 18 March 2026)</w:t>
      </w:r>
    </w:p>
    <w:p w14:paraId="5AEAB7FB"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Card, A.J. (2017) ‘The Problem with ‘5 Whys’’, </w:t>
      </w:r>
      <w:r w:rsidRPr="00603EF2">
        <w:rPr>
          <w:rFonts w:ascii="Arial" w:eastAsia="Calibri" w:hAnsi="Arial" w:cs="Arial"/>
          <w:i/>
          <w:iCs/>
          <w:lang w:val="en-GB"/>
        </w:rPr>
        <w:t>BMJ Quality &amp; Safety</w:t>
      </w:r>
      <w:r w:rsidRPr="00603EF2">
        <w:rPr>
          <w:rFonts w:ascii="Arial" w:eastAsia="Calibri" w:hAnsi="Arial" w:cs="Arial"/>
          <w:lang w:val="en-GB"/>
        </w:rPr>
        <w:t>, 26(8), pp.671–677</w:t>
      </w:r>
      <w:r w:rsidRPr="00603EF2">
        <w:rPr>
          <w:rFonts w:ascii="Arial" w:eastAsia="Calibri" w:hAnsi="Arial" w:cs="Arial"/>
        </w:rPr>
        <w:t xml:space="preserve">. Available at: </w:t>
      </w:r>
      <w:hyperlink r:id="rId16" w:history="1">
        <w:r w:rsidRPr="00603EF2">
          <w:rPr>
            <w:rFonts w:ascii="Arial" w:eastAsia="Calibri" w:hAnsi="Arial" w:cs="Arial"/>
            <w:color w:val="0563C1"/>
            <w:u w:val="single"/>
          </w:rPr>
          <w:t>https://doi.org/10.1136/bmjqs-2016-005849</w:t>
        </w:r>
      </w:hyperlink>
    </w:p>
    <w:p w14:paraId="79A0EDF9"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Carter, B. and Kline, R. (2017) ‘The crisis of public sector trade unionism: evidence from the mid Staffordshire Hospital crisis’, </w:t>
      </w:r>
      <w:r w:rsidRPr="00603EF2">
        <w:rPr>
          <w:rFonts w:ascii="Arial" w:eastAsia="Calibri" w:hAnsi="Arial" w:cs="Arial"/>
          <w:i/>
          <w:iCs/>
        </w:rPr>
        <w:t>Capital &amp; Class</w:t>
      </w:r>
      <w:r w:rsidRPr="00603EF2">
        <w:rPr>
          <w:rFonts w:ascii="Arial" w:eastAsia="Calibri" w:hAnsi="Arial" w:cs="Arial"/>
        </w:rPr>
        <w:t xml:space="preserve">, 41(2), 217-237. Available at: </w:t>
      </w:r>
      <w:hyperlink r:id="rId17" w:history="1">
        <w:r w:rsidRPr="00603EF2">
          <w:rPr>
            <w:rFonts w:ascii="Arial" w:eastAsia="Calibri" w:hAnsi="Arial" w:cs="Arial"/>
            <w:color w:val="0563C1"/>
            <w:u w:val="single"/>
          </w:rPr>
          <w:t>https://doi.org/10.1177/0309816816678572</w:t>
        </w:r>
      </w:hyperlink>
      <w:r w:rsidRPr="00603EF2">
        <w:rPr>
          <w:rFonts w:ascii="Arial" w:eastAsia="Calibri" w:hAnsi="Arial" w:cs="Arial"/>
        </w:rPr>
        <w:t xml:space="preserve"> </w:t>
      </w:r>
    </w:p>
    <w:p w14:paraId="2DD668D6"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Chatburn, E., Macrae, C., Carthey, J. and Vincent, C. (2018) ‘Measurement and monitoring of safety: impact and challenges of putting a conceptual framework into practice’, </w:t>
      </w:r>
      <w:r w:rsidRPr="00603EF2">
        <w:rPr>
          <w:rFonts w:ascii="Arial" w:eastAsia="Calibri" w:hAnsi="Arial" w:cs="Arial"/>
          <w:i/>
          <w:iCs/>
        </w:rPr>
        <w:t>BMJ Quality &amp; Safety</w:t>
      </w:r>
      <w:r w:rsidRPr="00603EF2">
        <w:rPr>
          <w:rFonts w:ascii="Arial" w:eastAsia="Calibri" w:hAnsi="Arial" w:cs="Arial"/>
        </w:rPr>
        <w:t xml:space="preserve">, 27(10), pp.818–826. Available at: </w:t>
      </w:r>
      <w:hyperlink r:id="rId18" w:history="1">
        <w:r w:rsidRPr="00603EF2">
          <w:rPr>
            <w:rFonts w:ascii="Arial" w:eastAsia="Calibri" w:hAnsi="Arial" w:cs="Arial"/>
            <w:color w:val="467886"/>
            <w:u w:val="single"/>
          </w:rPr>
          <w:t>https://doi.org/10.1136/bmjqs-2017-007175</w:t>
        </w:r>
      </w:hyperlink>
      <w:r w:rsidRPr="00603EF2">
        <w:rPr>
          <w:rFonts w:ascii="Arial" w:eastAsia="Calibri" w:hAnsi="Arial" w:cs="Arial"/>
        </w:rPr>
        <w:t xml:space="preserve"> </w:t>
      </w:r>
    </w:p>
    <w:p w14:paraId="1580AB7E"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t>Coulter, A. and Oldham, J. (2016) ‘Person-centred care: what is it and how do we get there?’,</w:t>
      </w:r>
      <w:r w:rsidRPr="00603EF2">
        <w:rPr>
          <w:rFonts w:ascii="Arial" w:eastAsia="Calibri" w:hAnsi="Arial" w:cs="Arial"/>
          <w:i/>
          <w:iCs/>
          <w:lang w:val="en-GB"/>
        </w:rPr>
        <w:t xml:space="preserve"> Future Hospital Journal</w:t>
      </w:r>
      <w:r w:rsidRPr="00603EF2">
        <w:rPr>
          <w:rFonts w:ascii="Arial" w:eastAsia="Calibri" w:hAnsi="Arial" w:cs="Arial"/>
          <w:lang w:val="en-GB"/>
        </w:rPr>
        <w:t xml:space="preserve">, 3(2), pp. 114–116. Available at: </w:t>
      </w:r>
      <w:hyperlink r:id="rId19" w:history="1">
        <w:r w:rsidRPr="00603EF2">
          <w:rPr>
            <w:rFonts w:ascii="Arial" w:eastAsia="Calibri" w:hAnsi="Arial" w:cs="Arial"/>
            <w:color w:val="467886"/>
            <w:u w:val="single"/>
            <w:lang w:val="en-GB"/>
          </w:rPr>
          <w:t>https://doi.org/10.7861/futurehosp.3-2-114</w:t>
        </w:r>
      </w:hyperlink>
      <w:r w:rsidRPr="00603EF2">
        <w:rPr>
          <w:rFonts w:ascii="Arial" w:eastAsia="Calibri" w:hAnsi="Arial" w:cs="Arial"/>
          <w:lang w:val="en-GB"/>
        </w:rPr>
        <w:t xml:space="preserve"> </w:t>
      </w:r>
    </w:p>
    <w:p w14:paraId="043FBAC6"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Donabedian, A. (1988) ‘The Quality of Care: How Can It Be assessed?’, </w:t>
      </w:r>
      <w:r w:rsidRPr="00603EF2">
        <w:rPr>
          <w:rFonts w:ascii="Arial" w:eastAsia="Calibri" w:hAnsi="Arial" w:cs="Arial"/>
          <w:i/>
          <w:iCs/>
          <w:lang w:val="en-GB"/>
        </w:rPr>
        <w:t>JAMA</w:t>
      </w:r>
      <w:r w:rsidRPr="00603EF2">
        <w:rPr>
          <w:rFonts w:ascii="Arial" w:eastAsia="Calibri" w:hAnsi="Arial" w:cs="Arial"/>
          <w:lang w:val="en-GB"/>
        </w:rPr>
        <w:t xml:space="preserve">, 260(12), pp.1743–1748. Available at: </w:t>
      </w:r>
      <w:hyperlink r:id="rId20" w:history="1">
        <w:r w:rsidRPr="00603EF2">
          <w:rPr>
            <w:rFonts w:ascii="Arial" w:eastAsia="Calibri" w:hAnsi="Arial" w:cs="Arial"/>
            <w:color w:val="467886"/>
            <w:u w:val="single"/>
            <w:lang w:val="en-GB"/>
          </w:rPr>
          <w:t>https://doi.org/10.1001/jama.1988.03410120089033</w:t>
        </w:r>
      </w:hyperlink>
      <w:r w:rsidRPr="00603EF2">
        <w:rPr>
          <w:rFonts w:ascii="Arial" w:eastAsia="Calibri" w:hAnsi="Arial" w:cs="Arial"/>
          <w:lang w:val="en-GB"/>
        </w:rPr>
        <w:t xml:space="preserve"> </w:t>
      </w:r>
    </w:p>
    <w:p w14:paraId="1BECE1AC"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lastRenderedPageBreak/>
        <w:t xml:space="preserve">‌Eilenberg, J. (2017) ‘Scandalising the NHS- the construction of healthcare and deviance in the BBC and ITV coverage of the Mid Staffordshire hospital scandal, City Research Online. Available at: </w:t>
      </w:r>
      <w:hyperlink r:id="rId21" w:history="1">
        <w:r w:rsidRPr="00603EF2">
          <w:rPr>
            <w:rFonts w:ascii="Arial" w:eastAsia="Calibri" w:hAnsi="Arial" w:cs="Arial"/>
            <w:color w:val="467886"/>
            <w:u w:val="single"/>
          </w:rPr>
          <w:t>https://openaccess.city.ac.uk/id/eprint/18079/</w:t>
        </w:r>
      </w:hyperlink>
      <w:r w:rsidRPr="00603EF2">
        <w:rPr>
          <w:rFonts w:ascii="Arial" w:eastAsia="Calibri" w:hAnsi="Arial" w:cs="Arial"/>
        </w:rPr>
        <w:t xml:space="preserve"> (Accessed: 16 March 2026)</w:t>
      </w:r>
    </w:p>
    <w:p w14:paraId="699A4F9C"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Eilenberg, J. (2017) ’Institutional deviance in TV news: BBC, ITV and the Mid Staffordshire hospital scandal’, Crime, Media, Culture: An International Journal, 14(3), pp.485–504. Available at: </w:t>
      </w:r>
      <w:hyperlink r:id="rId22" w:history="1">
        <w:r w:rsidRPr="00603EF2">
          <w:rPr>
            <w:rFonts w:ascii="Arial" w:eastAsia="Calibri" w:hAnsi="Arial" w:cs="Arial"/>
            <w:color w:val="467886"/>
            <w:u w:val="single"/>
          </w:rPr>
          <w:t>https://doi.org/10.1177/1741659017726105</w:t>
        </w:r>
      </w:hyperlink>
      <w:r w:rsidRPr="00603EF2">
        <w:rPr>
          <w:rFonts w:ascii="Arial" w:eastAsia="Calibri" w:hAnsi="Arial" w:cs="Arial"/>
        </w:rPr>
        <w:t xml:space="preserve"> </w:t>
      </w:r>
    </w:p>
    <w:p w14:paraId="5FED027D"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Francis, R. (2013) ‘</w:t>
      </w:r>
      <w:r w:rsidRPr="00603EF2">
        <w:rPr>
          <w:rFonts w:ascii="Arial" w:eastAsia="Calibri" w:hAnsi="Arial" w:cs="Arial"/>
          <w:i/>
          <w:iCs/>
        </w:rPr>
        <w:t>The Mid Staffordshire NHS Foundation Trust Public Inquiry Report of the Mid Staffordshire NHS Foundation Trust Public Inquiry Executive Summary HC 947</w:t>
      </w:r>
      <w:r w:rsidRPr="00603EF2">
        <w:rPr>
          <w:rFonts w:ascii="Arial" w:eastAsia="Calibri" w:hAnsi="Arial" w:cs="Arial"/>
        </w:rPr>
        <w:t>’,GOV.UK. Available at: https://assets.publishing.service.gov.uk/government/uploads/system/uploads/attachmentdata/file/279124/0947.pdf (Accessed 15 March 2026).</w:t>
      </w:r>
    </w:p>
    <w:p w14:paraId="2285680D"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t>Gangidi, P. (2019) ‘A systematic approach to root cause analysis using 3 × 5 why’s technique’, </w:t>
      </w:r>
      <w:r w:rsidRPr="00603EF2">
        <w:rPr>
          <w:rFonts w:ascii="Arial" w:eastAsia="Calibri" w:hAnsi="Arial" w:cs="Arial"/>
          <w:i/>
          <w:iCs/>
          <w:lang w:val="en-GB"/>
        </w:rPr>
        <w:t>International Journal of Lean Six Sigma</w:t>
      </w:r>
      <w:r w:rsidRPr="00603EF2">
        <w:rPr>
          <w:rFonts w:ascii="Arial" w:eastAsia="Calibri" w:hAnsi="Arial" w:cs="Arial"/>
          <w:lang w:val="en-GB"/>
        </w:rPr>
        <w:t>, 10(1). 295–310, doi: </w:t>
      </w:r>
      <w:hyperlink r:id="rId23" w:tgtFrame="_blank" w:history="1">
        <w:r w:rsidRPr="00603EF2">
          <w:rPr>
            <w:rFonts w:ascii="Arial" w:eastAsia="Calibri" w:hAnsi="Arial" w:cs="Arial"/>
            <w:color w:val="467886"/>
            <w:u w:val="single"/>
            <w:lang w:val="en-GB"/>
          </w:rPr>
          <w:t>https://doi.org/10.1108/IJLSS-10-2017-0114</w:t>
        </w:r>
      </w:hyperlink>
    </w:p>
    <w:p w14:paraId="72F5911D"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Griffiths, P., Ball, J., Bloor, K., Böhning, D., Briggs, J., Dall’Ora, C., Iongh, A.D., Jones, J., Kovacs, C., Maruotti, A., Meredith, P., Prytherch, D., Saucedo, A.R., Redfern, O., Schmidt, P., Sinden, N. and Smith, G. (2018) ‘Nurse Staffing levels, Missed Vital Signs and Mortality in hospitals: Retrospective Longitudinal Observational Study’, </w:t>
      </w:r>
      <w:r w:rsidRPr="00603EF2">
        <w:rPr>
          <w:rFonts w:ascii="Arial" w:eastAsia="Calibri" w:hAnsi="Arial" w:cs="Arial"/>
          <w:i/>
          <w:iCs/>
          <w:lang w:val="en-GB"/>
        </w:rPr>
        <w:t>Health Services and Delivery Research</w:t>
      </w:r>
      <w:r w:rsidRPr="00603EF2">
        <w:rPr>
          <w:rFonts w:ascii="Arial" w:eastAsia="Calibri" w:hAnsi="Arial" w:cs="Arial"/>
          <w:lang w:val="en-GB"/>
        </w:rPr>
        <w:t xml:space="preserve">, 6(38), pp.1–120. Available at: </w:t>
      </w:r>
      <w:hyperlink r:id="rId24" w:history="1">
        <w:r w:rsidRPr="00603EF2">
          <w:rPr>
            <w:rFonts w:ascii="Arial" w:eastAsia="Calibri" w:hAnsi="Arial" w:cs="Arial"/>
            <w:color w:val="467886"/>
            <w:u w:val="single"/>
            <w:lang w:val="en-GB"/>
          </w:rPr>
          <w:t xml:space="preserve">https://doi.org/10.3310/hsdr06380 </w:t>
        </w:r>
      </w:hyperlink>
      <w:r w:rsidRPr="00603EF2">
        <w:rPr>
          <w:rFonts w:ascii="Arial" w:eastAsia="Calibri" w:hAnsi="Arial" w:cs="Arial"/>
          <w:lang w:val="en-GB"/>
        </w:rPr>
        <w:t xml:space="preserve"> </w:t>
      </w:r>
    </w:p>
    <w:p w14:paraId="51CCEFEF"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t>Harris, A., Azorín, C. and Jones, M. (2023) ‘Network leadership: a new educational imperative?’, </w:t>
      </w:r>
      <w:r w:rsidRPr="00603EF2">
        <w:rPr>
          <w:rFonts w:ascii="Arial" w:eastAsia="Calibri" w:hAnsi="Arial" w:cs="Arial"/>
          <w:i/>
          <w:iCs/>
          <w:lang w:val="en-GB"/>
        </w:rPr>
        <w:t>International Journal of Leadership in Education</w:t>
      </w:r>
      <w:r w:rsidRPr="00603EF2">
        <w:rPr>
          <w:rFonts w:ascii="Arial" w:eastAsia="Calibri" w:hAnsi="Arial" w:cs="Arial"/>
          <w:lang w:val="en-GB"/>
        </w:rPr>
        <w:t xml:space="preserve">, 26(5), pp. 919–935. </w:t>
      </w:r>
      <w:r w:rsidRPr="00603EF2">
        <w:rPr>
          <w:rFonts w:ascii="Arial" w:eastAsia="Calibri" w:hAnsi="Arial" w:cs="Arial"/>
        </w:rPr>
        <w:t xml:space="preserve">Available at: </w:t>
      </w:r>
      <w:hyperlink r:id="rId25" w:history="1">
        <w:r w:rsidRPr="00603EF2">
          <w:rPr>
            <w:rFonts w:ascii="Arial" w:eastAsia="Calibri" w:hAnsi="Arial" w:cs="Arial"/>
            <w:color w:val="0563C1"/>
            <w:u w:val="single"/>
          </w:rPr>
          <w:t>https://doi.org/10.1080/13603124.2021.1919320</w:t>
        </w:r>
      </w:hyperlink>
      <w:r w:rsidRPr="00603EF2">
        <w:rPr>
          <w:rFonts w:ascii="Arial" w:eastAsia="Calibri" w:hAnsi="Arial" w:cs="Arial"/>
        </w:rPr>
        <w:t xml:space="preserve"> </w:t>
      </w:r>
    </w:p>
    <w:p w14:paraId="3E1D7AF7"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Karas, M., Sheen, N.J.L., North, R.V., Ryan, B. and Bullock, A. (2020) ‘Continuing Professional Development Requirements for UK Health professionals: a Scoping Review’, </w:t>
      </w:r>
      <w:r w:rsidRPr="00603EF2">
        <w:rPr>
          <w:rFonts w:ascii="Arial" w:eastAsia="Calibri" w:hAnsi="Arial" w:cs="Arial"/>
          <w:i/>
          <w:iCs/>
          <w:lang w:val="en-GB"/>
        </w:rPr>
        <w:t>BMJ Open</w:t>
      </w:r>
      <w:r w:rsidRPr="00603EF2">
        <w:rPr>
          <w:rFonts w:ascii="Arial" w:eastAsia="Calibri" w:hAnsi="Arial" w:cs="Arial"/>
          <w:lang w:val="en-GB"/>
        </w:rPr>
        <w:t>, 10(3), e032781.</w:t>
      </w:r>
      <w:r w:rsidRPr="00603EF2">
        <w:rPr>
          <w:rFonts w:ascii="Arial" w:eastAsia="Calibri" w:hAnsi="Arial" w:cs="Arial"/>
        </w:rPr>
        <w:t xml:space="preserve"> Available at: </w:t>
      </w:r>
      <w:hyperlink r:id="rId26" w:history="1">
        <w:r w:rsidRPr="00603EF2">
          <w:rPr>
            <w:rFonts w:ascii="Arial" w:eastAsia="Calibri" w:hAnsi="Arial" w:cs="Arial"/>
            <w:color w:val="0563C1"/>
            <w:u w:val="single"/>
          </w:rPr>
          <w:t>https://doi.org/10.1136/bmjopen-2019-032781</w:t>
        </w:r>
      </w:hyperlink>
    </w:p>
    <w:p w14:paraId="0C033917"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 xml:space="preserve">‌Knudsen, S.V., Laursen, H.V.B., Johnsen, S.P., Bartels, P.D., Ehlers, L.H. and Mainz, J. (2019) ‘Can Quality Improvement Improve the Quality of Care? A Systematic Review of Reported Effects and Methodological Rigor in plan-do-study-act Projects’, </w:t>
      </w:r>
      <w:r w:rsidRPr="00603EF2">
        <w:rPr>
          <w:rFonts w:ascii="Arial" w:eastAsia="Calibri" w:hAnsi="Arial" w:cs="Arial"/>
          <w:i/>
          <w:iCs/>
          <w:lang w:val="en-GB"/>
        </w:rPr>
        <w:t>BMC Health Services Research</w:t>
      </w:r>
      <w:r w:rsidRPr="00603EF2">
        <w:rPr>
          <w:rFonts w:ascii="Arial" w:eastAsia="Calibri" w:hAnsi="Arial" w:cs="Arial"/>
          <w:lang w:val="en-GB"/>
        </w:rPr>
        <w:t xml:space="preserve">, 19(1), pp.1–10. Available at: </w:t>
      </w:r>
      <w:hyperlink r:id="rId27" w:history="1">
        <w:r w:rsidRPr="00603EF2">
          <w:rPr>
            <w:rFonts w:ascii="Arial" w:eastAsia="Calibri" w:hAnsi="Arial" w:cs="Arial"/>
            <w:color w:val="467886"/>
            <w:u w:val="single"/>
            <w:lang w:val="en-GB"/>
          </w:rPr>
          <w:t>https://doi.org/10.1186/s12913-019-4482-6</w:t>
        </w:r>
      </w:hyperlink>
      <w:r w:rsidRPr="00603EF2">
        <w:rPr>
          <w:rFonts w:ascii="Arial" w:eastAsia="Calibri" w:hAnsi="Arial" w:cs="Arial"/>
          <w:lang w:val="en-GB"/>
        </w:rPr>
        <w:t xml:space="preserve"> </w:t>
      </w:r>
    </w:p>
    <w:p w14:paraId="72B1D549"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Macleod, S. and Hodges, C. (2022) </w:t>
      </w:r>
      <w:r w:rsidRPr="00603EF2">
        <w:rPr>
          <w:rFonts w:ascii="Arial" w:eastAsia="Calibri" w:hAnsi="Arial" w:cs="Arial"/>
          <w:i/>
          <w:iCs/>
          <w:lang w:val="en-GB"/>
        </w:rPr>
        <w:t>No-Fault Approaches in the NHS</w:t>
      </w:r>
      <w:r w:rsidRPr="00603EF2">
        <w:rPr>
          <w:rFonts w:ascii="Arial" w:eastAsia="Calibri" w:hAnsi="Arial" w:cs="Arial"/>
          <w:lang w:val="en-GB"/>
        </w:rPr>
        <w:t>. Bloomsbury Publishing.</w:t>
      </w:r>
    </w:p>
    <w:p w14:paraId="2B50389F"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lastRenderedPageBreak/>
        <w:t>Mahmoud, Z., Angelé-Halgand, N., Churruca, K., Ellis, L. A. and Braithwaite, J. (2021) ‘The impact of lean management on frontline healthcare professionals: a scoping review of the literature’, </w:t>
      </w:r>
      <w:r w:rsidRPr="00603EF2">
        <w:rPr>
          <w:rFonts w:ascii="Arial" w:eastAsia="Calibri" w:hAnsi="Arial" w:cs="Arial"/>
          <w:i/>
          <w:iCs/>
          <w:lang w:val="en-GB"/>
        </w:rPr>
        <w:t>BMC health services research</w:t>
      </w:r>
      <w:r w:rsidRPr="00603EF2">
        <w:rPr>
          <w:rFonts w:ascii="Arial" w:eastAsia="Calibri" w:hAnsi="Arial" w:cs="Arial"/>
          <w:lang w:val="en-GB"/>
        </w:rPr>
        <w:t xml:space="preserve">, 21(1), 383. Available at: </w:t>
      </w:r>
      <w:hyperlink r:id="rId28" w:history="1">
        <w:r w:rsidRPr="00603EF2">
          <w:rPr>
            <w:rFonts w:ascii="Arial" w:eastAsia="Calibri" w:hAnsi="Arial" w:cs="Arial"/>
            <w:color w:val="467886"/>
            <w:u w:val="single"/>
            <w:lang w:val="en-GB"/>
          </w:rPr>
          <w:t>https://doi.org/10.1186/s12913-021-06344-0</w:t>
        </w:r>
      </w:hyperlink>
      <w:r w:rsidRPr="00603EF2">
        <w:rPr>
          <w:rFonts w:ascii="Arial" w:eastAsia="Calibri" w:hAnsi="Arial" w:cs="Arial"/>
          <w:lang w:val="en-GB"/>
        </w:rPr>
        <w:t xml:space="preserve"> </w:t>
      </w:r>
    </w:p>
    <w:p w14:paraId="3F990334"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t>‌</w:t>
      </w:r>
      <w:r w:rsidRPr="00603EF2">
        <w:rPr>
          <w:rFonts w:ascii="Arial" w:eastAsia="Calibri" w:hAnsi="Arial" w:cs="Arial"/>
        </w:rPr>
        <w:t>Majka, M. (2024) </w:t>
      </w:r>
      <w:r w:rsidRPr="00603EF2">
        <w:rPr>
          <w:rFonts w:ascii="Arial" w:eastAsia="Calibri" w:hAnsi="Arial" w:cs="Arial"/>
          <w:i/>
          <w:iCs/>
        </w:rPr>
        <w:t>Root Cause Analysis</w:t>
      </w:r>
      <w:r w:rsidRPr="00603EF2">
        <w:rPr>
          <w:rFonts w:ascii="Arial" w:eastAsia="Calibri" w:hAnsi="Arial" w:cs="Arial"/>
        </w:rPr>
        <w:t xml:space="preserve">. Available at: </w:t>
      </w:r>
      <w:hyperlink r:id="rId29" w:history="1">
        <w:r w:rsidRPr="00603EF2">
          <w:rPr>
            <w:rFonts w:ascii="Arial" w:eastAsia="Calibri" w:hAnsi="Arial" w:cs="Arial"/>
            <w:color w:val="467886"/>
            <w:u w:val="single"/>
          </w:rPr>
          <w:t>https://www.researchgate.net/profile/Marcin-Majka-2/publication/384965537_Root_Ca</w:t>
        </w:r>
        <w:r w:rsidRPr="00603EF2">
          <w:rPr>
            <w:rFonts w:ascii="Arial" w:eastAsia="Calibri" w:hAnsi="Arial" w:cs="Arial"/>
            <w:color w:val="467886"/>
            <w:u w:val="single"/>
          </w:rPr>
          <w:t>use_Analysis/links/670f95a0a1a8fb46747d6442/Root-Cause-Analysis.pdf</w:t>
        </w:r>
      </w:hyperlink>
      <w:r w:rsidRPr="00603EF2">
        <w:rPr>
          <w:rFonts w:ascii="Arial" w:eastAsia="Calibri" w:hAnsi="Arial" w:cs="Arial"/>
        </w:rPr>
        <w:t xml:space="preserve"> (Accessed: 19 March 2026)</w:t>
      </w:r>
    </w:p>
    <w:p w14:paraId="6C1CBAC1"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Mannion, R. and Davies, H.T. (2015) ‘Cultures of Silence and Cultures of Voice: The Role of Whistleblowing in Healthcare Organisations’, </w:t>
      </w:r>
      <w:r w:rsidRPr="00603EF2">
        <w:rPr>
          <w:rFonts w:ascii="Arial" w:eastAsia="Calibri" w:hAnsi="Arial" w:cs="Arial"/>
          <w:i/>
          <w:iCs/>
        </w:rPr>
        <w:t>International Journal of Health Policy and Management</w:t>
      </w:r>
      <w:r w:rsidRPr="00603EF2">
        <w:rPr>
          <w:rFonts w:ascii="Arial" w:eastAsia="Calibri" w:hAnsi="Arial" w:cs="Arial"/>
        </w:rPr>
        <w:t xml:space="preserve">, 4(8), pp.503–505. Available at: </w:t>
      </w:r>
      <w:hyperlink r:id="rId30" w:history="1">
        <w:r w:rsidRPr="00603EF2">
          <w:rPr>
            <w:rFonts w:ascii="Arial" w:eastAsia="Calibri" w:hAnsi="Arial" w:cs="Arial"/>
            <w:color w:val="467886"/>
            <w:u w:val="single"/>
          </w:rPr>
          <w:t>https://doi.org/10.15171/ijhpm.2015.120</w:t>
        </w:r>
      </w:hyperlink>
      <w:r w:rsidRPr="00603EF2">
        <w:rPr>
          <w:rFonts w:ascii="Arial" w:eastAsia="Calibri" w:hAnsi="Arial" w:cs="Arial"/>
        </w:rPr>
        <w:t xml:space="preserve"> </w:t>
      </w:r>
    </w:p>
    <w:p w14:paraId="2535684A"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Mccormack, B., McCance, T., Bulley, C., Brown, D., McMillan, A. and Martin, S. (2021) </w:t>
      </w:r>
      <w:r w:rsidRPr="00603EF2">
        <w:rPr>
          <w:rFonts w:ascii="Arial" w:eastAsia="Calibri" w:hAnsi="Arial" w:cs="Arial"/>
          <w:i/>
          <w:iCs/>
          <w:lang w:val="en-GB"/>
        </w:rPr>
        <w:t>Fundamentals of person-centred practice.</w:t>
      </w:r>
      <w:r w:rsidRPr="00603EF2">
        <w:rPr>
          <w:rFonts w:ascii="Arial" w:eastAsia="Calibri" w:hAnsi="Arial" w:cs="Arial"/>
          <w:lang w:val="en-GB"/>
        </w:rPr>
        <w:t> S.L.: Wiley-Blackwell.</w:t>
      </w:r>
    </w:p>
    <w:p w14:paraId="0CEEA133"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NHS England (2023) </w:t>
      </w:r>
      <w:r w:rsidRPr="00603EF2">
        <w:rPr>
          <w:rFonts w:ascii="Arial" w:eastAsia="Calibri" w:hAnsi="Arial" w:cs="Arial"/>
          <w:i/>
          <w:iCs/>
          <w:lang w:val="en-GB"/>
        </w:rPr>
        <w:t>NHS Delivery and Continuous Improvement review: Recommendations</w:t>
      </w:r>
      <w:r w:rsidRPr="00603EF2">
        <w:rPr>
          <w:rFonts w:ascii="Arial" w:eastAsia="Calibri" w:hAnsi="Arial" w:cs="Arial"/>
          <w:lang w:val="en-GB"/>
        </w:rPr>
        <w:t xml:space="preserve">. Available at: </w:t>
      </w:r>
      <w:hyperlink r:id="rId31" w:history="1">
        <w:r w:rsidRPr="00603EF2">
          <w:rPr>
            <w:rFonts w:ascii="Arial" w:eastAsia="Calibri" w:hAnsi="Arial" w:cs="Arial"/>
            <w:color w:val="467886"/>
            <w:u w:val="single"/>
            <w:lang w:val="en-GB"/>
          </w:rPr>
          <w:t>https://www.england.nhs.uk/long-read/nhs-delivery-and-continuous-improvement-review-recommendations/</w:t>
        </w:r>
      </w:hyperlink>
      <w:r w:rsidRPr="00603EF2">
        <w:rPr>
          <w:rFonts w:ascii="Arial" w:eastAsia="Calibri" w:hAnsi="Arial" w:cs="Arial"/>
          <w:lang w:val="en-GB"/>
        </w:rPr>
        <w:t xml:space="preserve"> (Accessed: 21 April 2026).</w:t>
      </w:r>
    </w:p>
    <w:p w14:paraId="39AACB7D"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lang w:val="en-GB"/>
        </w:rPr>
        <w:t xml:space="preserve">‌NHS Wales (2024) </w:t>
      </w:r>
      <w:r w:rsidRPr="00603EF2">
        <w:rPr>
          <w:rFonts w:ascii="Arial" w:eastAsia="Calibri" w:hAnsi="Arial" w:cs="Arial"/>
          <w:i/>
          <w:iCs/>
          <w:lang w:val="en-GB"/>
        </w:rPr>
        <w:t>What is a Quality Management System?</w:t>
      </w:r>
      <w:r w:rsidRPr="00603EF2">
        <w:rPr>
          <w:rFonts w:ascii="Arial" w:eastAsia="Calibri" w:hAnsi="Arial" w:cs="Arial"/>
          <w:lang w:val="en-GB"/>
        </w:rPr>
        <w:t>.</w:t>
      </w:r>
      <w:r w:rsidRPr="00603EF2">
        <w:rPr>
          <w:rFonts w:ascii="Arial" w:eastAsia="Calibri" w:hAnsi="Arial" w:cs="Arial"/>
        </w:rPr>
        <w:t xml:space="preserve"> </w:t>
      </w:r>
      <w:r w:rsidRPr="00603EF2">
        <w:rPr>
          <w:rFonts w:ascii="Arial" w:eastAsia="Calibri" w:hAnsi="Arial" w:cs="Arial"/>
          <w:lang w:val="en-GB"/>
        </w:rPr>
        <w:t xml:space="preserve">Available at: </w:t>
      </w:r>
      <w:hyperlink r:id="rId32" w:history="1">
        <w:r w:rsidRPr="00603EF2">
          <w:rPr>
            <w:rFonts w:ascii="Arial" w:eastAsia="Calibri" w:hAnsi="Arial" w:cs="Arial"/>
            <w:color w:val="467886"/>
            <w:u w:val="single"/>
            <w:lang w:val="en-GB"/>
          </w:rPr>
          <w:t>https://performanceandimprovement.nhs.wales/functions/quality-safety-and-improvement/quality-and-safety/quality-management-systems-hub/what-is-a-quality-management-system/</w:t>
        </w:r>
      </w:hyperlink>
      <w:r w:rsidRPr="00603EF2">
        <w:rPr>
          <w:rFonts w:ascii="Arial" w:eastAsia="Calibri" w:hAnsi="Arial" w:cs="Arial"/>
          <w:lang w:val="en-GB"/>
        </w:rPr>
        <w:t xml:space="preserve"> (Accessed 02 March 2026)</w:t>
      </w:r>
    </w:p>
    <w:p w14:paraId="684D4975"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Parast, M.M. and Golmohammadi, D. (2019) ‘Quality management in healthcare organizations: Empirical evidence from the baldrige data’, </w:t>
      </w:r>
      <w:r w:rsidRPr="00603EF2">
        <w:rPr>
          <w:rFonts w:ascii="Arial" w:eastAsia="Calibri" w:hAnsi="Arial" w:cs="Arial"/>
          <w:i/>
          <w:iCs/>
          <w:lang w:val="en-GB"/>
        </w:rPr>
        <w:t>International Journal of Production Economics</w:t>
      </w:r>
      <w:r w:rsidRPr="00603EF2">
        <w:rPr>
          <w:rFonts w:ascii="Arial" w:eastAsia="Calibri" w:hAnsi="Arial" w:cs="Arial"/>
          <w:lang w:val="en-GB"/>
        </w:rPr>
        <w:t xml:space="preserve">, 216(216), pp.133–144. Available at: </w:t>
      </w:r>
      <w:hyperlink r:id="rId33" w:history="1">
        <w:r w:rsidRPr="00603EF2">
          <w:rPr>
            <w:rFonts w:ascii="Arial" w:eastAsia="Calibri" w:hAnsi="Arial" w:cs="Arial"/>
            <w:color w:val="467886"/>
            <w:u w:val="single"/>
            <w:lang w:val="en-GB"/>
          </w:rPr>
          <w:t>https://doi.org/10.1016/j.ijpe.2019.04.011</w:t>
        </w:r>
      </w:hyperlink>
      <w:r w:rsidRPr="00603EF2">
        <w:rPr>
          <w:rFonts w:ascii="Arial" w:eastAsia="Calibri" w:hAnsi="Arial" w:cs="Arial"/>
          <w:lang w:val="en-GB"/>
        </w:rPr>
        <w:t xml:space="preserve"> </w:t>
      </w:r>
    </w:p>
    <w:p w14:paraId="7807FF8B"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Peerally, M. F., Carr, S., Waring, J. and Dixon-Woods, M. (2017) ‘The problem with root cause analysis’, </w:t>
      </w:r>
      <w:r w:rsidRPr="00603EF2">
        <w:rPr>
          <w:rFonts w:ascii="Arial" w:eastAsia="Calibri" w:hAnsi="Arial" w:cs="Arial"/>
          <w:i/>
          <w:iCs/>
          <w:lang w:val="en-GB"/>
        </w:rPr>
        <w:t>BMJ quality &amp; safety</w:t>
      </w:r>
      <w:r w:rsidRPr="00603EF2">
        <w:rPr>
          <w:rFonts w:ascii="Arial" w:eastAsia="Calibri" w:hAnsi="Arial" w:cs="Arial"/>
          <w:lang w:val="en-GB"/>
        </w:rPr>
        <w:t>, </w:t>
      </w:r>
      <w:r w:rsidRPr="00603EF2">
        <w:rPr>
          <w:rFonts w:ascii="Arial" w:eastAsia="Calibri" w:hAnsi="Arial" w:cs="Arial"/>
          <w:i/>
          <w:iCs/>
          <w:lang w:val="en-GB"/>
        </w:rPr>
        <w:t>26</w:t>
      </w:r>
      <w:r w:rsidRPr="00603EF2">
        <w:rPr>
          <w:rFonts w:ascii="Arial" w:eastAsia="Calibri" w:hAnsi="Arial" w:cs="Arial"/>
          <w:lang w:val="en-GB"/>
        </w:rPr>
        <w:t xml:space="preserve">(5), 417–422. Available at: </w:t>
      </w:r>
      <w:hyperlink r:id="rId34" w:history="1">
        <w:r w:rsidRPr="00603EF2">
          <w:rPr>
            <w:rFonts w:ascii="Arial" w:eastAsia="Calibri" w:hAnsi="Arial" w:cs="Arial"/>
            <w:color w:val="467886"/>
            <w:u w:val="single"/>
            <w:lang w:val="en-GB"/>
          </w:rPr>
          <w:t>https://doi.org/10.1136/bmjqs-2016-005511</w:t>
        </w:r>
      </w:hyperlink>
    </w:p>
    <w:p w14:paraId="65E362DE"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Peerally, M.F., Carr, S., Waring, J. and Dixon-Woods, M. (2017) ‘The problem with root cause analysis’, </w:t>
      </w:r>
      <w:r w:rsidRPr="00603EF2">
        <w:rPr>
          <w:rFonts w:ascii="Arial" w:eastAsia="Calibri" w:hAnsi="Arial" w:cs="Arial"/>
          <w:i/>
          <w:iCs/>
          <w:lang w:val="en-GB"/>
        </w:rPr>
        <w:t>BMJ Quality &amp; Safety</w:t>
      </w:r>
      <w:r w:rsidRPr="00603EF2">
        <w:rPr>
          <w:rFonts w:ascii="Arial" w:eastAsia="Calibri" w:hAnsi="Arial" w:cs="Arial"/>
          <w:lang w:val="en-GB"/>
        </w:rPr>
        <w:t xml:space="preserve">, 26(5), pp.417–422. Available at: </w:t>
      </w:r>
      <w:hyperlink r:id="rId35" w:history="1">
        <w:r w:rsidRPr="00603EF2">
          <w:rPr>
            <w:rFonts w:ascii="Arial" w:eastAsia="Calibri" w:hAnsi="Arial" w:cs="Arial"/>
            <w:color w:val="467886"/>
            <w:u w:val="single"/>
            <w:lang w:val="en-GB"/>
          </w:rPr>
          <w:t>https://doi.org/10.1136/bmjqs-2016-005511</w:t>
        </w:r>
      </w:hyperlink>
      <w:r w:rsidRPr="00603EF2">
        <w:rPr>
          <w:rFonts w:ascii="Arial" w:eastAsia="Calibri" w:hAnsi="Arial" w:cs="Arial"/>
          <w:lang w:val="en-GB"/>
        </w:rPr>
        <w:t xml:space="preserve"> </w:t>
      </w:r>
    </w:p>
    <w:p w14:paraId="5F54C3BA"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Petrillo, A., Felice, F.D., Longo, F. and Bruzzone, A. (2017) ‘Factors affecting the human error: representations of mental models for emergency management’, International Journal of Simulation and Process Modelling, 12(3/4), p.287. Available at: </w:t>
      </w:r>
      <w:hyperlink r:id="rId36" w:history="1">
        <w:r w:rsidRPr="00603EF2">
          <w:rPr>
            <w:rFonts w:ascii="Arial" w:eastAsia="Calibri" w:hAnsi="Arial" w:cs="Arial"/>
            <w:color w:val="0563C1"/>
            <w:u w:val="single"/>
          </w:rPr>
          <w:t>http://dx.doi.org/10.1504/IJSPM.2017.10006511</w:t>
        </w:r>
      </w:hyperlink>
    </w:p>
    <w:p w14:paraId="51E591AF"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lastRenderedPageBreak/>
        <w:t xml:space="preserve">Ramsey, S. M., Brooks, J., Briggs, M. and Hallett, C. E. (2022) ‘Corporatising compassion? A contemporary history study of English NHS Trusts' nursing strategy documents’, </w:t>
      </w:r>
      <w:r w:rsidRPr="00603EF2">
        <w:rPr>
          <w:rFonts w:ascii="Arial" w:eastAsia="Calibri" w:hAnsi="Arial" w:cs="Arial"/>
          <w:i/>
          <w:iCs/>
        </w:rPr>
        <w:t>Nursing Inquiry</w:t>
      </w:r>
      <w:r w:rsidRPr="00603EF2">
        <w:rPr>
          <w:rFonts w:ascii="Arial" w:eastAsia="Calibri" w:hAnsi="Arial" w:cs="Arial"/>
        </w:rPr>
        <w:t xml:space="preserve">, 29(4), e12486. Available at: </w:t>
      </w:r>
      <w:hyperlink r:id="rId37" w:history="1">
        <w:r w:rsidRPr="00603EF2">
          <w:rPr>
            <w:rFonts w:ascii="Arial" w:eastAsia="Calibri" w:hAnsi="Arial" w:cs="Arial"/>
            <w:color w:val="467886"/>
            <w:u w:val="single"/>
          </w:rPr>
          <w:t>https://doi.org/10.1111/nin.12486</w:t>
        </w:r>
      </w:hyperlink>
      <w:r w:rsidRPr="00603EF2">
        <w:rPr>
          <w:rFonts w:ascii="Arial" w:eastAsia="Calibri" w:hAnsi="Arial" w:cs="Arial"/>
        </w:rPr>
        <w:t xml:space="preserve"> </w:t>
      </w:r>
    </w:p>
    <w:p w14:paraId="6F12BB9E"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Reason, J. (1990) </w:t>
      </w:r>
      <w:r w:rsidRPr="00603EF2">
        <w:rPr>
          <w:rFonts w:ascii="Arial" w:eastAsia="Calibri" w:hAnsi="Arial" w:cs="Arial"/>
          <w:i/>
          <w:iCs/>
        </w:rPr>
        <w:t>Human error,</w:t>
      </w:r>
      <w:r w:rsidRPr="00603EF2">
        <w:rPr>
          <w:rFonts w:ascii="Arial" w:eastAsia="Calibri" w:hAnsi="Arial" w:cs="Arial"/>
        </w:rPr>
        <w:t xml:space="preserve"> Cambridge university press. </w:t>
      </w:r>
    </w:p>
    <w:p w14:paraId="3CB47C75"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Ross, J. E. (2017) ‘Total quality management: Text, cases, and readings’, </w:t>
      </w:r>
      <w:r w:rsidRPr="00603EF2">
        <w:rPr>
          <w:rFonts w:ascii="Arial" w:eastAsia="Calibri" w:hAnsi="Arial" w:cs="Arial"/>
          <w:i/>
          <w:iCs/>
        </w:rPr>
        <w:t>Routledge.</w:t>
      </w:r>
      <w:r w:rsidRPr="00603EF2">
        <w:rPr>
          <w:rFonts w:ascii="Arial" w:eastAsia="Calibri" w:hAnsi="Arial" w:cs="Arial"/>
        </w:rPr>
        <w:t xml:space="preserve"> Available at: </w:t>
      </w:r>
      <w:hyperlink r:id="rId38" w:history="1">
        <w:r w:rsidRPr="00603EF2">
          <w:rPr>
            <w:rFonts w:ascii="Arial" w:eastAsia="Calibri" w:hAnsi="Arial" w:cs="Arial"/>
            <w:color w:val="0563C1"/>
            <w:u w:val="single"/>
          </w:rPr>
          <w:t>https://doi.org/10.1201/9780203735466</w:t>
        </w:r>
      </w:hyperlink>
    </w:p>
    <w:p w14:paraId="7317693F"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 xml:space="preserve">Santana, M.J., Manalili, K., Jolley, R.J., Zelinsky, S., Quan, H. and Lu, M. (2018) ‘How to practice person-centred care: A conceptual framework’, </w:t>
      </w:r>
      <w:r w:rsidRPr="00603EF2">
        <w:rPr>
          <w:rFonts w:ascii="Arial" w:eastAsia="Calibri" w:hAnsi="Arial" w:cs="Arial"/>
          <w:i/>
          <w:iCs/>
          <w:lang w:val="en-GB"/>
        </w:rPr>
        <w:t>Health Expectations</w:t>
      </w:r>
      <w:r w:rsidRPr="00603EF2">
        <w:rPr>
          <w:rFonts w:ascii="Arial" w:eastAsia="Calibri" w:hAnsi="Arial" w:cs="Arial"/>
          <w:lang w:val="en-GB"/>
        </w:rPr>
        <w:t xml:space="preserve">, 21(2), pp.429–440. Availabe at: </w:t>
      </w:r>
      <w:hyperlink r:id="rId39" w:history="1">
        <w:r w:rsidRPr="00603EF2">
          <w:rPr>
            <w:rFonts w:ascii="Arial" w:eastAsia="Calibri" w:hAnsi="Arial" w:cs="Arial"/>
            <w:color w:val="467886"/>
            <w:u w:val="single"/>
            <w:lang w:val="en-GB"/>
          </w:rPr>
          <w:t>https://doi.org/10.1111/hex.12640</w:t>
        </w:r>
      </w:hyperlink>
      <w:r w:rsidRPr="00603EF2">
        <w:rPr>
          <w:rFonts w:ascii="Arial" w:eastAsia="Calibri" w:hAnsi="Arial" w:cs="Arial"/>
          <w:lang w:val="en-GB"/>
        </w:rPr>
        <w:t xml:space="preserve"> </w:t>
      </w:r>
    </w:p>
    <w:p w14:paraId="642D806F"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Saporito, A. and Georgis, B.M. (2025) ‘Strategic Problem-Solving and Decision-Making in Healthcare Management: Tools, Techniques, and Applications’, in </w:t>
      </w:r>
      <w:r w:rsidRPr="00603EF2">
        <w:rPr>
          <w:rFonts w:ascii="Arial" w:eastAsia="Calibri" w:hAnsi="Arial" w:cs="Arial"/>
          <w:i/>
          <w:iCs/>
        </w:rPr>
        <w:t>Healthcare Services Management</w:t>
      </w:r>
      <w:r w:rsidRPr="00603EF2">
        <w:rPr>
          <w:rFonts w:ascii="Arial" w:eastAsia="Calibri" w:hAnsi="Arial" w:cs="Arial"/>
        </w:rPr>
        <w:t xml:space="preserve">, pp.57-67. Springer, Cham. Available at: </w:t>
      </w:r>
      <w:hyperlink r:id="rId40" w:history="1">
        <w:r w:rsidRPr="00603EF2">
          <w:rPr>
            <w:rFonts w:ascii="Arial" w:eastAsia="Calibri" w:hAnsi="Arial" w:cs="Arial"/>
            <w:color w:val="467886"/>
            <w:u w:val="single"/>
          </w:rPr>
          <w:t>https://doi.org/10.1007/978-3-032-12602-3_6</w:t>
        </w:r>
      </w:hyperlink>
      <w:r w:rsidRPr="00603EF2">
        <w:rPr>
          <w:rFonts w:ascii="Arial" w:eastAsia="Calibri" w:hAnsi="Arial" w:cs="Arial"/>
        </w:rPr>
        <w:t xml:space="preserve">  (Accessed: 03 March 2026)</w:t>
      </w:r>
    </w:p>
    <w:p w14:paraId="40A5078D"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Seshia, S.S., Bryan Young, G., Makhinson, M., Smith, P.A., Stobart, K. and Croskerry, P. (2017) ‘Gating the holes in the Swiss cheese (part I): Expanding professor Reason’s model for patient safety’, </w:t>
      </w:r>
      <w:r w:rsidRPr="00603EF2">
        <w:rPr>
          <w:rFonts w:ascii="Arial" w:eastAsia="Calibri" w:hAnsi="Arial" w:cs="Arial"/>
          <w:i/>
          <w:iCs/>
          <w:lang w:val="en-GB"/>
        </w:rPr>
        <w:t>Journal of Evaluation in Clinical Practice</w:t>
      </w:r>
      <w:r w:rsidRPr="00603EF2">
        <w:rPr>
          <w:rFonts w:ascii="Arial" w:eastAsia="Calibri" w:hAnsi="Arial" w:cs="Arial"/>
          <w:lang w:val="en-GB"/>
        </w:rPr>
        <w:t xml:space="preserve">, 24(1), pp.187–197. </w:t>
      </w:r>
      <w:r w:rsidRPr="00603EF2">
        <w:rPr>
          <w:rFonts w:ascii="Arial" w:eastAsia="Calibri" w:hAnsi="Arial" w:cs="Arial"/>
        </w:rPr>
        <w:t xml:space="preserve">Available at: </w:t>
      </w:r>
      <w:hyperlink r:id="rId41" w:history="1">
        <w:r w:rsidRPr="00603EF2">
          <w:rPr>
            <w:rFonts w:ascii="Arial" w:eastAsia="Calibri" w:hAnsi="Arial" w:cs="Arial"/>
            <w:color w:val="0563C1"/>
            <w:u w:val="single"/>
          </w:rPr>
          <w:t>https://doi.org/10.1111/jep.12847</w:t>
        </w:r>
      </w:hyperlink>
      <w:r w:rsidRPr="00603EF2">
        <w:rPr>
          <w:rFonts w:ascii="Arial" w:eastAsia="Calibri" w:hAnsi="Arial" w:cs="Arial"/>
          <w:lang w:val="en-GB"/>
        </w:rPr>
        <w:t>‌</w:t>
      </w:r>
    </w:p>
    <w:p w14:paraId="161F9546"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rPr>
        <w:t xml:space="preserve">Smith, J. and Chambers, N. (2019) ‘Mid Staffordshire: a Case Study of Failed Governance and Leadership?, </w:t>
      </w:r>
      <w:r w:rsidRPr="00603EF2">
        <w:rPr>
          <w:rFonts w:ascii="Arial" w:eastAsia="Calibri" w:hAnsi="Arial" w:cs="Arial"/>
          <w:i/>
          <w:iCs/>
        </w:rPr>
        <w:t>The Political Quarterly</w:t>
      </w:r>
      <w:r w:rsidRPr="00603EF2">
        <w:rPr>
          <w:rFonts w:ascii="Arial" w:eastAsia="Calibri" w:hAnsi="Arial" w:cs="Arial"/>
        </w:rPr>
        <w:t xml:space="preserve">, 90(2), 194-201. Available at: </w:t>
      </w:r>
      <w:hyperlink r:id="rId42" w:history="1">
        <w:r w:rsidRPr="00603EF2">
          <w:rPr>
            <w:rFonts w:ascii="Arial" w:eastAsia="Calibri" w:hAnsi="Arial" w:cs="Arial"/>
            <w:color w:val="467886"/>
            <w:u w:val="single"/>
          </w:rPr>
          <w:t>https://doi.org/10.1111/1467-923X.12698</w:t>
        </w:r>
      </w:hyperlink>
      <w:r w:rsidRPr="00603EF2">
        <w:rPr>
          <w:rFonts w:ascii="Arial" w:eastAsia="Calibri" w:hAnsi="Arial" w:cs="Arial"/>
        </w:rPr>
        <w:t xml:space="preserve"> </w:t>
      </w:r>
    </w:p>
    <w:p w14:paraId="54AE6B3B"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Tossaint-Schoenmakers, R., Versluis, A., Chavannes, N., Talboom-Kamp, E. and Kasteleyn, M. (2021) ‘The Challenge of Integrating eHealth Into Health Care: Systematic Literature Review of the Donabedian Model of Structure, Process, and Outcome’, </w:t>
      </w:r>
      <w:r w:rsidRPr="00603EF2">
        <w:rPr>
          <w:rFonts w:ascii="Arial" w:eastAsia="Calibri" w:hAnsi="Arial" w:cs="Arial"/>
          <w:i/>
          <w:iCs/>
          <w:lang w:val="en-GB"/>
        </w:rPr>
        <w:t>Journal of Medical Internet Research</w:t>
      </w:r>
      <w:r w:rsidRPr="00603EF2">
        <w:rPr>
          <w:rFonts w:ascii="Arial" w:eastAsia="Calibri" w:hAnsi="Arial" w:cs="Arial"/>
          <w:lang w:val="en-GB"/>
        </w:rPr>
        <w:t xml:space="preserve">, 23(5), p.e27180. Available at: </w:t>
      </w:r>
      <w:hyperlink r:id="rId43" w:history="1">
        <w:r w:rsidRPr="00603EF2">
          <w:rPr>
            <w:rFonts w:ascii="Arial" w:eastAsia="Calibri" w:hAnsi="Arial" w:cs="Arial"/>
            <w:color w:val="467886"/>
            <w:u w:val="single"/>
            <w:lang w:val="en-GB"/>
          </w:rPr>
          <w:t>https://doi.org/10.2196/27180</w:t>
        </w:r>
      </w:hyperlink>
      <w:r w:rsidRPr="00603EF2">
        <w:rPr>
          <w:rFonts w:ascii="Arial" w:eastAsia="Calibri" w:hAnsi="Arial" w:cs="Arial"/>
          <w:lang w:val="en-GB"/>
        </w:rPr>
        <w:t xml:space="preserve"> </w:t>
      </w:r>
    </w:p>
    <w:p w14:paraId="4254973E"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 xml:space="preserve">West, M., Armit, K., Loewenthal, L., Eckert, R., West, T. and Lee, A. (2015) ‘Leadership and Leadership Development in Health Care’, </w:t>
      </w:r>
      <w:r w:rsidRPr="00603EF2">
        <w:rPr>
          <w:rFonts w:ascii="Arial" w:eastAsia="Calibri" w:hAnsi="Arial" w:cs="Arial"/>
          <w:i/>
          <w:iCs/>
          <w:lang w:val="en-GB"/>
        </w:rPr>
        <w:t>The King’s Fund</w:t>
      </w:r>
      <w:r w:rsidRPr="00603EF2">
        <w:rPr>
          <w:rFonts w:ascii="Arial" w:eastAsia="Calibri" w:hAnsi="Arial" w:cs="Arial"/>
          <w:lang w:val="en-GB"/>
        </w:rPr>
        <w:t xml:space="preserve">, 25 February. Available at: </w:t>
      </w:r>
      <w:hyperlink r:id="rId44" w:history="1">
        <w:r w:rsidRPr="00603EF2">
          <w:rPr>
            <w:rFonts w:ascii="Arial" w:eastAsia="Calibri" w:hAnsi="Arial" w:cs="Arial"/>
            <w:color w:val="467886"/>
            <w:u w:val="single"/>
            <w:lang w:val="en-GB"/>
          </w:rPr>
          <w:t>https://www.kingsfund.org.uk/insight-and-analysis/reports/leadership-development-health-care</w:t>
        </w:r>
      </w:hyperlink>
      <w:r w:rsidRPr="00603EF2">
        <w:rPr>
          <w:rFonts w:ascii="Arial" w:eastAsia="Calibri" w:hAnsi="Arial" w:cs="Arial"/>
          <w:lang w:val="en-GB"/>
        </w:rPr>
        <w:t xml:space="preserve"> (Accessed: 25 March 2026).</w:t>
      </w:r>
    </w:p>
    <w:p w14:paraId="423AF313"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 xml:space="preserve">Wiegmann, D.A., J. Wood, L., N. Cohen, T. and Shappell, S.A. (2022) ‘Understanding the ‘Swiss cheese model’ and its application to patient safety’, </w:t>
      </w:r>
      <w:r w:rsidRPr="00603EF2">
        <w:rPr>
          <w:rFonts w:ascii="Arial" w:eastAsia="Calibri" w:hAnsi="Arial" w:cs="Arial"/>
          <w:i/>
          <w:iCs/>
        </w:rPr>
        <w:t>Journal of Patient Safety</w:t>
      </w:r>
      <w:r w:rsidRPr="00603EF2">
        <w:rPr>
          <w:rFonts w:ascii="Arial" w:eastAsia="Calibri" w:hAnsi="Arial" w:cs="Arial"/>
        </w:rPr>
        <w:t xml:space="preserve">,18(2), pp.119–123. Available at: </w:t>
      </w:r>
      <w:hyperlink r:id="rId45" w:history="1">
        <w:r w:rsidRPr="00603EF2">
          <w:rPr>
            <w:rFonts w:ascii="Arial" w:eastAsia="Calibri" w:hAnsi="Arial" w:cs="Arial"/>
            <w:color w:val="467886"/>
            <w:u w:val="single"/>
          </w:rPr>
          <w:t>https://www.ncbi.nlm.nih.gov/pmc/articles/PMC8514562/</w:t>
        </w:r>
      </w:hyperlink>
      <w:r w:rsidRPr="00603EF2">
        <w:rPr>
          <w:rFonts w:ascii="Arial" w:eastAsia="Calibri" w:hAnsi="Arial" w:cs="Arial"/>
        </w:rPr>
        <w:t xml:space="preserve"> (Accessed 21 March 2026).</w:t>
      </w:r>
    </w:p>
    <w:p w14:paraId="6A8BF9AA" w14:textId="77777777" w:rsidR="00603EF2" w:rsidRPr="00603EF2" w:rsidRDefault="00603EF2" w:rsidP="00603EF2">
      <w:pPr>
        <w:numPr>
          <w:ilvl w:val="0"/>
          <w:numId w:val="3"/>
        </w:numPr>
        <w:spacing w:after="0" w:line="360" w:lineRule="auto"/>
        <w:rPr>
          <w:rFonts w:ascii="Arial" w:eastAsia="Times New Roman" w:hAnsi="Arial" w:cs="Arial"/>
          <w:color w:val="000000"/>
          <w:lang w:val="en-GB" w:eastAsia="en-GB"/>
        </w:rPr>
      </w:pPr>
      <w:r w:rsidRPr="00603EF2">
        <w:rPr>
          <w:rFonts w:ascii="Arial" w:eastAsia="Times New Roman" w:hAnsi="Arial" w:cs="Arial"/>
          <w:color w:val="000000"/>
          <w:lang w:val="en-GB" w:eastAsia="en-GB"/>
        </w:rPr>
        <w:lastRenderedPageBreak/>
        <w:t>World Health Organization [WHO] (2020) </w:t>
      </w:r>
      <w:r w:rsidRPr="00603EF2">
        <w:rPr>
          <w:rFonts w:ascii="Arial" w:eastAsia="Times New Roman" w:hAnsi="Arial" w:cs="Arial"/>
          <w:i/>
          <w:iCs/>
          <w:color w:val="000000"/>
          <w:lang w:val="en-GB" w:eastAsia="en-GB"/>
        </w:rPr>
        <w:t>Patient safety incident reporting and learning systems: technical report and guidance</w:t>
      </w:r>
      <w:r w:rsidRPr="00603EF2">
        <w:rPr>
          <w:rFonts w:ascii="Arial" w:eastAsia="Times New Roman" w:hAnsi="Arial" w:cs="Arial"/>
          <w:color w:val="000000"/>
          <w:lang w:val="en-GB" w:eastAsia="en-GB"/>
        </w:rPr>
        <w:t xml:space="preserve">. Available at: </w:t>
      </w:r>
      <w:hyperlink r:id="rId46" w:history="1">
        <w:r w:rsidRPr="00603EF2">
          <w:rPr>
            <w:rFonts w:ascii="Arial" w:eastAsia="Times New Roman" w:hAnsi="Arial" w:cs="Arial"/>
            <w:color w:val="467886"/>
            <w:u w:val="single"/>
            <w:lang w:val="en-GB" w:eastAsia="en-GB"/>
          </w:rPr>
          <w:t>https://www.who.int/publications/i/item/9789240010338</w:t>
        </w:r>
      </w:hyperlink>
      <w:r w:rsidRPr="00603EF2">
        <w:rPr>
          <w:rFonts w:ascii="Arial" w:eastAsia="Times New Roman" w:hAnsi="Arial" w:cs="Arial"/>
          <w:color w:val="000000"/>
          <w:lang w:val="en-GB" w:eastAsia="en-GB"/>
        </w:rPr>
        <w:t xml:space="preserve"> (Accessed: 22 March 2026).</w:t>
      </w:r>
    </w:p>
    <w:p w14:paraId="16F5DFD4" w14:textId="77777777" w:rsidR="00603EF2" w:rsidRPr="00603EF2" w:rsidRDefault="00603EF2" w:rsidP="00603EF2">
      <w:pPr>
        <w:numPr>
          <w:ilvl w:val="0"/>
          <w:numId w:val="3"/>
        </w:numPr>
        <w:spacing w:line="360" w:lineRule="auto"/>
        <w:contextualSpacing/>
        <w:jc w:val="both"/>
        <w:rPr>
          <w:rFonts w:ascii="Arial" w:eastAsia="Calibri" w:hAnsi="Arial" w:cs="Arial"/>
          <w:lang w:val="en-GB"/>
        </w:rPr>
      </w:pPr>
      <w:r w:rsidRPr="00603EF2">
        <w:rPr>
          <w:rFonts w:ascii="Arial" w:eastAsia="Calibri" w:hAnsi="Arial" w:cs="Arial"/>
          <w:lang w:val="en-GB"/>
        </w:rPr>
        <w:t>Yang, J., Liu, F., Yang, C., Wei, J., Ma, Y., Xu, L., Xie, J. and Wang, J. (2025) ‘Application of Donabedian Three</w:t>
      </w:r>
      <w:r w:rsidRPr="00603EF2">
        <w:rPr>
          <w:rFonts w:ascii="Cambria Math" w:eastAsia="Calibri" w:hAnsi="Cambria Math" w:cs="Cambria Math"/>
          <w:lang w:val="en-GB"/>
        </w:rPr>
        <w:t>‐</w:t>
      </w:r>
      <w:r w:rsidRPr="00603EF2">
        <w:rPr>
          <w:rFonts w:ascii="Arial" w:eastAsia="Calibri" w:hAnsi="Arial" w:cs="Arial"/>
          <w:lang w:val="en-GB"/>
        </w:rPr>
        <w:t>Dimensional Model in Outpatient Care Quality: A Scoping Review’, </w:t>
      </w:r>
      <w:r w:rsidRPr="00603EF2">
        <w:rPr>
          <w:rFonts w:ascii="Arial" w:eastAsia="Calibri" w:hAnsi="Arial" w:cs="Arial"/>
          <w:i/>
          <w:iCs/>
          <w:lang w:val="en-GB"/>
        </w:rPr>
        <w:t>Journal of Nursing Management</w:t>
      </w:r>
      <w:r w:rsidRPr="00603EF2">
        <w:rPr>
          <w:rFonts w:ascii="Arial" w:eastAsia="Calibri" w:hAnsi="Arial" w:cs="Arial"/>
          <w:lang w:val="en-GB"/>
        </w:rPr>
        <w:t xml:space="preserve">, 2025(1), 6893336. Available at: </w:t>
      </w:r>
      <w:hyperlink r:id="rId47" w:history="1">
        <w:r w:rsidRPr="00603EF2">
          <w:rPr>
            <w:rFonts w:ascii="Arial" w:eastAsia="Calibri" w:hAnsi="Arial" w:cs="Arial"/>
            <w:color w:val="467886"/>
            <w:u w:val="single"/>
            <w:lang w:val="en-GB"/>
          </w:rPr>
          <w:t>https://doi.org/10.1155/jonm/6893336</w:t>
        </w:r>
      </w:hyperlink>
      <w:r w:rsidRPr="00603EF2">
        <w:rPr>
          <w:rFonts w:ascii="Arial" w:eastAsia="Calibri" w:hAnsi="Arial" w:cs="Arial"/>
          <w:lang w:val="en-GB"/>
        </w:rPr>
        <w:t xml:space="preserve"> </w:t>
      </w:r>
    </w:p>
    <w:p w14:paraId="71987F29" w14:textId="77777777" w:rsidR="00603EF2" w:rsidRPr="00603EF2" w:rsidRDefault="00603EF2" w:rsidP="00603EF2">
      <w:pPr>
        <w:numPr>
          <w:ilvl w:val="0"/>
          <w:numId w:val="3"/>
        </w:numPr>
        <w:spacing w:line="360" w:lineRule="auto"/>
        <w:contextualSpacing/>
        <w:jc w:val="both"/>
        <w:rPr>
          <w:rFonts w:ascii="Arial" w:eastAsia="Calibri" w:hAnsi="Arial" w:cs="Arial"/>
        </w:rPr>
      </w:pPr>
      <w:r w:rsidRPr="00603EF2">
        <w:rPr>
          <w:rFonts w:ascii="Arial" w:eastAsia="Calibri" w:hAnsi="Arial" w:cs="Arial"/>
        </w:rPr>
        <w:t>Young, M. and Smith, M. A. (2025) ‘Standards and evaluation of healthcare quality, safety, and person-centered care’,</w:t>
      </w:r>
      <w:r w:rsidRPr="00603EF2">
        <w:rPr>
          <w:rFonts w:ascii="Arial" w:eastAsia="Calibri" w:hAnsi="Arial" w:cs="Arial"/>
          <w:lang w:val="en-GB"/>
        </w:rPr>
        <w:t> </w:t>
      </w:r>
      <w:r w:rsidRPr="00603EF2">
        <w:rPr>
          <w:rFonts w:ascii="Arial" w:eastAsia="Calibri" w:hAnsi="Arial" w:cs="Arial"/>
          <w:i/>
          <w:iCs/>
          <w:color w:val="000000"/>
          <w:lang w:val="en-GB"/>
        </w:rPr>
        <w:t>europepmc.org</w:t>
      </w:r>
      <w:r w:rsidRPr="00603EF2">
        <w:rPr>
          <w:rFonts w:ascii="Arial" w:eastAsia="Calibri" w:hAnsi="Arial" w:cs="Arial"/>
          <w:color w:val="000000"/>
        </w:rPr>
        <w:t>.</w:t>
      </w:r>
      <w:r w:rsidRPr="00603EF2">
        <w:rPr>
          <w:rFonts w:ascii="Arial" w:eastAsia="Calibri" w:hAnsi="Arial" w:cs="Arial"/>
        </w:rPr>
        <w:t xml:space="preserve"> Available at: </w:t>
      </w:r>
      <w:hyperlink r:id="rId48" w:history="1">
        <w:r w:rsidRPr="00603EF2">
          <w:rPr>
            <w:rFonts w:ascii="Arial" w:eastAsia="Calibri" w:hAnsi="Arial" w:cs="Arial"/>
            <w:color w:val="0563C1"/>
            <w:u w:val="single"/>
          </w:rPr>
          <w:t>https://europepmc.org/article/NBK/nbk576432</w:t>
        </w:r>
      </w:hyperlink>
      <w:r w:rsidRPr="00603EF2">
        <w:rPr>
          <w:rFonts w:ascii="Arial" w:eastAsia="Calibri" w:hAnsi="Arial" w:cs="Arial"/>
        </w:rPr>
        <w:t xml:space="preserve"> (Accessed: 18 March 2026)</w:t>
      </w:r>
    </w:p>
    <w:p w14:paraId="02533C1D" w14:textId="77777777" w:rsidR="00603EF2" w:rsidRPr="00603EF2" w:rsidRDefault="00603EF2" w:rsidP="00603EF2">
      <w:pPr>
        <w:spacing w:line="360" w:lineRule="auto"/>
        <w:rPr>
          <w:rFonts w:ascii="Arial" w:eastAsia="Aptos" w:hAnsi="Arial" w:cs="Arial"/>
          <w:kern w:val="2"/>
          <w:sz w:val="24"/>
          <w:szCs w:val="24"/>
          <w:lang w:val="en-GB"/>
          <w14:ligatures w14:val="standardContextual"/>
        </w:rPr>
      </w:pPr>
    </w:p>
    <w:p w14:paraId="5EDD2869" w14:textId="57F520AF" w:rsidR="00B94F0D" w:rsidRPr="00603EF2" w:rsidRDefault="00B94F0D" w:rsidP="00044593">
      <w:pPr>
        <w:spacing w:line="360" w:lineRule="auto"/>
        <w:jc w:val="both"/>
        <w:rPr>
          <w:rFonts w:ascii="Arial" w:hAnsi="Arial" w:cs="Arial"/>
        </w:rPr>
      </w:pPr>
    </w:p>
    <w:sectPr w:rsidR="00B94F0D" w:rsidRPr="00603E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CE12DF"/>
    <w:multiLevelType w:val="hybridMultilevel"/>
    <w:tmpl w:val="5DA60C5C"/>
    <w:lvl w:ilvl="0" w:tplc="82EAAF1C">
      <w:start w:val="1"/>
      <w:numFmt w:val="bullet"/>
      <w:lvlText w:val=""/>
      <w:lvlJc w:val="left"/>
      <w:pPr>
        <w:tabs>
          <w:tab w:val="num" w:pos="720"/>
        </w:tabs>
        <w:ind w:left="720" w:hanging="360"/>
      </w:pPr>
      <w:rPr>
        <w:rFonts w:ascii="Wingdings" w:hAnsi="Wingdings" w:hint="default"/>
      </w:rPr>
    </w:lvl>
    <w:lvl w:ilvl="1" w:tplc="46CEE314" w:tentative="1">
      <w:start w:val="1"/>
      <w:numFmt w:val="bullet"/>
      <w:lvlText w:val=""/>
      <w:lvlJc w:val="left"/>
      <w:pPr>
        <w:tabs>
          <w:tab w:val="num" w:pos="1440"/>
        </w:tabs>
        <w:ind w:left="1440" w:hanging="360"/>
      </w:pPr>
      <w:rPr>
        <w:rFonts w:ascii="Wingdings" w:hAnsi="Wingdings" w:hint="default"/>
      </w:rPr>
    </w:lvl>
    <w:lvl w:ilvl="2" w:tplc="04C66B2E" w:tentative="1">
      <w:start w:val="1"/>
      <w:numFmt w:val="bullet"/>
      <w:lvlText w:val=""/>
      <w:lvlJc w:val="left"/>
      <w:pPr>
        <w:tabs>
          <w:tab w:val="num" w:pos="2160"/>
        </w:tabs>
        <w:ind w:left="2160" w:hanging="360"/>
      </w:pPr>
      <w:rPr>
        <w:rFonts w:ascii="Wingdings" w:hAnsi="Wingdings" w:hint="default"/>
      </w:rPr>
    </w:lvl>
    <w:lvl w:ilvl="3" w:tplc="51F6C27C" w:tentative="1">
      <w:start w:val="1"/>
      <w:numFmt w:val="bullet"/>
      <w:lvlText w:val=""/>
      <w:lvlJc w:val="left"/>
      <w:pPr>
        <w:tabs>
          <w:tab w:val="num" w:pos="2880"/>
        </w:tabs>
        <w:ind w:left="2880" w:hanging="360"/>
      </w:pPr>
      <w:rPr>
        <w:rFonts w:ascii="Wingdings" w:hAnsi="Wingdings" w:hint="default"/>
      </w:rPr>
    </w:lvl>
    <w:lvl w:ilvl="4" w:tplc="8D1031B6" w:tentative="1">
      <w:start w:val="1"/>
      <w:numFmt w:val="bullet"/>
      <w:lvlText w:val=""/>
      <w:lvlJc w:val="left"/>
      <w:pPr>
        <w:tabs>
          <w:tab w:val="num" w:pos="3600"/>
        </w:tabs>
        <w:ind w:left="3600" w:hanging="360"/>
      </w:pPr>
      <w:rPr>
        <w:rFonts w:ascii="Wingdings" w:hAnsi="Wingdings" w:hint="default"/>
      </w:rPr>
    </w:lvl>
    <w:lvl w:ilvl="5" w:tplc="81DE8518" w:tentative="1">
      <w:start w:val="1"/>
      <w:numFmt w:val="bullet"/>
      <w:lvlText w:val=""/>
      <w:lvlJc w:val="left"/>
      <w:pPr>
        <w:tabs>
          <w:tab w:val="num" w:pos="4320"/>
        </w:tabs>
        <w:ind w:left="4320" w:hanging="360"/>
      </w:pPr>
      <w:rPr>
        <w:rFonts w:ascii="Wingdings" w:hAnsi="Wingdings" w:hint="default"/>
      </w:rPr>
    </w:lvl>
    <w:lvl w:ilvl="6" w:tplc="7818CC7C" w:tentative="1">
      <w:start w:val="1"/>
      <w:numFmt w:val="bullet"/>
      <w:lvlText w:val=""/>
      <w:lvlJc w:val="left"/>
      <w:pPr>
        <w:tabs>
          <w:tab w:val="num" w:pos="5040"/>
        </w:tabs>
        <w:ind w:left="5040" w:hanging="360"/>
      </w:pPr>
      <w:rPr>
        <w:rFonts w:ascii="Wingdings" w:hAnsi="Wingdings" w:hint="default"/>
      </w:rPr>
    </w:lvl>
    <w:lvl w:ilvl="7" w:tplc="24E272C4" w:tentative="1">
      <w:start w:val="1"/>
      <w:numFmt w:val="bullet"/>
      <w:lvlText w:val=""/>
      <w:lvlJc w:val="left"/>
      <w:pPr>
        <w:tabs>
          <w:tab w:val="num" w:pos="5760"/>
        </w:tabs>
        <w:ind w:left="5760" w:hanging="360"/>
      </w:pPr>
      <w:rPr>
        <w:rFonts w:ascii="Wingdings" w:hAnsi="Wingdings" w:hint="default"/>
      </w:rPr>
    </w:lvl>
    <w:lvl w:ilvl="8" w:tplc="687024A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21F7BD9"/>
    <w:multiLevelType w:val="hybridMultilevel"/>
    <w:tmpl w:val="2C9CE4E2"/>
    <w:lvl w:ilvl="0" w:tplc="46FCC910">
      <w:start w:val="1"/>
      <w:numFmt w:val="bullet"/>
      <w:lvlText w:val=""/>
      <w:lvlJc w:val="left"/>
      <w:pPr>
        <w:tabs>
          <w:tab w:val="num" w:pos="720"/>
        </w:tabs>
        <w:ind w:left="720" w:hanging="360"/>
      </w:pPr>
      <w:rPr>
        <w:rFonts w:ascii="Wingdings" w:hAnsi="Wingdings" w:hint="default"/>
      </w:rPr>
    </w:lvl>
    <w:lvl w:ilvl="1" w:tplc="027CAA26" w:tentative="1">
      <w:start w:val="1"/>
      <w:numFmt w:val="bullet"/>
      <w:lvlText w:val=""/>
      <w:lvlJc w:val="left"/>
      <w:pPr>
        <w:tabs>
          <w:tab w:val="num" w:pos="1440"/>
        </w:tabs>
        <w:ind w:left="1440" w:hanging="360"/>
      </w:pPr>
      <w:rPr>
        <w:rFonts w:ascii="Wingdings" w:hAnsi="Wingdings" w:hint="default"/>
      </w:rPr>
    </w:lvl>
    <w:lvl w:ilvl="2" w:tplc="F2C65E8A" w:tentative="1">
      <w:start w:val="1"/>
      <w:numFmt w:val="bullet"/>
      <w:lvlText w:val=""/>
      <w:lvlJc w:val="left"/>
      <w:pPr>
        <w:tabs>
          <w:tab w:val="num" w:pos="2160"/>
        </w:tabs>
        <w:ind w:left="2160" w:hanging="360"/>
      </w:pPr>
      <w:rPr>
        <w:rFonts w:ascii="Wingdings" w:hAnsi="Wingdings" w:hint="default"/>
      </w:rPr>
    </w:lvl>
    <w:lvl w:ilvl="3" w:tplc="4DA29338" w:tentative="1">
      <w:start w:val="1"/>
      <w:numFmt w:val="bullet"/>
      <w:lvlText w:val=""/>
      <w:lvlJc w:val="left"/>
      <w:pPr>
        <w:tabs>
          <w:tab w:val="num" w:pos="2880"/>
        </w:tabs>
        <w:ind w:left="2880" w:hanging="360"/>
      </w:pPr>
      <w:rPr>
        <w:rFonts w:ascii="Wingdings" w:hAnsi="Wingdings" w:hint="default"/>
      </w:rPr>
    </w:lvl>
    <w:lvl w:ilvl="4" w:tplc="3E464FDA" w:tentative="1">
      <w:start w:val="1"/>
      <w:numFmt w:val="bullet"/>
      <w:lvlText w:val=""/>
      <w:lvlJc w:val="left"/>
      <w:pPr>
        <w:tabs>
          <w:tab w:val="num" w:pos="3600"/>
        </w:tabs>
        <w:ind w:left="3600" w:hanging="360"/>
      </w:pPr>
      <w:rPr>
        <w:rFonts w:ascii="Wingdings" w:hAnsi="Wingdings" w:hint="default"/>
      </w:rPr>
    </w:lvl>
    <w:lvl w:ilvl="5" w:tplc="F50A34C6" w:tentative="1">
      <w:start w:val="1"/>
      <w:numFmt w:val="bullet"/>
      <w:lvlText w:val=""/>
      <w:lvlJc w:val="left"/>
      <w:pPr>
        <w:tabs>
          <w:tab w:val="num" w:pos="4320"/>
        </w:tabs>
        <w:ind w:left="4320" w:hanging="360"/>
      </w:pPr>
      <w:rPr>
        <w:rFonts w:ascii="Wingdings" w:hAnsi="Wingdings" w:hint="default"/>
      </w:rPr>
    </w:lvl>
    <w:lvl w:ilvl="6" w:tplc="DB504A80" w:tentative="1">
      <w:start w:val="1"/>
      <w:numFmt w:val="bullet"/>
      <w:lvlText w:val=""/>
      <w:lvlJc w:val="left"/>
      <w:pPr>
        <w:tabs>
          <w:tab w:val="num" w:pos="5040"/>
        </w:tabs>
        <w:ind w:left="5040" w:hanging="360"/>
      </w:pPr>
      <w:rPr>
        <w:rFonts w:ascii="Wingdings" w:hAnsi="Wingdings" w:hint="default"/>
      </w:rPr>
    </w:lvl>
    <w:lvl w:ilvl="7" w:tplc="8E4C9200" w:tentative="1">
      <w:start w:val="1"/>
      <w:numFmt w:val="bullet"/>
      <w:lvlText w:val=""/>
      <w:lvlJc w:val="left"/>
      <w:pPr>
        <w:tabs>
          <w:tab w:val="num" w:pos="5760"/>
        </w:tabs>
        <w:ind w:left="5760" w:hanging="360"/>
      </w:pPr>
      <w:rPr>
        <w:rFonts w:ascii="Wingdings" w:hAnsi="Wingdings" w:hint="default"/>
      </w:rPr>
    </w:lvl>
    <w:lvl w:ilvl="8" w:tplc="AEC68B3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6A95237"/>
    <w:multiLevelType w:val="hybridMultilevel"/>
    <w:tmpl w:val="EFC0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5844125">
    <w:abstractNumId w:val="1"/>
  </w:num>
  <w:num w:numId="2" w16cid:durableId="859274737">
    <w:abstractNumId w:val="0"/>
  </w:num>
  <w:num w:numId="3" w16cid:durableId="12182487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7E6"/>
    <w:rsid w:val="0001264C"/>
    <w:rsid w:val="00031A94"/>
    <w:rsid w:val="00044593"/>
    <w:rsid w:val="00094D8A"/>
    <w:rsid w:val="000A7AB5"/>
    <w:rsid w:val="000E19E6"/>
    <w:rsid w:val="000F4253"/>
    <w:rsid w:val="0014333B"/>
    <w:rsid w:val="001434F9"/>
    <w:rsid w:val="001465CD"/>
    <w:rsid w:val="001548A2"/>
    <w:rsid w:val="00160750"/>
    <w:rsid w:val="00186C20"/>
    <w:rsid w:val="00190801"/>
    <w:rsid w:val="001F54C2"/>
    <w:rsid w:val="001F6DD3"/>
    <w:rsid w:val="00216180"/>
    <w:rsid w:val="002230F4"/>
    <w:rsid w:val="002268DD"/>
    <w:rsid w:val="00235040"/>
    <w:rsid w:val="00246390"/>
    <w:rsid w:val="002468DC"/>
    <w:rsid w:val="002528E0"/>
    <w:rsid w:val="00257D02"/>
    <w:rsid w:val="00280A12"/>
    <w:rsid w:val="002938D2"/>
    <w:rsid w:val="00293C83"/>
    <w:rsid w:val="002A4645"/>
    <w:rsid w:val="0033199B"/>
    <w:rsid w:val="0035369C"/>
    <w:rsid w:val="00385FCE"/>
    <w:rsid w:val="003A61F8"/>
    <w:rsid w:val="003D7B4A"/>
    <w:rsid w:val="003E487E"/>
    <w:rsid w:val="003F5ED4"/>
    <w:rsid w:val="00406F3B"/>
    <w:rsid w:val="00446C36"/>
    <w:rsid w:val="00466A6F"/>
    <w:rsid w:val="0047237A"/>
    <w:rsid w:val="00484411"/>
    <w:rsid w:val="004A0717"/>
    <w:rsid w:val="004A1522"/>
    <w:rsid w:val="004F5535"/>
    <w:rsid w:val="00502A26"/>
    <w:rsid w:val="00513C41"/>
    <w:rsid w:val="00522AE3"/>
    <w:rsid w:val="005317E6"/>
    <w:rsid w:val="00542B96"/>
    <w:rsid w:val="00551FFA"/>
    <w:rsid w:val="00585A0C"/>
    <w:rsid w:val="005A1554"/>
    <w:rsid w:val="00603EF2"/>
    <w:rsid w:val="00615D06"/>
    <w:rsid w:val="00671D41"/>
    <w:rsid w:val="00694FF3"/>
    <w:rsid w:val="006A7E55"/>
    <w:rsid w:val="006C6552"/>
    <w:rsid w:val="006E703B"/>
    <w:rsid w:val="006F7077"/>
    <w:rsid w:val="007252E4"/>
    <w:rsid w:val="00743856"/>
    <w:rsid w:val="00747785"/>
    <w:rsid w:val="0079798B"/>
    <w:rsid w:val="007E1CDD"/>
    <w:rsid w:val="007F4B88"/>
    <w:rsid w:val="008218EC"/>
    <w:rsid w:val="00836E42"/>
    <w:rsid w:val="00837D83"/>
    <w:rsid w:val="00873D45"/>
    <w:rsid w:val="0089248C"/>
    <w:rsid w:val="008B731E"/>
    <w:rsid w:val="008E3125"/>
    <w:rsid w:val="008E4B07"/>
    <w:rsid w:val="008F0ECA"/>
    <w:rsid w:val="009179E7"/>
    <w:rsid w:val="00920B24"/>
    <w:rsid w:val="0093086D"/>
    <w:rsid w:val="00945586"/>
    <w:rsid w:val="00987BCE"/>
    <w:rsid w:val="009958E4"/>
    <w:rsid w:val="009A1814"/>
    <w:rsid w:val="009C5085"/>
    <w:rsid w:val="009D2B51"/>
    <w:rsid w:val="009E4EEE"/>
    <w:rsid w:val="00A172EF"/>
    <w:rsid w:val="00A60B0B"/>
    <w:rsid w:val="00A63F8D"/>
    <w:rsid w:val="00A95EBE"/>
    <w:rsid w:val="00AB29F4"/>
    <w:rsid w:val="00B504D1"/>
    <w:rsid w:val="00B51D35"/>
    <w:rsid w:val="00B5628F"/>
    <w:rsid w:val="00B94F0D"/>
    <w:rsid w:val="00B975AE"/>
    <w:rsid w:val="00BC2364"/>
    <w:rsid w:val="00BC41E6"/>
    <w:rsid w:val="00BD03CE"/>
    <w:rsid w:val="00BE7D96"/>
    <w:rsid w:val="00C0083B"/>
    <w:rsid w:val="00C02039"/>
    <w:rsid w:val="00C167AF"/>
    <w:rsid w:val="00C16E16"/>
    <w:rsid w:val="00C36EC3"/>
    <w:rsid w:val="00C625B6"/>
    <w:rsid w:val="00C85B63"/>
    <w:rsid w:val="00CE4170"/>
    <w:rsid w:val="00CE5177"/>
    <w:rsid w:val="00CF17C3"/>
    <w:rsid w:val="00D0776E"/>
    <w:rsid w:val="00D10F07"/>
    <w:rsid w:val="00D47650"/>
    <w:rsid w:val="00D85430"/>
    <w:rsid w:val="00DB592A"/>
    <w:rsid w:val="00DF64F1"/>
    <w:rsid w:val="00E00D6D"/>
    <w:rsid w:val="00E31362"/>
    <w:rsid w:val="00E357EA"/>
    <w:rsid w:val="00E867AD"/>
    <w:rsid w:val="00E92BC1"/>
    <w:rsid w:val="00E960E4"/>
    <w:rsid w:val="00EB08FE"/>
    <w:rsid w:val="00EB36AF"/>
    <w:rsid w:val="00EE22C6"/>
    <w:rsid w:val="00EE6382"/>
    <w:rsid w:val="00EE7819"/>
    <w:rsid w:val="00EF3628"/>
    <w:rsid w:val="00EF6821"/>
    <w:rsid w:val="00F11DAA"/>
    <w:rsid w:val="00F2421A"/>
    <w:rsid w:val="00F77CA3"/>
    <w:rsid w:val="00F842BC"/>
    <w:rsid w:val="00F93EF7"/>
    <w:rsid w:val="00FA29FF"/>
    <w:rsid w:val="00FD0B47"/>
    <w:rsid w:val="00FD586F"/>
    <w:rsid w:val="00FE0E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9841D"/>
  <w15:chartTrackingRefBased/>
  <w15:docId w15:val="{3730CDFE-4033-419B-9945-953E4C9C3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7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317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17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17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17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17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7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7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7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7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317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17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17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17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17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17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17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17E6"/>
    <w:rPr>
      <w:rFonts w:eastAsiaTheme="majorEastAsia" w:cstheme="majorBidi"/>
      <w:color w:val="272727" w:themeColor="text1" w:themeTint="D8"/>
    </w:rPr>
  </w:style>
  <w:style w:type="paragraph" w:styleId="Title">
    <w:name w:val="Title"/>
    <w:basedOn w:val="Normal"/>
    <w:next w:val="Normal"/>
    <w:link w:val="TitleChar"/>
    <w:uiPriority w:val="10"/>
    <w:qFormat/>
    <w:rsid w:val="005317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7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7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7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7E6"/>
    <w:pPr>
      <w:spacing w:before="160"/>
      <w:jc w:val="center"/>
    </w:pPr>
    <w:rPr>
      <w:i/>
      <w:iCs/>
      <w:color w:val="404040" w:themeColor="text1" w:themeTint="BF"/>
    </w:rPr>
  </w:style>
  <w:style w:type="character" w:customStyle="1" w:styleId="QuoteChar">
    <w:name w:val="Quote Char"/>
    <w:basedOn w:val="DefaultParagraphFont"/>
    <w:link w:val="Quote"/>
    <w:uiPriority w:val="29"/>
    <w:rsid w:val="005317E6"/>
    <w:rPr>
      <w:i/>
      <w:iCs/>
      <w:color w:val="404040" w:themeColor="text1" w:themeTint="BF"/>
    </w:rPr>
  </w:style>
  <w:style w:type="paragraph" w:styleId="ListParagraph">
    <w:name w:val="List Paragraph"/>
    <w:basedOn w:val="Normal"/>
    <w:uiPriority w:val="34"/>
    <w:qFormat/>
    <w:rsid w:val="005317E6"/>
    <w:pPr>
      <w:ind w:left="720"/>
      <w:contextualSpacing/>
    </w:pPr>
  </w:style>
  <w:style w:type="character" w:styleId="IntenseEmphasis">
    <w:name w:val="Intense Emphasis"/>
    <w:basedOn w:val="DefaultParagraphFont"/>
    <w:uiPriority w:val="21"/>
    <w:qFormat/>
    <w:rsid w:val="005317E6"/>
    <w:rPr>
      <w:i/>
      <w:iCs/>
      <w:color w:val="2F5496" w:themeColor="accent1" w:themeShade="BF"/>
    </w:rPr>
  </w:style>
  <w:style w:type="paragraph" w:styleId="IntenseQuote">
    <w:name w:val="Intense Quote"/>
    <w:basedOn w:val="Normal"/>
    <w:next w:val="Normal"/>
    <w:link w:val="IntenseQuoteChar"/>
    <w:uiPriority w:val="30"/>
    <w:qFormat/>
    <w:rsid w:val="005317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17E6"/>
    <w:rPr>
      <w:i/>
      <w:iCs/>
      <w:color w:val="2F5496" w:themeColor="accent1" w:themeShade="BF"/>
    </w:rPr>
  </w:style>
  <w:style w:type="character" w:styleId="IntenseReference">
    <w:name w:val="Intense Reference"/>
    <w:basedOn w:val="DefaultParagraphFont"/>
    <w:uiPriority w:val="32"/>
    <w:qFormat/>
    <w:rsid w:val="005317E6"/>
    <w:rPr>
      <w:b/>
      <w:bCs/>
      <w:smallCaps/>
      <w:color w:val="2F5496" w:themeColor="accent1" w:themeShade="BF"/>
      <w:spacing w:val="5"/>
    </w:rPr>
  </w:style>
  <w:style w:type="character" w:styleId="Hyperlink">
    <w:name w:val="Hyperlink"/>
    <w:basedOn w:val="DefaultParagraphFont"/>
    <w:uiPriority w:val="99"/>
    <w:unhideWhenUsed/>
    <w:rsid w:val="0079798B"/>
    <w:rPr>
      <w:color w:val="0563C1" w:themeColor="hyperlink"/>
      <w:u w:val="single"/>
    </w:rPr>
  </w:style>
  <w:style w:type="character" w:styleId="UnresolvedMention">
    <w:name w:val="Unresolved Mention"/>
    <w:basedOn w:val="DefaultParagraphFont"/>
    <w:uiPriority w:val="99"/>
    <w:semiHidden/>
    <w:unhideWhenUsed/>
    <w:rsid w:val="0079798B"/>
    <w:rPr>
      <w:color w:val="605E5C"/>
      <w:shd w:val="clear" w:color="auto" w:fill="E1DFDD"/>
    </w:rPr>
  </w:style>
  <w:style w:type="paragraph" w:styleId="NormalWeb">
    <w:name w:val="Normal (Web)"/>
    <w:basedOn w:val="Normal"/>
    <w:uiPriority w:val="99"/>
    <w:semiHidden/>
    <w:unhideWhenUsed/>
    <w:rsid w:val="00160750"/>
    <w:rPr>
      <w:rFonts w:ascii="Times New Roman" w:hAnsi="Times New Roman" w:cs="Times New Roman"/>
      <w:sz w:val="24"/>
      <w:szCs w:val="24"/>
    </w:rPr>
  </w:style>
  <w:style w:type="table" w:styleId="TableGrid">
    <w:name w:val="Table Grid"/>
    <w:basedOn w:val="TableNormal"/>
    <w:uiPriority w:val="39"/>
    <w:rsid w:val="00EF68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E0E27"/>
    <w:pPr>
      <w:spacing w:before="240" w:after="0"/>
      <w:outlineLvl w:val="9"/>
    </w:pPr>
    <w:rPr>
      <w:sz w:val="32"/>
      <w:szCs w:val="32"/>
    </w:rPr>
  </w:style>
  <w:style w:type="paragraph" w:styleId="TOC1">
    <w:name w:val="toc 1"/>
    <w:basedOn w:val="Normal"/>
    <w:next w:val="Normal"/>
    <w:autoRedefine/>
    <w:uiPriority w:val="39"/>
    <w:unhideWhenUsed/>
    <w:rsid w:val="00FE0E27"/>
    <w:pPr>
      <w:spacing w:after="100"/>
    </w:pPr>
  </w:style>
  <w:style w:type="paragraph" w:styleId="TOC2">
    <w:name w:val="toc 2"/>
    <w:basedOn w:val="Normal"/>
    <w:next w:val="Normal"/>
    <w:autoRedefine/>
    <w:uiPriority w:val="39"/>
    <w:unhideWhenUsed/>
    <w:rsid w:val="00FE0E27"/>
    <w:pPr>
      <w:spacing w:after="100"/>
      <w:ind w:left="220"/>
    </w:pPr>
  </w:style>
  <w:style w:type="paragraph" w:styleId="TOC3">
    <w:name w:val="toc 3"/>
    <w:basedOn w:val="Normal"/>
    <w:next w:val="Normal"/>
    <w:autoRedefine/>
    <w:uiPriority w:val="39"/>
    <w:unhideWhenUsed/>
    <w:rsid w:val="00FE0E2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1468-0009.12189" TargetMode="External"/><Relationship Id="rId18" Type="http://schemas.openxmlformats.org/officeDocument/2006/relationships/hyperlink" Target="https://doi.org/10.1136/bmjqs-2017-007175" TargetMode="External"/><Relationship Id="rId26" Type="http://schemas.openxmlformats.org/officeDocument/2006/relationships/hyperlink" Target="https://doi.org/10.1136/bmjopen-2019-032781" TargetMode="External"/><Relationship Id="rId39" Type="http://schemas.openxmlformats.org/officeDocument/2006/relationships/hyperlink" Target="https://doi.org/10.1111/hex.12640" TargetMode="External"/><Relationship Id="rId21" Type="http://schemas.openxmlformats.org/officeDocument/2006/relationships/hyperlink" Target="https://openaccess.city.ac.uk/id/eprint/18079/" TargetMode="External"/><Relationship Id="rId34" Type="http://schemas.openxmlformats.org/officeDocument/2006/relationships/hyperlink" Target="https://doi.org/10.1136/bmjqs-2016-005511" TargetMode="External"/><Relationship Id="rId42" Type="http://schemas.openxmlformats.org/officeDocument/2006/relationships/hyperlink" Target="https://doi.org/10.1111/1467-923X.12698" TargetMode="External"/><Relationship Id="rId47" Type="http://schemas.openxmlformats.org/officeDocument/2006/relationships/hyperlink" Target="https://doi.org/10.1155/jonm/6893336" TargetMode="External"/><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i.org/10.1136/bmjqs-2016-005849" TargetMode="External"/><Relationship Id="rId29" Type="http://schemas.openxmlformats.org/officeDocument/2006/relationships/hyperlink" Target="https://www.researchgate.net/profile/Marcin-Majka-2/publication/384965537_Root_Cause_Analysis/links/670f95a0a1a8fb46747d6442/Root-Cause-Analysis.pdf" TargetMode="External"/><Relationship Id="rId11" Type="http://schemas.openxmlformats.org/officeDocument/2006/relationships/hyperlink" Target="https://doi.org/10.1186/s12889-020-09365-2" TargetMode="External"/><Relationship Id="rId24" Type="http://schemas.openxmlformats.org/officeDocument/2006/relationships/hyperlink" Target="https://doi.org/10.3310/hsdr06380" TargetMode="External"/><Relationship Id="rId32" Type="http://schemas.openxmlformats.org/officeDocument/2006/relationships/hyperlink" Target="https://performanceandimprovement.nhs.wales/functions/quality-safety-and-improvement/quality-and-safety/quality-management-systems-hub/what-is-a-quality-management-system/" TargetMode="External"/><Relationship Id="rId37" Type="http://schemas.openxmlformats.org/officeDocument/2006/relationships/hyperlink" Target="https://doi.org/10.1111/nin.12486" TargetMode="External"/><Relationship Id="rId40" Type="http://schemas.openxmlformats.org/officeDocument/2006/relationships/hyperlink" Target="https://doi.org/10.1007/978-3-032-12602-3_6" TargetMode="External"/><Relationship Id="rId45" Type="http://schemas.openxmlformats.org/officeDocument/2006/relationships/hyperlink" Target="https://www.ncbi.nlm.nih.gov/pmc/articles/PMC8514562/" TargetMode="External"/><Relationship Id="rId5" Type="http://schemas.openxmlformats.org/officeDocument/2006/relationships/webSettings" Target="webSettings.xml"/><Relationship Id="rId15" Type="http://schemas.openxmlformats.org/officeDocument/2006/relationships/hyperlink" Target="https://www.intechopen.com/chapters/60108" TargetMode="External"/><Relationship Id="rId23" Type="http://schemas.openxmlformats.org/officeDocument/2006/relationships/hyperlink" Target="https://doi.org/10.1108/IJLSS-10-2017-0114" TargetMode="External"/><Relationship Id="rId28" Type="http://schemas.openxmlformats.org/officeDocument/2006/relationships/hyperlink" Target="https://doi.org/10.1186/s12913-021-06344-0" TargetMode="External"/><Relationship Id="rId36" Type="http://schemas.openxmlformats.org/officeDocument/2006/relationships/hyperlink" Target="http://dx.doi.org/10.1504/IJSPM.2017.10006511" TargetMode="External"/><Relationship Id="rId49"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doi.org/10.7861/futurehosp.3-2-114" TargetMode="External"/><Relationship Id="rId31" Type="http://schemas.openxmlformats.org/officeDocument/2006/relationships/hyperlink" Target="https://www.england.nhs.uk/long-read/nhs-delivery-and-continuous-improvement-review-recommendations/" TargetMode="External"/><Relationship Id="rId44" Type="http://schemas.openxmlformats.org/officeDocument/2006/relationships/hyperlink" Target="https://www.kingsfund.org.uk/insight-and-analysis/reports/leadership-development-health-car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eprints.soton.ac.uk/470730/" TargetMode="External"/><Relationship Id="rId22" Type="http://schemas.openxmlformats.org/officeDocument/2006/relationships/hyperlink" Target="https://doi.org/10.1177/1741659017726105" TargetMode="External"/><Relationship Id="rId27" Type="http://schemas.openxmlformats.org/officeDocument/2006/relationships/hyperlink" Target="https://doi.org/10.1186/s12913-019-4482-6" TargetMode="External"/><Relationship Id="rId30" Type="http://schemas.openxmlformats.org/officeDocument/2006/relationships/hyperlink" Target="https://doi.org/10.15171/ijhpm.2015.120" TargetMode="External"/><Relationship Id="rId35" Type="http://schemas.openxmlformats.org/officeDocument/2006/relationships/hyperlink" Target="https://doi.org/10.1136/bmjqs-2016-005511" TargetMode="External"/><Relationship Id="rId43" Type="http://schemas.openxmlformats.org/officeDocument/2006/relationships/hyperlink" Target="https://doi.org/10.2196/27180" TargetMode="External"/><Relationship Id="rId48" Type="http://schemas.openxmlformats.org/officeDocument/2006/relationships/hyperlink" Target="https://europepmc.org/article/NBK/nbk576432"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doi.org/10.1136/leader-2024-FMLM.12" TargetMode="External"/><Relationship Id="rId17" Type="http://schemas.openxmlformats.org/officeDocument/2006/relationships/hyperlink" Target="https://doi.org/10.1177/0309816816678572" TargetMode="External"/><Relationship Id="rId25" Type="http://schemas.openxmlformats.org/officeDocument/2006/relationships/hyperlink" Target="https://doi.org/10.1080/13603124.2021.1919320" TargetMode="External"/><Relationship Id="rId33" Type="http://schemas.openxmlformats.org/officeDocument/2006/relationships/hyperlink" Target="https://doi.org/10.1016/j.ijpe.2019.04.011" TargetMode="External"/><Relationship Id="rId38" Type="http://schemas.openxmlformats.org/officeDocument/2006/relationships/hyperlink" Target="https://doi.org/10.1201/9780203735466" TargetMode="External"/><Relationship Id="rId46" Type="http://schemas.openxmlformats.org/officeDocument/2006/relationships/hyperlink" Target="https://www.who.int/publications/i/item/9789240010338" TargetMode="External"/><Relationship Id="rId20" Type="http://schemas.openxmlformats.org/officeDocument/2006/relationships/hyperlink" Target="https://doi.org/10.1001/jama.1988.03410120089033" TargetMode="External"/><Relationship Id="rId41" Type="http://schemas.openxmlformats.org/officeDocument/2006/relationships/hyperlink" Target="https://doi.org/10.1111/jep.12847"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DD209-8821-4430-A995-BC1E3AEEA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4163</TotalTime>
  <Pages>18</Pages>
  <Words>5644</Words>
  <Characters>32173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Joshua Lambo (70320402)</cp:lastModifiedBy>
  <cp:revision>4</cp:revision>
  <dcterms:created xsi:type="dcterms:W3CDTF">2026-04-12T11:11:00Z</dcterms:created>
  <dcterms:modified xsi:type="dcterms:W3CDTF">2026-04-21T11:12:00Z</dcterms:modified>
</cp:coreProperties>
</file>