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EE0B22" w14:textId="77777777" w:rsidR="002001CC" w:rsidRDefault="00A60B8E">
      <w:pPr>
        <w:spacing w:before="2300"/>
        <w:jc w:val="center"/>
      </w:pPr>
      <w:r>
        <w:rPr>
          <w:rFonts w:eastAsia="Arial"/>
          <w:b/>
          <w:color w:val="1F4E79"/>
          <w:sz w:val="50"/>
        </w:rPr>
        <w:t>ORGANISATIONAL CULTURE</w:t>
      </w:r>
    </w:p>
    <w:p w14:paraId="522DBB17" w14:textId="77777777" w:rsidR="002001CC" w:rsidRDefault="00A60B8E">
      <w:pPr>
        <w:spacing w:after="440"/>
        <w:jc w:val="center"/>
      </w:pPr>
      <w:r>
        <w:rPr>
          <w:rFonts w:eastAsia="Arial"/>
          <w:i/>
          <w:color w:val="595959"/>
          <w:sz w:val="32"/>
        </w:rPr>
        <w:t>A Critical Analysis of Tesco PLC</w:t>
      </w:r>
    </w:p>
    <w:p w14:paraId="3F6F53D9" w14:textId="77777777" w:rsidR="002001CC" w:rsidRDefault="00A60B8E">
      <w:pPr>
        <w:spacing w:after="140"/>
        <w:jc w:val="center"/>
      </w:pPr>
      <w:r>
        <w:rPr>
          <w:rFonts w:eastAsia="Arial"/>
          <w:b/>
          <w:color w:val="1F1F1F"/>
        </w:rPr>
        <w:t>LCLM5005</w:t>
      </w:r>
    </w:p>
    <w:p w14:paraId="2CF0744A" w14:textId="77777777" w:rsidR="002001CC" w:rsidRDefault="00A60B8E">
      <w:pPr>
        <w:spacing w:after="140"/>
        <w:jc w:val="center"/>
      </w:pPr>
      <w:r>
        <w:rPr>
          <w:rFonts w:eastAsia="Arial"/>
          <w:color w:val="1F1F1F"/>
        </w:rPr>
        <w:t>Student: Oleh Bublyk 2417174</w:t>
      </w:r>
    </w:p>
    <w:p w14:paraId="1FAA072A" w14:textId="77777777" w:rsidR="002001CC" w:rsidRDefault="00A60B8E">
      <w:pPr>
        <w:spacing w:after="140"/>
        <w:jc w:val="center"/>
      </w:pPr>
      <w:r>
        <w:rPr>
          <w:rFonts w:eastAsia="Arial"/>
          <w:color w:val="1F1F1F"/>
        </w:rPr>
        <w:t>Lecturer: Christopher Osborne</w:t>
      </w:r>
    </w:p>
    <w:p w14:paraId="58E18649" w14:textId="77777777" w:rsidR="002001CC" w:rsidRDefault="00A60B8E">
      <w:pPr>
        <w:spacing w:after="140"/>
        <w:jc w:val="center"/>
      </w:pPr>
      <w:r>
        <w:rPr>
          <w:rFonts w:eastAsia="Arial"/>
          <w:color w:val="1F1F1F"/>
        </w:rPr>
        <w:t>10 August 2026</w:t>
      </w:r>
    </w:p>
    <w:p w14:paraId="5EE988EB" w14:textId="77777777" w:rsidR="002001CC" w:rsidRDefault="00A60B8E">
      <w:r>
        <w:br w:type="page"/>
      </w:r>
    </w:p>
    <w:p w14:paraId="40367683" w14:textId="77777777" w:rsidR="002001CC" w:rsidRDefault="00A60B8E">
      <w:pPr>
        <w:spacing w:after="240"/>
      </w:pPr>
      <w:r>
        <w:rPr>
          <w:rFonts w:eastAsia="Arial"/>
          <w:b/>
          <w:color w:val="1F4E79"/>
          <w:sz w:val="36"/>
        </w:rPr>
        <w:t>Table of Contents</w:t>
      </w:r>
    </w:p>
    <w:tbl>
      <w:tblPr>
        <w:tblW w:w="0" w:type="auto"/>
        <w:jc w:val="center"/>
        <w:tblBorders>
          <w:top w:val="nil"/>
          <w:left w:val="nil"/>
          <w:bottom w:val="nil"/>
          <w:right w:val="nil"/>
          <w:insideH w:val="nil"/>
          <w:insideV w:val="nil"/>
        </w:tblBorders>
        <w:tblLayout w:type="fixed"/>
        <w:tblLook w:val="04A0" w:firstRow="1" w:lastRow="0" w:firstColumn="1" w:lastColumn="0" w:noHBand="0" w:noVBand="1"/>
      </w:tblPr>
      <w:tblGrid>
        <w:gridCol w:w="7800"/>
        <w:gridCol w:w="900"/>
      </w:tblGrid>
      <w:tr w:rsidR="002001CC" w14:paraId="1EB6825C" w14:textId="77777777">
        <w:trPr>
          <w:cantSplit/>
          <w:jc w:val="center"/>
        </w:trPr>
        <w:tc>
          <w:tcPr>
            <w:tcW w:w="7800" w:type="dxa"/>
            <w:tcMar>
              <w:top w:w="70" w:type="dxa"/>
              <w:left w:w="0" w:type="dxa"/>
              <w:bottom w:w="70" w:type="dxa"/>
              <w:right w:w="0" w:type="dxa"/>
            </w:tcMar>
            <w:vAlign w:val="center"/>
          </w:tcPr>
          <w:p w14:paraId="046D62F3" w14:textId="77777777" w:rsidR="002001CC" w:rsidRDefault="00A60B8E">
            <w:pPr>
              <w:spacing w:after="0" w:line="276" w:lineRule="auto"/>
              <w:jc w:val="left"/>
            </w:pPr>
            <w:r>
              <w:rPr>
                <w:rFonts w:eastAsia="Arial"/>
                <w:color w:val="1F1F1F"/>
              </w:rPr>
              <w:t>Introduction</w:t>
            </w:r>
          </w:p>
        </w:tc>
        <w:tc>
          <w:tcPr>
            <w:tcW w:w="900" w:type="dxa"/>
            <w:tcMar>
              <w:top w:w="70" w:type="dxa"/>
              <w:left w:w="0" w:type="dxa"/>
              <w:bottom w:w="70" w:type="dxa"/>
              <w:right w:w="0" w:type="dxa"/>
            </w:tcMar>
            <w:vAlign w:val="center"/>
          </w:tcPr>
          <w:p w14:paraId="7379B235" w14:textId="77777777" w:rsidR="002001CC" w:rsidRDefault="00A60B8E">
            <w:pPr>
              <w:spacing w:after="0" w:line="276" w:lineRule="auto"/>
              <w:jc w:val="right"/>
            </w:pPr>
            <w:r>
              <w:rPr>
                <w:rFonts w:eastAsia="Arial"/>
                <w:color w:val="1F1F1F"/>
              </w:rPr>
              <w:t>3</w:t>
            </w:r>
          </w:p>
        </w:tc>
      </w:tr>
      <w:tr w:rsidR="002001CC" w14:paraId="65C3B8F5" w14:textId="77777777">
        <w:trPr>
          <w:cantSplit/>
          <w:jc w:val="center"/>
        </w:trPr>
        <w:tc>
          <w:tcPr>
            <w:tcW w:w="7800" w:type="dxa"/>
            <w:tcMar>
              <w:top w:w="70" w:type="dxa"/>
              <w:left w:w="0" w:type="dxa"/>
              <w:bottom w:w="70" w:type="dxa"/>
              <w:right w:w="0" w:type="dxa"/>
            </w:tcMar>
            <w:vAlign w:val="center"/>
          </w:tcPr>
          <w:p w14:paraId="5AB3B480" w14:textId="77777777" w:rsidR="002001CC" w:rsidRDefault="00A60B8E">
            <w:pPr>
              <w:spacing w:after="0" w:line="276" w:lineRule="auto"/>
              <w:jc w:val="left"/>
            </w:pPr>
            <w:r>
              <w:rPr>
                <w:rFonts w:eastAsia="Arial"/>
                <w:color w:val="1F1F1F"/>
              </w:rPr>
              <w:t>Organisational Culture at Tesco</w:t>
            </w:r>
          </w:p>
        </w:tc>
        <w:tc>
          <w:tcPr>
            <w:tcW w:w="900" w:type="dxa"/>
            <w:tcMar>
              <w:top w:w="70" w:type="dxa"/>
              <w:left w:w="0" w:type="dxa"/>
              <w:bottom w:w="70" w:type="dxa"/>
              <w:right w:w="0" w:type="dxa"/>
            </w:tcMar>
            <w:vAlign w:val="center"/>
          </w:tcPr>
          <w:p w14:paraId="3B206B5E" w14:textId="77777777" w:rsidR="002001CC" w:rsidRDefault="00A60B8E">
            <w:pPr>
              <w:spacing w:after="0" w:line="276" w:lineRule="auto"/>
              <w:jc w:val="right"/>
            </w:pPr>
            <w:r>
              <w:rPr>
                <w:rFonts w:eastAsia="Arial"/>
                <w:color w:val="1F1F1F"/>
              </w:rPr>
              <w:t>3</w:t>
            </w:r>
          </w:p>
        </w:tc>
      </w:tr>
      <w:tr w:rsidR="002001CC" w14:paraId="7998D2ED" w14:textId="77777777">
        <w:trPr>
          <w:cantSplit/>
          <w:jc w:val="center"/>
        </w:trPr>
        <w:tc>
          <w:tcPr>
            <w:tcW w:w="7800" w:type="dxa"/>
            <w:tcMar>
              <w:top w:w="70" w:type="dxa"/>
              <w:left w:w="0" w:type="dxa"/>
              <w:bottom w:w="70" w:type="dxa"/>
              <w:right w:w="0" w:type="dxa"/>
            </w:tcMar>
            <w:vAlign w:val="center"/>
          </w:tcPr>
          <w:p w14:paraId="209B779B" w14:textId="77777777" w:rsidR="002001CC" w:rsidRDefault="00A60B8E">
            <w:pPr>
              <w:spacing w:after="0" w:line="276" w:lineRule="auto"/>
              <w:jc w:val="left"/>
            </w:pPr>
            <w:r>
              <w:rPr>
                <w:rFonts w:eastAsia="Arial"/>
                <w:color w:val="1F1F1F"/>
              </w:rPr>
              <w:t>Influence on Structure and Decision-Making</w:t>
            </w:r>
          </w:p>
        </w:tc>
        <w:tc>
          <w:tcPr>
            <w:tcW w:w="900" w:type="dxa"/>
            <w:tcMar>
              <w:top w:w="70" w:type="dxa"/>
              <w:left w:w="0" w:type="dxa"/>
              <w:bottom w:w="70" w:type="dxa"/>
              <w:right w:w="0" w:type="dxa"/>
            </w:tcMar>
            <w:vAlign w:val="center"/>
          </w:tcPr>
          <w:p w14:paraId="07483EAB" w14:textId="77777777" w:rsidR="002001CC" w:rsidRDefault="00A60B8E">
            <w:pPr>
              <w:spacing w:after="0" w:line="276" w:lineRule="auto"/>
              <w:jc w:val="right"/>
            </w:pPr>
            <w:r>
              <w:rPr>
                <w:rFonts w:eastAsia="Arial"/>
                <w:color w:val="1F1F1F"/>
              </w:rPr>
              <w:t>4</w:t>
            </w:r>
          </w:p>
        </w:tc>
      </w:tr>
      <w:tr w:rsidR="002001CC" w14:paraId="7FBF017C" w14:textId="77777777">
        <w:trPr>
          <w:cantSplit/>
          <w:jc w:val="center"/>
        </w:trPr>
        <w:tc>
          <w:tcPr>
            <w:tcW w:w="7800" w:type="dxa"/>
            <w:tcMar>
              <w:top w:w="70" w:type="dxa"/>
              <w:left w:w="0" w:type="dxa"/>
              <w:bottom w:w="70" w:type="dxa"/>
              <w:right w:w="0" w:type="dxa"/>
            </w:tcMar>
            <w:vAlign w:val="center"/>
          </w:tcPr>
          <w:p w14:paraId="76E0BFC3" w14:textId="77777777" w:rsidR="002001CC" w:rsidRDefault="00A60B8E">
            <w:pPr>
              <w:spacing w:after="0" w:line="276" w:lineRule="auto"/>
              <w:jc w:val="left"/>
            </w:pPr>
            <w:r>
              <w:rPr>
                <w:rFonts w:eastAsia="Arial"/>
                <w:color w:val="1F1F1F"/>
              </w:rPr>
              <w:t>Identification and Prevailing Culture: Theoretical Frameworks</w:t>
            </w:r>
          </w:p>
        </w:tc>
        <w:tc>
          <w:tcPr>
            <w:tcW w:w="900" w:type="dxa"/>
            <w:tcMar>
              <w:top w:w="70" w:type="dxa"/>
              <w:left w:w="0" w:type="dxa"/>
              <w:bottom w:w="70" w:type="dxa"/>
              <w:right w:w="0" w:type="dxa"/>
            </w:tcMar>
            <w:vAlign w:val="center"/>
          </w:tcPr>
          <w:p w14:paraId="27298ACF" w14:textId="77777777" w:rsidR="002001CC" w:rsidRDefault="00A60B8E">
            <w:pPr>
              <w:spacing w:after="0" w:line="276" w:lineRule="auto"/>
              <w:jc w:val="right"/>
            </w:pPr>
            <w:r>
              <w:rPr>
                <w:rFonts w:eastAsia="Arial"/>
                <w:color w:val="1F1F1F"/>
              </w:rPr>
              <w:t>5</w:t>
            </w:r>
          </w:p>
        </w:tc>
      </w:tr>
      <w:tr w:rsidR="002001CC" w14:paraId="74BFF202" w14:textId="77777777">
        <w:trPr>
          <w:cantSplit/>
          <w:jc w:val="center"/>
        </w:trPr>
        <w:tc>
          <w:tcPr>
            <w:tcW w:w="7800" w:type="dxa"/>
            <w:tcMar>
              <w:top w:w="70" w:type="dxa"/>
              <w:left w:w="0" w:type="dxa"/>
              <w:bottom w:w="70" w:type="dxa"/>
              <w:right w:w="0" w:type="dxa"/>
            </w:tcMar>
            <w:vAlign w:val="center"/>
          </w:tcPr>
          <w:p w14:paraId="5DA8ED87" w14:textId="77777777" w:rsidR="002001CC" w:rsidRDefault="00A60B8E">
            <w:pPr>
              <w:spacing w:after="0" w:line="276" w:lineRule="auto"/>
              <w:jc w:val="left"/>
            </w:pPr>
            <w:r>
              <w:rPr>
                <w:rFonts w:eastAsia="Arial"/>
                <w:color w:val="1F1F1F"/>
              </w:rPr>
              <w:t>Cultural Adaptation to External Environmental Influences</w:t>
            </w:r>
          </w:p>
        </w:tc>
        <w:tc>
          <w:tcPr>
            <w:tcW w:w="900" w:type="dxa"/>
            <w:tcMar>
              <w:top w:w="70" w:type="dxa"/>
              <w:left w:w="0" w:type="dxa"/>
              <w:bottom w:w="70" w:type="dxa"/>
              <w:right w:w="0" w:type="dxa"/>
            </w:tcMar>
            <w:vAlign w:val="center"/>
          </w:tcPr>
          <w:p w14:paraId="34AD3B12" w14:textId="77777777" w:rsidR="002001CC" w:rsidRDefault="00A60B8E">
            <w:pPr>
              <w:spacing w:after="0" w:line="276" w:lineRule="auto"/>
              <w:jc w:val="right"/>
            </w:pPr>
            <w:r>
              <w:rPr>
                <w:rFonts w:eastAsia="Arial"/>
                <w:color w:val="1F1F1F"/>
              </w:rPr>
              <w:t>6</w:t>
            </w:r>
          </w:p>
        </w:tc>
      </w:tr>
      <w:tr w:rsidR="002001CC" w14:paraId="3B03A306" w14:textId="77777777">
        <w:trPr>
          <w:cantSplit/>
          <w:jc w:val="center"/>
        </w:trPr>
        <w:tc>
          <w:tcPr>
            <w:tcW w:w="7800" w:type="dxa"/>
            <w:tcMar>
              <w:top w:w="70" w:type="dxa"/>
              <w:left w:w="0" w:type="dxa"/>
              <w:bottom w:w="70" w:type="dxa"/>
              <w:right w:w="0" w:type="dxa"/>
            </w:tcMar>
            <w:vAlign w:val="center"/>
          </w:tcPr>
          <w:p w14:paraId="02B43A14" w14:textId="77777777" w:rsidR="002001CC" w:rsidRDefault="00A60B8E">
            <w:pPr>
              <w:spacing w:after="0" w:line="276" w:lineRule="auto"/>
              <w:jc w:val="left"/>
            </w:pPr>
            <w:r>
              <w:rPr>
                <w:rFonts w:eastAsia="Arial"/>
                <w:color w:val="1F1F1F"/>
              </w:rPr>
              <w:t>Culture as an Enabler or Barrier to Effective Functioning</w:t>
            </w:r>
          </w:p>
        </w:tc>
        <w:tc>
          <w:tcPr>
            <w:tcW w:w="900" w:type="dxa"/>
            <w:tcMar>
              <w:top w:w="70" w:type="dxa"/>
              <w:left w:w="0" w:type="dxa"/>
              <w:bottom w:w="70" w:type="dxa"/>
              <w:right w:w="0" w:type="dxa"/>
            </w:tcMar>
            <w:vAlign w:val="center"/>
          </w:tcPr>
          <w:p w14:paraId="5724D4C6" w14:textId="77777777" w:rsidR="002001CC" w:rsidRDefault="00A60B8E">
            <w:pPr>
              <w:spacing w:after="0" w:line="276" w:lineRule="auto"/>
              <w:jc w:val="right"/>
            </w:pPr>
            <w:r>
              <w:rPr>
                <w:rFonts w:eastAsia="Arial"/>
                <w:color w:val="1F1F1F"/>
              </w:rPr>
              <w:t>8</w:t>
            </w:r>
          </w:p>
        </w:tc>
      </w:tr>
      <w:tr w:rsidR="002001CC" w14:paraId="20266537" w14:textId="77777777">
        <w:trPr>
          <w:cantSplit/>
          <w:jc w:val="center"/>
        </w:trPr>
        <w:tc>
          <w:tcPr>
            <w:tcW w:w="7800" w:type="dxa"/>
            <w:tcMar>
              <w:top w:w="70" w:type="dxa"/>
              <w:left w:w="0" w:type="dxa"/>
              <w:bottom w:w="70" w:type="dxa"/>
              <w:right w:w="0" w:type="dxa"/>
            </w:tcMar>
            <w:vAlign w:val="center"/>
          </w:tcPr>
          <w:p w14:paraId="1591E7A9" w14:textId="77777777" w:rsidR="002001CC" w:rsidRDefault="00A60B8E">
            <w:pPr>
              <w:spacing w:after="0" w:line="276" w:lineRule="auto"/>
              <w:jc w:val="left"/>
            </w:pPr>
            <w:r>
              <w:rPr>
                <w:rFonts w:eastAsia="Arial"/>
                <w:color w:val="1F1F1F"/>
              </w:rPr>
              <w:t>Financial and Non-Financial Practices and Competitor Benchmark</w:t>
            </w:r>
          </w:p>
        </w:tc>
        <w:tc>
          <w:tcPr>
            <w:tcW w:w="900" w:type="dxa"/>
            <w:tcMar>
              <w:top w:w="70" w:type="dxa"/>
              <w:left w:w="0" w:type="dxa"/>
              <w:bottom w:w="70" w:type="dxa"/>
              <w:right w:w="0" w:type="dxa"/>
            </w:tcMar>
            <w:vAlign w:val="center"/>
          </w:tcPr>
          <w:p w14:paraId="19710701" w14:textId="77777777" w:rsidR="002001CC" w:rsidRDefault="00A60B8E">
            <w:pPr>
              <w:spacing w:after="0" w:line="276" w:lineRule="auto"/>
              <w:jc w:val="right"/>
            </w:pPr>
            <w:r>
              <w:rPr>
                <w:rFonts w:eastAsia="Arial"/>
                <w:color w:val="1F1F1F"/>
              </w:rPr>
              <w:t>9</w:t>
            </w:r>
          </w:p>
        </w:tc>
      </w:tr>
      <w:tr w:rsidR="002001CC" w14:paraId="3767BCD0" w14:textId="77777777">
        <w:trPr>
          <w:cantSplit/>
          <w:jc w:val="center"/>
        </w:trPr>
        <w:tc>
          <w:tcPr>
            <w:tcW w:w="7800" w:type="dxa"/>
            <w:tcMar>
              <w:top w:w="70" w:type="dxa"/>
              <w:left w:w="0" w:type="dxa"/>
              <w:bottom w:w="70" w:type="dxa"/>
              <w:right w:w="0" w:type="dxa"/>
            </w:tcMar>
            <w:vAlign w:val="center"/>
          </w:tcPr>
          <w:p w14:paraId="7C05BD21" w14:textId="77777777" w:rsidR="002001CC" w:rsidRDefault="00A60B8E">
            <w:pPr>
              <w:spacing w:after="0" w:line="276" w:lineRule="auto"/>
              <w:jc w:val="left"/>
            </w:pPr>
            <w:r>
              <w:rPr>
                <w:rFonts w:eastAsia="Arial"/>
                <w:color w:val="1F1F1F"/>
              </w:rPr>
              <w:t>Impact on Performance and Recommendations</w:t>
            </w:r>
          </w:p>
        </w:tc>
        <w:tc>
          <w:tcPr>
            <w:tcW w:w="900" w:type="dxa"/>
            <w:tcMar>
              <w:top w:w="70" w:type="dxa"/>
              <w:left w:w="0" w:type="dxa"/>
              <w:bottom w:w="70" w:type="dxa"/>
              <w:right w:w="0" w:type="dxa"/>
            </w:tcMar>
            <w:vAlign w:val="center"/>
          </w:tcPr>
          <w:p w14:paraId="03358624" w14:textId="77777777" w:rsidR="002001CC" w:rsidRDefault="00A60B8E">
            <w:pPr>
              <w:spacing w:after="0" w:line="276" w:lineRule="auto"/>
              <w:jc w:val="right"/>
            </w:pPr>
            <w:r>
              <w:rPr>
                <w:rFonts w:eastAsia="Arial"/>
                <w:color w:val="1F1F1F"/>
              </w:rPr>
              <w:t>10</w:t>
            </w:r>
          </w:p>
        </w:tc>
      </w:tr>
      <w:tr w:rsidR="002001CC" w14:paraId="240ECA50" w14:textId="77777777">
        <w:trPr>
          <w:cantSplit/>
          <w:jc w:val="center"/>
        </w:trPr>
        <w:tc>
          <w:tcPr>
            <w:tcW w:w="7800" w:type="dxa"/>
            <w:tcMar>
              <w:top w:w="70" w:type="dxa"/>
              <w:left w:w="0" w:type="dxa"/>
              <w:bottom w:w="70" w:type="dxa"/>
              <w:right w:w="0" w:type="dxa"/>
            </w:tcMar>
            <w:vAlign w:val="center"/>
          </w:tcPr>
          <w:p w14:paraId="21C35813" w14:textId="77777777" w:rsidR="002001CC" w:rsidRDefault="00A60B8E">
            <w:pPr>
              <w:spacing w:after="0" w:line="276" w:lineRule="auto"/>
              <w:jc w:val="left"/>
            </w:pPr>
            <w:r>
              <w:rPr>
                <w:rFonts w:eastAsia="Arial"/>
                <w:color w:val="1F1F1F"/>
              </w:rPr>
              <w:t>Conclusion</w:t>
            </w:r>
          </w:p>
        </w:tc>
        <w:tc>
          <w:tcPr>
            <w:tcW w:w="900" w:type="dxa"/>
            <w:tcMar>
              <w:top w:w="70" w:type="dxa"/>
              <w:left w:w="0" w:type="dxa"/>
              <w:bottom w:w="70" w:type="dxa"/>
              <w:right w:w="0" w:type="dxa"/>
            </w:tcMar>
            <w:vAlign w:val="center"/>
          </w:tcPr>
          <w:p w14:paraId="5E169995" w14:textId="77777777" w:rsidR="002001CC" w:rsidRDefault="00A60B8E">
            <w:pPr>
              <w:spacing w:after="0" w:line="276" w:lineRule="auto"/>
              <w:jc w:val="right"/>
            </w:pPr>
            <w:r>
              <w:rPr>
                <w:rFonts w:eastAsia="Arial"/>
                <w:color w:val="1F1F1F"/>
              </w:rPr>
              <w:t>11</w:t>
            </w:r>
          </w:p>
        </w:tc>
      </w:tr>
      <w:tr w:rsidR="002001CC" w14:paraId="28677E51" w14:textId="77777777">
        <w:trPr>
          <w:cantSplit/>
          <w:jc w:val="center"/>
        </w:trPr>
        <w:tc>
          <w:tcPr>
            <w:tcW w:w="7800" w:type="dxa"/>
            <w:tcMar>
              <w:top w:w="70" w:type="dxa"/>
              <w:left w:w="0" w:type="dxa"/>
              <w:bottom w:w="70" w:type="dxa"/>
              <w:right w:w="0" w:type="dxa"/>
            </w:tcMar>
            <w:vAlign w:val="center"/>
          </w:tcPr>
          <w:p w14:paraId="66742917" w14:textId="77777777" w:rsidR="002001CC" w:rsidRDefault="00A60B8E">
            <w:pPr>
              <w:spacing w:after="0" w:line="276" w:lineRule="auto"/>
              <w:jc w:val="left"/>
            </w:pPr>
            <w:r>
              <w:rPr>
                <w:rFonts w:eastAsia="Arial"/>
                <w:color w:val="1F1F1F"/>
              </w:rPr>
              <w:t>References</w:t>
            </w:r>
          </w:p>
        </w:tc>
        <w:tc>
          <w:tcPr>
            <w:tcW w:w="900" w:type="dxa"/>
            <w:tcMar>
              <w:top w:w="70" w:type="dxa"/>
              <w:left w:w="0" w:type="dxa"/>
              <w:bottom w:w="70" w:type="dxa"/>
              <w:right w:w="0" w:type="dxa"/>
            </w:tcMar>
            <w:vAlign w:val="center"/>
          </w:tcPr>
          <w:p w14:paraId="115942E1" w14:textId="77777777" w:rsidR="002001CC" w:rsidRDefault="00A60B8E">
            <w:pPr>
              <w:spacing w:after="0" w:line="276" w:lineRule="auto"/>
              <w:jc w:val="right"/>
            </w:pPr>
            <w:r>
              <w:rPr>
                <w:rFonts w:eastAsia="Arial"/>
                <w:color w:val="1F1F1F"/>
              </w:rPr>
              <w:t>12</w:t>
            </w:r>
          </w:p>
        </w:tc>
      </w:tr>
    </w:tbl>
    <w:p w14:paraId="2565B555" w14:textId="77777777" w:rsidR="002001CC" w:rsidRDefault="00A60B8E">
      <w:r>
        <w:br w:type="page"/>
      </w:r>
    </w:p>
    <w:p w14:paraId="49EA316E" w14:textId="77777777" w:rsidR="002001CC" w:rsidRDefault="00A60B8E">
      <w:pPr>
        <w:pStyle w:val="1"/>
      </w:pPr>
      <w:r>
        <w:rPr>
          <w:rFonts w:ascii="Arial" w:eastAsia="Arial" w:hAnsi="Arial"/>
        </w:rPr>
        <w:t>Introduction</w:t>
      </w:r>
    </w:p>
    <w:p w14:paraId="3877219A" w14:textId="77777777" w:rsidR="002001CC" w:rsidRDefault="00A60B8E">
      <w:r>
        <w:rPr>
          <w:rFonts w:eastAsia="Arial"/>
          <w:color w:val="1F1F1F"/>
        </w:rPr>
        <w:t>Mullins and Christy (2016) argue that organisational culture is pervasive because shared values, beliefs and attitudes shape how work is structured, decisions are made, people are motivated and control is exercised. This report applies that proposition to Tesco PLC, a multinational grocery retailer employing more than 340,000 colleagues and operating 4,572 stores alongside substantial online and wholesale activities (Tesco PLC, 2025a). The analysis combines Schein’s three-level model, Handy’s cultural types</w:t>
      </w:r>
      <w:r>
        <w:rPr>
          <w:rFonts w:eastAsia="Arial"/>
          <w:color w:val="1F1F1F"/>
        </w:rPr>
        <w:t>, Hofstede’s dimensions and the Competing Values Framework to identify Tesco’s prevailing culture and its consequences. Evidence is drawn principally from Tesco’s 2025 annual and sustainability reports, regulator material and competitor reports. The report evaluates both the enabling effects of customer focus, colleague inclusion and continuous improvement, and the risks created by scale, performance pressure and centralised control. It then benchmarks Tesco against Sainsbury’s and Asda, links cultural prac</w:t>
      </w:r>
      <w:r>
        <w:rPr>
          <w:rFonts w:eastAsia="Arial"/>
          <w:color w:val="1F1F1F"/>
        </w:rPr>
        <w:t>tices to financial and non-financial outcomes, and proposes evidence-based improvements. The central judgement is that Tesco’s culture is currently an enabler, but only while ethical voice, local discretion and stakeholder measures constrain an otherwise strong results orientation.</w:t>
      </w:r>
    </w:p>
    <w:p w14:paraId="4D50E637" w14:textId="77777777" w:rsidR="002001CC" w:rsidRDefault="00A60B8E">
      <w:pPr>
        <w:pStyle w:val="1"/>
      </w:pPr>
      <w:r>
        <w:rPr>
          <w:rFonts w:ascii="Arial" w:eastAsia="Arial" w:hAnsi="Arial"/>
        </w:rPr>
        <w:t>Organisational Culture at Tesco</w:t>
      </w:r>
    </w:p>
    <w:p w14:paraId="339C9A95" w14:textId="77777777" w:rsidR="002001CC" w:rsidRDefault="00A60B8E">
      <w:r>
        <w:rPr>
          <w:rFonts w:eastAsia="Arial"/>
          <w:color w:val="1F1F1F"/>
        </w:rPr>
        <w:t>Organisational culture concerns the shared assumptions through which members interpret priorities and decide what behaviour is legitimate. At Tesco, the visible cultural architecture begins with the purpose: “serving our customers, communities and planet a little better every day”. Its three stated values are trying harder for customers, treating people as they wish to be treated, and believing that every small contribution can make a significant difference (Tesco PLC, 2025a). These statements translate the</w:t>
      </w:r>
      <w:r>
        <w:rPr>
          <w:rFonts w:eastAsia="Arial"/>
          <w:color w:val="1F1F1F"/>
        </w:rPr>
        <w:t xml:space="preserve"> long-running “Every Little Helps” brand promise into an internal behavioural code. Customer listening, incremental improvement and respect are therefore not merely marketing language; they specify the conduct expected in stores, distribution, digital teams and supplier relationships.</w:t>
      </w:r>
    </w:p>
    <w:p w14:paraId="19E30E5D" w14:textId="77777777" w:rsidR="002001CC" w:rsidRDefault="00A60B8E">
      <w:r>
        <w:rPr>
          <w:rFonts w:eastAsia="Arial"/>
          <w:color w:val="1F1F1F"/>
        </w:rPr>
        <w:t>The culture has several mutually reinforcing characteristics. First, it is strongly customer- and data-oriented. Clubcard information, customer feedback and social media are used to identify needs and guide innovation. More than 23 million UK households held a Clubcard in 2025; sales penetration reached 84% in the UK, while the group had 18 million app users (Tesco PLC, 2025a). Second, the culture emphasises operational discipline. The “Save to invest” logic legitimises simplification, automation and cost r</w:t>
      </w:r>
      <w:r>
        <w:rPr>
          <w:rFonts w:eastAsia="Arial"/>
          <w:color w:val="1F1F1F"/>
        </w:rPr>
        <w:t>eduction when savings are reinvested in price, quality, service or colleagues. Tesco reported £510 million of efficiency savings in FY2024/25. Third, it promotes inclusion and voice through “Everyone’s Welcome”, the Every Voice Matters survey, colleague contribution panels and the “news &amp; views” platform. The survey showed that 85% of colleagues would recommend Tesco as a workplace, up from 84% a year earlier (Tesco PLC, 2025a).</w:t>
      </w:r>
    </w:p>
    <w:p w14:paraId="36AABD28" w14:textId="77777777" w:rsidR="002001CC" w:rsidRDefault="00A60B8E">
      <w:r>
        <w:rPr>
          <w:rFonts w:eastAsia="Arial"/>
          <w:color w:val="1F1F1F"/>
        </w:rPr>
        <w:t>These features do not form a purely harmonious culture. A workforce spread across countries, formats and occupations inevitably contains subcultures: store teams prioritise availability and service; distribution centres value standardisation and safety; data specialists favour experimentation; and senior leaders focus on risk and returns. Moreover, customer obsession and quantified targets can generate tension with workload, supplier fairness or long-term sustainability. Tesco’s culture is therefore best de</w:t>
      </w:r>
      <w:r>
        <w:rPr>
          <w:rFonts w:eastAsia="Arial"/>
          <w:color w:val="1F1F1F"/>
        </w:rPr>
        <w:t>scribed as a customer-led, performance-disciplined and increasingly stakeholder-conscious culture, held together by common values rather than complete uniformity. Its strength lies in making a complex organisation understandable through a small number of repeated priorities; its weakness is the possibility that simple slogans conceal different lived experiences across levels and locations.</w:t>
      </w:r>
    </w:p>
    <w:p w14:paraId="4F278A49" w14:textId="77777777" w:rsidR="002001CC" w:rsidRDefault="00A60B8E">
      <w:r>
        <w:rPr>
          <w:rFonts w:eastAsia="Arial"/>
          <w:color w:val="1F1F1F"/>
        </w:rPr>
        <w:t xml:space="preserve">Culture is also reproduced through selection, socialisation, leadership attention and reward. New colleagues encounter the values in recruitment and training; managers reinforce them through performance conversations; and the Board monitors culture through people metrics, site visits and colleague panels. Johnson et al.’s (2017) cultural web is useful here: routines, control systems, organisational stories and symbols all repeat the message that customer service and cumulative improvement are central. This </w:t>
      </w:r>
      <w:r>
        <w:rPr>
          <w:rFonts w:eastAsia="Arial"/>
          <w:color w:val="1F1F1F"/>
        </w:rPr>
        <w:t>institutionalisation makes the culture durable, but also increases leaders’ responsibility to challenge routines that no longer serve the purpose.</w:t>
      </w:r>
    </w:p>
    <w:p w14:paraId="3AF0FBCB" w14:textId="77777777" w:rsidR="002001CC" w:rsidRDefault="00A60B8E">
      <w:pPr>
        <w:pStyle w:val="1"/>
      </w:pPr>
      <w:r>
        <w:rPr>
          <w:rFonts w:ascii="Arial" w:eastAsia="Arial" w:hAnsi="Arial"/>
        </w:rPr>
        <w:t>Influence on Structure and Decision-Making</w:t>
      </w:r>
    </w:p>
    <w:p w14:paraId="49F87C74" w14:textId="77777777" w:rsidR="002001CC" w:rsidRDefault="00A60B8E">
      <w:r>
        <w:rPr>
          <w:rFonts w:eastAsia="Arial"/>
          <w:color w:val="1F1F1F"/>
        </w:rPr>
        <w:t xml:space="preserve">Culture influences Tesco’s structure by combining central control with operational delegation. The Board reserves group strategy, major capital decisions, risk appetite and governance, while the Chief Executive and Executive Committee translate four strategic priorities—value, convenience, Clubcard and Save to invest—into business plans (Tesco PLC, 2025a). Functional expertise in finance, technology, commercial, people, sustainability and supply chain sits alongside geographic and business units such as UK </w:t>
      </w:r>
      <w:r>
        <w:rPr>
          <w:rFonts w:eastAsia="Arial"/>
          <w:color w:val="1F1F1F"/>
        </w:rPr>
        <w:t>and ROI, Central Europe and Booker. This resembles a large divisional structure integrated by common systems and metrics. Customer focus supplies the horizontal logic: functions are expected to collaborate around customer journeys rather than defend specialist boundaries.</w:t>
      </w:r>
    </w:p>
    <w:p w14:paraId="5CCB4295" w14:textId="77777777" w:rsidR="002001CC" w:rsidRDefault="00A60B8E">
      <w:r>
        <w:rPr>
          <w:rFonts w:eastAsia="Arial"/>
          <w:color w:val="1F1F1F"/>
        </w:rPr>
        <w:t>Decision-making is consequently both evidence-led and culturally framed. At the centre, Clubcard and dunnhumby insights support range, price and promotion choices; financial scorecards allocate capital; and Board committees oversee audit, risk, remuneration and sustainability. At the frontline, colleagues need discretion to solve customer problems, adapt routines and respond to local demand. Tesco’s values make that discretion more consistent: a choice is culturally legitimate when it improves customer valu</w:t>
      </w:r>
      <w:r>
        <w:rPr>
          <w:rFonts w:eastAsia="Arial"/>
          <w:color w:val="1F1F1F"/>
        </w:rPr>
        <w:t>e, respects people and contributes to cumulative improvement. The “Live 20/80” behaviour—prioritising the few actions that make the largest difference—also reduces complexity in a business where excessive approval layers could slow execution (Tesco PLC, 2025a). This supports Burns and Stalker’s (1961) contingency argument: mechanistic controls suit high-volume, safety-critical retail processes, whereas organic collaboration is needed for digital innovation and uncertain customer problems.</w:t>
      </w:r>
    </w:p>
    <w:p w14:paraId="7CC6432A" w14:textId="77777777" w:rsidR="002001CC" w:rsidRDefault="00A60B8E">
      <w:r>
        <w:rPr>
          <w:rFonts w:eastAsia="Arial"/>
          <w:color w:val="1F1F1F"/>
        </w:rPr>
        <w:t>However, the relationship is not automatically positive. A strong head-office performance culture may privilege measurable indicators over weak signals from stores, suppliers or minority groups. Standard operating procedures create consistency but can suppress local learning; algorithms increase analytical quality but may centralise power in data owners and reproduce biased assumptions. Tesco’s 2014 overstatement of expected profit—initially estimated at £246 million—illustrates the danger when commercial-i</w:t>
      </w:r>
      <w:r>
        <w:rPr>
          <w:rFonts w:eastAsia="Arial"/>
          <w:color w:val="1F1F1F"/>
        </w:rPr>
        <w:t>ncome judgements and demanding targets overwhelm challenge and escalation (FCA, 2017; Harvard Business School, 2019). Current governance, culture monitoring and whistleblowing arrangements are important corrective mechanisms, but formal controls cannot substitute for psychological safety.</w:t>
      </w:r>
    </w:p>
    <w:p w14:paraId="5D0B97D2" w14:textId="77777777" w:rsidR="002001CC" w:rsidRDefault="00A60B8E">
      <w:r>
        <w:rPr>
          <w:rFonts w:eastAsia="Arial"/>
          <w:color w:val="1F1F1F"/>
        </w:rPr>
        <w:t>Overall, Tesco’s culture supports a hybrid design: centralised purpose, capital allocation, data infrastructure and risk control; decentralised service recovery and operational learning. Effectiveness depends on decision rights being explicit. Matters affecting food safety, accounting integrity, data privacy and major investment require independent challenge and central assurance, whereas customer service and local experimentation should be pushed closer to the point of information. Culture acts as the coor</w:t>
      </w:r>
      <w:r>
        <w:rPr>
          <w:rFonts w:eastAsia="Arial"/>
          <w:color w:val="1F1F1F"/>
        </w:rPr>
        <w:t>dinating mechanism between these levels, reducing the need for constant hierarchical intervention while preserving a common strategic direction.</w:t>
      </w:r>
    </w:p>
    <w:p w14:paraId="20CC2CFB" w14:textId="77777777" w:rsidR="002001CC" w:rsidRDefault="00A60B8E">
      <w:pPr>
        <w:pStyle w:val="1"/>
      </w:pPr>
      <w:r>
        <w:rPr>
          <w:rFonts w:ascii="Arial" w:eastAsia="Arial" w:hAnsi="Arial"/>
        </w:rPr>
        <w:t>Identification and Prevailing Culture: Theoretical Frameworks</w:t>
      </w:r>
    </w:p>
    <w:p w14:paraId="53E65CEB" w14:textId="77777777" w:rsidR="002001CC" w:rsidRDefault="00A60B8E">
      <w:r>
        <w:rPr>
          <w:rFonts w:eastAsia="Arial"/>
          <w:color w:val="1F1F1F"/>
        </w:rPr>
        <w:t>Schein’s (2017) model distinguishes artefacts, espoused values and basic underlying assumptions. Tesco’s artefacts include Clubcard Prices, “Every Little Helps” language, colleague surveys, standard store routines, rapid-delivery services, KPI dashboards and community programmes. Espoused values are the customer, people and incremental-impact commitments described above. The underlying assumptions inferred from repeated investment choices are that customer loyalty follows from value and convenience; reliabl</w:t>
      </w:r>
      <w:r>
        <w:rPr>
          <w:rFonts w:eastAsia="Arial"/>
          <w:color w:val="1F1F1F"/>
        </w:rPr>
        <w:t xml:space="preserve">e data improves judgement; small operational gains aggregate at scale; and colleagues deliver better service when they feel respected. Alignment is reasonably strong: FY2024/25 produced a 28.3% UK market share, an 85% Great Place to Work score and a 65% reduction in Scope 1 and 2 emissions from the 2015/16 baseline (Tesco PLC, 2025a; 2025b). Yet Schein warns that inconsistency between stated and enacted values reveals deeper assumptions. Cost reduction that raises workload, or personalisation that excludes </w:t>
      </w:r>
      <w:r>
        <w:rPr>
          <w:rFonts w:eastAsia="Arial"/>
          <w:color w:val="1F1F1F"/>
        </w:rPr>
        <w:t>non-digital customers, would expose a latent belief that efficiency outranks inclusion.</w:t>
      </w:r>
    </w:p>
    <w:p w14:paraId="47878501" w14:textId="77777777" w:rsidR="002001CC" w:rsidRDefault="00A60B8E">
      <w:r>
        <w:rPr>
          <w:rFonts w:eastAsia="Arial"/>
          <w:color w:val="1F1F1F"/>
        </w:rPr>
        <w:t>Handy’s (1993) typology suggests that Tesco combines role and task cultures. Role culture is visible in formal governance, specialised functions, standardised controls and clear accountability—necessary for food safety, financial reporting and consistent service across thousands of sites. Task culture appears in cross-functional product development, digital platforms, sustainability partnerships and supply-chain problem-solving. A power culture is constrained by a listed-company Board and committees but may</w:t>
      </w:r>
      <w:r>
        <w:rPr>
          <w:rFonts w:eastAsia="Arial"/>
          <w:color w:val="1F1F1F"/>
        </w:rPr>
        <w:t xml:space="preserve"> emerge around senior executives or central commercial teams; person culture is limited because collective retail outcomes outweigh individual autonomy. The prevailing configuration is therefore a role–task hybrid rather than one pure type.</w:t>
      </w:r>
    </w:p>
    <w:p w14:paraId="350644D7" w14:textId="77777777" w:rsidR="002001CC" w:rsidRDefault="00A60B8E">
      <w:r>
        <w:rPr>
          <w:rFonts w:eastAsia="Arial"/>
          <w:color w:val="1F1F1F"/>
        </w:rPr>
        <w:t>Hofstede et al. (2010) help explain the international challenge. Tesco requires enough uncertainty avoidance to protect safety and availability, but lower power distance to encourage colleague voice. Individual store initiative must coexist with collectivist “win together” behaviour. National differences mean that the same values may be enacted differently in Ireland, Hungary, Slovakia and the Czech Republic; imposing UK practices without local interpretation would confuse consistency with sameness. A coher</w:t>
      </w:r>
      <w:r>
        <w:rPr>
          <w:rFonts w:eastAsia="Arial"/>
          <w:color w:val="1F1F1F"/>
        </w:rPr>
        <w:t>ent culture should specify non-negotiable ethical principles while permitting locally appropriate communication, reward and service practices.</w:t>
      </w:r>
    </w:p>
    <w:p w14:paraId="4C8BBEE7" w14:textId="77777777" w:rsidR="002001CC" w:rsidRDefault="00A60B8E">
      <w:r>
        <w:rPr>
          <w:rFonts w:eastAsia="Arial"/>
          <w:color w:val="1F1F1F"/>
        </w:rPr>
        <w:t>Finally, Cameron and Quinn’s (2011) Competing Values Framework identifies four orientations. Tesco shows clan features through inclusion and engagement, market features through customer share, price and profit targets, hierarchy through controls, and adhocracy through digital and product innovation. The dominant orientation is market culture, moderated by hierarchy and clan values. This diagnosis is more credible than labelling Tesco simply “customer focused”, because it recognises the tensions that managem</w:t>
      </w:r>
      <w:r>
        <w:rPr>
          <w:rFonts w:eastAsia="Arial"/>
          <w:color w:val="1F1F1F"/>
        </w:rPr>
        <w:t>ent must balance. The desired evolution is not to remove performance discipline, but to strengthen clan and adhocracy elements—voice, learning and experimentation—so that market success is ethically sustainable.</w:t>
      </w:r>
    </w:p>
    <w:p w14:paraId="282772BF" w14:textId="77777777" w:rsidR="002001CC" w:rsidRDefault="00A60B8E">
      <w:pPr>
        <w:pStyle w:val="1"/>
      </w:pPr>
      <w:r>
        <w:rPr>
          <w:rFonts w:ascii="Arial" w:eastAsia="Arial" w:hAnsi="Arial"/>
        </w:rPr>
        <w:t>Cultural Adaptation to External Environmental Influences</w:t>
      </w:r>
    </w:p>
    <w:p w14:paraId="0C69C02A" w14:textId="77777777" w:rsidR="002001CC" w:rsidRDefault="00A60B8E">
      <w:r>
        <w:rPr>
          <w:rFonts w:eastAsia="Arial"/>
          <w:color w:val="1F1F1F"/>
        </w:rPr>
        <w:t>Tesco leverages culture as an interpretive and response system for environmental change. Economic pressure and discount competition are translated through the customer-value assumption. In FY2024/25 more than 2,300 products were cheaper at year-end than at the start, with an average reduction of approximately 9%; at the same time, 1,000 new products were launched and over 600 improved (Tesco PLC, 2025a). This shows adaptation through both price and differentiation rather than a single cost response. “Save t</w:t>
      </w:r>
      <w:r>
        <w:rPr>
          <w:rFonts w:eastAsia="Arial"/>
          <w:color w:val="1F1F1F"/>
        </w:rPr>
        <w:t>o invest” supports the model by releasing £510 million of efficiencies to absorb wage and operating inflation while funding the customer offer.</w:t>
      </w:r>
    </w:p>
    <w:p w14:paraId="4FFDB644" w14:textId="77777777" w:rsidR="002001CC" w:rsidRDefault="00A60B8E">
      <w:r>
        <w:rPr>
          <w:rFonts w:eastAsia="Arial"/>
          <w:color w:val="1F1F1F"/>
        </w:rPr>
        <w:t>Technological and behavioural change is addressed through a culture of data-informed convenience. Online sales increased 10.2% to £6.8 billion, average weekly orders reached 1.33 million, and Whoosh became available in more than 1,500 stores. Tesco Marketplace expanded the online range to over 400,000 products (Tesco PLC, 2025a). These developments reflect adhocracy within a controlled platform: experiments are scaled when evidence indicates customer value. The advantage is responsiveness; the risk is overd</w:t>
      </w:r>
      <w:r>
        <w:rPr>
          <w:rFonts w:eastAsia="Arial"/>
          <w:color w:val="1F1F1F"/>
        </w:rPr>
        <w:t>ependence on measurable digital behaviour. Customers who lack smartphones, data literacy or willingness to share information may be underserved, making inclusive design a cultural as well as technical obligation.</w:t>
      </w:r>
    </w:p>
    <w:p w14:paraId="53463295" w14:textId="77777777" w:rsidR="002001CC" w:rsidRDefault="00A60B8E">
      <w:r>
        <w:rPr>
          <w:rFonts w:eastAsia="Arial"/>
          <w:color w:val="1F1F1F"/>
        </w:rPr>
        <w:t>Environmental and social pressures are integrated into the corporate purpose rather than treated solely as compliance. Operational emissions were 65% below the 2015/16 baseline, exceeding the 2025 target of 60%; 70% of UK and ROI grocery suppliers by value had committed to net zero; and 82% of unsold UK food safe for human consumption was redistributed. Almost 118 million meals were donated from surplus food across the Group in the year (Tesco PLC, 2025b). Partnerships with suppliers and farmers allow Tesco</w:t>
      </w:r>
      <w:r>
        <w:rPr>
          <w:rFonts w:eastAsia="Arial"/>
          <w:color w:val="1F1F1F"/>
        </w:rPr>
        <w:t xml:space="preserve"> to respond to climate and supply resilience challenges that cannot be solved hierarchically. This is consistent with a stakeholder culture, although the much larger Scope 3 footprint means operational success should not be mistaken for full value-chain transformation.</w:t>
      </w:r>
    </w:p>
    <w:p w14:paraId="470F5CD7" w14:textId="77777777" w:rsidR="002001CC" w:rsidRDefault="00A60B8E">
      <w:r>
        <w:rPr>
          <w:rFonts w:eastAsia="Arial"/>
          <w:color w:val="1F1F1F"/>
        </w:rPr>
        <w:t>Regulatory, geopolitical and labour-market pressures require a strong risk and people culture. Tesco combines Board and committee oversight with clear risk ownership, supplier engagement, union collaboration and investments in pay. The cumulative increase in UK hourly-paid colleague investment since April 2022 exceeded £900 million, taking the announced hourly rate to £12.64 from August 2025 (Tesco PLC, 2025b). Such practices support retention and service during labour shortages. Culture therefore creates a</w:t>
      </w:r>
      <w:r>
        <w:rPr>
          <w:rFonts w:eastAsia="Arial"/>
          <w:color w:val="1F1F1F"/>
        </w:rPr>
        <w:t>daptive capacity by giving dispersed actors common priorities. Nevertheless, adaptability falls if “Every Little Helps” becomes gradualism when discontinuous change is required. Scenario planning, protected experimentation and external stakeholder challenge are needed to prevent a successful formula from becoming rigidity.</w:t>
      </w:r>
    </w:p>
    <w:p w14:paraId="33696E5C" w14:textId="77777777" w:rsidR="002001CC" w:rsidRDefault="00A60B8E">
      <w:pPr>
        <w:pStyle w:val="1"/>
      </w:pPr>
      <w:r>
        <w:rPr>
          <w:rFonts w:ascii="Arial" w:eastAsia="Arial" w:hAnsi="Arial"/>
        </w:rPr>
        <w:t>Culture as an Enabler or Barrier to Effective Functioning</w:t>
      </w:r>
    </w:p>
    <w:p w14:paraId="6EBB997C" w14:textId="77777777" w:rsidR="002001CC" w:rsidRDefault="00A60B8E">
      <w:r>
        <w:rPr>
          <w:rFonts w:eastAsia="Arial"/>
          <w:color w:val="1F1F1F"/>
        </w:rPr>
        <w:t>On balance, Tesco’s culture is an enabler because it lowers coordination costs, clarifies trade-offs and motivates behaviour across a very large system. Customer focus links roles that might otherwise fragment; the values provide a common language; and “Save to invest” connects productivity to a visible beneficiary rather than presenting efficiency as an end in itself. Financial practices reinforce these messages. Tesco invested £1.457 billion in capital expenditure in FY2024/25, generated £1.750 billion of</w:t>
      </w:r>
      <w:r>
        <w:rPr>
          <w:rFonts w:eastAsia="Arial"/>
          <w:color w:val="1F1F1F"/>
        </w:rPr>
        <w:t xml:space="preserve"> free cash flow and delivered £510 million of efficiencies. More than 2,300 price reductions and investment in colleague pay show how resources were directed toward value and service (Tesco PLC, 2025a; 2025b). These choices make the culture credible because employees and customers can observe material commitments.</w:t>
      </w:r>
    </w:p>
    <w:p w14:paraId="2DFC10A0" w14:textId="77777777" w:rsidR="002001CC" w:rsidRDefault="00A60B8E">
      <w:r>
        <w:rPr>
          <w:rFonts w:eastAsia="Arial"/>
          <w:color w:val="1F1F1F"/>
        </w:rPr>
        <w:t>Non-financial practices deepen the enabling effect. Eighty-five per cent of colleagues recommending Tesco as a workplace, a Group NPS of 28 points (up nine), 84% UK Clubcard sales penetration, a 65% operational-emissions reduction and almost 118 million surplus-food meals donated provide several behavioural and stakeholder indicators (Tesco PLC, 2025a; 2025b). The combination matters: a purely financial scorecard could stimulate short-termism, whereas colleague, customer and environmental measures broaden w</w:t>
      </w:r>
      <w:r>
        <w:rPr>
          <w:rFonts w:eastAsia="Arial"/>
          <w:color w:val="1F1F1F"/>
        </w:rPr>
        <w:t>hat counts as performance. Denison and Mishra (1995) similarly associate involvement, consistency, adaptability and mission with effectiveness.</w:t>
      </w:r>
    </w:p>
    <w:p w14:paraId="3A16973A" w14:textId="77777777" w:rsidR="002001CC" w:rsidRDefault="00A60B8E">
      <w:r>
        <w:rPr>
          <w:rFonts w:eastAsia="Arial"/>
          <w:color w:val="1F1F1F"/>
        </w:rPr>
        <w:t>There are, however, material barrier risks. Strong culture can create conformity, silence dissent and turn targets into moral imperatives. The 2014 accounting failure is a warning that results pressure and weak challenge can damage trust even in a customer-led company. Cost programmes may also intensify work, automation may reduce perceived autonomy, and standardisation can marginalise local knowledge. Digital personalisation may create a two-tier offer between Clubcard users and others. Finally, the market</w:t>
      </w:r>
      <w:r>
        <w:rPr>
          <w:rFonts w:eastAsia="Arial"/>
          <w:color w:val="1F1F1F"/>
        </w:rPr>
        <w:t>-culture emphasis can narrow stakeholder attention if supplier resilience, employee wellbeing or carbon reduction is pursued only when immediately profitable. Barney (1986) argues that culture can be a source of sustained advantage only when it creates value and is difficult to imitate; a slogan without distinctive routines or ethical credibility meets neither condition.</w:t>
      </w:r>
    </w:p>
    <w:p w14:paraId="0FB46264" w14:textId="77777777" w:rsidR="002001CC" w:rsidRDefault="00A60B8E">
      <w:r>
        <w:rPr>
          <w:rFonts w:eastAsia="Arial"/>
          <w:color w:val="1F1F1F"/>
        </w:rPr>
        <w:t>The correct conclusion is therefore conditional. Tesco’s culture currently enables effective functioning, as indicated by concurrent gains in sales, profit, market share, customer advocacy and colleague recommendation. Yet those outcomes do not prove causation, and corporate reports may present culture selectively. Culture remains enabling only if leaders protect speak-up behaviour, examine workload and inclusion, validate data ethics and reward long-term stakeholder outcomes. Otherwise, the same cohesion t</w:t>
      </w:r>
      <w:r>
        <w:rPr>
          <w:rFonts w:eastAsia="Arial"/>
          <w:color w:val="1F1F1F"/>
        </w:rPr>
        <w:t>hat supports execution can become a barrier by filtering inconvenient information.</w:t>
      </w:r>
    </w:p>
    <w:p w14:paraId="162F5366" w14:textId="77777777" w:rsidR="002001CC" w:rsidRDefault="00A60B8E">
      <w:pPr>
        <w:pStyle w:val="1"/>
      </w:pPr>
      <w:r>
        <w:rPr>
          <w:rFonts w:ascii="Arial" w:eastAsia="Arial" w:hAnsi="Arial"/>
        </w:rPr>
        <w:t>Financial and Non-Financial Practices and Competitor Benchmark</w:t>
      </w:r>
    </w:p>
    <w:p w14:paraId="309F24F5" w14:textId="77777777" w:rsidR="002001CC" w:rsidRDefault="00A60B8E">
      <w:r>
        <w:rPr>
          <w:rFonts w:eastAsia="Arial"/>
          <w:color w:val="1F1F1F"/>
        </w:rPr>
        <w:t>Table 1 benchmarks Tesco with its closest large UK grocery rivals. Comparability is qualified: Tesco and Sainsbury’s report 52-week periods ending in February/March 2025, whereas Asda reports the calendar year 2024; their alternative profit measures also have different definitions. The table should therefore be read directionally rather than as a league table.</w:t>
      </w:r>
    </w:p>
    <w:p w14:paraId="6459879E" w14:textId="77777777" w:rsidR="002001CC" w:rsidRDefault="00A60B8E">
      <w:pPr>
        <w:spacing w:before="60" w:after="100"/>
      </w:pPr>
      <w:r>
        <w:rPr>
          <w:rFonts w:eastAsia="Arial"/>
          <w:b/>
          <w:color w:val="1F4E79"/>
        </w:rPr>
        <w:t>Table 1. Tesco benchmarked with Sainsbury’s and Asda</w:t>
      </w:r>
    </w:p>
    <w:tbl>
      <w:tblPr>
        <w:tblStyle w:val="aff0"/>
        <w:tblW w:w="9000" w:type="dxa"/>
        <w:jc w:val="center"/>
        <w:tblLayout w:type="fixed"/>
        <w:tblLook w:val="04A0" w:firstRow="1" w:lastRow="0" w:firstColumn="1" w:lastColumn="0" w:noHBand="0" w:noVBand="1"/>
      </w:tblPr>
      <w:tblGrid>
        <w:gridCol w:w="2100"/>
        <w:gridCol w:w="2300"/>
        <w:gridCol w:w="2300"/>
        <w:gridCol w:w="2300"/>
      </w:tblGrid>
      <w:tr w:rsidR="002001CC" w14:paraId="306E4376" w14:textId="77777777">
        <w:trPr>
          <w:cantSplit/>
          <w:tblHeader/>
          <w:jc w:val="center"/>
        </w:trPr>
        <w:tc>
          <w:tcPr>
            <w:tcW w:w="2100" w:type="dxa"/>
            <w:shd w:val="clear" w:color="auto" w:fill="E8EEF5"/>
            <w:tcMar>
              <w:top w:w="100" w:type="dxa"/>
              <w:left w:w="120" w:type="dxa"/>
              <w:bottom w:w="100" w:type="dxa"/>
              <w:right w:w="120" w:type="dxa"/>
            </w:tcMar>
            <w:vAlign w:val="center"/>
          </w:tcPr>
          <w:p w14:paraId="59B4B694" w14:textId="77777777" w:rsidR="002001CC" w:rsidRDefault="00A60B8E">
            <w:pPr>
              <w:spacing w:after="60" w:line="259" w:lineRule="auto"/>
              <w:jc w:val="left"/>
            </w:pPr>
            <w:r>
              <w:rPr>
                <w:rFonts w:eastAsia="Arial"/>
                <w:b/>
                <w:color w:val="1F1F1F"/>
                <w:sz w:val="19"/>
              </w:rPr>
              <w:t>Indicator / practice</w:t>
            </w:r>
          </w:p>
        </w:tc>
        <w:tc>
          <w:tcPr>
            <w:tcW w:w="2300" w:type="dxa"/>
            <w:shd w:val="clear" w:color="auto" w:fill="E8EEF5"/>
            <w:tcMar>
              <w:top w:w="100" w:type="dxa"/>
              <w:left w:w="120" w:type="dxa"/>
              <w:bottom w:w="100" w:type="dxa"/>
              <w:right w:w="120" w:type="dxa"/>
            </w:tcMar>
            <w:vAlign w:val="center"/>
          </w:tcPr>
          <w:p w14:paraId="04CD211D" w14:textId="77777777" w:rsidR="002001CC" w:rsidRDefault="00A60B8E">
            <w:pPr>
              <w:spacing w:after="60" w:line="259" w:lineRule="auto"/>
              <w:jc w:val="left"/>
            </w:pPr>
            <w:r>
              <w:rPr>
                <w:rFonts w:eastAsia="Arial"/>
                <w:b/>
                <w:color w:val="1F1F1F"/>
                <w:sz w:val="19"/>
              </w:rPr>
              <w:t>Tesco</w:t>
            </w:r>
          </w:p>
        </w:tc>
        <w:tc>
          <w:tcPr>
            <w:tcW w:w="2300" w:type="dxa"/>
            <w:shd w:val="clear" w:color="auto" w:fill="E8EEF5"/>
            <w:tcMar>
              <w:top w:w="100" w:type="dxa"/>
              <w:left w:w="120" w:type="dxa"/>
              <w:bottom w:w="100" w:type="dxa"/>
              <w:right w:w="120" w:type="dxa"/>
            </w:tcMar>
            <w:vAlign w:val="center"/>
          </w:tcPr>
          <w:p w14:paraId="4C7C04BD" w14:textId="77777777" w:rsidR="002001CC" w:rsidRDefault="00A60B8E">
            <w:pPr>
              <w:spacing w:after="60" w:line="259" w:lineRule="auto"/>
              <w:jc w:val="left"/>
            </w:pPr>
            <w:r>
              <w:rPr>
                <w:rFonts w:eastAsia="Arial"/>
                <w:b/>
                <w:color w:val="1F1F1F"/>
                <w:sz w:val="19"/>
              </w:rPr>
              <w:t>Sainsbury’s</w:t>
            </w:r>
          </w:p>
        </w:tc>
        <w:tc>
          <w:tcPr>
            <w:tcW w:w="2300" w:type="dxa"/>
            <w:shd w:val="clear" w:color="auto" w:fill="E8EEF5"/>
            <w:tcMar>
              <w:top w:w="100" w:type="dxa"/>
              <w:left w:w="120" w:type="dxa"/>
              <w:bottom w:w="100" w:type="dxa"/>
              <w:right w:w="120" w:type="dxa"/>
            </w:tcMar>
            <w:vAlign w:val="center"/>
          </w:tcPr>
          <w:p w14:paraId="4CCEB122" w14:textId="77777777" w:rsidR="002001CC" w:rsidRDefault="00A60B8E">
            <w:pPr>
              <w:spacing w:after="60" w:line="259" w:lineRule="auto"/>
              <w:jc w:val="left"/>
            </w:pPr>
            <w:r>
              <w:rPr>
                <w:rFonts w:eastAsia="Arial"/>
                <w:b/>
                <w:color w:val="1F1F1F"/>
                <w:sz w:val="19"/>
              </w:rPr>
              <w:t>Asda</w:t>
            </w:r>
          </w:p>
        </w:tc>
      </w:tr>
      <w:tr w:rsidR="002001CC" w14:paraId="2CE75709" w14:textId="77777777">
        <w:trPr>
          <w:cantSplit/>
          <w:jc w:val="center"/>
        </w:trPr>
        <w:tc>
          <w:tcPr>
            <w:tcW w:w="2100" w:type="dxa"/>
            <w:tcMar>
              <w:top w:w="100" w:type="dxa"/>
              <w:left w:w="120" w:type="dxa"/>
              <w:bottom w:w="100" w:type="dxa"/>
              <w:right w:w="120" w:type="dxa"/>
            </w:tcMar>
            <w:vAlign w:val="center"/>
          </w:tcPr>
          <w:p w14:paraId="111EE51B" w14:textId="77777777" w:rsidR="002001CC" w:rsidRDefault="00A60B8E">
            <w:pPr>
              <w:spacing w:after="60" w:line="259" w:lineRule="auto"/>
              <w:jc w:val="left"/>
            </w:pPr>
            <w:r>
              <w:rPr>
                <w:rFonts w:eastAsia="Arial"/>
                <w:color w:val="1F1F1F"/>
                <w:sz w:val="19"/>
              </w:rPr>
              <w:t>Latest period used</w:t>
            </w:r>
          </w:p>
        </w:tc>
        <w:tc>
          <w:tcPr>
            <w:tcW w:w="2300" w:type="dxa"/>
            <w:tcMar>
              <w:top w:w="100" w:type="dxa"/>
              <w:left w:w="120" w:type="dxa"/>
              <w:bottom w:w="100" w:type="dxa"/>
              <w:right w:w="120" w:type="dxa"/>
            </w:tcMar>
            <w:vAlign w:val="center"/>
          </w:tcPr>
          <w:p w14:paraId="6947EB1D" w14:textId="77777777" w:rsidR="002001CC" w:rsidRDefault="00A60B8E">
            <w:pPr>
              <w:spacing w:after="60" w:line="259" w:lineRule="auto"/>
              <w:jc w:val="left"/>
            </w:pPr>
            <w:r>
              <w:rPr>
                <w:rFonts w:eastAsia="Arial"/>
                <w:color w:val="1F1F1F"/>
                <w:sz w:val="19"/>
              </w:rPr>
              <w:t>52 weeks to 22 Feb 2025</w:t>
            </w:r>
          </w:p>
        </w:tc>
        <w:tc>
          <w:tcPr>
            <w:tcW w:w="2300" w:type="dxa"/>
            <w:tcMar>
              <w:top w:w="100" w:type="dxa"/>
              <w:left w:w="120" w:type="dxa"/>
              <w:bottom w:w="100" w:type="dxa"/>
              <w:right w:w="120" w:type="dxa"/>
            </w:tcMar>
            <w:vAlign w:val="center"/>
          </w:tcPr>
          <w:p w14:paraId="07139B1E" w14:textId="77777777" w:rsidR="002001CC" w:rsidRDefault="00A60B8E">
            <w:pPr>
              <w:spacing w:after="60" w:line="259" w:lineRule="auto"/>
              <w:jc w:val="left"/>
            </w:pPr>
            <w:r>
              <w:rPr>
                <w:rFonts w:eastAsia="Arial"/>
                <w:color w:val="1F1F1F"/>
                <w:sz w:val="19"/>
              </w:rPr>
              <w:t>52 weeks to 1 Mar 2025</w:t>
            </w:r>
          </w:p>
        </w:tc>
        <w:tc>
          <w:tcPr>
            <w:tcW w:w="2300" w:type="dxa"/>
            <w:tcMar>
              <w:top w:w="100" w:type="dxa"/>
              <w:left w:w="120" w:type="dxa"/>
              <w:bottom w:w="100" w:type="dxa"/>
              <w:right w:w="120" w:type="dxa"/>
            </w:tcMar>
            <w:vAlign w:val="center"/>
          </w:tcPr>
          <w:p w14:paraId="163290BD" w14:textId="77777777" w:rsidR="002001CC" w:rsidRDefault="00A60B8E">
            <w:pPr>
              <w:spacing w:after="60" w:line="259" w:lineRule="auto"/>
              <w:jc w:val="left"/>
            </w:pPr>
            <w:r>
              <w:rPr>
                <w:rFonts w:eastAsia="Arial"/>
                <w:color w:val="1F1F1F"/>
                <w:sz w:val="19"/>
              </w:rPr>
              <w:t>Year to 31 Dec 2024</w:t>
            </w:r>
          </w:p>
        </w:tc>
      </w:tr>
      <w:tr w:rsidR="002001CC" w14:paraId="265D95C0" w14:textId="77777777">
        <w:trPr>
          <w:cantSplit/>
          <w:jc w:val="center"/>
        </w:trPr>
        <w:tc>
          <w:tcPr>
            <w:tcW w:w="2100" w:type="dxa"/>
            <w:tcMar>
              <w:top w:w="100" w:type="dxa"/>
              <w:left w:w="120" w:type="dxa"/>
              <w:bottom w:w="100" w:type="dxa"/>
              <w:right w:w="120" w:type="dxa"/>
            </w:tcMar>
            <w:vAlign w:val="center"/>
          </w:tcPr>
          <w:p w14:paraId="4202CCD6" w14:textId="77777777" w:rsidR="002001CC" w:rsidRDefault="00A60B8E">
            <w:pPr>
              <w:spacing w:after="60" w:line="259" w:lineRule="auto"/>
              <w:jc w:val="left"/>
            </w:pPr>
            <w:r>
              <w:rPr>
                <w:rFonts w:eastAsia="Arial"/>
                <w:color w:val="1F1F1F"/>
                <w:sz w:val="19"/>
              </w:rPr>
              <w:t>Sales / revenue (ex-fuel basis where available)</w:t>
            </w:r>
          </w:p>
        </w:tc>
        <w:tc>
          <w:tcPr>
            <w:tcW w:w="2300" w:type="dxa"/>
            <w:tcMar>
              <w:top w:w="100" w:type="dxa"/>
              <w:left w:w="120" w:type="dxa"/>
              <w:bottom w:w="100" w:type="dxa"/>
              <w:right w:w="120" w:type="dxa"/>
            </w:tcMar>
            <w:vAlign w:val="center"/>
          </w:tcPr>
          <w:p w14:paraId="0078FC0C" w14:textId="77777777" w:rsidR="002001CC" w:rsidRDefault="00A60B8E">
            <w:pPr>
              <w:spacing w:after="60" w:line="259" w:lineRule="auto"/>
              <w:jc w:val="left"/>
            </w:pPr>
            <w:r>
              <w:rPr>
                <w:rFonts w:eastAsia="Arial"/>
                <w:color w:val="1F1F1F"/>
                <w:sz w:val="19"/>
              </w:rPr>
              <w:t>Group sales £63.636bn; +4.0% at constant rates</w:t>
            </w:r>
          </w:p>
        </w:tc>
        <w:tc>
          <w:tcPr>
            <w:tcW w:w="2300" w:type="dxa"/>
            <w:tcMar>
              <w:top w:w="100" w:type="dxa"/>
              <w:left w:w="120" w:type="dxa"/>
              <w:bottom w:w="100" w:type="dxa"/>
              <w:right w:w="120" w:type="dxa"/>
            </w:tcMar>
            <w:vAlign w:val="center"/>
          </w:tcPr>
          <w:p w14:paraId="3C6A04B8" w14:textId="77777777" w:rsidR="002001CC" w:rsidRDefault="00A60B8E">
            <w:pPr>
              <w:spacing w:after="60" w:line="259" w:lineRule="auto"/>
              <w:jc w:val="left"/>
            </w:pPr>
            <w:r>
              <w:rPr>
                <w:rFonts w:eastAsia="Arial"/>
                <w:color w:val="1F1F1F"/>
                <w:sz w:val="19"/>
              </w:rPr>
              <w:t>Retail sales £32.630bn; +3.1% excluding fuel, including VAT</w:t>
            </w:r>
          </w:p>
        </w:tc>
        <w:tc>
          <w:tcPr>
            <w:tcW w:w="2300" w:type="dxa"/>
            <w:tcMar>
              <w:top w:w="100" w:type="dxa"/>
              <w:left w:w="120" w:type="dxa"/>
              <w:bottom w:w="100" w:type="dxa"/>
              <w:right w:w="120" w:type="dxa"/>
            </w:tcMar>
            <w:vAlign w:val="center"/>
          </w:tcPr>
          <w:p w14:paraId="4A43CEB3" w14:textId="77777777" w:rsidR="002001CC" w:rsidRDefault="00A60B8E">
            <w:pPr>
              <w:spacing w:after="60" w:line="259" w:lineRule="auto"/>
              <w:jc w:val="left"/>
            </w:pPr>
            <w:r>
              <w:rPr>
                <w:rFonts w:eastAsia="Arial"/>
                <w:color w:val="1F1F1F"/>
                <w:sz w:val="19"/>
              </w:rPr>
              <w:t>Revenue ex-fuel £21.713bn; LFL ex-fuel −3.4%</w:t>
            </w:r>
          </w:p>
        </w:tc>
      </w:tr>
      <w:tr w:rsidR="002001CC" w14:paraId="11DD6AD8" w14:textId="77777777">
        <w:trPr>
          <w:cantSplit/>
          <w:jc w:val="center"/>
        </w:trPr>
        <w:tc>
          <w:tcPr>
            <w:tcW w:w="2100" w:type="dxa"/>
            <w:tcMar>
              <w:top w:w="100" w:type="dxa"/>
              <w:left w:w="120" w:type="dxa"/>
              <w:bottom w:w="100" w:type="dxa"/>
              <w:right w:w="120" w:type="dxa"/>
            </w:tcMar>
            <w:vAlign w:val="center"/>
          </w:tcPr>
          <w:p w14:paraId="6F46AFBA" w14:textId="77777777" w:rsidR="002001CC" w:rsidRDefault="00A60B8E">
            <w:pPr>
              <w:spacing w:after="60" w:line="259" w:lineRule="auto"/>
              <w:jc w:val="left"/>
            </w:pPr>
            <w:r>
              <w:rPr>
                <w:rFonts w:eastAsia="Arial"/>
                <w:color w:val="1F1F1F"/>
                <w:sz w:val="19"/>
              </w:rPr>
              <w:t>Profit measure</w:t>
            </w:r>
          </w:p>
        </w:tc>
        <w:tc>
          <w:tcPr>
            <w:tcW w:w="2300" w:type="dxa"/>
            <w:tcMar>
              <w:top w:w="100" w:type="dxa"/>
              <w:left w:w="120" w:type="dxa"/>
              <w:bottom w:w="100" w:type="dxa"/>
              <w:right w:w="120" w:type="dxa"/>
            </w:tcMar>
            <w:vAlign w:val="center"/>
          </w:tcPr>
          <w:p w14:paraId="05D06FA1" w14:textId="77777777" w:rsidR="002001CC" w:rsidRDefault="00A60B8E">
            <w:pPr>
              <w:spacing w:after="60" w:line="259" w:lineRule="auto"/>
              <w:jc w:val="left"/>
            </w:pPr>
            <w:r>
              <w:rPr>
                <w:rFonts w:eastAsia="Arial"/>
                <w:color w:val="1F1F1F"/>
                <w:sz w:val="19"/>
              </w:rPr>
              <w:t>Adjusted operating profit £3.128bn; margin 4.5%</w:t>
            </w:r>
          </w:p>
        </w:tc>
        <w:tc>
          <w:tcPr>
            <w:tcW w:w="2300" w:type="dxa"/>
            <w:tcMar>
              <w:top w:w="100" w:type="dxa"/>
              <w:left w:w="120" w:type="dxa"/>
              <w:bottom w:w="100" w:type="dxa"/>
              <w:right w:w="120" w:type="dxa"/>
            </w:tcMar>
            <w:vAlign w:val="center"/>
          </w:tcPr>
          <w:p w14:paraId="28572D1C" w14:textId="77777777" w:rsidR="002001CC" w:rsidRDefault="00A60B8E">
            <w:pPr>
              <w:spacing w:after="60" w:line="259" w:lineRule="auto"/>
              <w:jc w:val="left"/>
            </w:pPr>
            <w:r>
              <w:rPr>
                <w:rFonts w:eastAsia="Arial"/>
                <w:color w:val="1F1F1F"/>
                <w:sz w:val="19"/>
              </w:rPr>
              <w:t>Retail underlying operating profit £1.036bn; margin 3.17%</w:t>
            </w:r>
          </w:p>
        </w:tc>
        <w:tc>
          <w:tcPr>
            <w:tcW w:w="2300" w:type="dxa"/>
            <w:tcMar>
              <w:top w:w="100" w:type="dxa"/>
              <w:left w:w="120" w:type="dxa"/>
              <w:bottom w:w="100" w:type="dxa"/>
              <w:right w:w="120" w:type="dxa"/>
            </w:tcMar>
            <w:vAlign w:val="center"/>
          </w:tcPr>
          <w:p w14:paraId="336A58CC" w14:textId="77777777" w:rsidR="002001CC" w:rsidRDefault="00A60B8E">
            <w:pPr>
              <w:spacing w:after="60" w:line="259" w:lineRule="auto"/>
              <w:jc w:val="left"/>
            </w:pPr>
            <w:r>
              <w:rPr>
                <w:rFonts w:eastAsia="Arial"/>
                <w:color w:val="1F1F1F"/>
                <w:sz w:val="19"/>
              </w:rPr>
              <w:t>Adjusted EBITDA £1.141bn; operating profit pre-non-underlying items £671m</w:t>
            </w:r>
          </w:p>
        </w:tc>
      </w:tr>
      <w:tr w:rsidR="002001CC" w14:paraId="11E86641" w14:textId="77777777">
        <w:trPr>
          <w:cantSplit/>
          <w:jc w:val="center"/>
        </w:trPr>
        <w:tc>
          <w:tcPr>
            <w:tcW w:w="2100" w:type="dxa"/>
            <w:tcMar>
              <w:top w:w="100" w:type="dxa"/>
              <w:left w:w="120" w:type="dxa"/>
              <w:bottom w:w="100" w:type="dxa"/>
              <w:right w:w="120" w:type="dxa"/>
            </w:tcMar>
            <w:vAlign w:val="center"/>
          </w:tcPr>
          <w:p w14:paraId="7658A70C" w14:textId="77777777" w:rsidR="002001CC" w:rsidRDefault="00A60B8E">
            <w:pPr>
              <w:spacing w:after="60" w:line="259" w:lineRule="auto"/>
              <w:jc w:val="left"/>
            </w:pPr>
            <w:r>
              <w:rPr>
                <w:rFonts w:eastAsia="Arial"/>
                <w:color w:val="1F1F1F"/>
                <w:sz w:val="19"/>
              </w:rPr>
              <w:t>Market / customer indicator</w:t>
            </w:r>
          </w:p>
        </w:tc>
        <w:tc>
          <w:tcPr>
            <w:tcW w:w="2300" w:type="dxa"/>
            <w:tcMar>
              <w:top w:w="100" w:type="dxa"/>
              <w:left w:w="120" w:type="dxa"/>
              <w:bottom w:w="100" w:type="dxa"/>
              <w:right w:w="120" w:type="dxa"/>
            </w:tcMar>
            <w:vAlign w:val="center"/>
          </w:tcPr>
          <w:p w14:paraId="420D7B9C" w14:textId="77777777" w:rsidR="002001CC" w:rsidRDefault="00A60B8E">
            <w:pPr>
              <w:spacing w:after="60" w:line="259" w:lineRule="auto"/>
              <w:jc w:val="left"/>
            </w:pPr>
            <w:r>
              <w:rPr>
                <w:rFonts w:eastAsia="Arial"/>
                <w:color w:val="1F1F1F"/>
                <w:sz w:val="19"/>
              </w:rPr>
              <w:t>UK share 28.3% (+67bps); Group NPS 28 (+9pts)</w:t>
            </w:r>
          </w:p>
        </w:tc>
        <w:tc>
          <w:tcPr>
            <w:tcW w:w="2300" w:type="dxa"/>
            <w:tcMar>
              <w:top w:w="100" w:type="dxa"/>
              <w:left w:w="120" w:type="dxa"/>
              <w:bottom w:w="100" w:type="dxa"/>
              <w:right w:w="120" w:type="dxa"/>
            </w:tcMar>
            <w:vAlign w:val="center"/>
          </w:tcPr>
          <w:p w14:paraId="1A4BDA14" w14:textId="77777777" w:rsidR="002001CC" w:rsidRDefault="00A60B8E">
            <w:pPr>
              <w:spacing w:after="60" w:line="259" w:lineRule="auto"/>
              <w:jc w:val="left"/>
            </w:pPr>
            <w:r>
              <w:rPr>
                <w:rFonts w:eastAsia="Arial"/>
                <w:color w:val="1F1F1F"/>
                <w:sz w:val="19"/>
              </w:rPr>
              <w:t>Market share used in LTIP; 2022 award result 12.8% against 12.11% stretch</w:t>
            </w:r>
          </w:p>
        </w:tc>
        <w:tc>
          <w:tcPr>
            <w:tcW w:w="2300" w:type="dxa"/>
            <w:tcMar>
              <w:top w:w="100" w:type="dxa"/>
              <w:left w:w="120" w:type="dxa"/>
              <w:bottom w:w="100" w:type="dxa"/>
              <w:right w:w="120" w:type="dxa"/>
            </w:tcMar>
            <w:vAlign w:val="center"/>
          </w:tcPr>
          <w:p w14:paraId="6AF9F2E7" w14:textId="77777777" w:rsidR="002001CC" w:rsidRDefault="00A60B8E">
            <w:pPr>
              <w:spacing w:after="60" w:line="259" w:lineRule="auto"/>
              <w:jc w:val="left"/>
            </w:pPr>
            <w:r>
              <w:rPr>
                <w:rFonts w:eastAsia="Arial"/>
                <w:color w:val="1F1F1F"/>
                <w:sz w:val="19"/>
              </w:rPr>
              <w:t>Grocery share 10.3% (2023: 11.4%); 840.2m in-store transactions</w:t>
            </w:r>
          </w:p>
        </w:tc>
      </w:tr>
      <w:tr w:rsidR="002001CC" w14:paraId="4BBD735C" w14:textId="77777777">
        <w:trPr>
          <w:cantSplit/>
          <w:jc w:val="center"/>
        </w:trPr>
        <w:tc>
          <w:tcPr>
            <w:tcW w:w="2100" w:type="dxa"/>
            <w:tcMar>
              <w:top w:w="100" w:type="dxa"/>
              <w:left w:w="120" w:type="dxa"/>
              <w:bottom w:w="100" w:type="dxa"/>
              <w:right w:w="120" w:type="dxa"/>
            </w:tcMar>
            <w:vAlign w:val="center"/>
          </w:tcPr>
          <w:p w14:paraId="1BA79977" w14:textId="77777777" w:rsidR="002001CC" w:rsidRDefault="00A60B8E">
            <w:pPr>
              <w:spacing w:after="60" w:line="259" w:lineRule="auto"/>
              <w:jc w:val="left"/>
            </w:pPr>
            <w:r>
              <w:rPr>
                <w:rFonts w:eastAsia="Arial"/>
                <w:color w:val="1F1F1F"/>
                <w:sz w:val="19"/>
              </w:rPr>
              <w:t>Physical reach</w:t>
            </w:r>
          </w:p>
        </w:tc>
        <w:tc>
          <w:tcPr>
            <w:tcW w:w="2300" w:type="dxa"/>
            <w:tcMar>
              <w:top w:w="100" w:type="dxa"/>
              <w:left w:w="120" w:type="dxa"/>
              <w:bottom w:w="100" w:type="dxa"/>
              <w:right w:w="120" w:type="dxa"/>
            </w:tcMar>
            <w:vAlign w:val="center"/>
          </w:tcPr>
          <w:p w14:paraId="07B73982" w14:textId="77777777" w:rsidR="002001CC" w:rsidRDefault="00A60B8E">
            <w:pPr>
              <w:spacing w:after="60" w:line="259" w:lineRule="auto"/>
              <w:jc w:val="left"/>
            </w:pPr>
            <w:r>
              <w:rPr>
                <w:rFonts w:eastAsia="Arial"/>
                <w:color w:val="1F1F1F"/>
                <w:sz w:val="19"/>
              </w:rPr>
              <w:t>4,572 Group stores; Whoosh in 1,500+ stores</w:t>
            </w:r>
          </w:p>
        </w:tc>
        <w:tc>
          <w:tcPr>
            <w:tcW w:w="2300" w:type="dxa"/>
            <w:tcMar>
              <w:top w:w="100" w:type="dxa"/>
              <w:left w:w="120" w:type="dxa"/>
              <w:bottom w:w="100" w:type="dxa"/>
              <w:right w:w="120" w:type="dxa"/>
            </w:tcMar>
            <w:vAlign w:val="center"/>
          </w:tcPr>
          <w:p w14:paraId="1B25EA73" w14:textId="77777777" w:rsidR="002001CC" w:rsidRDefault="00A60B8E">
            <w:pPr>
              <w:spacing w:after="60" w:line="259" w:lineRule="auto"/>
              <w:jc w:val="left"/>
            </w:pPr>
            <w:r>
              <w:rPr>
                <w:rFonts w:eastAsia="Arial"/>
                <w:color w:val="1F1F1F"/>
                <w:sz w:val="19"/>
              </w:rPr>
              <w:t>1,454 Sainsbury’s stores; 664 Argos stores</w:t>
            </w:r>
          </w:p>
        </w:tc>
        <w:tc>
          <w:tcPr>
            <w:tcW w:w="2300" w:type="dxa"/>
            <w:tcMar>
              <w:top w:w="100" w:type="dxa"/>
              <w:left w:w="120" w:type="dxa"/>
              <w:bottom w:w="100" w:type="dxa"/>
              <w:right w:w="120" w:type="dxa"/>
            </w:tcMar>
            <w:vAlign w:val="center"/>
          </w:tcPr>
          <w:p w14:paraId="189FF66D" w14:textId="77777777" w:rsidR="002001CC" w:rsidRDefault="00A60B8E">
            <w:pPr>
              <w:spacing w:after="60" w:line="259" w:lineRule="auto"/>
              <w:jc w:val="left"/>
            </w:pPr>
            <w:r>
              <w:rPr>
                <w:rFonts w:eastAsia="Arial"/>
                <w:color w:val="1F1F1F"/>
                <w:sz w:val="19"/>
              </w:rPr>
              <w:t>1,200+ stores and food-service sites</w:t>
            </w:r>
          </w:p>
        </w:tc>
      </w:tr>
      <w:tr w:rsidR="002001CC" w14:paraId="56D33240" w14:textId="77777777">
        <w:trPr>
          <w:cantSplit/>
          <w:jc w:val="center"/>
        </w:trPr>
        <w:tc>
          <w:tcPr>
            <w:tcW w:w="2100" w:type="dxa"/>
            <w:tcMar>
              <w:top w:w="100" w:type="dxa"/>
              <w:left w:w="120" w:type="dxa"/>
              <w:bottom w:w="100" w:type="dxa"/>
              <w:right w:w="120" w:type="dxa"/>
            </w:tcMar>
            <w:vAlign w:val="center"/>
          </w:tcPr>
          <w:p w14:paraId="3DFF805D" w14:textId="77777777" w:rsidR="002001CC" w:rsidRDefault="00A60B8E">
            <w:pPr>
              <w:spacing w:after="60" w:line="259" w:lineRule="auto"/>
              <w:jc w:val="left"/>
            </w:pPr>
            <w:r>
              <w:rPr>
                <w:rFonts w:eastAsia="Arial"/>
                <w:color w:val="1F1F1F"/>
                <w:sz w:val="19"/>
              </w:rPr>
              <w:t>People / culture practice</w:t>
            </w:r>
          </w:p>
        </w:tc>
        <w:tc>
          <w:tcPr>
            <w:tcW w:w="2300" w:type="dxa"/>
            <w:tcMar>
              <w:top w:w="100" w:type="dxa"/>
              <w:left w:w="120" w:type="dxa"/>
              <w:bottom w:w="100" w:type="dxa"/>
              <w:right w:w="120" w:type="dxa"/>
            </w:tcMar>
            <w:vAlign w:val="center"/>
          </w:tcPr>
          <w:p w14:paraId="0DEC57DD" w14:textId="77777777" w:rsidR="002001CC" w:rsidRDefault="00A60B8E">
            <w:pPr>
              <w:spacing w:after="60" w:line="259" w:lineRule="auto"/>
              <w:jc w:val="left"/>
            </w:pPr>
            <w:r>
              <w:rPr>
                <w:rFonts w:eastAsia="Arial"/>
                <w:color w:val="1F1F1F"/>
                <w:sz w:val="19"/>
              </w:rPr>
              <w:t>£900m+ cumulative UK hourly-pay investment since Apr 2022; £12.64 rate announced; 85% recommend as workplace</w:t>
            </w:r>
          </w:p>
        </w:tc>
        <w:tc>
          <w:tcPr>
            <w:tcW w:w="2300" w:type="dxa"/>
            <w:tcMar>
              <w:top w:w="100" w:type="dxa"/>
              <w:left w:w="120" w:type="dxa"/>
              <w:bottom w:w="100" w:type="dxa"/>
              <w:right w:w="120" w:type="dxa"/>
            </w:tcMar>
            <w:vAlign w:val="center"/>
          </w:tcPr>
          <w:p w14:paraId="3EF3783A" w14:textId="77777777" w:rsidR="002001CC" w:rsidRDefault="00A60B8E">
            <w:pPr>
              <w:spacing w:after="60" w:line="259" w:lineRule="auto"/>
              <w:jc w:val="left"/>
            </w:pPr>
            <w:r>
              <w:rPr>
                <w:rFonts w:eastAsia="Arial"/>
                <w:color w:val="1F1F1F"/>
                <w:sz w:val="19"/>
              </w:rPr>
              <w:t>Hourly pay £12.60 from Aug 2025; pay +58% since 2018; store/depot free food and enhanced colleague discounts</w:t>
            </w:r>
          </w:p>
        </w:tc>
        <w:tc>
          <w:tcPr>
            <w:tcW w:w="2300" w:type="dxa"/>
            <w:tcMar>
              <w:top w:w="100" w:type="dxa"/>
              <w:left w:w="120" w:type="dxa"/>
              <w:bottom w:w="100" w:type="dxa"/>
              <w:right w:w="120" w:type="dxa"/>
            </w:tcMar>
            <w:vAlign w:val="center"/>
          </w:tcPr>
          <w:p w14:paraId="1D5812BA" w14:textId="77777777" w:rsidR="002001CC" w:rsidRDefault="00A60B8E">
            <w:pPr>
              <w:spacing w:after="60" w:line="259" w:lineRule="auto"/>
              <w:jc w:val="left"/>
            </w:pPr>
            <w:r>
              <w:rPr>
                <w:rFonts w:eastAsia="Arial"/>
                <w:color w:val="1F1F1F"/>
                <w:sz w:val="19"/>
              </w:rPr>
              <w:t>c.140,000 colleagues; average 142,867 employees; £3.285bn aggregate payroll costs</w:t>
            </w:r>
          </w:p>
        </w:tc>
      </w:tr>
      <w:tr w:rsidR="002001CC" w14:paraId="1B569FA4" w14:textId="77777777">
        <w:trPr>
          <w:cantSplit/>
          <w:jc w:val="center"/>
        </w:trPr>
        <w:tc>
          <w:tcPr>
            <w:tcW w:w="2100" w:type="dxa"/>
            <w:tcMar>
              <w:top w:w="100" w:type="dxa"/>
              <w:left w:w="120" w:type="dxa"/>
              <w:bottom w:w="100" w:type="dxa"/>
              <w:right w:w="120" w:type="dxa"/>
            </w:tcMar>
            <w:vAlign w:val="center"/>
          </w:tcPr>
          <w:p w14:paraId="7F3BA26E" w14:textId="77777777" w:rsidR="002001CC" w:rsidRDefault="00A60B8E">
            <w:pPr>
              <w:spacing w:after="60" w:line="259" w:lineRule="auto"/>
              <w:jc w:val="left"/>
            </w:pPr>
            <w:r>
              <w:rPr>
                <w:rFonts w:eastAsia="Arial"/>
                <w:color w:val="1F1F1F"/>
                <w:sz w:val="19"/>
              </w:rPr>
              <w:t>Efficiency / investment practice</w:t>
            </w:r>
          </w:p>
        </w:tc>
        <w:tc>
          <w:tcPr>
            <w:tcW w:w="2300" w:type="dxa"/>
            <w:tcMar>
              <w:top w:w="100" w:type="dxa"/>
              <w:left w:w="120" w:type="dxa"/>
              <w:bottom w:w="100" w:type="dxa"/>
              <w:right w:w="120" w:type="dxa"/>
            </w:tcMar>
            <w:vAlign w:val="center"/>
          </w:tcPr>
          <w:p w14:paraId="2DD3465B" w14:textId="77777777" w:rsidR="002001CC" w:rsidRDefault="00A60B8E">
            <w:pPr>
              <w:spacing w:after="60" w:line="259" w:lineRule="auto"/>
              <w:jc w:val="left"/>
            </w:pPr>
            <w:r>
              <w:rPr>
                <w:rFonts w:eastAsia="Arial"/>
                <w:color w:val="1F1F1F"/>
                <w:sz w:val="19"/>
              </w:rPr>
              <w:t>£510m Save to invest efficiencies; capex £1.457bn</w:t>
            </w:r>
          </w:p>
        </w:tc>
        <w:tc>
          <w:tcPr>
            <w:tcW w:w="2300" w:type="dxa"/>
            <w:tcMar>
              <w:top w:w="100" w:type="dxa"/>
              <w:left w:w="120" w:type="dxa"/>
              <w:bottom w:w="100" w:type="dxa"/>
              <w:right w:w="120" w:type="dxa"/>
            </w:tcMar>
            <w:vAlign w:val="center"/>
          </w:tcPr>
          <w:p w14:paraId="1D3ED638" w14:textId="77777777" w:rsidR="002001CC" w:rsidRDefault="00A60B8E">
            <w:pPr>
              <w:spacing w:after="60" w:line="259" w:lineRule="auto"/>
              <w:jc w:val="left"/>
            </w:pPr>
            <w:r>
              <w:rPr>
                <w:rFonts w:eastAsia="Arial"/>
                <w:color w:val="1F1F1F"/>
                <w:sz w:val="19"/>
              </w:rPr>
              <w:t>£349m savings; £825m capital investment</w:t>
            </w:r>
          </w:p>
        </w:tc>
        <w:tc>
          <w:tcPr>
            <w:tcW w:w="2300" w:type="dxa"/>
            <w:tcMar>
              <w:top w:w="100" w:type="dxa"/>
              <w:left w:w="120" w:type="dxa"/>
              <w:bottom w:w="100" w:type="dxa"/>
              <w:right w:w="120" w:type="dxa"/>
            </w:tcMar>
            <w:vAlign w:val="center"/>
          </w:tcPr>
          <w:p w14:paraId="0EACEEEC" w14:textId="77777777" w:rsidR="002001CC" w:rsidRDefault="00A60B8E">
            <w:pPr>
              <w:spacing w:after="60" w:line="259" w:lineRule="auto"/>
              <w:jc w:val="left"/>
            </w:pPr>
            <w:r>
              <w:rPr>
                <w:rFonts w:eastAsia="Arial"/>
                <w:color w:val="1F1F1F"/>
                <w:sz w:val="19"/>
              </w:rPr>
              <w:t>Capex £366m; Project Future technology separation affected execution</w:t>
            </w:r>
          </w:p>
        </w:tc>
      </w:tr>
      <w:tr w:rsidR="002001CC" w14:paraId="06AFFD80" w14:textId="77777777">
        <w:trPr>
          <w:cantSplit/>
          <w:jc w:val="center"/>
        </w:trPr>
        <w:tc>
          <w:tcPr>
            <w:tcW w:w="2100" w:type="dxa"/>
            <w:tcMar>
              <w:top w:w="100" w:type="dxa"/>
              <w:left w:w="120" w:type="dxa"/>
              <w:bottom w:w="100" w:type="dxa"/>
              <w:right w:w="120" w:type="dxa"/>
            </w:tcMar>
            <w:vAlign w:val="center"/>
          </w:tcPr>
          <w:p w14:paraId="65370A20" w14:textId="77777777" w:rsidR="002001CC" w:rsidRDefault="00A60B8E">
            <w:pPr>
              <w:spacing w:after="60" w:line="259" w:lineRule="auto"/>
              <w:jc w:val="left"/>
            </w:pPr>
            <w:r>
              <w:rPr>
                <w:rFonts w:eastAsia="Arial"/>
                <w:color w:val="1F1F1F"/>
                <w:sz w:val="19"/>
              </w:rPr>
              <w:t>Digital / loyalty practice</w:t>
            </w:r>
          </w:p>
        </w:tc>
        <w:tc>
          <w:tcPr>
            <w:tcW w:w="2300" w:type="dxa"/>
            <w:tcMar>
              <w:top w:w="100" w:type="dxa"/>
              <w:left w:w="120" w:type="dxa"/>
              <w:bottom w:w="100" w:type="dxa"/>
              <w:right w:w="120" w:type="dxa"/>
            </w:tcMar>
            <w:vAlign w:val="center"/>
          </w:tcPr>
          <w:p w14:paraId="0B8C6CA2" w14:textId="77777777" w:rsidR="002001CC" w:rsidRDefault="00A60B8E">
            <w:pPr>
              <w:spacing w:after="60" w:line="259" w:lineRule="auto"/>
              <w:jc w:val="left"/>
            </w:pPr>
            <w:r>
              <w:rPr>
                <w:rFonts w:eastAsia="Arial"/>
                <w:color w:val="1F1F1F"/>
                <w:sz w:val="19"/>
              </w:rPr>
              <w:t>23m+ UK Clubcard households; 18m app users; online sales £6.8bn (+10.2%)</w:t>
            </w:r>
          </w:p>
        </w:tc>
        <w:tc>
          <w:tcPr>
            <w:tcW w:w="2300" w:type="dxa"/>
            <w:tcMar>
              <w:top w:w="100" w:type="dxa"/>
              <w:left w:w="120" w:type="dxa"/>
              <w:bottom w:w="100" w:type="dxa"/>
              <w:right w:w="120" w:type="dxa"/>
            </w:tcMar>
            <w:vAlign w:val="center"/>
          </w:tcPr>
          <w:p w14:paraId="253031C2" w14:textId="77777777" w:rsidR="002001CC" w:rsidRDefault="00A60B8E">
            <w:pPr>
              <w:spacing w:after="60" w:line="259" w:lineRule="auto"/>
              <w:jc w:val="left"/>
            </w:pPr>
            <w:r>
              <w:rPr>
                <w:rFonts w:eastAsia="Arial"/>
                <w:color w:val="1F1F1F"/>
                <w:sz w:val="19"/>
              </w:rPr>
              <w:t>Nectar personalisation; 785,000 joined fruit-and-veg challenge and bought 133m portions</w:t>
            </w:r>
          </w:p>
        </w:tc>
        <w:tc>
          <w:tcPr>
            <w:tcW w:w="2300" w:type="dxa"/>
            <w:tcMar>
              <w:top w:w="100" w:type="dxa"/>
              <w:left w:w="120" w:type="dxa"/>
              <w:bottom w:w="100" w:type="dxa"/>
              <w:right w:w="120" w:type="dxa"/>
            </w:tcMar>
            <w:vAlign w:val="center"/>
          </w:tcPr>
          <w:p w14:paraId="44F1AE14" w14:textId="77777777" w:rsidR="002001CC" w:rsidRDefault="00A60B8E">
            <w:pPr>
              <w:spacing w:after="60" w:line="259" w:lineRule="auto"/>
              <w:jc w:val="left"/>
            </w:pPr>
            <w:r>
              <w:rPr>
                <w:rFonts w:eastAsia="Arial"/>
                <w:color w:val="1F1F1F"/>
                <w:sz w:val="19"/>
              </w:rPr>
              <w:t>Asda Rewards 5.7m active customers; participation 56%; online sales participation 17.5%</w:t>
            </w:r>
          </w:p>
        </w:tc>
      </w:tr>
      <w:tr w:rsidR="002001CC" w14:paraId="02EC59FE" w14:textId="77777777">
        <w:trPr>
          <w:cantSplit/>
          <w:jc w:val="center"/>
        </w:trPr>
        <w:tc>
          <w:tcPr>
            <w:tcW w:w="2100" w:type="dxa"/>
            <w:tcMar>
              <w:top w:w="100" w:type="dxa"/>
              <w:left w:w="120" w:type="dxa"/>
              <w:bottom w:w="100" w:type="dxa"/>
              <w:right w:w="120" w:type="dxa"/>
            </w:tcMar>
            <w:vAlign w:val="center"/>
          </w:tcPr>
          <w:p w14:paraId="289CCEE0" w14:textId="77777777" w:rsidR="002001CC" w:rsidRDefault="00A60B8E">
            <w:pPr>
              <w:spacing w:after="60" w:line="259" w:lineRule="auto"/>
              <w:jc w:val="left"/>
            </w:pPr>
            <w:r>
              <w:rPr>
                <w:rFonts w:eastAsia="Arial"/>
                <w:color w:val="1F1F1F"/>
                <w:sz w:val="19"/>
              </w:rPr>
              <w:t>Environmental / social practice</w:t>
            </w:r>
          </w:p>
        </w:tc>
        <w:tc>
          <w:tcPr>
            <w:tcW w:w="2300" w:type="dxa"/>
            <w:tcMar>
              <w:top w:w="100" w:type="dxa"/>
              <w:left w:w="120" w:type="dxa"/>
              <w:bottom w:w="100" w:type="dxa"/>
              <w:right w:w="120" w:type="dxa"/>
            </w:tcMar>
            <w:vAlign w:val="center"/>
          </w:tcPr>
          <w:p w14:paraId="22B923C5" w14:textId="77777777" w:rsidR="002001CC" w:rsidRDefault="00A60B8E">
            <w:pPr>
              <w:spacing w:after="60" w:line="259" w:lineRule="auto"/>
              <w:jc w:val="left"/>
            </w:pPr>
            <w:r>
              <w:rPr>
                <w:rFonts w:eastAsia="Arial"/>
                <w:color w:val="1F1F1F"/>
                <w:sz w:val="19"/>
              </w:rPr>
              <w:t>65% operational emissions reduction vs 2015/16; almost 118m surplus-food meals donated</w:t>
            </w:r>
          </w:p>
        </w:tc>
        <w:tc>
          <w:tcPr>
            <w:tcW w:w="2300" w:type="dxa"/>
            <w:tcMar>
              <w:top w:w="100" w:type="dxa"/>
              <w:left w:w="120" w:type="dxa"/>
              <w:bottom w:w="100" w:type="dxa"/>
              <w:right w:w="120" w:type="dxa"/>
            </w:tcMar>
            <w:vAlign w:val="center"/>
          </w:tcPr>
          <w:p w14:paraId="339DFF7A" w14:textId="77777777" w:rsidR="002001CC" w:rsidRDefault="00A60B8E">
            <w:pPr>
              <w:spacing w:after="60" w:line="259" w:lineRule="auto"/>
              <w:jc w:val="left"/>
            </w:pPr>
            <w:r>
              <w:rPr>
                <w:rFonts w:eastAsia="Arial"/>
                <w:color w:val="1F1F1F"/>
                <w:sz w:val="19"/>
              </w:rPr>
              <w:t>£60m+ joint pork-welfare investment; peat-free mushrooms reduce peat use by 20,465 tonnes a year</w:t>
            </w:r>
          </w:p>
        </w:tc>
        <w:tc>
          <w:tcPr>
            <w:tcW w:w="2300" w:type="dxa"/>
            <w:tcMar>
              <w:top w:w="100" w:type="dxa"/>
              <w:left w:w="120" w:type="dxa"/>
              <w:bottom w:w="100" w:type="dxa"/>
              <w:right w:w="120" w:type="dxa"/>
            </w:tcMar>
            <w:vAlign w:val="center"/>
          </w:tcPr>
          <w:p w14:paraId="4F5ECD07" w14:textId="77777777" w:rsidR="002001CC" w:rsidRDefault="00A60B8E">
            <w:pPr>
              <w:spacing w:after="60" w:line="259" w:lineRule="auto"/>
              <w:jc w:val="left"/>
            </w:pPr>
            <w:r>
              <w:rPr>
                <w:rFonts w:eastAsia="Arial"/>
                <w:color w:val="1F1F1F"/>
                <w:sz w:val="19"/>
              </w:rPr>
              <w:t>ESG reporting and supplier programmes; outcomes less consistently quantified in annual-report benchmark</w:t>
            </w:r>
          </w:p>
        </w:tc>
      </w:tr>
      <w:tr w:rsidR="002001CC" w14:paraId="408665E7" w14:textId="77777777">
        <w:trPr>
          <w:cantSplit/>
          <w:jc w:val="center"/>
        </w:trPr>
        <w:tc>
          <w:tcPr>
            <w:tcW w:w="2100" w:type="dxa"/>
            <w:tcMar>
              <w:top w:w="100" w:type="dxa"/>
              <w:left w:w="120" w:type="dxa"/>
              <w:bottom w:w="100" w:type="dxa"/>
              <w:right w:w="120" w:type="dxa"/>
            </w:tcMar>
            <w:vAlign w:val="center"/>
          </w:tcPr>
          <w:p w14:paraId="40450D96" w14:textId="77777777" w:rsidR="002001CC" w:rsidRDefault="00A60B8E">
            <w:pPr>
              <w:spacing w:after="60" w:line="259" w:lineRule="auto"/>
              <w:jc w:val="left"/>
            </w:pPr>
            <w:r>
              <w:rPr>
                <w:rFonts w:eastAsia="Arial"/>
                <w:color w:val="1F1F1F"/>
                <w:sz w:val="19"/>
              </w:rPr>
              <w:t>Cultural interpretation</w:t>
            </w:r>
          </w:p>
        </w:tc>
        <w:tc>
          <w:tcPr>
            <w:tcW w:w="2300" w:type="dxa"/>
            <w:tcMar>
              <w:top w:w="100" w:type="dxa"/>
              <w:left w:w="120" w:type="dxa"/>
              <w:bottom w:w="100" w:type="dxa"/>
              <w:right w:w="120" w:type="dxa"/>
            </w:tcMar>
            <w:vAlign w:val="center"/>
          </w:tcPr>
          <w:p w14:paraId="342702B2" w14:textId="77777777" w:rsidR="002001CC" w:rsidRDefault="00A60B8E">
            <w:pPr>
              <w:spacing w:after="60" w:line="259" w:lineRule="auto"/>
              <w:jc w:val="left"/>
            </w:pPr>
            <w:r>
              <w:rPr>
                <w:rFonts w:eastAsia="Arial"/>
                <w:color w:val="1F1F1F"/>
                <w:sz w:val="19"/>
              </w:rPr>
              <w:t>Market culture balanced by hierarchy and clan values; strong strategic consistency</w:t>
            </w:r>
          </w:p>
        </w:tc>
        <w:tc>
          <w:tcPr>
            <w:tcW w:w="2300" w:type="dxa"/>
            <w:tcMar>
              <w:top w:w="100" w:type="dxa"/>
              <w:left w:w="120" w:type="dxa"/>
              <w:bottom w:w="100" w:type="dxa"/>
              <w:right w:w="120" w:type="dxa"/>
            </w:tcMar>
            <w:vAlign w:val="center"/>
          </w:tcPr>
          <w:p w14:paraId="579F30EB" w14:textId="77777777" w:rsidR="002001CC" w:rsidRDefault="00A60B8E">
            <w:pPr>
              <w:spacing w:after="60" w:line="259" w:lineRule="auto"/>
              <w:jc w:val="left"/>
            </w:pPr>
            <w:r>
              <w:rPr>
                <w:rFonts w:eastAsia="Arial"/>
                <w:color w:val="1F1F1F"/>
                <w:sz w:val="19"/>
              </w:rPr>
              <w:t>Food-first, people-first market/clan blend with disciplined savings</w:t>
            </w:r>
          </w:p>
        </w:tc>
        <w:tc>
          <w:tcPr>
            <w:tcW w:w="2300" w:type="dxa"/>
            <w:tcMar>
              <w:top w:w="100" w:type="dxa"/>
              <w:left w:w="120" w:type="dxa"/>
              <w:bottom w:w="100" w:type="dxa"/>
              <w:right w:w="120" w:type="dxa"/>
            </w:tcMar>
            <w:vAlign w:val="center"/>
          </w:tcPr>
          <w:p w14:paraId="11248170" w14:textId="77777777" w:rsidR="002001CC" w:rsidRDefault="00A60B8E">
            <w:pPr>
              <w:spacing w:after="60" w:line="259" w:lineRule="auto"/>
              <w:jc w:val="left"/>
            </w:pPr>
            <w:r>
              <w:rPr>
                <w:rFonts w:eastAsia="Arial"/>
                <w:color w:val="1F1F1F"/>
                <w:sz w:val="19"/>
              </w:rPr>
              <w:t>Value heritage, but strategic and technology disruption weakened consistency in FY2024</w:t>
            </w:r>
          </w:p>
        </w:tc>
      </w:tr>
    </w:tbl>
    <w:p w14:paraId="7F001BF1" w14:textId="77777777" w:rsidR="002001CC" w:rsidRDefault="00A60B8E">
      <w:pPr>
        <w:pStyle w:val="TableSource"/>
      </w:pPr>
      <w:r>
        <w:rPr>
          <w:rFonts w:eastAsia="Arial"/>
        </w:rPr>
        <w:t>Sources: Tesco PLC (2025a; 2025b), J Sainsbury plc (2025) and Bellis Finco PLC (2025). Profit measures are company-defined and are not directly equivalent.</w:t>
      </w:r>
    </w:p>
    <w:p w14:paraId="423CE243" w14:textId="77777777" w:rsidR="002001CC" w:rsidRDefault="00A60B8E">
      <w:r>
        <w:rPr>
          <w:rFonts w:eastAsia="Arial"/>
          <w:color w:val="1F1F1F"/>
        </w:rPr>
        <w:t xml:space="preserve">The benchmark highlights culture as a system of practices rather than a statement of values. Tesco converts its customer and improvement narrative into price reductions, investment, loyalty data, colleague pay and environmental targets. Sainsbury’s offers a credible comparator: its “food first, people first” language is supported by £349 million of annual savings, £825 million of capital investment and above-inflation pay decisions (J Sainsbury plc, 2025). Asda retains a strong value heritage, yet its fall </w:t>
      </w:r>
      <w:r>
        <w:rPr>
          <w:rFonts w:eastAsia="Arial"/>
          <w:color w:val="1F1F1F"/>
        </w:rPr>
        <w:t>in like-for-like sales and market share during a complex technology separation illustrates how cultural consistency and strategic clarity can be disrupted even when adjusted EBITDA improves (Bellis Finco PLC, 2025). Tesco’s advantage is therefore not any single practice but alignment among purpose, routines, resource allocation and measurement. Its benchmark gap is transparency: Tesco should disclose more segmented employee, supplier and digital-inclusion outcomes so stakeholders can test whether the cultur</w:t>
      </w:r>
      <w:r>
        <w:rPr>
          <w:rFonts w:eastAsia="Arial"/>
          <w:color w:val="1F1F1F"/>
        </w:rPr>
        <w:t>e is equally enabling across the organisation.</w:t>
      </w:r>
    </w:p>
    <w:p w14:paraId="34C10BF7" w14:textId="77777777" w:rsidR="002001CC" w:rsidRDefault="00A60B8E">
      <w:pPr>
        <w:pStyle w:val="1"/>
      </w:pPr>
      <w:r>
        <w:rPr>
          <w:rFonts w:ascii="Arial" w:eastAsia="Arial" w:hAnsi="Arial"/>
        </w:rPr>
        <w:t>Impact on Performance and Recommendations</w:t>
      </w:r>
    </w:p>
    <w:p w14:paraId="6CF4E496" w14:textId="77777777" w:rsidR="002001CC" w:rsidRDefault="00A60B8E">
      <w:r>
        <w:rPr>
          <w:rFonts w:eastAsia="Arial"/>
          <w:color w:val="1F1F1F"/>
        </w:rPr>
        <w:t>Tesco’s recent performance is consistent with a culture that converts purpose into routines and metrics. Group sales excluding VAT and fuel rose 4.0% at constant exchange rates to £63.636 billion, adjusted operating profit increased 10.9% to £3.128 billion, and UK market share rose 67 basis points to 28.3% (Tesco PLC, 2025a). Customer NPS improved by nine points, while the colleague recommendation measure increased to 85%. The concurrence of financial and non-financial improvements supports, but does not pr</w:t>
      </w:r>
      <w:r>
        <w:rPr>
          <w:rFonts w:eastAsia="Arial"/>
          <w:color w:val="1F1F1F"/>
        </w:rPr>
        <w:t>ove, a cultural effect: value investment, data-led decisions, operational discipline and colleague engagement plausibly reinforce availability, loyalty and volume. Denison and Mishra’s (1995) model explains the mechanism—mission supplies direction, consistency enables scale, involvement supports execution and adaptability converts feedback into change. Kotter and Heskett (1992) nevertheless caution that strong cultures outperform only when they remain adaptive.</w:t>
      </w:r>
    </w:p>
    <w:p w14:paraId="09F230E0" w14:textId="77777777" w:rsidR="002001CC" w:rsidRDefault="00A60B8E">
      <w:r>
        <w:rPr>
          <w:rFonts w:eastAsia="Arial"/>
          <w:color w:val="1F1F1F"/>
        </w:rPr>
        <w:t>Competitor evidence strengthens the interpretation. Sainsbury’s also combined people-first language, price investment and disciplined savings with 3.1% retail-sales growth and a 7.2% increase in retail underlying operating profit. Asda’s FY2024 adjusted EBITDA rose, but like-for-like ex-fuel sales fell 3.4% and market share declined to 10.3% amid leadership, ownership and technology-transition pressures (J Sainsbury plc, 2025; Bellis Finco PLC, 2025). These results cannot isolate culture from format, financ</w:t>
      </w:r>
      <w:r>
        <w:rPr>
          <w:rFonts w:eastAsia="Arial"/>
          <w:color w:val="1F1F1F"/>
        </w:rPr>
        <w:t>ing or strategy, but they show that strategic clarity and stable execution matter when retailers face similar inflation and competition.</w:t>
      </w:r>
    </w:p>
    <w:p w14:paraId="2B49C7E2" w14:textId="77777777" w:rsidR="002001CC" w:rsidRDefault="00A60B8E">
      <w:r>
        <w:rPr>
          <w:rFonts w:eastAsia="Arial"/>
          <w:color w:val="1F1F1F"/>
        </w:rPr>
        <w:t>Four improvements are recommended. First, introduce a quarterly “culture and consequences” dashboard for the Board and business units. It should combine customer outcomes, turnover, absence, safety, supplier fairness, speak-up case quality, workload and digital-inclusion measures, segmented by country, format and demographic group. This follows Schein’s emphasis on enacted assumptions and prevents headline averages from concealing subcultures. Second, rebalance incentives. A meaningful portion of management</w:t>
      </w:r>
      <w:r>
        <w:rPr>
          <w:rFonts w:eastAsia="Arial"/>
          <w:color w:val="1F1F1F"/>
        </w:rPr>
        <w:t xml:space="preserve"> reward should depend on independently assured colleague, supplier, customer and carbon outcomes, with malus for control or conduct failures; this reduces the target pressure implicated in the 2014 episode.</w:t>
      </w:r>
    </w:p>
    <w:p w14:paraId="48860005" w14:textId="77777777" w:rsidR="002001CC" w:rsidRDefault="00A60B8E">
      <w:r>
        <w:rPr>
          <w:rFonts w:eastAsia="Arial"/>
          <w:color w:val="1F1F1F"/>
        </w:rPr>
        <w:t>Third, create bounded local experimentation: store clusters should receive small budgets and clear decision rights to test service, range and waste ideas, with results shared through an internal learning platform. This strengthens task/adhocracy culture without weakening safety or financial controls. Fourth, institutionalise “constructive dissent” through reverse mentoring, supplier challenge panels, pre-mortems for major decisions and published feedback-to-action logs after Every Voice Matters surveys. Psy</w:t>
      </w:r>
      <w:r>
        <w:rPr>
          <w:rFonts w:eastAsia="Arial"/>
          <w:color w:val="1F1F1F"/>
        </w:rPr>
        <w:t>chological safety should be measured by whether employees believe raising a concern leads to fair action, not merely by survey participation. Together, these measures preserve Tesco’s market discipline while increasing clan involvement and adaptive capacity. Success should be assessed over 12–24 months through improvements in trust, retention, supplier experience and experiment adoption alongside stable margin, availability and market share.</w:t>
      </w:r>
    </w:p>
    <w:p w14:paraId="57BB8E44" w14:textId="77777777" w:rsidR="002001CC" w:rsidRDefault="00A60B8E">
      <w:pPr>
        <w:pStyle w:val="1"/>
      </w:pPr>
      <w:r>
        <w:rPr>
          <w:rFonts w:ascii="Arial" w:eastAsia="Arial" w:hAnsi="Arial"/>
        </w:rPr>
        <w:t>Conclusion</w:t>
      </w:r>
    </w:p>
    <w:p w14:paraId="514DA75C" w14:textId="77777777" w:rsidR="002001CC" w:rsidRDefault="00A60B8E">
      <w:r>
        <w:rPr>
          <w:rFonts w:eastAsia="Arial"/>
          <w:color w:val="1F1F1F"/>
        </w:rPr>
        <w:t>Tesco demonstrates Mullins and Christy’s (2016) argument that culture pervades structure, decisions, motivation and control. Its purpose and values create a common customer-centred language; Clubcard and performance metrics make decisions evidence-led; role-based controls protect consistency; and task-oriented collaboration enables digital, product and sustainability innovation. Schein, Handy, Hofstede and the Competing Values Framework identify a prevailing market culture moderated by hierarchy and clan ch</w:t>
      </w:r>
      <w:r>
        <w:rPr>
          <w:rFonts w:eastAsia="Arial"/>
          <w:color w:val="1F1F1F"/>
        </w:rPr>
        <w:t>aracteristics. Recent gains in sales, adjusted operating profit, market share, customer advocacy and colleague recommendation indicate that this culture currently enables performance. Nevertheless, the 2014 accounting failure shows how strong targets and weak challenge can turn cohesion into a barrier. Cost pressure, digital exclusion and international subcultures remain continuing risks. Tesco should therefore preserve its strategic clarity while strengthening constructive dissent, local experimentation, e</w:t>
      </w:r>
      <w:r>
        <w:rPr>
          <w:rFonts w:eastAsia="Arial"/>
          <w:color w:val="1F1F1F"/>
        </w:rPr>
        <w:t>thical incentive design and segmented culture measurement. Culture will remain a source of advantage only when the lived experience of colleagues, suppliers and customers matches the values communicated by leadership and when adaptation is faster than environmental change.</w:t>
      </w:r>
    </w:p>
    <w:p w14:paraId="2B1A5A67" w14:textId="77777777" w:rsidR="002001CC" w:rsidRDefault="00A60B8E">
      <w:pPr>
        <w:pStyle w:val="1"/>
      </w:pPr>
      <w:r>
        <w:rPr>
          <w:rFonts w:ascii="Arial" w:eastAsia="Arial" w:hAnsi="Arial"/>
        </w:rPr>
        <w:t>References</w:t>
      </w:r>
    </w:p>
    <w:p w14:paraId="2D0ADD10" w14:textId="77777777" w:rsidR="002001CC" w:rsidRDefault="00A60B8E">
      <w:pPr>
        <w:spacing w:line="276" w:lineRule="auto"/>
        <w:ind w:left="425" w:hanging="425"/>
      </w:pPr>
      <w:r>
        <w:rPr>
          <w:rFonts w:eastAsia="Arial"/>
          <w:color w:val="1F1F1F"/>
        </w:rPr>
        <w:t>Barney, J.B. (1986) ‘Organizational culture: Can it be a source of sustained competitive advantage?’, Academy of Management Review, 11(3), pp. 656–665.</w:t>
      </w:r>
    </w:p>
    <w:p w14:paraId="14CF78C5" w14:textId="77777777" w:rsidR="002001CC" w:rsidRDefault="00A60B8E">
      <w:pPr>
        <w:spacing w:line="276" w:lineRule="auto"/>
        <w:ind w:left="425" w:hanging="425"/>
      </w:pPr>
      <w:r>
        <w:rPr>
          <w:rFonts w:eastAsia="Arial"/>
          <w:color w:val="1F1F1F"/>
        </w:rPr>
        <w:t>Bellis Finco PLC (2025) Annual Report and Consolidated Financial Statements 2024. Available at: https://corporate.asda.com/investor-relations (Accessed: 10 August 2026).</w:t>
      </w:r>
    </w:p>
    <w:p w14:paraId="7658DBC1" w14:textId="77777777" w:rsidR="002001CC" w:rsidRDefault="00A60B8E">
      <w:pPr>
        <w:spacing w:line="276" w:lineRule="auto"/>
        <w:ind w:left="425" w:hanging="425"/>
      </w:pPr>
      <w:r>
        <w:rPr>
          <w:rFonts w:eastAsia="Arial"/>
          <w:color w:val="1F1F1F"/>
        </w:rPr>
        <w:t>Burns, T. and Stalker, G.M. (1961) The Management of Innovation. London: Tavistock.</w:t>
      </w:r>
    </w:p>
    <w:p w14:paraId="49F3722D" w14:textId="77777777" w:rsidR="002001CC" w:rsidRDefault="00A60B8E">
      <w:pPr>
        <w:spacing w:line="276" w:lineRule="auto"/>
        <w:ind w:left="425" w:hanging="425"/>
      </w:pPr>
      <w:r>
        <w:rPr>
          <w:rFonts w:eastAsia="Arial"/>
          <w:color w:val="1F1F1F"/>
        </w:rPr>
        <w:t>Cameron, K.S. and Quinn, R.E. (2011) Diagnosing and Changing Organizational Culture: Based on the Competing Values Framework. 3rd edn. San Francisco: Jossey-Bass.</w:t>
      </w:r>
    </w:p>
    <w:p w14:paraId="1B6FF3F4" w14:textId="77777777" w:rsidR="002001CC" w:rsidRDefault="00A60B8E">
      <w:pPr>
        <w:spacing w:line="276" w:lineRule="auto"/>
        <w:ind w:left="425" w:hanging="425"/>
      </w:pPr>
      <w:r>
        <w:rPr>
          <w:rFonts w:eastAsia="Arial"/>
          <w:color w:val="1F1F1F"/>
        </w:rPr>
        <w:t>Denison, D.R. (1990) Corporate Culture and Organizational Effectiveness. New York: Wiley.</w:t>
      </w:r>
    </w:p>
    <w:p w14:paraId="30EE95AF" w14:textId="77777777" w:rsidR="002001CC" w:rsidRDefault="00A60B8E">
      <w:pPr>
        <w:spacing w:line="276" w:lineRule="auto"/>
        <w:ind w:left="425" w:hanging="425"/>
      </w:pPr>
      <w:r>
        <w:rPr>
          <w:rFonts w:eastAsia="Arial"/>
          <w:color w:val="1F1F1F"/>
        </w:rPr>
        <w:t>Denison, D.R. and Mishra, A.K. (1995) ‘Toward a theory of organizational culture and effectiveness’, Organization Science, 6(2), pp. 204–223.</w:t>
      </w:r>
    </w:p>
    <w:p w14:paraId="4BF11D56" w14:textId="77777777" w:rsidR="002001CC" w:rsidRDefault="00A60B8E">
      <w:pPr>
        <w:spacing w:line="276" w:lineRule="auto"/>
        <w:ind w:left="425" w:hanging="425"/>
      </w:pPr>
      <w:r>
        <w:rPr>
          <w:rFonts w:eastAsia="Arial"/>
          <w:color w:val="1F1F1F"/>
        </w:rPr>
        <w:t>Financial Conduct Authority (FCA) (2017) Final Notice: Tesco plc and Tesco Stores Limited. Available at: https://www.fca.org.uk/publication/final-notices/tesco-2017.pdf (Accessed: 10 August 2026).</w:t>
      </w:r>
    </w:p>
    <w:p w14:paraId="7BFF4002" w14:textId="77777777" w:rsidR="002001CC" w:rsidRDefault="00A60B8E">
      <w:pPr>
        <w:spacing w:line="276" w:lineRule="auto"/>
        <w:ind w:left="425" w:hanging="425"/>
      </w:pPr>
      <w:r>
        <w:rPr>
          <w:rFonts w:eastAsia="Arial"/>
          <w:color w:val="1F1F1F"/>
        </w:rPr>
        <w:t>Handy, C. (1993) Understanding Organizations. 4th edn. London: Penguin.</w:t>
      </w:r>
    </w:p>
    <w:p w14:paraId="0A478FC8" w14:textId="77777777" w:rsidR="002001CC" w:rsidRDefault="00A60B8E">
      <w:pPr>
        <w:spacing w:line="276" w:lineRule="auto"/>
        <w:ind w:left="425" w:hanging="425"/>
      </w:pPr>
      <w:r>
        <w:rPr>
          <w:rFonts w:eastAsia="Arial"/>
          <w:color w:val="1F1F1F"/>
        </w:rPr>
        <w:t>Harvard Business School (2019) Accounting Fraud at Tesco Stores (A). Available at: https://www.hbs.edu/faculty/Pages/item.aspx?num=56666 (Accessed: 10 August 2026).</w:t>
      </w:r>
    </w:p>
    <w:p w14:paraId="7663934A" w14:textId="77777777" w:rsidR="002001CC" w:rsidRDefault="00A60B8E">
      <w:pPr>
        <w:spacing w:line="276" w:lineRule="auto"/>
        <w:ind w:left="425" w:hanging="425"/>
      </w:pPr>
      <w:r>
        <w:rPr>
          <w:rFonts w:eastAsia="Arial"/>
          <w:color w:val="1F1F1F"/>
        </w:rPr>
        <w:t>Hofstede, G., Hofstede, G.J. and Minkov, M. (2010) Cultures and Organizations: Software of the Mind. 3rd edn. New York: McGraw-Hill.</w:t>
      </w:r>
    </w:p>
    <w:p w14:paraId="65168174" w14:textId="77777777" w:rsidR="002001CC" w:rsidRDefault="00A60B8E">
      <w:pPr>
        <w:spacing w:line="276" w:lineRule="auto"/>
        <w:ind w:left="425" w:hanging="425"/>
      </w:pPr>
      <w:r>
        <w:rPr>
          <w:rFonts w:eastAsia="Arial"/>
          <w:color w:val="1F1F1F"/>
        </w:rPr>
        <w:t>J Sainsbury plc (2025) Annual Report and Financial Statements 2025. Available at: https://corporate.sainsburys.co.uk/investors/annual-report-2025/ (Accessed: 10 August 2026).</w:t>
      </w:r>
    </w:p>
    <w:p w14:paraId="2B713DD9" w14:textId="77777777" w:rsidR="002001CC" w:rsidRDefault="00A60B8E">
      <w:pPr>
        <w:spacing w:line="276" w:lineRule="auto"/>
        <w:ind w:left="425" w:hanging="425"/>
      </w:pPr>
      <w:r>
        <w:rPr>
          <w:rFonts w:eastAsia="Arial"/>
          <w:color w:val="1F1F1F"/>
        </w:rPr>
        <w:t>Johnson, G., Whittington, R., Scholes, K., Angwin, D. and Regnér, P. (2017) Exploring Strategy. 11th edn. Harlow: Pearson.</w:t>
      </w:r>
    </w:p>
    <w:p w14:paraId="325E673A" w14:textId="77777777" w:rsidR="002001CC" w:rsidRDefault="00A60B8E">
      <w:pPr>
        <w:spacing w:line="276" w:lineRule="auto"/>
        <w:ind w:left="425" w:hanging="425"/>
      </w:pPr>
      <w:r>
        <w:rPr>
          <w:rFonts w:eastAsia="Arial"/>
          <w:color w:val="1F1F1F"/>
        </w:rPr>
        <w:t>Kotter, J.P. and Heskett, J.L. (1992) Corporate Culture and Performance. New York: Free Press.</w:t>
      </w:r>
    </w:p>
    <w:p w14:paraId="6AAAFB27" w14:textId="77777777" w:rsidR="002001CC" w:rsidRDefault="00A60B8E">
      <w:pPr>
        <w:spacing w:line="276" w:lineRule="auto"/>
        <w:ind w:left="425" w:hanging="425"/>
      </w:pPr>
      <w:r>
        <w:rPr>
          <w:rFonts w:eastAsia="Arial"/>
          <w:color w:val="1F1F1F"/>
        </w:rPr>
        <w:t>Mullins, L.J. and Christy, G. (2016) Management and Organisational Behaviour. 11th edn. Harlow: Pearson.</w:t>
      </w:r>
    </w:p>
    <w:p w14:paraId="3C71F444" w14:textId="77777777" w:rsidR="002001CC" w:rsidRDefault="00A60B8E">
      <w:pPr>
        <w:spacing w:line="276" w:lineRule="auto"/>
        <w:ind w:left="425" w:hanging="425"/>
      </w:pPr>
      <w:r>
        <w:rPr>
          <w:rFonts w:eastAsia="Arial"/>
          <w:color w:val="1F1F1F"/>
        </w:rPr>
        <w:t>Schein, E.H. and Schein, P.A. (2017) Organizational Culture and Leadership. 5th edn. Hoboken, NJ: Wiley.</w:t>
      </w:r>
    </w:p>
    <w:p w14:paraId="7AB49A29" w14:textId="77777777" w:rsidR="002001CC" w:rsidRDefault="00A60B8E">
      <w:pPr>
        <w:spacing w:line="276" w:lineRule="auto"/>
        <w:ind w:left="425" w:hanging="425"/>
      </w:pPr>
      <w:r>
        <w:rPr>
          <w:rFonts w:eastAsia="Arial"/>
          <w:color w:val="1F1F1F"/>
        </w:rPr>
        <w:t>Tesco PLC (2025a) Annual Report and Financial Statements 2025. Available at: https://www.tescoplc.com/investors/reports-results-and-presentations/annual-report-2025 (Accessed: 10 August 2026).</w:t>
      </w:r>
    </w:p>
    <w:p w14:paraId="7D8AFF57" w14:textId="77777777" w:rsidR="002001CC" w:rsidRDefault="00A60B8E">
      <w:pPr>
        <w:spacing w:line="276" w:lineRule="auto"/>
        <w:ind w:left="425" w:hanging="425"/>
      </w:pPr>
      <w:r>
        <w:rPr>
          <w:rFonts w:eastAsia="Arial"/>
          <w:color w:val="1F1F1F"/>
        </w:rPr>
        <w:t>Tesco PLC (2025b) Sustainability Report 2025. Available at: https://www.tescoplc.com/sustainability-report-2025 (Accessed: 10 August 2026).</w:t>
      </w:r>
    </w:p>
    <w:p w14:paraId="5872B4C0" w14:textId="77777777" w:rsidR="002001CC" w:rsidRDefault="00A60B8E">
      <w:pPr>
        <w:spacing w:line="276" w:lineRule="auto"/>
        <w:ind w:left="425" w:hanging="425"/>
      </w:pPr>
      <w:r>
        <w:rPr>
          <w:rFonts w:eastAsia="Arial"/>
          <w:color w:val="1F1F1F"/>
        </w:rPr>
        <w:t>Groceries Code Adjudicator (2025) GCA survey shows continued improved treatment of grocery suppliers. Available at: https://www.gov.uk/government/news/gca-survey-shows-continued-improved-treatment-of-grocery-suppliers (Accessed: 10 August 2026).</w:t>
      </w:r>
    </w:p>
    <w:sectPr w:rsidR="002001CC" w:rsidSect="00034616">
      <w:headerReference w:type="default" r:id="rId8"/>
      <w:footerReference w:type="default" r:id="rId9"/>
      <w:pgSz w:w="11906" w:h="16838"/>
      <w:pgMar w:top="1304" w:right="1417" w:bottom="1304" w:left="1417" w:header="709" w:footer="709"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BE9564" w14:textId="77777777" w:rsidR="00A60B8E" w:rsidRDefault="00A60B8E">
      <w:pPr>
        <w:spacing w:after="0" w:line="240" w:lineRule="auto"/>
      </w:pPr>
      <w:r>
        <w:separator/>
      </w:r>
    </w:p>
  </w:endnote>
  <w:endnote w:type="continuationSeparator" w:id="0">
    <w:p w14:paraId="053F0DD1" w14:textId="77777777" w:rsidR="00A60B8E" w:rsidRDefault="00A60B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5FFF0B" w14:textId="77777777" w:rsidR="002001CC" w:rsidRDefault="00A60B8E">
    <w:pPr>
      <w:pStyle w:val="a7"/>
      <w:jc w:val="right"/>
    </w:pPr>
    <w:r>
      <w:rPr>
        <w:rFonts w:eastAsia="Arial"/>
        <w:color w:val="595959"/>
        <w:sz w:val="18"/>
      </w:rPr>
      <w:t xml:space="preserve">Page </w:t>
    </w:r>
    <w:r>
      <w:rPr>
        <w:rFonts w:eastAsia="Arial"/>
        <w:color w:val="1F1F1F"/>
      </w:rPr>
      <w:fldChar w:fldCharType="begin"/>
    </w:r>
    <w:r>
      <w:rPr>
        <w:rFonts w:eastAsia="Arial"/>
        <w:color w:val="1F1F1F"/>
      </w:rPr>
      <w:instrText>PAGE</w:instrText>
    </w:r>
    <w:r>
      <w:rPr>
        <w:rFonts w:eastAsia="Arial"/>
        <w:color w:val="1F1F1F"/>
      </w:rPr>
      <w:fldChar w:fldCharType="separate"/>
    </w:r>
    <w:r>
      <w:rPr>
        <w:rFonts w:eastAsia="Arial"/>
        <w:color w:val="1F1F1F"/>
      </w:rPr>
      <w:t>1</w:t>
    </w:r>
    <w:r>
      <w:rPr>
        <w:rFonts w:eastAsia="Arial"/>
        <w:color w:val="1F1F1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E8F308" w14:textId="77777777" w:rsidR="00A60B8E" w:rsidRDefault="00A60B8E">
      <w:pPr>
        <w:spacing w:after="0" w:line="240" w:lineRule="auto"/>
      </w:pPr>
      <w:r>
        <w:separator/>
      </w:r>
    </w:p>
  </w:footnote>
  <w:footnote w:type="continuationSeparator" w:id="0">
    <w:p w14:paraId="7B188017" w14:textId="77777777" w:rsidR="00A60B8E" w:rsidRDefault="00A60B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400F1B" w14:textId="77777777" w:rsidR="002001CC" w:rsidRDefault="00A60B8E">
    <w:pPr>
      <w:pStyle w:val="a5"/>
      <w:jc w:val="right"/>
    </w:pPr>
    <w:r>
      <w:rPr>
        <w:rFonts w:eastAsia="Arial"/>
        <w:color w:val="595959"/>
        <w:sz w:val="18"/>
      </w:rPr>
      <w:t>LCLM5005  |  Organisational Culture at Tesco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30"/>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20"/>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a"/>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a0"/>
      <w:lvlText w:val=""/>
      <w:lvlJc w:val="left"/>
      <w:pPr>
        <w:tabs>
          <w:tab w:val="num" w:pos="360"/>
        </w:tabs>
        <w:ind w:left="360" w:hanging="360"/>
      </w:pPr>
      <w:rPr>
        <w:rFonts w:ascii="Symbol" w:hAnsi="Symbol" w:hint="default"/>
      </w:rPr>
    </w:lvl>
  </w:abstractNum>
  <w:num w:numId="1" w16cid:durableId="1874807340">
    <w:abstractNumId w:val="8"/>
  </w:num>
  <w:num w:numId="2" w16cid:durableId="1614166941">
    <w:abstractNumId w:val="6"/>
  </w:num>
  <w:num w:numId="3" w16cid:durableId="239488165">
    <w:abstractNumId w:val="5"/>
  </w:num>
  <w:num w:numId="4" w16cid:durableId="1092050543">
    <w:abstractNumId w:val="4"/>
  </w:num>
  <w:num w:numId="5" w16cid:durableId="1251504517">
    <w:abstractNumId w:val="7"/>
  </w:num>
  <w:num w:numId="6" w16cid:durableId="1838888114">
    <w:abstractNumId w:val="3"/>
  </w:num>
  <w:num w:numId="7" w16cid:durableId="1265310154">
    <w:abstractNumId w:val="2"/>
  </w:num>
  <w:num w:numId="8" w16cid:durableId="1704744150">
    <w:abstractNumId w:val="1"/>
  </w:num>
  <w:num w:numId="9" w16cid:durableId="10121490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7"/>
  <w:revisionView w:inkAnnotations="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001CC"/>
    <w:rsid w:val="0029639D"/>
    <w:rsid w:val="00326F90"/>
    <w:rsid w:val="006D153B"/>
    <w:rsid w:val="00A60B8E"/>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676EF7E"/>
  <w14:defaultImageDpi w14:val="300"/>
  <w15:docId w15:val="{2A8D6489-C325-E84E-ACA5-BC500504A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1">
    <w:name w:val="Normal"/>
    <w:qFormat/>
    <w:rsid w:val="00FC693F"/>
    <w:pPr>
      <w:spacing w:after="120" w:line="360" w:lineRule="auto"/>
      <w:jc w:val="both"/>
    </w:pPr>
    <w:rPr>
      <w:rFonts w:ascii="Arial" w:hAnsi="Arial"/>
    </w:rPr>
  </w:style>
  <w:style w:type="paragraph" w:styleId="1">
    <w:name w:val="heading 1"/>
    <w:basedOn w:val="a1"/>
    <w:next w:val="a1"/>
    <w:link w:val="10"/>
    <w:uiPriority w:val="9"/>
    <w:qFormat/>
    <w:rsid w:val="00FC693F"/>
    <w:pPr>
      <w:keepNext/>
      <w:keepLines/>
      <w:spacing w:before="320" w:after="160"/>
      <w:jc w:val="left"/>
      <w:outlineLvl w:val="0"/>
    </w:pPr>
    <w:rPr>
      <w:rFonts w:asciiTheme="majorHAnsi" w:eastAsiaTheme="majorEastAsia" w:hAnsiTheme="majorHAnsi" w:cstheme="majorBidi"/>
      <w:b/>
      <w:bCs/>
      <w:color w:val="1F4E79"/>
      <w:sz w:val="30"/>
      <w:szCs w:val="28"/>
    </w:rPr>
  </w:style>
  <w:style w:type="paragraph" w:styleId="21">
    <w:name w:val="heading 2"/>
    <w:basedOn w:val="a1"/>
    <w:next w:val="a1"/>
    <w:link w:val="22"/>
    <w:uiPriority w:val="9"/>
    <w:unhideWhenUsed/>
    <w:qFormat/>
    <w:rsid w:val="00FC693F"/>
    <w:pPr>
      <w:keepNext/>
      <w:keepLines/>
      <w:spacing w:before="240"/>
      <w:jc w:val="left"/>
      <w:outlineLvl w:val="1"/>
    </w:pPr>
    <w:rPr>
      <w:rFonts w:asciiTheme="majorHAnsi" w:eastAsiaTheme="majorEastAsia" w:hAnsiTheme="majorHAnsi" w:cstheme="majorBidi"/>
      <w:b/>
      <w:bCs/>
      <w:color w:val="1F4E79"/>
      <w:sz w:val="24"/>
      <w:szCs w:val="26"/>
    </w:rPr>
  </w:style>
  <w:style w:type="paragraph" w:styleId="31">
    <w:name w:val="heading 3"/>
    <w:basedOn w:val="a1"/>
    <w:next w:val="a1"/>
    <w:link w:val="32"/>
    <w:uiPriority w:val="9"/>
    <w:unhideWhenUsed/>
    <w:qFormat/>
    <w:rsid w:val="00FC693F"/>
    <w:pPr>
      <w:keepNext/>
      <w:keepLines/>
      <w:spacing w:before="160" w:after="80"/>
      <w:jc w:val="left"/>
      <w:outlineLvl w:val="2"/>
    </w:pPr>
    <w:rPr>
      <w:rFonts w:asciiTheme="majorHAnsi" w:eastAsiaTheme="majorEastAsia" w:hAnsiTheme="majorHAnsi" w:cstheme="majorBidi"/>
      <w:b/>
      <w:bCs/>
      <w:color w:val="1F4E79"/>
    </w:rPr>
  </w:style>
  <w:style w:type="paragraph" w:styleId="4">
    <w:name w:val="heading 4"/>
    <w:basedOn w:val="a1"/>
    <w:next w:val="a1"/>
    <w:link w:val="40"/>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5">
    <w:name w:val="heading 5"/>
    <w:basedOn w:val="a1"/>
    <w:next w:val="a1"/>
    <w:link w:val="50"/>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6">
    <w:name w:val="heading 6"/>
    <w:basedOn w:val="a1"/>
    <w:next w:val="a1"/>
    <w:link w:val="60"/>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7">
    <w:name w:val="heading 7"/>
    <w:basedOn w:val="a1"/>
    <w:next w:val="a1"/>
    <w:link w:val="70"/>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8">
    <w:name w:val="heading 8"/>
    <w:basedOn w:val="a1"/>
    <w:next w:val="a1"/>
    <w:link w:val="80"/>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9">
    <w:name w:val="heading 9"/>
    <w:basedOn w:val="a1"/>
    <w:next w:val="a1"/>
    <w:link w:val="90"/>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a2">
    <w:name w:val="Default Paragraph Font"/>
    <w:uiPriority w:val="1"/>
    <w:semiHidden/>
    <w:unhideWhenUsed/>
  </w:style>
  <w:style w:type="table" w:default="1" w:styleId="a3">
    <w:name w:val="Normal Table"/>
    <w:uiPriority w:val="99"/>
    <w:semiHidden/>
    <w:unhideWhenUsed/>
    <w:tblPr>
      <w:tblInd w:w="0" w:type="dxa"/>
      <w:tblCellMar>
        <w:top w:w="0" w:type="dxa"/>
        <w:left w:w="108" w:type="dxa"/>
        <w:bottom w:w="0" w:type="dxa"/>
        <w:right w:w="108" w:type="dxa"/>
      </w:tblCellMar>
    </w:tblPr>
  </w:style>
  <w:style w:type="numbering" w:default="1" w:styleId="a4">
    <w:name w:val="No List"/>
    <w:uiPriority w:val="99"/>
    <w:semiHidden/>
    <w:unhideWhenUsed/>
  </w:style>
  <w:style w:type="paragraph" w:styleId="a5">
    <w:name w:val="header"/>
    <w:basedOn w:val="a1"/>
    <w:link w:val="a6"/>
    <w:uiPriority w:val="99"/>
    <w:unhideWhenUsed/>
    <w:rsid w:val="00E618BF"/>
    <w:pPr>
      <w:tabs>
        <w:tab w:val="center" w:pos="4680"/>
        <w:tab w:val="right" w:pos="9360"/>
      </w:tabs>
      <w:spacing w:after="0" w:line="240" w:lineRule="auto"/>
    </w:pPr>
  </w:style>
  <w:style w:type="character" w:customStyle="1" w:styleId="a6">
    <w:name w:val="Верхний колонтитул Знак"/>
    <w:basedOn w:val="a2"/>
    <w:link w:val="a5"/>
    <w:uiPriority w:val="99"/>
    <w:rsid w:val="00E618BF"/>
  </w:style>
  <w:style w:type="paragraph" w:styleId="a7">
    <w:name w:val="footer"/>
    <w:basedOn w:val="a1"/>
    <w:link w:val="a8"/>
    <w:uiPriority w:val="99"/>
    <w:unhideWhenUsed/>
    <w:rsid w:val="00E618BF"/>
    <w:pPr>
      <w:tabs>
        <w:tab w:val="center" w:pos="4680"/>
        <w:tab w:val="right" w:pos="9360"/>
      </w:tabs>
      <w:spacing w:after="0" w:line="240" w:lineRule="auto"/>
    </w:pPr>
  </w:style>
  <w:style w:type="character" w:customStyle="1" w:styleId="a8">
    <w:name w:val="Нижний колонтитул Знак"/>
    <w:basedOn w:val="a2"/>
    <w:link w:val="a7"/>
    <w:uiPriority w:val="99"/>
    <w:rsid w:val="00E618BF"/>
  </w:style>
  <w:style w:type="paragraph" w:styleId="a9">
    <w:name w:val="No Spacing"/>
    <w:uiPriority w:val="1"/>
    <w:qFormat/>
    <w:rsid w:val="00FC693F"/>
    <w:pPr>
      <w:spacing w:after="0" w:line="240" w:lineRule="auto"/>
    </w:pPr>
  </w:style>
  <w:style w:type="character" w:customStyle="1" w:styleId="10">
    <w:name w:val="Заголовок 1 Знак"/>
    <w:basedOn w:val="a2"/>
    <w:link w:val="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22">
    <w:name w:val="Заголовок 2 Знак"/>
    <w:basedOn w:val="a2"/>
    <w:link w:val="21"/>
    <w:uiPriority w:val="9"/>
    <w:rsid w:val="00FC693F"/>
    <w:rPr>
      <w:rFonts w:asciiTheme="majorHAnsi" w:eastAsiaTheme="majorEastAsia" w:hAnsiTheme="majorHAnsi" w:cstheme="majorBidi"/>
      <w:b/>
      <w:bCs/>
      <w:color w:val="4F81BD" w:themeColor="accent1"/>
      <w:sz w:val="26"/>
      <w:szCs w:val="26"/>
    </w:rPr>
  </w:style>
  <w:style w:type="character" w:customStyle="1" w:styleId="32">
    <w:name w:val="Заголовок 3 Знак"/>
    <w:basedOn w:val="a2"/>
    <w:link w:val="31"/>
    <w:uiPriority w:val="9"/>
    <w:rsid w:val="00FC693F"/>
    <w:rPr>
      <w:rFonts w:asciiTheme="majorHAnsi" w:eastAsiaTheme="majorEastAsia" w:hAnsiTheme="majorHAnsi" w:cstheme="majorBidi"/>
      <w:b/>
      <w:bCs/>
      <w:color w:val="4F81BD" w:themeColor="accent1"/>
    </w:rPr>
  </w:style>
  <w:style w:type="paragraph" w:styleId="aa">
    <w:name w:val="Title"/>
    <w:basedOn w:val="a1"/>
    <w:next w:val="a1"/>
    <w:link w:val="ab"/>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b">
    <w:name w:val="Заголовок Знак"/>
    <w:basedOn w:val="a2"/>
    <w:link w:val="aa"/>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ac">
    <w:name w:val="Subtitle"/>
    <w:basedOn w:val="a1"/>
    <w:next w:val="a1"/>
    <w:link w:val="ad"/>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d">
    <w:name w:val="Подзаголовок Знак"/>
    <w:basedOn w:val="a2"/>
    <w:link w:val="ac"/>
    <w:uiPriority w:val="11"/>
    <w:rsid w:val="00FC693F"/>
    <w:rPr>
      <w:rFonts w:asciiTheme="majorHAnsi" w:eastAsiaTheme="majorEastAsia" w:hAnsiTheme="majorHAnsi" w:cstheme="majorBidi"/>
      <w:i/>
      <w:iCs/>
      <w:color w:val="4F81BD" w:themeColor="accent1"/>
      <w:spacing w:val="15"/>
      <w:sz w:val="24"/>
      <w:szCs w:val="24"/>
    </w:rPr>
  </w:style>
  <w:style w:type="paragraph" w:styleId="ae">
    <w:name w:val="List Paragraph"/>
    <w:basedOn w:val="a1"/>
    <w:uiPriority w:val="34"/>
    <w:qFormat/>
    <w:rsid w:val="00FC693F"/>
    <w:pPr>
      <w:ind w:left="720"/>
      <w:contextualSpacing/>
    </w:pPr>
  </w:style>
  <w:style w:type="paragraph" w:styleId="af">
    <w:name w:val="Body Text"/>
    <w:basedOn w:val="a1"/>
    <w:link w:val="af0"/>
    <w:uiPriority w:val="99"/>
    <w:unhideWhenUsed/>
    <w:rsid w:val="00AA1D8D"/>
  </w:style>
  <w:style w:type="character" w:customStyle="1" w:styleId="af0">
    <w:name w:val="Основной текст Знак"/>
    <w:basedOn w:val="a2"/>
    <w:link w:val="af"/>
    <w:uiPriority w:val="99"/>
    <w:rsid w:val="00AA1D8D"/>
  </w:style>
  <w:style w:type="paragraph" w:styleId="23">
    <w:name w:val="Body Text 2"/>
    <w:basedOn w:val="a1"/>
    <w:link w:val="24"/>
    <w:uiPriority w:val="99"/>
    <w:unhideWhenUsed/>
    <w:rsid w:val="00AA1D8D"/>
    <w:pPr>
      <w:spacing w:line="480" w:lineRule="auto"/>
    </w:pPr>
  </w:style>
  <w:style w:type="character" w:customStyle="1" w:styleId="24">
    <w:name w:val="Основной текст 2 Знак"/>
    <w:basedOn w:val="a2"/>
    <w:link w:val="23"/>
    <w:uiPriority w:val="99"/>
    <w:rsid w:val="00AA1D8D"/>
  </w:style>
  <w:style w:type="paragraph" w:styleId="33">
    <w:name w:val="Body Text 3"/>
    <w:basedOn w:val="a1"/>
    <w:link w:val="34"/>
    <w:uiPriority w:val="99"/>
    <w:unhideWhenUsed/>
    <w:rsid w:val="00AA1D8D"/>
    <w:rPr>
      <w:sz w:val="16"/>
      <w:szCs w:val="16"/>
    </w:rPr>
  </w:style>
  <w:style w:type="character" w:customStyle="1" w:styleId="34">
    <w:name w:val="Основной текст 3 Знак"/>
    <w:basedOn w:val="a2"/>
    <w:link w:val="33"/>
    <w:uiPriority w:val="99"/>
    <w:rsid w:val="00AA1D8D"/>
    <w:rPr>
      <w:sz w:val="16"/>
      <w:szCs w:val="16"/>
    </w:rPr>
  </w:style>
  <w:style w:type="paragraph" w:styleId="af1">
    <w:name w:val="List"/>
    <w:basedOn w:val="a1"/>
    <w:uiPriority w:val="99"/>
    <w:unhideWhenUsed/>
    <w:rsid w:val="00AA1D8D"/>
    <w:pPr>
      <w:ind w:left="360" w:hanging="360"/>
      <w:contextualSpacing/>
    </w:pPr>
  </w:style>
  <w:style w:type="paragraph" w:styleId="25">
    <w:name w:val="List 2"/>
    <w:basedOn w:val="a1"/>
    <w:uiPriority w:val="99"/>
    <w:unhideWhenUsed/>
    <w:rsid w:val="00326F90"/>
    <w:pPr>
      <w:ind w:left="720" w:hanging="360"/>
      <w:contextualSpacing/>
    </w:pPr>
  </w:style>
  <w:style w:type="paragraph" w:styleId="35">
    <w:name w:val="List 3"/>
    <w:basedOn w:val="a1"/>
    <w:uiPriority w:val="99"/>
    <w:unhideWhenUsed/>
    <w:rsid w:val="00326F90"/>
    <w:pPr>
      <w:ind w:left="1080" w:hanging="360"/>
      <w:contextualSpacing/>
    </w:pPr>
  </w:style>
  <w:style w:type="paragraph" w:styleId="a0">
    <w:name w:val="List Bullet"/>
    <w:basedOn w:val="a1"/>
    <w:uiPriority w:val="99"/>
    <w:unhideWhenUsed/>
    <w:rsid w:val="00326F90"/>
    <w:pPr>
      <w:numPr>
        <w:numId w:val="1"/>
      </w:numPr>
      <w:contextualSpacing/>
    </w:pPr>
  </w:style>
  <w:style w:type="paragraph" w:styleId="20">
    <w:name w:val="List Bullet 2"/>
    <w:basedOn w:val="a1"/>
    <w:uiPriority w:val="99"/>
    <w:unhideWhenUsed/>
    <w:rsid w:val="00326F90"/>
    <w:pPr>
      <w:numPr>
        <w:numId w:val="2"/>
      </w:numPr>
      <w:contextualSpacing/>
    </w:pPr>
  </w:style>
  <w:style w:type="paragraph" w:styleId="30">
    <w:name w:val="List Bullet 3"/>
    <w:basedOn w:val="a1"/>
    <w:uiPriority w:val="99"/>
    <w:unhideWhenUsed/>
    <w:rsid w:val="00326F90"/>
    <w:pPr>
      <w:numPr>
        <w:numId w:val="3"/>
      </w:numPr>
      <w:contextualSpacing/>
    </w:pPr>
  </w:style>
  <w:style w:type="paragraph" w:styleId="a">
    <w:name w:val="List Number"/>
    <w:basedOn w:val="a1"/>
    <w:uiPriority w:val="99"/>
    <w:unhideWhenUsed/>
    <w:rsid w:val="00326F90"/>
    <w:pPr>
      <w:numPr>
        <w:numId w:val="5"/>
      </w:numPr>
      <w:contextualSpacing/>
    </w:pPr>
  </w:style>
  <w:style w:type="paragraph" w:styleId="2">
    <w:name w:val="List Number 2"/>
    <w:basedOn w:val="a1"/>
    <w:uiPriority w:val="99"/>
    <w:unhideWhenUsed/>
    <w:rsid w:val="0029639D"/>
    <w:pPr>
      <w:numPr>
        <w:numId w:val="6"/>
      </w:numPr>
      <w:contextualSpacing/>
    </w:pPr>
  </w:style>
  <w:style w:type="paragraph" w:styleId="3">
    <w:name w:val="List Number 3"/>
    <w:basedOn w:val="a1"/>
    <w:uiPriority w:val="99"/>
    <w:unhideWhenUsed/>
    <w:rsid w:val="0029639D"/>
    <w:pPr>
      <w:numPr>
        <w:numId w:val="7"/>
      </w:numPr>
      <w:contextualSpacing/>
    </w:pPr>
  </w:style>
  <w:style w:type="paragraph" w:styleId="af2">
    <w:name w:val="List Continue"/>
    <w:basedOn w:val="a1"/>
    <w:uiPriority w:val="99"/>
    <w:unhideWhenUsed/>
    <w:rsid w:val="0029639D"/>
    <w:pPr>
      <w:ind w:left="360"/>
      <w:contextualSpacing/>
    </w:pPr>
  </w:style>
  <w:style w:type="paragraph" w:styleId="26">
    <w:name w:val="List Continue 2"/>
    <w:basedOn w:val="a1"/>
    <w:uiPriority w:val="99"/>
    <w:unhideWhenUsed/>
    <w:rsid w:val="0029639D"/>
    <w:pPr>
      <w:ind w:left="720"/>
      <w:contextualSpacing/>
    </w:pPr>
  </w:style>
  <w:style w:type="paragraph" w:styleId="36">
    <w:name w:val="List Continue 3"/>
    <w:basedOn w:val="a1"/>
    <w:uiPriority w:val="99"/>
    <w:unhideWhenUsed/>
    <w:rsid w:val="0029639D"/>
    <w:pPr>
      <w:ind w:left="1080"/>
      <w:contextualSpacing/>
    </w:pPr>
  </w:style>
  <w:style w:type="paragraph" w:styleId="af3">
    <w:name w:val="macro"/>
    <w:link w:val="af4"/>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af4">
    <w:name w:val="Текст макроса Знак"/>
    <w:basedOn w:val="a2"/>
    <w:link w:val="af3"/>
    <w:uiPriority w:val="99"/>
    <w:rsid w:val="0029639D"/>
    <w:rPr>
      <w:rFonts w:ascii="Courier" w:hAnsi="Courier"/>
      <w:sz w:val="20"/>
      <w:szCs w:val="20"/>
    </w:rPr>
  </w:style>
  <w:style w:type="paragraph" w:styleId="27">
    <w:name w:val="Quote"/>
    <w:basedOn w:val="a1"/>
    <w:next w:val="a1"/>
    <w:link w:val="28"/>
    <w:uiPriority w:val="29"/>
    <w:qFormat/>
    <w:rsid w:val="00FC693F"/>
    <w:rPr>
      <w:i/>
      <w:iCs/>
      <w:color w:val="000000" w:themeColor="text1"/>
    </w:rPr>
  </w:style>
  <w:style w:type="character" w:customStyle="1" w:styleId="28">
    <w:name w:val="Цитата 2 Знак"/>
    <w:basedOn w:val="a2"/>
    <w:link w:val="27"/>
    <w:uiPriority w:val="29"/>
    <w:rsid w:val="00FC693F"/>
    <w:rPr>
      <w:i/>
      <w:iCs/>
      <w:color w:val="000000" w:themeColor="text1"/>
    </w:rPr>
  </w:style>
  <w:style w:type="character" w:customStyle="1" w:styleId="40">
    <w:name w:val="Заголовок 4 Знак"/>
    <w:basedOn w:val="a2"/>
    <w:link w:val="4"/>
    <w:uiPriority w:val="9"/>
    <w:semiHidden/>
    <w:rsid w:val="00FC693F"/>
    <w:rPr>
      <w:rFonts w:asciiTheme="majorHAnsi" w:eastAsiaTheme="majorEastAsia" w:hAnsiTheme="majorHAnsi" w:cstheme="majorBidi"/>
      <w:b/>
      <w:bCs/>
      <w:i/>
      <w:iCs/>
      <w:color w:val="4F81BD" w:themeColor="accent1"/>
    </w:rPr>
  </w:style>
  <w:style w:type="character" w:customStyle="1" w:styleId="50">
    <w:name w:val="Заголовок 5 Знак"/>
    <w:basedOn w:val="a2"/>
    <w:link w:val="5"/>
    <w:uiPriority w:val="9"/>
    <w:semiHidden/>
    <w:rsid w:val="00FC693F"/>
    <w:rPr>
      <w:rFonts w:asciiTheme="majorHAnsi" w:eastAsiaTheme="majorEastAsia" w:hAnsiTheme="majorHAnsi" w:cstheme="majorBidi"/>
      <w:color w:val="243F60" w:themeColor="accent1" w:themeShade="7F"/>
    </w:rPr>
  </w:style>
  <w:style w:type="character" w:customStyle="1" w:styleId="60">
    <w:name w:val="Заголовок 6 Знак"/>
    <w:basedOn w:val="a2"/>
    <w:link w:val="6"/>
    <w:uiPriority w:val="9"/>
    <w:semiHidden/>
    <w:rsid w:val="00FC693F"/>
    <w:rPr>
      <w:rFonts w:asciiTheme="majorHAnsi" w:eastAsiaTheme="majorEastAsia" w:hAnsiTheme="majorHAnsi" w:cstheme="majorBidi"/>
      <w:i/>
      <w:iCs/>
      <w:color w:val="243F60" w:themeColor="accent1" w:themeShade="7F"/>
    </w:rPr>
  </w:style>
  <w:style w:type="character" w:customStyle="1" w:styleId="70">
    <w:name w:val="Заголовок 7 Знак"/>
    <w:basedOn w:val="a2"/>
    <w:link w:val="7"/>
    <w:uiPriority w:val="9"/>
    <w:semiHidden/>
    <w:rsid w:val="00FC693F"/>
    <w:rPr>
      <w:rFonts w:asciiTheme="majorHAnsi" w:eastAsiaTheme="majorEastAsia" w:hAnsiTheme="majorHAnsi" w:cstheme="majorBidi"/>
      <w:i/>
      <w:iCs/>
      <w:color w:val="404040" w:themeColor="text1" w:themeTint="BF"/>
    </w:rPr>
  </w:style>
  <w:style w:type="character" w:customStyle="1" w:styleId="80">
    <w:name w:val="Заголовок 8 Знак"/>
    <w:basedOn w:val="a2"/>
    <w:link w:val="8"/>
    <w:uiPriority w:val="9"/>
    <w:semiHidden/>
    <w:rsid w:val="00FC693F"/>
    <w:rPr>
      <w:rFonts w:asciiTheme="majorHAnsi" w:eastAsiaTheme="majorEastAsia" w:hAnsiTheme="majorHAnsi" w:cstheme="majorBidi"/>
      <w:color w:val="4F81BD" w:themeColor="accent1"/>
      <w:sz w:val="20"/>
      <w:szCs w:val="20"/>
    </w:rPr>
  </w:style>
  <w:style w:type="character" w:customStyle="1" w:styleId="90">
    <w:name w:val="Заголовок 9 Знак"/>
    <w:basedOn w:val="a2"/>
    <w:link w:val="9"/>
    <w:uiPriority w:val="9"/>
    <w:semiHidden/>
    <w:rsid w:val="00FC693F"/>
    <w:rPr>
      <w:rFonts w:asciiTheme="majorHAnsi" w:eastAsiaTheme="majorEastAsia" w:hAnsiTheme="majorHAnsi" w:cstheme="majorBidi"/>
      <w:i/>
      <w:iCs/>
      <w:color w:val="404040" w:themeColor="text1" w:themeTint="BF"/>
      <w:sz w:val="20"/>
      <w:szCs w:val="20"/>
    </w:rPr>
  </w:style>
  <w:style w:type="paragraph" w:styleId="af5">
    <w:name w:val="caption"/>
    <w:basedOn w:val="a1"/>
    <w:next w:val="a1"/>
    <w:uiPriority w:val="35"/>
    <w:semiHidden/>
    <w:unhideWhenUsed/>
    <w:qFormat/>
    <w:rsid w:val="00FC693F"/>
    <w:pPr>
      <w:spacing w:line="240" w:lineRule="auto"/>
    </w:pPr>
    <w:rPr>
      <w:b/>
      <w:bCs/>
      <w:color w:val="4F81BD" w:themeColor="accent1"/>
      <w:sz w:val="18"/>
      <w:szCs w:val="18"/>
    </w:rPr>
  </w:style>
  <w:style w:type="character" w:styleId="af6">
    <w:name w:val="Strong"/>
    <w:basedOn w:val="a2"/>
    <w:uiPriority w:val="22"/>
    <w:qFormat/>
    <w:rsid w:val="00FC693F"/>
    <w:rPr>
      <w:b/>
      <w:bCs/>
    </w:rPr>
  </w:style>
  <w:style w:type="character" w:styleId="af7">
    <w:name w:val="Emphasis"/>
    <w:basedOn w:val="a2"/>
    <w:uiPriority w:val="20"/>
    <w:qFormat/>
    <w:rsid w:val="00FC693F"/>
    <w:rPr>
      <w:i/>
      <w:iCs/>
    </w:rPr>
  </w:style>
  <w:style w:type="paragraph" w:styleId="af8">
    <w:name w:val="Intense Quote"/>
    <w:basedOn w:val="a1"/>
    <w:next w:val="a1"/>
    <w:link w:val="af9"/>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af9">
    <w:name w:val="Выделенная цитата Знак"/>
    <w:basedOn w:val="a2"/>
    <w:link w:val="af8"/>
    <w:uiPriority w:val="30"/>
    <w:rsid w:val="00FC693F"/>
    <w:rPr>
      <w:b/>
      <w:bCs/>
      <w:i/>
      <w:iCs/>
      <w:color w:val="4F81BD" w:themeColor="accent1"/>
    </w:rPr>
  </w:style>
  <w:style w:type="character" w:styleId="afa">
    <w:name w:val="Subtle Emphasis"/>
    <w:basedOn w:val="a2"/>
    <w:uiPriority w:val="19"/>
    <w:qFormat/>
    <w:rsid w:val="00FC693F"/>
    <w:rPr>
      <w:i/>
      <w:iCs/>
      <w:color w:val="808080" w:themeColor="text1" w:themeTint="7F"/>
    </w:rPr>
  </w:style>
  <w:style w:type="character" w:styleId="afb">
    <w:name w:val="Intense Emphasis"/>
    <w:basedOn w:val="a2"/>
    <w:uiPriority w:val="21"/>
    <w:qFormat/>
    <w:rsid w:val="00FC693F"/>
    <w:rPr>
      <w:b/>
      <w:bCs/>
      <w:i/>
      <w:iCs/>
      <w:color w:val="4F81BD" w:themeColor="accent1"/>
    </w:rPr>
  </w:style>
  <w:style w:type="character" w:styleId="afc">
    <w:name w:val="Subtle Reference"/>
    <w:basedOn w:val="a2"/>
    <w:uiPriority w:val="31"/>
    <w:qFormat/>
    <w:rsid w:val="00FC693F"/>
    <w:rPr>
      <w:smallCaps/>
      <w:color w:val="C0504D" w:themeColor="accent2"/>
      <w:u w:val="single"/>
    </w:rPr>
  </w:style>
  <w:style w:type="character" w:styleId="afd">
    <w:name w:val="Intense Reference"/>
    <w:basedOn w:val="a2"/>
    <w:uiPriority w:val="32"/>
    <w:qFormat/>
    <w:rsid w:val="00FC693F"/>
    <w:rPr>
      <w:b/>
      <w:bCs/>
      <w:smallCaps/>
      <w:color w:val="C0504D" w:themeColor="accent2"/>
      <w:spacing w:val="5"/>
      <w:u w:val="single"/>
    </w:rPr>
  </w:style>
  <w:style w:type="character" w:styleId="afe">
    <w:name w:val="Book Title"/>
    <w:basedOn w:val="a2"/>
    <w:uiPriority w:val="33"/>
    <w:qFormat/>
    <w:rsid w:val="00FC693F"/>
    <w:rPr>
      <w:b/>
      <w:bCs/>
      <w:smallCaps/>
      <w:spacing w:val="5"/>
    </w:rPr>
  </w:style>
  <w:style w:type="paragraph" w:styleId="aff">
    <w:name w:val="TOC Heading"/>
    <w:basedOn w:val="1"/>
    <w:next w:val="a1"/>
    <w:uiPriority w:val="39"/>
    <w:semiHidden/>
    <w:unhideWhenUsed/>
    <w:qFormat/>
    <w:rsid w:val="00FC693F"/>
    <w:pPr>
      <w:outlineLvl w:val="9"/>
    </w:pPr>
  </w:style>
  <w:style w:type="table" w:styleId="aff0">
    <w:name w:val="Table Grid"/>
    <w:basedOn w:val="a3"/>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ff1">
    <w:name w:val="Light Shading"/>
    <w:basedOn w:val="a3"/>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1">
    <w:name w:val="Light Shading Accent 1"/>
    <w:basedOn w:val="a3"/>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2">
    <w:name w:val="Light Shading Accent 2"/>
    <w:basedOn w:val="a3"/>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3">
    <w:name w:val="Light Shading Accent 3"/>
    <w:basedOn w:val="a3"/>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
    <w:name w:val="Light Shading Accent 4"/>
    <w:basedOn w:val="a3"/>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5">
    <w:name w:val="Light Shading Accent 5"/>
    <w:basedOn w:val="a3"/>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6">
    <w:name w:val="Light Shading Accent 6"/>
    <w:basedOn w:val="a3"/>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aff2">
    <w:name w:val="Light List"/>
    <w:basedOn w:val="a3"/>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10">
    <w:name w:val="Light List Accent 1"/>
    <w:basedOn w:val="a3"/>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20">
    <w:name w:val="Light List Accent 2"/>
    <w:basedOn w:val="a3"/>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30">
    <w:name w:val="Light List Accent 3"/>
    <w:basedOn w:val="a3"/>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40">
    <w:name w:val="Light List Accent 4"/>
    <w:basedOn w:val="a3"/>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50">
    <w:name w:val="Light List Accent 5"/>
    <w:basedOn w:val="a3"/>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60">
    <w:name w:val="Light List Accent 6"/>
    <w:basedOn w:val="a3"/>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aff3">
    <w:name w:val="Light Grid"/>
    <w:basedOn w:val="a3"/>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11">
    <w:name w:val="Light Grid Accent 1"/>
    <w:basedOn w:val="a3"/>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21">
    <w:name w:val="Light Grid Accent 2"/>
    <w:basedOn w:val="a3"/>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31">
    <w:name w:val="Light Grid Accent 3"/>
    <w:basedOn w:val="a3"/>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41">
    <w:name w:val="Light Grid Accent 4"/>
    <w:basedOn w:val="a3"/>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51">
    <w:name w:val="Light Grid Accent 5"/>
    <w:basedOn w:val="a3"/>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61">
    <w:name w:val="Light Grid Accent 6"/>
    <w:basedOn w:val="a3"/>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11">
    <w:name w:val="Medium Shading 1"/>
    <w:basedOn w:val="a3"/>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1-1">
    <w:name w:val="Medium Shading 1 Accent 1"/>
    <w:basedOn w:val="a3"/>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1-2">
    <w:name w:val="Medium Shading 1 Accent 2"/>
    <w:basedOn w:val="a3"/>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1-3">
    <w:name w:val="Medium Shading 1 Accent 3"/>
    <w:basedOn w:val="a3"/>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1-4">
    <w:name w:val="Medium Shading 1 Accent 4"/>
    <w:basedOn w:val="a3"/>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1-5">
    <w:name w:val="Medium Shading 1 Accent 5"/>
    <w:basedOn w:val="a3"/>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1-6">
    <w:name w:val="Medium Shading 1 Accent 6"/>
    <w:basedOn w:val="a3"/>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29">
    <w:name w:val="Medium Shading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1">
    <w:name w:val="Medium Shading 2 Accent 1"/>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2">
    <w:name w:val="Medium Shading 2 Accent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3">
    <w:name w:val="Medium Shading 2 Accent 3"/>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4">
    <w:name w:val="Medium Shading 2 Accent 4"/>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5">
    <w:name w:val="Medium Shading 2 Accent 5"/>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6">
    <w:name w:val="Medium Shading 2 Accent 6"/>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12">
    <w:name w:val="Medium List 1"/>
    <w:basedOn w:val="a3"/>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1-10">
    <w:name w:val="Medium List 1 Accent 1"/>
    <w:basedOn w:val="a3"/>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1-20">
    <w:name w:val="Medium List 1 Accent 2"/>
    <w:basedOn w:val="a3"/>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1-30">
    <w:name w:val="Medium List 1 Accent 3"/>
    <w:basedOn w:val="a3"/>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1-40">
    <w:name w:val="Medium List 1 Accent 4"/>
    <w:basedOn w:val="a3"/>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1-50">
    <w:name w:val="Medium List 1 Accent 5"/>
    <w:basedOn w:val="a3"/>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1-60">
    <w:name w:val="Medium List 1 Accent 6"/>
    <w:basedOn w:val="a3"/>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2a">
    <w:name w:val="Medium Lis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2-10">
    <w:name w:val="Medium List 2 Accent 1"/>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2-20">
    <w:name w:val="Medium List 2 Accen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2-30">
    <w:name w:val="Medium List 2 Accent 3"/>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2-40">
    <w:name w:val="Medium List 2 Accent 4"/>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2-50">
    <w:name w:val="Medium List 2 Accent 5"/>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2-60">
    <w:name w:val="Medium List 2 Accent 6"/>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13">
    <w:name w:val="Medium Grid 1"/>
    <w:basedOn w:val="a3"/>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11">
    <w:name w:val="Medium Grid 1 Accent 1"/>
    <w:basedOn w:val="a3"/>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1-21">
    <w:name w:val="Medium Grid 1 Accent 2"/>
    <w:basedOn w:val="a3"/>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1">
    <w:name w:val="Medium Grid 1 Accent 3"/>
    <w:basedOn w:val="a3"/>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41">
    <w:name w:val="Medium Grid 1 Accent 4"/>
    <w:basedOn w:val="a3"/>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51">
    <w:name w:val="Medium Grid 1 Accent 5"/>
    <w:basedOn w:val="a3"/>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61">
    <w:name w:val="Medium Grid 1 Accent 6"/>
    <w:basedOn w:val="a3"/>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2b">
    <w:name w:val="Medium Grid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2-11">
    <w:name w:val="Medium Grid 2 Accent 1"/>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2-21">
    <w:name w:val="Medium Grid 2 Accent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2-31">
    <w:name w:val="Medium Grid 2 Accent 3"/>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2-41">
    <w:name w:val="Medium Grid 2 Accent 4"/>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2-51">
    <w:name w:val="Medium Grid 2 Accent 5"/>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2-61">
    <w:name w:val="Medium Grid 2 Accent 6"/>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37">
    <w:name w:val="Medium Grid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3-1">
    <w:name w:val="Medium Grid 3 Accent 1"/>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3-2">
    <w:name w:val="Medium Grid 3 Accent 2"/>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3-3">
    <w:name w:val="Medium Grid 3 Accent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3-4">
    <w:name w:val="Medium Grid 3 Accent 4"/>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3-5">
    <w:name w:val="Medium Grid 3 Accent 5"/>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3-6">
    <w:name w:val="Medium Grid 3 Accent 6"/>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aff4">
    <w:name w:val="Dark List"/>
    <w:basedOn w:val="a3"/>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2">
    <w:name w:val="Dark List Accent 1"/>
    <w:basedOn w:val="a3"/>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22">
    <w:name w:val="Dark List Accent 2"/>
    <w:basedOn w:val="a3"/>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32">
    <w:name w:val="Dark List Accent 3"/>
    <w:basedOn w:val="a3"/>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42">
    <w:name w:val="Dark List Accent 4"/>
    <w:basedOn w:val="a3"/>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52">
    <w:name w:val="Dark List Accent 5"/>
    <w:basedOn w:val="a3"/>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62">
    <w:name w:val="Dark List Accent 6"/>
    <w:basedOn w:val="a3"/>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aff5">
    <w:name w:val="Colorful Shading"/>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13">
    <w:name w:val="Colorful Shading Accent 1"/>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23">
    <w:name w:val="Colorful Shading Accent 2"/>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33">
    <w:name w:val="Colorful Shading Accent 3"/>
    <w:basedOn w:val="a3"/>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43">
    <w:name w:val="Colorful Shading Accent 4"/>
    <w:basedOn w:val="a3"/>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53">
    <w:name w:val="Colorful Shading Accent 5"/>
    <w:basedOn w:val="a3"/>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63">
    <w:name w:val="Colorful Shading Accent 6"/>
    <w:basedOn w:val="a3"/>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aff6">
    <w:name w:val="Colorful List"/>
    <w:basedOn w:val="a3"/>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14">
    <w:name w:val="Colorful List Accent 1"/>
    <w:basedOn w:val="a3"/>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24">
    <w:name w:val="Colorful List Accent 2"/>
    <w:basedOn w:val="a3"/>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34">
    <w:name w:val="Colorful List Accent 3"/>
    <w:basedOn w:val="a3"/>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44">
    <w:name w:val="Colorful List Accent 4"/>
    <w:basedOn w:val="a3"/>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54">
    <w:name w:val="Colorful List Accent 5"/>
    <w:basedOn w:val="a3"/>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64">
    <w:name w:val="Colorful List Accent 6"/>
    <w:basedOn w:val="a3"/>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aff7">
    <w:name w:val="Colorful Grid"/>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5">
    <w:name w:val="Colorful Grid Accent 1"/>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25">
    <w:name w:val="Colorful Grid Accent 2"/>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35">
    <w:name w:val="Colorful Grid Accent 3"/>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45">
    <w:name w:val="Colorful Grid Accent 4"/>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55">
    <w:name w:val="Colorful Grid Accent 5"/>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65">
    <w:name w:val="Colorful Grid Accent 6"/>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Source">
    <w:name w:val="Table Source"/>
    <w:pPr>
      <w:spacing w:before="80" w:after="160"/>
    </w:pPr>
    <w:rPr>
      <w:rFonts w:ascii="Arial" w:hAnsi="Arial"/>
      <w:i/>
      <w:color w:val="59595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4344</Words>
  <Characters>24765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29051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Culture: A Critical Analysis of Tesco PLC</dc:title>
  <dc:subject>LCLM5005 Organisational Culture report</dc:subject>
  <dc:creator>Oleh Bublyk 2417174</dc:creator>
  <cp:keywords>Tesco, organisational culture, Schein, Handy, Hofstede, performance</cp:keywords>
  <dc:description>generated by python-docx</dc:description>
  <cp:lastModifiedBy>olegbublik1982@gmail.com</cp:lastModifiedBy>
  <cp:revision>2</cp:revision>
  <dcterms:created xsi:type="dcterms:W3CDTF">2026-08-10T20:08:00Z</dcterms:created>
  <dcterms:modified xsi:type="dcterms:W3CDTF">2026-08-10T20:08:00Z</dcterms:modified>
  <cp:category/>
</cp:coreProperties>
</file>