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DF7C03" w14:textId="77777777" w:rsidR="0050478E" w:rsidRDefault="0050478E">
      <w:r>
        <w:t>Exordium Parvum commentary chapter 17:</w:t>
      </w:r>
    </w:p>
    <w:p w14:paraId="74A54871" w14:textId="0C2E1DC0" w:rsidR="0050478E" w:rsidRDefault="0050478E">
      <w:r>
        <w:t xml:space="preserve">The </w:t>
      </w:r>
      <w:r w:rsidRPr="00BE3A81">
        <w:rPr>
          <w:i/>
          <w:iCs/>
        </w:rPr>
        <w:t>Exordium Parvum</w:t>
      </w:r>
      <w:r>
        <w:t xml:space="preserve"> is a Cistercian text detailing the </w:t>
      </w:r>
      <w:r w:rsidR="00BE3A81">
        <w:t>foundation of the order and its history. It appears to be written around 1120 and written by perhaps Stephen Harding or another monk of the abbey or perhaps both. This text provides a guide to creating a monastery as well as legitimising the Cistercian order containing administrative letters</w:t>
      </w:r>
      <w:r w:rsidR="00013F28">
        <w:t xml:space="preserve"> as </w:t>
      </w:r>
      <w:proofErr w:type="spellStart"/>
      <w:r w:rsidR="00013F28">
        <w:t>Citeaux</w:t>
      </w:r>
      <w:proofErr w:type="spellEnd"/>
      <w:r w:rsidR="00013F28">
        <w:t xml:space="preserve"> “was founded in controversy”</w:t>
      </w:r>
      <w:r w:rsidR="00013F28">
        <w:rPr>
          <w:rStyle w:val="FootnoteReference"/>
        </w:rPr>
        <w:footnoteReference w:id="1"/>
      </w:r>
      <w:r w:rsidR="00BE3A81">
        <w:t xml:space="preserve">. </w:t>
      </w:r>
      <w:r w:rsidR="00DF4EBE">
        <w:t>As described by</w:t>
      </w:r>
      <w:r w:rsidR="00DF4EBE" w:rsidRPr="00DF4EBE">
        <w:t xml:space="preserve"> Jean </w:t>
      </w:r>
      <w:proofErr w:type="spellStart"/>
      <w:r w:rsidR="00DF4EBE" w:rsidRPr="00DF4EBE">
        <w:t>Leclercq</w:t>
      </w:r>
      <w:proofErr w:type="spellEnd"/>
      <w:r w:rsidR="00DF4EBE">
        <w:t>, states “</w:t>
      </w:r>
      <w:r w:rsidR="00DF4EBE" w:rsidRPr="00DF4EBE">
        <w:t>the note of affective tenderness, charity, prayer, asceticism, poverty, simplicity, meditation, contemplation-are uniquely Cistercian</w:t>
      </w:r>
      <w:r w:rsidR="00DF4EBE">
        <w:t>”</w:t>
      </w:r>
      <w:r w:rsidR="00DF4EBE">
        <w:rPr>
          <w:rStyle w:val="FootnoteReference"/>
        </w:rPr>
        <w:footnoteReference w:id="2"/>
      </w:r>
      <w:r w:rsidR="00DF4EBE">
        <w:t xml:space="preserve"> therefore these new beliefs have to be justified when compared to other orders of the time. </w:t>
      </w:r>
      <w:r w:rsidR="00BE3A81">
        <w:t xml:space="preserve">Chapter 17 of the </w:t>
      </w:r>
      <w:r w:rsidR="00BE3A81" w:rsidRPr="00BE3A81">
        <w:rPr>
          <w:i/>
          <w:iCs/>
        </w:rPr>
        <w:t>Exordium Parvum</w:t>
      </w:r>
      <w:r w:rsidR="00BE3A81">
        <w:t xml:space="preserve"> details Stephen Harding becoming the third abbot of </w:t>
      </w:r>
      <w:proofErr w:type="spellStart"/>
      <w:r w:rsidR="00BE3A81">
        <w:t>C</w:t>
      </w:r>
      <w:r w:rsidR="00BE3A81">
        <w:rPr>
          <w:rFonts w:cstheme="minorHAnsi"/>
        </w:rPr>
        <w:t>ǐt</w:t>
      </w:r>
      <w:r w:rsidR="00BE3A81">
        <w:t>eaux</w:t>
      </w:r>
      <w:proofErr w:type="spellEnd"/>
      <w:r w:rsidR="00BE3A81">
        <w:t xml:space="preserve"> after the death of abbot </w:t>
      </w:r>
      <w:proofErr w:type="spellStart"/>
      <w:r w:rsidR="00BE3A81">
        <w:t>Alberic</w:t>
      </w:r>
      <w:proofErr w:type="spellEnd"/>
      <w:r w:rsidR="00BE3A81">
        <w:t xml:space="preserve">. It also details the improvements made to the Cistercian order by Harding. </w:t>
      </w:r>
    </w:p>
    <w:p w14:paraId="03D91097" w14:textId="6E0BBE4B" w:rsidR="00C812C4" w:rsidRDefault="00C812C4">
      <w:r>
        <w:t xml:space="preserve">The death of </w:t>
      </w:r>
      <w:proofErr w:type="spellStart"/>
      <w:r>
        <w:t>Alberic</w:t>
      </w:r>
      <w:proofErr w:type="spellEnd"/>
      <w:r>
        <w:t xml:space="preserve"> can be seen as a legitimising of the Cistercian order as when he dies he is described as going, “home to the </w:t>
      </w:r>
      <w:r w:rsidR="00571EF2">
        <w:t>L</w:t>
      </w:r>
      <w:r>
        <w:t xml:space="preserve">ord, full of glory in </w:t>
      </w:r>
      <w:r w:rsidR="00571EF2">
        <w:t>H</w:t>
      </w:r>
      <w:r>
        <w:t>is faith and virtues, and therefore deservedly to be rewarded by God with eternal life”</w:t>
      </w:r>
      <w:r w:rsidR="00400007">
        <w:rPr>
          <w:rStyle w:val="FootnoteReference"/>
        </w:rPr>
        <w:footnoteReference w:id="3"/>
      </w:r>
      <w:r>
        <w:t xml:space="preserve">. This therefore, presents that the Cistercian order is correct in its “faith and virtues” as </w:t>
      </w:r>
      <w:proofErr w:type="spellStart"/>
      <w:r>
        <w:t>Alberic</w:t>
      </w:r>
      <w:proofErr w:type="spellEnd"/>
      <w:r>
        <w:t xml:space="preserve"> has died and has been given the ultimate reward by God in that he has been given eternal life. Thus, legitimising their order and beliefs and also implying that perhaps this would not have been the case at </w:t>
      </w:r>
      <w:proofErr w:type="spellStart"/>
      <w:r>
        <w:t>Molesome</w:t>
      </w:r>
      <w:proofErr w:type="spellEnd"/>
      <w:r>
        <w:t xml:space="preserve"> as they did not strictly follow the rule. </w:t>
      </w:r>
    </w:p>
    <w:p w14:paraId="395E15F2" w14:textId="77777777" w:rsidR="00BE3A81" w:rsidRDefault="00BE3A81">
      <w:r>
        <w:t>Stephen Harding is described in the text as a “lover of the rule and the place”</w:t>
      </w:r>
      <w:r>
        <w:rPr>
          <w:rStyle w:val="FootnoteReference"/>
        </w:rPr>
        <w:footnoteReference w:id="4"/>
      </w:r>
      <w:r w:rsidR="00175B13">
        <w:t xml:space="preserve">, therefore, presenting his legitimacy for the role of Abbot as he was devoted to the rule of St Benedict and the abbey of </w:t>
      </w:r>
      <w:proofErr w:type="spellStart"/>
      <w:r w:rsidR="00175B13" w:rsidRPr="00175B13">
        <w:t>Cǐteaux</w:t>
      </w:r>
      <w:proofErr w:type="spellEnd"/>
      <w:r w:rsidR="00175B13">
        <w:t xml:space="preserve">. </w:t>
      </w:r>
      <w:r w:rsidR="00711DF3">
        <w:t xml:space="preserve">Stephen Harding is a significant figure for the Cistercians as he made Bernard of </w:t>
      </w:r>
      <w:proofErr w:type="spellStart"/>
      <w:r w:rsidR="00711DF3">
        <w:t>Clairvoux</w:t>
      </w:r>
      <w:proofErr w:type="spellEnd"/>
      <w:r w:rsidR="00711DF3">
        <w:t xml:space="preserve"> abbot of a sister abbey in </w:t>
      </w:r>
      <w:proofErr w:type="spellStart"/>
      <w:r w:rsidR="00711DF3">
        <w:t>Clairvoux</w:t>
      </w:r>
      <w:proofErr w:type="spellEnd"/>
      <w:r w:rsidR="00711DF3">
        <w:t xml:space="preserve">, this is important as Bernard was a popular figure in the Cistercian order. </w:t>
      </w:r>
      <w:r w:rsidR="00C812C4">
        <w:t xml:space="preserve">Stephen </w:t>
      </w:r>
      <w:r w:rsidR="00711DF3">
        <w:t>is also a</w:t>
      </w:r>
      <w:r w:rsidR="00C812C4">
        <w:t>n</w:t>
      </w:r>
      <w:r w:rsidR="00711DF3">
        <w:t xml:space="preserve"> important figure seen in the text by the radical changes he made to the order after becoming abbot, as in the previous chapter the author bemoans that </w:t>
      </w:r>
      <w:r w:rsidR="00C812C4">
        <w:t>due to their harsh living people “hasten to avoid them”</w:t>
      </w:r>
      <w:r w:rsidR="00400007">
        <w:rPr>
          <w:rStyle w:val="FootnoteReference"/>
        </w:rPr>
        <w:footnoteReference w:id="5"/>
      </w:r>
      <w:r w:rsidR="00C812C4">
        <w:t xml:space="preserve">. However, in this chapter 17 Stephen instead harshens their conditions even more so they will be able to strictly follow the rule of St Benedict. He does this by </w:t>
      </w:r>
      <w:r w:rsidR="00400007">
        <w:t>changing the expensive materials of objects such as the cross and candelabra from gold and silver to instead wood and iron. This rule change was significant as it was at this time that the order became more popular and the text implies that it was from this rule change.</w:t>
      </w:r>
      <w:r w:rsidR="007656C4">
        <w:t xml:space="preserve"> This is seen in the text as the Rule of St Benedict is emphasised throughout making the impression that they were the only monks who adhered to the Rule while also criticising other houses especially </w:t>
      </w:r>
      <w:proofErr w:type="spellStart"/>
      <w:r w:rsidR="007656C4">
        <w:t>Molesome</w:t>
      </w:r>
      <w:proofErr w:type="spellEnd"/>
      <w:r w:rsidR="007656C4">
        <w:t xml:space="preserve"> which they left to create </w:t>
      </w:r>
      <w:proofErr w:type="spellStart"/>
      <w:r w:rsidR="007656C4">
        <w:t>Citeaux</w:t>
      </w:r>
      <w:proofErr w:type="spellEnd"/>
      <w:r w:rsidR="007656C4">
        <w:t xml:space="preserve">. </w:t>
      </w:r>
    </w:p>
    <w:p w14:paraId="697CBB61" w14:textId="60F6DED5" w:rsidR="0027204C" w:rsidRDefault="00400007" w:rsidP="0027204C">
      <w:r>
        <w:t xml:space="preserve">This chapter is important in the foundation of the abbey as it is set after </w:t>
      </w:r>
      <w:r w:rsidR="00067DA4">
        <w:t xml:space="preserve">chapter 16 where the Order was being faced with the fact that they were in dire </w:t>
      </w:r>
      <w:r w:rsidR="00655429">
        <w:t>straits</w:t>
      </w:r>
      <w:r w:rsidR="00067DA4">
        <w:t xml:space="preserve"> as nobody was coming to the abbey. Therefore, the effect of this chapter is that due to their strict observance to the Rule of St Benedict is that God was on their side and has rewarded their efforts with more visitors.</w:t>
      </w:r>
      <w:r w:rsidR="007B391B">
        <w:t xml:space="preserve"> </w:t>
      </w:r>
      <w:r w:rsidR="007564C6">
        <w:t>Thus,</w:t>
      </w:r>
      <w:r w:rsidR="007B391B">
        <w:t xml:space="preserve"> creating an attractive story as Janet Burton points out that though the previous chapter indicates an Abbey in crisis, historically they must not have been as bad as it is made out because in 1112 a second foundation was made.</w:t>
      </w:r>
      <w:r w:rsidR="007B391B">
        <w:rPr>
          <w:rStyle w:val="FootnoteReference"/>
        </w:rPr>
        <w:footnoteReference w:id="6"/>
      </w:r>
      <w:r w:rsidR="007B391B">
        <w:t xml:space="preserve"> </w:t>
      </w:r>
      <w:r w:rsidR="00FD3BB1">
        <w:t xml:space="preserve">This also provides legitimacy to the order as their success provides evidence that God is on their side and approves of their practicing of the Rule. </w:t>
      </w:r>
      <w:r w:rsidR="0027204C">
        <w:t>The reasons that the piece was written cited by Burton “they had to justify themselves against charges of novelty”</w:t>
      </w:r>
      <w:r w:rsidR="0027204C">
        <w:rPr>
          <w:rStyle w:val="FootnoteReference"/>
        </w:rPr>
        <w:footnoteReference w:id="7"/>
      </w:r>
      <w:r w:rsidR="00155728">
        <w:t xml:space="preserve"> similarly Constance Berman states the criticism came from a letter from Alexander III</w:t>
      </w:r>
      <w:r w:rsidR="00083CFF">
        <w:t xml:space="preserve"> thus adding to the orders need to defend themselves and their beliefs</w:t>
      </w:r>
      <w:r w:rsidR="007656C4">
        <w:t xml:space="preserve"> if one is to believe </w:t>
      </w:r>
      <w:proofErr w:type="spellStart"/>
      <w:r w:rsidR="007656C4">
        <w:t>Hoffmans</w:t>
      </w:r>
      <w:proofErr w:type="spellEnd"/>
      <w:r w:rsidR="007656C4">
        <w:t xml:space="preserve"> dating of 1170 </w:t>
      </w:r>
      <w:r w:rsidR="007656C4">
        <w:lastRenderedPageBreak/>
        <w:t xml:space="preserve">although many </w:t>
      </w:r>
      <w:r w:rsidR="003A5020">
        <w:t>attributes</w:t>
      </w:r>
      <w:r w:rsidR="007656C4">
        <w:t xml:space="preserve"> the finishing of the text around the 1120s</w:t>
      </w:r>
      <w:r w:rsidR="0027204C">
        <w:t>.</w:t>
      </w:r>
      <w:r w:rsidR="00155728">
        <w:rPr>
          <w:rStyle w:val="FootnoteReference"/>
        </w:rPr>
        <w:footnoteReference w:id="8"/>
      </w:r>
      <w:r w:rsidR="0027204C">
        <w:t xml:space="preserve"> </w:t>
      </w:r>
      <w:r w:rsidR="00605E67">
        <w:t xml:space="preserve">Furthermore, </w:t>
      </w:r>
      <w:r w:rsidR="003A5020" w:rsidRPr="003A5020">
        <w:t xml:space="preserve">L. B. </w:t>
      </w:r>
      <w:proofErr w:type="spellStart"/>
      <w:r w:rsidR="003A5020" w:rsidRPr="003A5020">
        <w:t>Lekai</w:t>
      </w:r>
      <w:proofErr w:type="spellEnd"/>
      <w:r w:rsidR="003A5020">
        <w:t>, describes the reason for the text being written, “</w:t>
      </w:r>
      <w:r w:rsidR="003A5020" w:rsidRPr="003A5020">
        <w:t>to establish the movement on an indisputably legal foundation and to defend the Cistercians against charges of novelty</w:t>
      </w:r>
      <w:r w:rsidR="003A5020">
        <w:t>”</w:t>
      </w:r>
      <w:r w:rsidR="003A5020">
        <w:rPr>
          <w:rStyle w:val="FootnoteReference"/>
        </w:rPr>
        <w:footnoteReference w:id="9"/>
      </w:r>
      <w:r w:rsidR="003A5020">
        <w:t xml:space="preserve"> providing further support to Burton</w:t>
      </w:r>
      <w:r w:rsidR="00571EF2">
        <w:t>’</w:t>
      </w:r>
      <w:r w:rsidR="003A5020">
        <w:t>s conclusions. Therefore, presenting the reason for the text being written was to defend the order itself and provide a history of the Order. It also explains the legality of the text as previous chapters contain letters</w:t>
      </w:r>
      <w:r w:rsidR="00D71CD5">
        <w:t xml:space="preserve"> and, “</w:t>
      </w:r>
      <w:r w:rsidR="00D85989">
        <w:t xml:space="preserve">regularise the foundation of </w:t>
      </w:r>
      <w:proofErr w:type="spellStart"/>
      <w:r w:rsidR="00D85989">
        <w:t>Citeaux</w:t>
      </w:r>
      <w:proofErr w:type="spellEnd"/>
      <w:r w:rsidR="00D85989">
        <w:t xml:space="preserve"> into a typical twelfth-century religious foundation”</w:t>
      </w:r>
      <w:r w:rsidR="00D85989">
        <w:rPr>
          <w:rStyle w:val="FootnoteReference"/>
        </w:rPr>
        <w:footnoteReference w:id="10"/>
      </w:r>
      <w:r w:rsidR="003A5020">
        <w:t xml:space="preserve">. </w:t>
      </w:r>
    </w:p>
    <w:p w14:paraId="712D699A" w14:textId="77777777" w:rsidR="00D85989" w:rsidRPr="00D85989" w:rsidRDefault="00D85989" w:rsidP="0027204C">
      <w:r>
        <w:t xml:space="preserve">In conclusion, this section of the </w:t>
      </w:r>
      <w:r w:rsidRPr="00D85989">
        <w:rPr>
          <w:i/>
        </w:rPr>
        <w:t>Exordium Parvum</w:t>
      </w:r>
      <w:r>
        <w:rPr>
          <w:i/>
        </w:rPr>
        <w:t xml:space="preserve"> </w:t>
      </w:r>
      <w:r w:rsidR="00FB7707">
        <w:t xml:space="preserve">is used to provide a sense of legitimacy to the order and refute the criticisms that they faced. Therefore, it exemplifies that their practice of the Rule of St Benedict is the preferred of God, which is why they have been blessed as an order and thrived. It also provides information on the leadership of Stephen Harding and is complimentary of his teaching as with Bernard of </w:t>
      </w:r>
      <w:proofErr w:type="spellStart"/>
      <w:r w:rsidR="00FB7707">
        <w:t>Clairvoux</w:t>
      </w:r>
      <w:proofErr w:type="spellEnd"/>
      <w:r w:rsidR="00FB7707">
        <w:t xml:space="preserve"> was a significance influence on the Order itself.   </w:t>
      </w:r>
    </w:p>
    <w:p w14:paraId="0B4CA440" w14:textId="79CF7C39" w:rsidR="00F963C5" w:rsidRDefault="00F963C5"/>
    <w:p w14:paraId="27DD97A9" w14:textId="7B0FF918" w:rsidR="00655429" w:rsidRDefault="00655429"/>
    <w:p w14:paraId="2ED41198" w14:textId="39ED72FC" w:rsidR="00655429" w:rsidRPr="00655429" w:rsidRDefault="00655429">
      <w:pPr>
        <w:rPr>
          <w:b/>
        </w:rPr>
      </w:pPr>
      <w:r w:rsidRPr="00655429">
        <w:rPr>
          <w:b/>
        </w:rPr>
        <w:t xml:space="preserve">Bibliography: </w:t>
      </w:r>
    </w:p>
    <w:p w14:paraId="656102D0" w14:textId="732A8831" w:rsidR="00655429" w:rsidRPr="00655429" w:rsidRDefault="00655429">
      <w:pPr>
        <w:rPr>
          <w:b/>
        </w:rPr>
      </w:pPr>
      <w:r w:rsidRPr="00655429">
        <w:rPr>
          <w:b/>
        </w:rPr>
        <w:t>Primary Sources:</w:t>
      </w:r>
    </w:p>
    <w:p w14:paraId="41B7AC5F" w14:textId="1D3C4D48" w:rsidR="00655429" w:rsidRPr="00655429" w:rsidRDefault="00655429">
      <w:pPr>
        <w:rPr>
          <w:i/>
        </w:rPr>
      </w:pPr>
      <w:r w:rsidRPr="00655429">
        <w:rPr>
          <w:i/>
        </w:rPr>
        <w:t>Exordium Parvum</w:t>
      </w:r>
      <w:r>
        <w:rPr>
          <w:i/>
        </w:rPr>
        <w:t>.</w:t>
      </w:r>
    </w:p>
    <w:p w14:paraId="5CB30288" w14:textId="2D6D83AC" w:rsidR="00655429" w:rsidRDefault="00655429">
      <w:pPr>
        <w:rPr>
          <w:b/>
        </w:rPr>
      </w:pPr>
      <w:r w:rsidRPr="00655429">
        <w:rPr>
          <w:b/>
        </w:rPr>
        <w:t>Secondary Sources:</w:t>
      </w:r>
    </w:p>
    <w:p w14:paraId="5D612005" w14:textId="7849FB5F" w:rsidR="00655429" w:rsidRDefault="00655429">
      <w:r w:rsidRPr="00655429">
        <w:t>Burton</w:t>
      </w:r>
      <w:r>
        <w:t>,</w:t>
      </w:r>
      <w:r w:rsidRPr="00655429">
        <w:t xml:space="preserve"> Janet, </w:t>
      </w:r>
      <w:r w:rsidRPr="00655429">
        <w:rPr>
          <w:i/>
        </w:rPr>
        <w:t>Medieval Monasticism</w:t>
      </w:r>
      <w:r w:rsidRPr="00655429">
        <w:t xml:space="preserve">, (Oxford: </w:t>
      </w:r>
      <w:proofErr w:type="spellStart"/>
      <w:r w:rsidRPr="00655429">
        <w:t>Headstart</w:t>
      </w:r>
      <w:proofErr w:type="spellEnd"/>
      <w:r w:rsidRPr="00655429">
        <w:t xml:space="preserve"> History, 1996)</w:t>
      </w:r>
      <w:r>
        <w:t>.</w:t>
      </w:r>
    </w:p>
    <w:p w14:paraId="493D5383" w14:textId="24818845" w:rsidR="00655429" w:rsidRPr="00655429" w:rsidRDefault="00655429">
      <w:r w:rsidRPr="00655429">
        <w:t>Berman</w:t>
      </w:r>
      <w:r w:rsidRPr="00655429">
        <w:t xml:space="preserve"> </w:t>
      </w:r>
      <w:r w:rsidRPr="00655429">
        <w:t>Hoffman</w:t>
      </w:r>
      <w:r>
        <w:t>,</w:t>
      </w:r>
      <w:r w:rsidRPr="00655429">
        <w:t xml:space="preserve"> Constance, The Cistercian Evolution, (Philadelphia: University of Pennsylvania Press, 2000)</w:t>
      </w:r>
      <w:r>
        <w:t>.</w:t>
      </w:r>
    </w:p>
    <w:p w14:paraId="32DE825F" w14:textId="6EFB73B7" w:rsidR="00655429" w:rsidRDefault="00655429">
      <w:r w:rsidRPr="00655429">
        <w:t xml:space="preserve">W. E. Goodrich, “The Cistercian Founders and the Rule: Some Reconsiderations.” </w:t>
      </w:r>
      <w:r w:rsidRPr="00655429">
        <w:rPr>
          <w:i/>
        </w:rPr>
        <w:t>The Journal of Ecclesiastical History</w:t>
      </w:r>
      <w:r w:rsidRPr="00655429">
        <w:t>, 35:3, (1984)</w:t>
      </w:r>
      <w:r>
        <w:t xml:space="preserve">. </w:t>
      </w:r>
      <w:r w:rsidR="00BF7706">
        <w:t xml:space="preserve">    </w:t>
      </w:r>
    </w:p>
    <w:p w14:paraId="3F931437" w14:textId="2FF1257B" w:rsidR="00DF4EBE" w:rsidRDefault="00DF4EBE">
      <w:r w:rsidRPr="00DF4EBE">
        <w:t xml:space="preserve">David N Bell, “From </w:t>
      </w:r>
      <w:proofErr w:type="spellStart"/>
      <w:r w:rsidRPr="00DF4EBE">
        <w:t>Molesme</w:t>
      </w:r>
      <w:proofErr w:type="spellEnd"/>
      <w:r w:rsidRPr="00DF4EBE">
        <w:t xml:space="preserve"> to </w:t>
      </w:r>
      <w:proofErr w:type="spellStart"/>
      <w:r w:rsidRPr="00DF4EBE">
        <w:t>Citeaux</w:t>
      </w:r>
      <w:proofErr w:type="spellEnd"/>
      <w:r w:rsidRPr="00DF4EBE">
        <w:t>: The earliest "</w:t>
      </w:r>
      <w:proofErr w:type="spellStart"/>
      <w:r w:rsidRPr="00DF4EBE">
        <w:t>cistercian</w:t>
      </w:r>
      <w:proofErr w:type="spellEnd"/>
      <w:r w:rsidRPr="00DF4EBE">
        <w:t xml:space="preserve">" "spirituality"”, </w:t>
      </w:r>
      <w:r w:rsidRPr="00DF4EBE">
        <w:rPr>
          <w:i/>
        </w:rPr>
        <w:t>Cistercian Studies Quarterly</w:t>
      </w:r>
      <w:r w:rsidRPr="00DF4EBE">
        <w:t>, 34:4, (1999).</w:t>
      </w:r>
      <w:bookmarkStart w:id="1" w:name="_GoBack"/>
      <w:bookmarkEnd w:id="1"/>
    </w:p>
    <w:p w14:paraId="34A782C4" w14:textId="77777777" w:rsidR="00BF7706" w:rsidRDefault="00BF7706"/>
    <w:sectPr w:rsidR="00BF770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5DE1CD" w14:textId="77777777" w:rsidR="00C96589" w:rsidRDefault="00C96589" w:rsidP="00BE3A81">
      <w:pPr>
        <w:spacing w:after="0" w:line="240" w:lineRule="auto"/>
      </w:pPr>
      <w:r>
        <w:separator/>
      </w:r>
    </w:p>
  </w:endnote>
  <w:endnote w:type="continuationSeparator" w:id="0">
    <w:p w14:paraId="734E9784" w14:textId="77777777" w:rsidR="00C96589" w:rsidRDefault="00C96589" w:rsidP="00BE3A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C66B4C" w14:textId="77777777" w:rsidR="00C96589" w:rsidRDefault="00C96589" w:rsidP="00BE3A81">
      <w:pPr>
        <w:spacing w:after="0" w:line="240" w:lineRule="auto"/>
      </w:pPr>
      <w:r>
        <w:separator/>
      </w:r>
    </w:p>
  </w:footnote>
  <w:footnote w:type="continuationSeparator" w:id="0">
    <w:p w14:paraId="711AFD28" w14:textId="77777777" w:rsidR="00C96589" w:rsidRDefault="00C96589" w:rsidP="00BE3A81">
      <w:pPr>
        <w:spacing w:after="0" w:line="240" w:lineRule="auto"/>
      </w:pPr>
      <w:r>
        <w:continuationSeparator/>
      </w:r>
    </w:p>
  </w:footnote>
  <w:footnote w:id="1">
    <w:p w14:paraId="37CFB6BE" w14:textId="77777777" w:rsidR="00013F28" w:rsidRPr="00013F28" w:rsidRDefault="00013F28">
      <w:pPr>
        <w:pStyle w:val="FootnoteText"/>
      </w:pPr>
      <w:r>
        <w:rPr>
          <w:rStyle w:val="FootnoteReference"/>
        </w:rPr>
        <w:footnoteRef/>
      </w:r>
      <w:r>
        <w:t xml:space="preserve"> Janet Burton, </w:t>
      </w:r>
      <w:r w:rsidRPr="00013F28">
        <w:rPr>
          <w:i/>
        </w:rPr>
        <w:t>Medieval Monasticism</w:t>
      </w:r>
      <w:r>
        <w:rPr>
          <w:i/>
        </w:rPr>
        <w:t xml:space="preserve">, </w:t>
      </w:r>
      <w:r>
        <w:t xml:space="preserve">(Oxford: </w:t>
      </w:r>
      <w:proofErr w:type="spellStart"/>
      <w:r>
        <w:t>Headstart</w:t>
      </w:r>
      <w:proofErr w:type="spellEnd"/>
      <w:r>
        <w:t xml:space="preserve"> History</w:t>
      </w:r>
      <w:r w:rsidR="00F963C5">
        <w:t>, 1996), p.36.</w:t>
      </w:r>
    </w:p>
  </w:footnote>
  <w:footnote w:id="2">
    <w:p w14:paraId="6037F8A2" w14:textId="5B14CCB3" w:rsidR="00DF4EBE" w:rsidRPr="00DF4EBE" w:rsidRDefault="00DF4EBE">
      <w:pPr>
        <w:pStyle w:val="FootnoteText"/>
      </w:pPr>
      <w:r>
        <w:rPr>
          <w:rStyle w:val="FootnoteReference"/>
        </w:rPr>
        <w:footnoteRef/>
      </w:r>
      <w:r>
        <w:t xml:space="preserve"> </w:t>
      </w:r>
      <w:bookmarkStart w:id="0" w:name="_Hlk32784520"/>
      <w:r w:rsidRPr="00DF4EBE">
        <w:t>David N</w:t>
      </w:r>
      <w:r w:rsidRPr="00DF4EBE">
        <w:t xml:space="preserve"> Bell</w:t>
      </w:r>
      <w:r>
        <w:t>, “</w:t>
      </w:r>
      <w:r w:rsidRPr="00DF4EBE">
        <w:t xml:space="preserve">From </w:t>
      </w:r>
      <w:proofErr w:type="spellStart"/>
      <w:r w:rsidRPr="00DF4EBE">
        <w:t>Molesme</w:t>
      </w:r>
      <w:proofErr w:type="spellEnd"/>
      <w:r w:rsidRPr="00DF4EBE">
        <w:t xml:space="preserve"> to </w:t>
      </w:r>
      <w:proofErr w:type="spellStart"/>
      <w:r w:rsidRPr="00DF4EBE">
        <w:t>Citeaux</w:t>
      </w:r>
      <w:proofErr w:type="spellEnd"/>
      <w:r w:rsidRPr="00DF4EBE">
        <w:t>: The earliest "</w:t>
      </w:r>
      <w:proofErr w:type="spellStart"/>
      <w:r w:rsidRPr="00DF4EBE">
        <w:t>cistercian</w:t>
      </w:r>
      <w:proofErr w:type="spellEnd"/>
      <w:r w:rsidRPr="00DF4EBE">
        <w:t>" "spirituality"</w:t>
      </w:r>
      <w:r>
        <w:t xml:space="preserve">”, </w:t>
      </w:r>
      <w:r w:rsidRPr="00DF4EBE">
        <w:rPr>
          <w:i/>
        </w:rPr>
        <w:t>Cistercian Studies Quarterly</w:t>
      </w:r>
      <w:r>
        <w:rPr>
          <w:i/>
        </w:rPr>
        <w:t xml:space="preserve">, </w:t>
      </w:r>
      <w:r>
        <w:t>34:4, (1999).</w:t>
      </w:r>
      <w:bookmarkEnd w:id="0"/>
    </w:p>
  </w:footnote>
  <w:footnote w:id="3">
    <w:p w14:paraId="36A27955" w14:textId="77777777" w:rsidR="00400007" w:rsidRDefault="00400007">
      <w:pPr>
        <w:pStyle w:val="FootnoteText"/>
      </w:pPr>
      <w:r>
        <w:rPr>
          <w:rStyle w:val="FootnoteReference"/>
        </w:rPr>
        <w:footnoteRef/>
      </w:r>
      <w:r>
        <w:t xml:space="preserve"> </w:t>
      </w:r>
      <w:r w:rsidR="007564C6" w:rsidRPr="007564C6">
        <w:rPr>
          <w:i/>
        </w:rPr>
        <w:t>Exordium Parvum</w:t>
      </w:r>
      <w:r w:rsidR="007564C6" w:rsidRPr="007564C6">
        <w:t>, p.8.</w:t>
      </w:r>
    </w:p>
  </w:footnote>
  <w:footnote w:id="4">
    <w:p w14:paraId="12157159" w14:textId="77777777" w:rsidR="00BE3A81" w:rsidRDefault="00BE3A81">
      <w:pPr>
        <w:pStyle w:val="FootnoteText"/>
      </w:pPr>
      <w:r>
        <w:rPr>
          <w:rStyle w:val="FootnoteReference"/>
        </w:rPr>
        <w:footnoteRef/>
      </w:r>
      <w:r>
        <w:t xml:space="preserve"> </w:t>
      </w:r>
      <w:r w:rsidR="007564C6">
        <w:rPr>
          <w:i/>
        </w:rPr>
        <w:t xml:space="preserve">Ibid. </w:t>
      </w:r>
    </w:p>
  </w:footnote>
  <w:footnote w:id="5">
    <w:p w14:paraId="5BAA1109" w14:textId="77777777" w:rsidR="00400007" w:rsidRDefault="00400007">
      <w:pPr>
        <w:pStyle w:val="FootnoteText"/>
      </w:pPr>
      <w:r>
        <w:rPr>
          <w:rStyle w:val="FootnoteReference"/>
        </w:rPr>
        <w:footnoteRef/>
      </w:r>
      <w:r>
        <w:t xml:space="preserve"> </w:t>
      </w:r>
      <w:r w:rsidR="007564C6">
        <w:rPr>
          <w:i/>
        </w:rPr>
        <w:t>Ibid.</w:t>
      </w:r>
    </w:p>
  </w:footnote>
  <w:footnote w:id="6">
    <w:p w14:paraId="265C7ED5" w14:textId="77777777" w:rsidR="007B391B" w:rsidRPr="007B391B" w:rsidRDefault="007B391B">
      <w:pPr>
        <w:pStyle w:val="FootnoteText"/>
      </w:pPr>
      <w:r>
        <w:rPr>
          <w:rStyle w:val="FootnoteReference"/>
        </w:rPr>
        <w:footnoteRef/>
      </w:r>
      <w:r>
        <w:t xml:space="preserve"> </w:t>
      </w:r>
      <w:r w:rsidRPr="007B391B">
        <w:t xml:space="preserve">Burton, </w:t>
      </w:r>
      <w:r w:rsidRPr="007B391B">
        <w:rPr>
          <w:i/>
        </w:rPr>
        <w:t>Monasticism</w:t>
      </w:r>
      <w:r>
        <w:rPr>
          <w:i/>
        </w:rPr>
        <w:t xml:space="preserve">, </w:t>
      </w:r>
      <w:r>
        <w:t>p.38.</w:t>
      </w:r>
    </w:p>
  </w:footnote>
  <w:footnote w:id="7">
    <w:p w14:paraId="457A6ED2" w14:textId="77777777" w:rsidR="0027204C" w:rsidRPr="007B391B" w:rsidRDefault="0027204C" w:rsidP="0027204C">
      <w:pPr>
        <w:pStyle w:val="FootnoteText"/>
      </w:pPr>
      <w:r>
        <w:rPr>
          <w:rStyle w:val="FootnoteReference"/>
        </w:rPr>
        <w:footnoteRef/>
      </w:r>
      <w:r>
        <w:t xml:space="preserve"> </w:t>
      </w:r>
      <w:r w:rsidR="007B391B">
        <w:rPr>
          <w:i/>
        </w:rPr>
        <w:t xml:space="preserve">Ibid. </w:t>
      </w:r>
    </w:p>
  </w:footnote>
  <w:footnote w:id="8">
    <w:p w14:paraId="04FA4609" w14:textId="77777777" w:rsidR="00155728" w:rsidRDefault="00155728">
      <w:pPr>
        <w:pStyle w:val="FootnoteText"/>
      </w:pPr>
      <w:r>
        <w:rPr>
          <w:rStyle w:val="FootnoteReference"/>
        </w:rPr>
        <w:footnoteRef/>
      </w:r>
      <w:r>
        <w:t xml:space="preserve"> </w:t>
      </w:r>
      <w:r w:rsidR="007B391B">
        <w:t xml:space="preserve"> Constance Hoffman Berman, </w:t>
      </w:r>
      <w:r w:rsidR="007B391B">
        <w:rPr>
          <w:i/>
        </w:rPr>
        <w:t xml:space="preserve">The Cistercian Evolution, </w:t>
      </w:r>
      <w:r w:rsidR="007B391B">
        <w:t>(Philade</w:t>
      </w:r>
      <w:r w:rsidR="007564C6">
        <w:t xml:space="preserve">lphia: University of Pennsylvania Press, 2000) </w:t>
      </w:r>
      <w:r w:rsidR="007B391B">
        <w:t>p</w:t>
      </w:r>
      <w:r>
        <w:t>.10</w:t>
      </w:r>
      <w:r w:rsidR="007564C6">
        <w:t xml:space="preserve">. </w:t>
      </w:r>
    </w:p>
  </w:footnote>
  <w:footnote w:id="9">
    <w:p w14:paraId="105D6F49" w14:textId="2EA83107" w:rsidR="003A5020" w:rsidRDefault="003A5020">
      <w:pPr>
        <w:pStyle w:val="FootnoteText"/>
      </w:pPr>
      <w:r>
        <w:rPr>
          <w:rStyle w:val="FootnoteReference"/>
        </w:rPr>
        <w:footnoteRef/>
      </w:r>
      <w:r>
        <w:t xml:space="preserve"> </w:t>
      </w:r>
      <w:r w:rsidR="00655429" w:rsidRPr="003A5020">
        <w:t xml:space="preserve">W. E. </w:t>
      </w:r>
      <w:r w:rsidRPr="003A5020">
        <w:t xml:space="preserve">Goodrich, “The Cistercian Founders and the Rule: Some Reconsiderations.” </w:t>
      </w:r>
      <w:r w:rsidRPr="003A5020">
        <w:rPr>
          <w:i/>
        </w:rPr>
        <w:t>The Journal of Ecclesiastical History</w:t>
      </w:r>
      <w:r w:rsidRPr="003A5020">
        <w:t xml:space="preserve">, </w:t>
      </w:r>
      <w:r>
        <w:t>35:3</w:t>
      </w:r>
      <w:r w:rsidRPr="003A5020">
        <w:t xml:space="preserve">, </w:t>
      </w:r>
      <w:r>
        <w:t>(</w:t>
      </w:r>
      <w:r w:rsidRPr="003A5020">
        <w:t>1984</w:t>
      </w:r>
      <w:r>
        <w:t>)</w:t>
      </w:r>
      <w:r w:rsidRPr="003A5020">
        <w:t>, p. 358–375</w:t>
      </w:r>
      <w:r>
        <w:t xml:space="preserve">. </w:t>
      </w:r>
    </w:p>
  </w:footnote>
  <w:footnote w:id="10">
    <w:p w14:paraId="6B82F6D8" w14:textId="77777777" w:rsidR="00D85989" w:rsidRPr="00D85989" w:rsidRDefault="00D85989">
      <w:pPr>
        <w:pStyle w:val="FootnoteText"/>
      </w:pPr>
      <w:r>
        <w:rPr>
          <w:rStyle w:val="FootnoteReference"/>
        </w:rPr>
        <w:footnoteRef/>
      </w:r>
      <w:r>
        <w:t xml:space="preserve"> Berman, </w:t>
      </w:r>
      <w:r>
        <w:rPr>
          <w:i/>
        </w:rPr>
        <w:t xml:space="preserve">Evolution, </w:t>
      </w:r>
      <w:r>
        <w:t xml:space="preserve">p.94.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M0MzEwMDU1tjC0NDBR0lEKTi0uzszPAykwrAUAnoue/ywAAAA="/>
  </w:docVars>
  <w:rsids>
    <w:rsidRoot w:val="0050478E"/>
    <w:rsid w:val="00013F28"/>
    <w:rsid w:val="000259B7"/>
    <w:rsid w:val="00067DA4"/>
    <w:rsid w:val="00083CFF"/>
    <w:rsid w:val="00155728"/>
    <w:rsid w:val="00175B13"/>
    <w:rsid w:val="001B383C"/>
    <w:rsid w:val="0027204C"/>
    <w:rsid w:val="003A5020"/>
    <w:rsid w:val="00400007"/>
    <w:rsid w:val="0050478E"/>
    <w:rsid w:val="00571EF2"/>
    <w:rsid w:val="00605E67"/>
    <w:rsid w:val="00655429"/>
    <w:rsid w:val="00711DF3"/>
    <w:rsid w:val="00730982"/>
    <w:rsid w:val="007564C6"/>
    <w:rsid w:val="007656C4"/>
    <w:rsid w:val="007B391B"/>
    <w:rsid w:val="00807D7D"/>
    <w:rsid w:val="008B24C9"/>
    <w:rsid w:val="00945246"/>
    <w:rsid w:val="00BE3A81"/>
    <w:rsid w:val="00BF7706"/>
    <w:rsid w:val="00C812C4"/>
    <w:rsid w:val="00C96589"/>
    <w:rsid w:val="00D71CD5"/>
    <w:rsid w:val="00D85989"/>
    <w:rsid w:val="00DF4EBE"/>
    <w:rsid w:val="00EB25D5"/>
    <w:rsid w:val="00F963C5"/>
    <w:rsid w:val="00FB7707"/>
    <w:rsid w:val="00FD3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47A62D"/>
  <w15:chartTrackingRefBased/>
  <w15:docId w15:val="{6DE769B1-91DF-4D47-921C-E28783954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E3A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E3A81"/>
    <w:rPr>
      <w:sz w:val="20"/>
      <w:szCs w:val="20"/>
    </w:rPr>
  </w:style>
  <w:style w:type="character" w:styleId="FootnoteReference">
    <w:name w:val="footnote reference"/>
    <w:basedOn w:val="DefaultParagraphFont"/>
    <w:uiPriority w:val="99"/>
    <w:semiHidden/>
    <w:unhideWhenUsed/>
    <w:rsid w:val="00BE3A8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7B2C46D3-3963-44CA-A9B6-289008EAA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919</Words>
  <Characters>4620</Characters>
  <Application>Microsoft Office Word</Application>
  <DocSecurity>0</DocSecurity>
  <Lines>38</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Beynon (1701550)</dc:creator>
  <cp:keywords/>
  <dc:description/>
  <cp:lastModifiedBy>Gemma Beynon (1701550)</cp:lastModifiedBy>
  <cp:revision>3</cp:revision>
  <dcterms:created xsi:type="dcterms:W3CDTF">2020-02-16T22:32:00Z</dcterms:created>
  <dcterms:modified xsi:type="dcterms:W3CDTF">2020-02-16T22:32:00Z</dcterms:modified>
</cp:coreProperties>
</file>