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F54A3F" w14:textId="7F23FD8E" w:rsidR="00D12589" w:rsidRDefault="00CF4594" w:rsidP="00CF4594">
      <w:pPr>
        <w:tabs>
          <w:tab w:val="left" w:pos="1260"/>
        </w:tabs>
        <w:jc w:val="center"/>
        <w:rPr>
          <w:u w:val="single"/>
        </w:rPr>
      </w:pPr>
      <w:r>
        <w:rPr>
          <w:u w:val="single"/>
        </w:rPr>
        <w:t>Pre-Roman Celtic God.</w:t>
      </w:r>
    </w:p>
    <w:p w14:paraId="22C3397B" w14:textId="3680F821" w:rsidR="00CF4594" w:rsidRDefault="00CF4594" w:rsidP="00CF4594">
      <w:pPr>
        <w:tabs>
          <w:tab w:val="left" w:pos="1260"/>
        </w:tabs>
        <w:rPr>
          <w:u w:val="single"/>
        </w:rPr>
      </w:pPr>
    </w:p>
    <w:p w14:paraId="7E339AEE" w14:textId="1C49C769" w:rsidR="00BB0C19" w:rsidRPr="0082441C" w:rsidRDefault="00C362FA" w:rsidP="00E823EF">
      <w:pPr>
        <w:tabs>
          <w:tab w:val="left" w:pos="1260"/>
        </w:tabs>
        <w:rPr>
          <w:rFonts w:cs="TimesNewRomanPSMT"/>
          <w:szCs w:val="24"/>
        </w:rPr>
      </w:pPr>
      <w:bookmarkStart w:id="0" w:name="_GoBack"/>
      <w:r>
        <w:t>In t</w:t>
      </w:r>
      <w:r w:rsidR="000A2154">
        <w:t>his essay</w:t>
      </w:r>
      <w:r w:rsidR="00674FA7">
        <w:t xml:space="preserve"> </w:t>
      </w:r>
      <w:r w:rsidR="000A2154">
        <w:t xml:space="preserve">the pre – Roman Celtic </w:t>
      </w:r>
      <w:r w:rsidR="00322006">
        <w:t>God</w:t>
      </w:r>
      <w:r w:rsidR="00CF69F8">
        <w:t xml:space="preserve"> </w:t>
      </w:r>
      <w:proofErr w:type="spellStart"/>
      <w:r w:rsidR="00CF69F8">
        <w:t>Moccus</w:t>
      </w:r>
      <w:proofErr w:type="spellEnd"/>
      <w:r w:rsidR="00500B39">
        <w:t xml:space="preserve"> will be discussed in detail, with reference to modern scholarship and ancient</w:t>
      </w:r>
      <w:r w:rsidR="004F4523">
        <w:t>,</w:t>
      </w:r>
      <w:r w:rsidR="00500B39">
        <w:t xml:space="preserve"> </w:t>
      </w:r>
      <w:r w:rsidR="007E059E">
        <w:t xml:space="preserve">archaeological, </w:t>
      </w:r>
      <w:r w:rsidR="005129B8">
        <w:t xml:space="preserve">and numismatic </w:t>
      </w:r>
      <w:r w:rsidR="004F4523">
        <w:t>evidence</w:t>
      </w:r>
      <w:r w:rsidR="00B745F5">
        <w:t xml:space="preserve">; it will also include a brief reference to </w:t>
      </w:r>
      <w:r w:rsidR="00B25EA4">
        <w:t>the</w:t>
      </w:r>
      <w:r w:rsidR="00B745F5">
        <w:t xml:space="preserve"> goddess</w:t>
      </w:r>
      <w:r w:rsidR="00293F32">
        <w:t xml:space="preserve"> </w:t>
      </w:r>
      <w:proofErr w:type="spellStart"/>
      <w:r w:rsidR="00293F32">
        <w:t>Arduinna</w:t>
      </w:r>
      <w:proofErr w:type="spellEnd"/>
      <w:r w:rsidR="00B745F5">
        <w:t xml:space="preserve"> as well</w:t>
      </w:r>
      <w:r w:rsidR="004F4523">
        <w:t xml:space="preserve">. </w:t>
      </w:r>
      <w:proofErr w:type="spellStart"/>
      <w:r w:rsidR="004F4523">
        <w:t>Moccus</w:t>
      </w:r>
      <w:proofErr w:type="spellEnd"/>
      <w:r w:rsidR="00030FE4">
        <w:t xml:space="preserve"> who </w:t>
      </w:r>
      <w:proofErr w:type="gramStart"/>
      <w:r w:rsidR="00030FE4">
        <w:t xml:space="preserve">is </w:t>
      </w:r>
      <w:r w:rsidR="00215DAB">
        <w:t>considered to be</w:t>
      </w:r>
      <w:proofErr w:type="gramEnd"/>
      <w:r w:rsidR="00215DAB">
        <w:t xml:space="preserve"> a boar</w:t>
      </w:r>
      <w:r w:rsidR="007872BE">
        <w:t xml:space="preserve"> or a </w:t>
      </w:r>
      <w:r w:rsidR="009448CE">
        <w:t>swine</w:t>
      </w:r>
      <w:r w:rsidR="00215DAB">
        <w:t xml:space="preserve"> </w:t>
      </w:r>
      <w:r w:rsidR="007872BE">
        <w:t xml:space="preserve">(pig) </w:t>
      </w:r>
      <w:r w:rsidR="00215DAB">
        <w:t>God,</w:t>
      </w:r>
      <w:r w:rsidR="004C17AE">
        <w:t xml:space="preserve"> </w:t>
      </w:r>
      <w:r w:rsidR="00EA0F38">
        <w:t xml:space="preserve">is </w:t>
      </w:r>
      <w:r w:rsidR="004C17AE">
        <w:t xml:space="preserve">first mentioned after the </w:t>
      </w:r>
      <w:r w:rsidR="00030FE4">
        <w:t>Roman invasion of Gaul</w:t>
      </w:r>
      <w:r w:rsidR="00745CC7">
        <w:t>;</w:t>
      </w:r>
      <w:r w:rsidR="00CA3FD2">
        <w:t xml:space="preserve"> </w:t>
      </w:r>
      <w:r w:rsidR="008E6AAE">
        <w:t xml:space="preserve">so </w:t>
      </w:r>
      <w:r w:rsidR="00293F32">
        <w:t>unfortunately,</w:t>
      </w:r>
      <w:r w:rsidR="008E6AAE">
        <w:t xml:space="preserve"> as we have no name before this we will be </w:t>
      </w:r>
      <w:r w:rsidR="005129B8">
        <w:t xml:space="preserve">using </w:t>
      </w:r>
      <w:r w:rsidR="00542099">
        <w:t>numismatic evidence</w:t>
      </w:r>
      <w:r w:rsidR="0099341C">
        <w:t xml:space="preserve"> and archaeological evidence</w:t>
      </w:r>
      <w:r w:rsidR="00A953DD">
        <w:t>, suc</w:t>
      </w:r>
      <w:r w:rsidR="009C7DB5">
        <w:t xml:space="preserve">h as the </w:t>
      </w:r>
      <w:proofErr w:type="spellStart"/>
      <w:r w:rsidR="009C7DB5" w:rsidRPr="009C7DB5">
        <w:t>gundestrup</w:t>
      </w:r>
      <w:proofErr w:type="spellEnd"/>
      <w:r w:rsidR="009C7DB5" w:rsidRPr="009C7DB5">
        <w:t xml:space="preserve"> cauldron</w:t>
      </w:r>
      <w:r w:rsidR="001C0F2D">
        <w:rPr>
          <w:szCs w:val="24"/>
          <w:shd w:val="clear" w:color="auto" w:fill="FFFFFF"/>
        </w:rPr>
        <w:t>. The boar is thought to be a pan Celtic symbol</w:t>
      </w:r>
      <w:r w:rsidR="00D52963">
        <w:rPr>
          <w:szCs w:val="24"/>
          <w:shd w:val="clear" w:color="auto" w:fill="FFFFFF"/>
        </w:rPr>
        <w:t xml:space="preserve">, </w:t>
      </w:r>
      <w:r w:rsidR="004C7C7D">
        <w:rPr>
          <w:szCs w:val="24"/>
          <w:shd w:val="clear" w:color="auto" w:fill="FFFFFF"/>
        </w:rPr>
        <w:t xml:space="preserve">meaning that </w:t>
      </w:r>
      <w:r w:rsidR="00081377">
        <w:rPr>
          <w:szCs w:val="24"/>
          <w:shd w:val="clear" w:color="auto" w:fill="FFFFFF"/>
        </w:rPr>
        <w:t xml:space="preserve">it </w:t>
      </w:r>
      <w:r w:rsidR="004C7C7D">
        <w:rPr>
          <w:szCs w:val="24"/>
          <w:shd w:val="clear" w:color="auto" w:fill="FFFFFF"/>
        </w:rPr>
        <w:t xml:space="preserve">was known </w:t>
      </w:r>
      <w:r w:rsidR="005C0649">
        <w:rPr>
          <w:szCs w:val="24"/>
          <w:shd w:val="clear" w:color="auto" w:fill="FFFFFF"/>
        </w:rPr>
        <w:t>to most Celts</w:t>
      </w:r>
      <w:r w:rsidR="000807D8">
        <w:rPr>
          <w:szCs w:val="24"/>
          <w:shd w:val="clear" w:color="auto" w:fill="FFFFFF"/>
        </w:rPr>
        <w:t xml:space="preserve"> both literate and illiterate</w:t>
      </w:r>
      <w:r w:rsidR="005C0649">
        <w:rPr>
          <w:szCs w:val="24"/>
          <w:shd w:val="clear" w:color="auto" w:fill="FFFFFF"/>
        </w:rPr>
        <w:t>.</w:t>
      </w:r>
      <w:r w:rsidR="00BB0C19">
        <w:rPr>
          <w:szCs w:val="24"/>
          <w:shd w:val="clear" w:color="auto" w:fill="FFFFFF"/>
        </w:rPr>
        <w:t xml:space="preserve"> </w:t>
      </w:r>
      <w:r w:rsidR="0082441C">
        <w:rPr>
          <w:szCs w:val="24"/>
          <w:shd w:val="clear" w:color="auto" w:fill="FFFFFF"/>
        </w:rPr>
        <w:t>“</w:t>
      </w:r>
      <w:r w:rsidR="0082441C" w:rsidRPr="0082441C">
        <w:rPr>
          <w:rFonts w:cs="TimesNewRomanPSMT"/>
          <w:szCs w:val="24"/>
        </w:rPr>
        <w:t>Certain of the divine names of the historic period, like</w:t>
      </w:r>
      <w:r w:rsidR="0082441C">
        <w:rPr>
          <w:rFonts w:cs="TimesNewRomanPSMT"/>
          <w:szCs w:val="24"/>
        </w:rPr>
        <w:t xml:space="preserve"> </w:t>
      </w:r>
      <w:proofErr w:type="spellStart"/>
      <w:r w:rsidR="0082441C" w:rsidRPr="0082441C">
        <w:rPr>
          <w:rFonts w:cs="TimesNewRomanPSMT"/>
          <w:szCs w:val="24"/>
        </w:rPr>
        <w:t>Artio</w:t>
      </w:r>
      <w:proofErr w:type="spellEnd"/>
      <w:r w:rsidR="0082441C" w:rsidRPr="0082441C">
        <w:rPr>
          <w:rFonts w:cs="TimesNewRomanPSMT"/>
          <w:szCs w:val="24"/>
        </w:rPr>
        <w:t xml:space="preserve"> (the bear-goddess), </w:t>
      </w:r>
      <w:proofErr w:type="spellStart"/>
      <w:r w:rsidR="0082441C" w:rsidRPr="0082441C">
        <w:rPr>
          <w:rFonts w:cs="TimesNewRomanPSMT"/>
          <w:szCs w:val="24"/>
        </w:rPr>
        <w:t>Moccus</w:t>
      </w:r>
      <w:proofErr w:type="spellEnd"/>
      <w:r w:rsidR="0082441C" w:rsidRPr="0082441C">
        <w:rPr>
          <w:rFonts w:cs="TimesNewRomanPSMT"/>
          <w:szCs w:val="24"/>
        </w:rPr>
        <w:t xml:space="preserve"> (the pig), </w:t>
      </w:r>
      <w:proofErr w:type="spellStart"/>
      <w:r w:rsidR="0082441C" w:rsidRPr="0082441C">
        <w:rPr>
          <w:rFonts w:cs="TimesNewRomanPSMT"/>
          <w:szCs w:val="24"/>
        </w:rPr>
        <w:t>Epona</w:t>
      </w:r>
      <w:proofErr w:type="spellEnd"/>
      <w:r w:rsidR="0082441C" w:rsidRPr="0082441C">
        <w:rPr>
          <w:rFonts w:cs="TimesNewRomanPSMT"/>
          <w:szCs w:val="24"/>
        </w:rPr>
        <w:t xml:space="preserve"> (the mare), and </w:t>
      </w:r>
      <w:proofErr w:type="spellStart"/>
      <w:r w:rsidR="0082441C" w:rsidRPr="0082441C">
        <w:rPr>
          <w:rFonts w:cs="TimesNewRomanPSMT"/>
          <w:szCs w:val="24"/>
        </w:rPr>
        <w:t>Damona</w:t>
      </w:r>
      <w:proofErr w:type="spellEnd"/>
      <w:r w:rsidR="0082441C">
        <w:rPr>
          <w:rFonts w:cs="TimesNewRomanPSMT"/>
          <w:szCs w:val="24"/>
        </w:rPr>
        <w:t xml:space="preserve"> </w:t>
      </w:r>
      <w:r w:rsidR="0082441C" w:rsidRPr="0082441C">
        <w:rPr>
          <w:rFonts w:cs="TimesNewRomanPSMT"/>
          <w:szCs w:val="24"/>
        </w:rPr>
        <w:t>(the sheep), bear the unmistakable impress of having been at one time</w:t>
      </w:r>
      <w:r w:rsidR="0082441C">
        <w:rPr>
          <w:rFonts w:cs="TimesNewRomanPSMT"/>
          <w:szCs w:val="24"/>
        </w:rPr>
        <w:t xml:space="preserve"> </w:t>
      </w:r>
      <w:r w:rsidR="0082441C" w:rsidRPr="0082441C">
        <w:rPr>
          <w:rFonts w:cs="TimesNewRomanPSMT"/>
          <w:szCs w:val="24"/>
        </w:rPr>
        <w:t>those of animals</w:t>
      </w:r>
      <w:r w:rsidR="0082441C">
        <w:rPr>
          <w:rFonts w:cs="TimesNewRomanPSMT"/>
          <w:szCs w:val="24"/>
        </w:rPr>
        <w:t>”</w:t>
      </w:r>
      <w:r w:rsidR="00362591">
        <w:rPr>
          <w:rStyle w:val="FootnoteReference"/>
          <w:rFonts w:cs="TimesNewRomanPSMT"/>
          <w:szCs w:val="24"/>
        </w:rPr>
        <w:footnoteReference w:id="1"/>
      </w:r>
      <w:r w:rsidR="0082441C" w:rsidRPr="0082441C">
        <w:rPr>
          <w:rFonts w:cs="TimesNewRomanPSMT"/>
          <w:szCs w:val="24"/>
        </w:rPr>
        <w:t>.</w:t>
      </w:r>
      <w:r w:rsidR="00C149C9">
        <w:rPr>
          <w:rFonts w:cs="TimesNewRomanPSMT"/>
          <w:szCs w:val="24"/>
        </w:rPr>
        <w:t xml:space="preserve"> </w:t>
      </w:r>
      <w:r w:rsidR="006207F1">
        <w:rPr>
          <w:rFonts w:cs="TimesNewRomanPSMT"/>
          <w:szCs w:val="24"/>
        </w:rPr>
        <w:t>Therefore,</w:t>
      </w:r>
      <w:r w:rsidR="00362591">
        <w:rPr>
          <w:rFonts w:cs="TimesNewRomanPSMT"/>
          <w:szCs w:val="24"/>
        </w:rPr>
        <w:t xml:space="preserve"> we could</w:t>
      </w:r>
      <w:r w:rsidR="00C149C9">
        <w:rPr>
          <w:rFonts w:cs="TimesNewRomanPSMT"/>
          <w:szCs w:val="24"/>
        </w:rPr>
        <w:t xml:space="preserve"> say that the name </w:t>
      </w:r>
      <w:r w:rsidR="007712DB">
        <w:rPr>
          <w:rFonts w:cs="TimesNewRomanPSMT"/>
          <w:szCs w:val="24"/>
        </w:rPr>
        <w:t>of the God, is derived from their understanding of the name</w:t>
      </w:r>
      <w:r w:rsidR="00577054">
        <w:rPr>
          <w:rFonts w:cs="TimesNewRomanPSMT"/>
          <w:szCs w:val="24"/>
        </w:rPr>
        <w:t>s</w:t>
      </w:r>
      <w:r w:rsidR="007712DB">
        <w:rPr>
          <w:rFonts w:cs="TimesNewRomanPSMT"/>
          <w:szCs w:val="24"/>
        </w:rPr>
        <w:t xml:space="preserve"> for the animal. </w:t>
      </w:r>
    </w:p>
    <w:p w14:paraId="791A468E" w14:textId="77777777" w:rsidR="003167B6" w:rsidRPr="00323C05" w:rsidRDefault="003167B6" w:rsidP="00CF4594">
      <w:pPr>
        <w:tabs>
          <w:tab w:val="left" w:pos="1260"/>
        </w:tabs>
      </w:pPr>
    </w:p>
    <w:p w14:paraId="2AB6FCDB" w14:textId="632715B9" w:rsidR="006B614D" w:rsidRDefault="00161793" w:rsidP="00CF4594">
      <w:pPr>
        <w:tabs>
          <w:tab w:val="left" w:pos="1260"/>
        </w:tabs>
      </w:pPr>
      <w:r>
        <w:t>As said before one thing we need to look at is numismatic evidence</w:t>
      </w:r>
      <w:r w:rsidR="008E6643">
        <w:t>, meaning looking at coins</w:t>
      </w:r>
      <w:r w:rsidR="007C59C3">
        <w:t>.</w:t>
      </w:r>
      <w:r w:rsidR="008E6643">
        <w:t xml:space="preserve"> </w:t>
      </w:r>
      <w:r w:rsidR="007E2F44">
        <w:t>In one of her books, M</w:t>
      </w:r>
      <w:r w:rsidR="009A5F1B">
        <w:t>i</w:t>
      </w:r>
      <w:r w:rsidR="007E2F44">
        <w:t xml:space="preserve">randa Green says </w:t>
      </w:r>
      <w:r w:rsidR="007C59C3">
        <w:t>“On a Celtic coin at Maidstone in Kent, a boar and stag appear together, perhaps as hunting symbols”</w:t>
      </w:r>
      <w:r w:rsidR="007C59C3">
        <w:rPr>
          <w:rStyle w:val="FootnoteReference"/>
        </w:rPr>
        <w:footnoteReference w:id="2"/>
      </w:r>
      <w:r w:rsidR="00DA669F">
        <w:t>,</w:t>
      </w:r>
      <w:r w:rsidR="004267EB">
        <w:t xml:space="preserve">this contradicts what Sabine Heinz says </w:t>
      </w:r>
      <w:r w:rsidR="004267EB" w:rsidRPr="004267EB">
        <w:t>“an advanced form of fertility”</w:t>
      </w:r>
      <w:r w:rsidR="003E79FF">
        <w:rPr>
          <w:rStyle w:val="FootnoteReference"/>
        </w:rPr>
        <w:footnoteReference w:id="3"/>
      </w:r>
      <w:r w:rsidR="004267EB" w:rsidRPr="004267EB">
        <w:t>,</w:t>
      </w:r>
      <w:r w:rsidR="00DA669F">
        <w:t xml:space="preserve"> </w:t>
      </w:r>
      <w:r w:rsidR="00491238">
        <w:t>showing us how adding a new animal</w:t>
      </w:r>
      <w:r w:rsidR="00C81FF7">
        <w:t xml:space="preserve"> or </w:t>
      </w:r>
      <w:r w:rsidR="00491238">
        <w:t>symbol may be able to change the meaning of something</w:t>
      </w:r>
      <w:r w:rsidR="00C81FF7">
        <w:t xml:space="preserve">, it could also mean that many people have interpreted it differently, consequently meaning that there is no one </w:t>
      </w:r>
      <w:r w:rsidR="003E79FF">
        <w:t xml:space="preserve">fixed definition. </w:t>
      </w:r>
      <w:r w:rsidR="00913C93">
        <w:t xml:space="preserve">One thing to note is that the meaning of something changes over time, </w:t>
      </w:r>
      <w:r w:rsidR="000C5424">
        <w:t>Miranda Green says</w:t>
      </w:r>
      <w:r w:rsidR="00EB0D9A">
        <w:t xml:space="preserve"> “in the Welsh tale of </w:t>
      </w:r>
      <w:proofErr w:type="spellStart"/>
      <w:r w:rsidR="00EB0D9A">
        <w:t>Culhwch</w:t>
      </w:r>
      <w:proofErr w:type="spellEnd"/>
      <w:r w:rsidR="00EB0D9A">
        <w:t xml:space="preserve"> and Olwen, Twrch </w:t>
      </w:r>
      <w:proofErr w:type="spellStart"/>
      <w:r w:rsidR="00EB0D9A">
        <w:t>Trwyth</w:t>
      </w:r>
      <w:proofErr w:type="spellEnd"/>
      <w:r w:rsidR="00EB0D9A">
        <w:t xml:space="preserve"> </w:t>
      </w:r>
      <w:r w:rsidR="00F37F39">
        <w:t>is a huge enchanted boar, transformed from an evil king”</w:t>
      </w:r>
      <w:r w:rsidR="00E0315C">
        <w:rPr>
          <w:rStyle w:val="FootnoteReference"/>
        </w:rPr>
        <w:footnoteReference w:id="4"/>
      </w:r>
      <w:r w:rsidR="000C5424">
        <w:t xml:space="preserve"> this shows us how people have interpreted the meaning of the boar</w:t>
      </w:r>
      <w:r w:rsidR="00E0315C">
        <w:t>,</w:t>
      </w:r>
      <w:r w:rsidR="00D63B80">
        <w:t xml:space="preserve"> </w:t>
      </w:r>
      <w:r w:rsidR="000C5424">
        <w:t>unfortunately as the story was wr</w:t>
      </w:r>
      <w:r w:rsidR="00A4326C">
        <w:t xml:space="preserve">itten one thousand three </w:t>
      </w:r>
      <w:r w:rsidR="00D63B80">
        <w:t>hundred</w:t>
      </w:r>
      <w:r w:rsidR="00A4326C">
        <w:t xml:space="preserve"> years after</w:t>
      </w:r>
      <w:r w:rsidR="00E73EAB">
        <w:t xml:space="preserve"> </w:t>
      </w:r>
      <w:r w:rsidR="00E630FB">
        <w:t>and</w:t>
      </w:r>
      <w:r w:rsidR="00E73EAB">
        <w:t xml:space="preserve"> as there is more work to be done</w:t>
      </w:r>
      <w:r w:rsidR="00D63B80">
        <w:t>, it is still in question</w:t>
      </w:r>
      <w:r w:rsidR="00E0315C">
        <w:t>.</w:t>
      </w:r>
      <w:r w:rsidR="00D63B80">
        <w:t xml:space="preserve"> </w:t>
      </w:r>
    </w:p>
    <w:p w14:paraId="63EA642E" w14:textId="5E2631BF" w:rsidR="003B67F0" w:rsidRDefault="00AC3FF1" w:rsidP="00CF4594">
      <w:pPr>
        <w:tabs>
          <w:tab w:val="left" w:pos="1260"/>
        </w:tabs>
      </w:pPr>
      <w:r>
        <w:t xml:space="preserve">Sabine Heinz </w:t>
      </w:r>
      <w:r w:rsidR="00CC0C3D">
        <w:t xml:space="preserve">disagrees with </w:t>
      </w:r>
      <w:r w:rsidR="0062487C">
        <w:t xml:space="preserve">most </w:t>
      </w:r>
      <w:r w:rsidR="000E6A70">
        <w:t xml:space="preserve">other </w:t>
      </w:r>
      <w:r w:rsidR="00137013">
        <w:t xml:space="preserve">scholars </w:t>
      </w:r>
      <w:r w:rsidR="00E162A8">
        <w:t xml:space="preserve">I have come across, </w:t>
      </w:r>
      <w:r w:rsidR="00137013">
        <w:t xml:space="preserve">as he says in his book Symbols of the Celts </w:t>
      </w:r>
      <w:r w:rsidR="00E162A8">
        <w:t xml:space="preserve">“The boar </w:t>
      </w:r>
      <w:r w:rsidR="000E6A70">
        <w:t xml:space="preserve">was associated with the god </w:t>
      </w:r>
      <w:proofErr w:type="spellStart"/>
      <w:r w:rsidR="000E6A70">
        <w:t>Esus</w:t>
      </w:r>
      <w:proofErr w:type="spellEnd"/>
      <w:r w:rsidR="000E6A70">
        <w:t xml:space="preserve">, the god of the forest, and his </w:t>
      </w:r>
      <w:r w:rsidR="00B24603">
        <w:t>caretaker, later the patron of loggers”</w:t>
      </w:r>
      <w:r w:rsidR="00B24603">
        <w:rPr>
          <w:rStyle w:val="FootnoteReference"/>
        </w:rPr>
        <w:footnoteReference w:id="5"/>
      </w:r>
      <w:r w:rsidR="002B39AF">
        <w:t xml:space="preserve"> this contradicts most beliefs about the boar</w:t>
      </w:r>
      <w:r w:rsidR="00901228">
        <w:t>.</w:t>
      </w:r>
      <w:r w:rsidR="00A91541">
        <w:t xml:space="preserve"> Contradicting this is Ju</w:t>
      </w:r>
      <w:r w:rsidR="00067FAA">
        <w:t>liette Wood, she says “In Celtic</w:t>
      </w:r>
      <w:r w:rsidR="00AA5651">
        <w:t xml:space="preserve"> pagan carvings the god </w:t>
      </w:r>
      <w:proofErr w:type="spellStart"/>
      <w:r w:rsidR="00AA5651">
        <w:t>Esus</w:t>
      </w:r>
      <w:proofErr w:type="spellEnd"/>
      <w:r w:rsidR="00AA5651">
        <w:t xml:space="preserve"> </w:t>
      </w:r>
      <w:r w:rsidR="0016521B">
        <w:t xml:space="preserve">is portrayed as </w:t>
      </w:r>
      <w:r w:rsidR="006B220F">
        <w:t xml:space="preserve">a woodcutter, in the act </w:t>
      </w:r>
      <w:r w:rsidR="00BC2DCB">
        <w:t>of cutting a willow tree”</w:t>
      </w:r>
      <w:r w:rsidR="00BC2DCB">
        <w:rPr>
          <w:rStyle w:val="FootnoteReference"/>
        </w:rPr>
        <w:footnoteReference w:id="6"/>
      </w:r>
      <w:r w:rsidR="004D438B">
        <w:t xml:space="preserve"> yet we could argue that both individuals are </w:t>
      </w:r>
      <w:r w:rsidR="008F1A4B">
        <w:t>incorrect</w:t>
      </w:r>
      <w:r w:rsidR="004D438B">
        <w:t>, as the name</w:t>
      </w:r>
      <w:r w:rsidR="008F1A4B">
        <w:t>s</w:t>
      </w:r>
      <w:r w:rsidR="004D438B">
        <w:t xml:space="preserve"> do not come into use until after the Roman invasion, and therefore, all we have until then is </w:t>
      </w:r>
      <w:r w:rsidR="00813681">
        <w:t>assumptions</w:t>
      </w:r>
      <w:r w:rsidR="00AA5651">
        <w:t xml:space="preserve"> about the names</w:t>
      </w:r>
      <w:r w:rsidR="00813681">
        <w:t xml:space="preserve">. </w:t>
      </w:r>
      <w:r w:rsidR="00A715A0">
        <w:t xml:space="preserve"> </w:t>
      </w:r>
      <w:r w:rsidR="00067FAA">
        <w:t xml:space="preserve"> </w:t>
      </w:r>
    </w:p>
    <w:p w14:paraId="7A4F4AF1" w14:textId="3B765661" w:rsidR="00B43339" w:rsidRDefault="00552619" w:rsidP="00CF4594">
      <w:pPr>
        <w:tabs>
          <w:tab w:val="left" w:pos="1260"/>
        </w:tabs>
      </w:pPr>
      <w:r>
        <w:t>Miranda Green in her book the Gods of the Celts says</w:t>
      </w:r>
      <w:r w:rsidR="00021D76">
        <w:t xml:space="preserve"> “</w:t>
      </w:r>
      <w:r w:rsidR="000C2569">
        <w:t xml:space="preserve">Boar-gods such as Mercury </w:t>
      </w:r>
      <w:proofErr w:type="spellStart"/>
      <w:r w:rsidR="000C2569">
        <w:t>Moccus</w:t>
      </w:r>
      <w:proofErr w:type="spellEnd"/>
      <w:r w:rsidR="000C2569">
        <w:t xml:space="preserve"> amon</w:t>
      </w:r>
      <w:r w:rsidR="00E2525A">
        <w:t xml:space="preserve">g the </w:t>
      </w:r>
      <w:proofErr w:type="spellStart"/>
      <w:r w:rsidR="00E2525A">
        <w:t>Lingones</w:t>
      </w:r>
      <w:proofErr w:type="spellEnd"/>
      <w:r w:rsidR="00E2525A">
        <w:t xml:space="preserve"> and </w:t>
      </w:r>
      <w:proofErr w:type="spellStart"/>
      <w:r w:rsidR="00E2525A">
        <w:t>Arduinna</w:t>
      </w:r>
      <w:proofErr w:type="spellEnd"/>
      <w:r w:rsidR="00E2525A">
        <w:t>, boar-goddess of the Ardennes</w:t>
      </w:r>
      <w:r w:rsidR="0079339C">
        <w:t xml:space="preserve">, attest </w:t>
      </w:r>
      <w:r w:rsidR="004D219A">
        <w:t xml:space="preserve">the function of the boar as </w:t>
      </w:r>
      <w:r w:rsidR="002C390C">
        <w:t xml:space="preserve">an important attribute, and now for the first time </w:t>
      </w:r>
      <w:r w:rsidR="006E06C7">
        <w:t>in the Roman phase, it is identified with named deities”</w:t>
      </w:r>
      <w:r w:rsidR="006E06C7">
        <w:rPr>
          <w:rStyle w:val="FootnoteReference"/>
        </w:rPr>
        <w:footnoteReference w:id="7"/>
      </w:r>
      <w:r w:rsidR="006E06C7">
        <w:t>,</w:t>
      </w:r>
      <w:r>
        <w:t xml:space="preserve"> this supports the argument that </w:t>
      </w:r>
      <w:r w:rsidR="00A73AA4">
        <w:t>the names we have did not exist until after the Roman invasion of Gaul</w:t>
      </w:r>
      <w:r w:rsidR="0079339C">
        <w:t xml:space="preserve">. This is the first book in </w:t>
      </w:r>
      <w:r w:rsidR="00E815B8">
        <w:t xml:space="preserve">my research where it mentions a boar goddess, showing how the animal can be </w:t>
      </w:r>
      <w:r w:rsidR="00D71A60">
        <w:t>interpreted</w:t>
      </w:r>
      <w:r w:rsidR="00E815B8">
        <w:t xml:space="preserve"> as </w:t>
      </w:r>
      <w:r w:rsidR="00D71A60">
        <w:t>both male and female</w:t>
      </w:r>
      <w:r w:rsidR="00E815B8">
        <w:t xml:space="preserve"> genders </w:t>
      </w:r>
    </w:p>
    <w:p w14:paraId="37AF3752" w14:textId="69A6E71C" w:rsidR="00226834" w:rsidRDefault="00CB4735" w:rsidP="00CF4594">
      <w:pPr>
        <w:tabs>
          <w:tab w:val="left" w:pos="1260"/>
        </w:tabs>
      </w:pPr>
      <w:r>
        <w:t xml:space="preserve">J A </w:t>
      </w:r>
      <w:proofErr w:type="spellStart"/>
      <w:r>
        <w:t>MacCulloch</w:t>
      </w:r>
      <w:proofErr w:type="spellEnd"/>
      <w:r>
        <w:t xml:space="preserve"> says in his book that “A god </w:t>
      </w:r>
      <w:proofErr w:type="spellStart"/>
      <w:r>
        <w:t>Moccus</w:t>
      </w:r>
      <w:proofErr w:type="spellEnd"/>
      <w:r>
        <w:t>, “swine,” was also identified with Mercury”</w:t>
      </w:r>
      <w:r>
        <w:rPr>
          <w:rStyle w:val="FootnoteReference"/>
        </w:rPr>
        <w:footnoteReference w:id="8"/>
      </w:r>
      <w:r w:rsidR="003B5EA1">
        <w:t xml:space="preserve">. </w:t>
      </w:r>
      <w:r w:rsidR="001F24FF">
        <w:t xml:space="preserve">John Roberts </w:t>
      </w:r>
      <w:r w:rsidR="00497CD3">
        <w:t xml:space="preserve">discusses that Mercury is </w:t>
      </w:r>
      <w:r w:rsidR="00903D99">
        <w:t>the “Roman god of circulation … Me</w:t>
      </w:r>
      <w:r w:rsidR="00226834">
        <w:t xml:space="preserve">rcury is also a deceiver, since he moves on the boundaries he is patron of </w:t>
      </w:r>
      <w:r w:rsidR="001E0600">
        <w:t xml:space="preserve">the shopkeeper as much as the trader, the traveller as well as the </w:t>
      </w:r>
      <w:r w:rsidR="005365E9">
        <w:t>brigand”</w:t>
      </w:r>
      <w:r w:rsidR="00B16B13">
        <w:rPr>
          <w:rStyle w:val="FootnoteReference"/>
        </w:rPr>
        <w:footnoteReference w:id="9"/>
      </w:r>
      <w:r w:rsidR="00B16B13">
        <w:t>,</w:t>
      </w:r>
      <w:r w:rsidR="005365E9">
        <w:t xml:space="preserve"> this opposes the </w:t>
      </w:r>
      <w:r w:rsidR="00766391">
        <w:t xml:space="preserve">interpreted meaning of the boar, </w:t>
      </w:r>
      <w:r w:rsidR="007D6927">
        <w:t xml:space="preserve">however it dose show how the </w:t>
      </w:r>
      <w:r w:rsidR="000359DB">
        <w:t xml:space="preserve">religion has been somewhat Romanized. </w:t>
      </w:r>
    </w:p>
    <w:p w14:paraId="128993DB" w14:textId="0E554FD9" w:rsidR="00C632E1" w:rsidRDefault="00AF54F6" w:rsidP="00CF4594">
      <w:pPr>
        <w:tabs>
          <w:tab w:val="left" w:pos="1260"/>
        </w:tabs>
      </w:pPr>
      <w:r>
        <w:t xml:space="preserve">In a journal written by Claude </w:t>
      </w:r>
      <w:proofErr w:type="spellStart"/>
      <w:r>
        <w:t>Maumené</w:t>
      </w:r>
      <w:proofErr w:type="spellEnd"/>
      <w:r>
        <w:t xml:space="preserve"> </w:t>
      </w:r>
      <w:r w:rsidR="006815FD">
        <w:t xml:space="preserve">she </w:t>
      </w:r>
      <w:r w:rsidR="006815FD" w:rsidRPr="006815FD">
        <w:rPr>
          <w:szCs w:val="24"/>
        </w:rPr>
        <w:t xml:space="preserve">says </w:t>
      </w:r>
      <w:r w:rsidR="006815FD">
        <w:rPr>
          <w:szCs w:val="24"/>
        </w:rPr>
        <w:t>“</w:t>
      </w:r>
      <w:r w:rsidR="006815FD" w:rsidRPr="006815FD">
        <w:rPr>
          <w:szCs w:val="24"/>
        </w:rPr>
        <w:t xml:space="preserve">The second rider’s helmet, crested with a boar, could represent </w:t>
      </w:r>
      <w:proofErr w:type="spellStart"/>
      <w:r w:rsidR="006815FD" w:rsidRPr="006815FD">
        <w:rPr>
          <w:szCs w:val="24"/>
        </w:rPr>
        <w:t>Lughnasadh</w:t>
      </w:r>
      <w:proofErr w:type="spellEnd"/>
      <w:r w:rsidR="006815FD" w:rsidRPr="006815FD">
        <w:rPr>
          <w:szCs w:val="24"/>
        </w:rPr>
        <w:t>. Many common features link the boar and Lugh, the Celtic god</w:t>
      </w:r>
      <w:r w:rsidR="006815FD">
        <w:rPr>
          <w:szCs w:val="24"/>
        </w:rPr>
        <w:t>”</w:t>
      </w:r>
      <w:r>
        <w:rPr>
          <w:rStyle w:val="FootnoteReference"/>
          <w:szCs w:val="24"/>
        </w:rPr>
        <w:footnoteReference w:id="10"/>
      </w:r>
      <w:r w:rsidR="006815FD" w:rsidRPr="006815FD">
        <w:rPr>
          <w:szCs w:val="24"/>
        </w:rPr>
        <w:t>.</w:t>
      </w:r>
      <w:r w:rsidR="00D97EC3">
        <w:rPr>
          <w:szCs w:val="24"/>
        </w:rPr>
        <w:t xml:space="preserve"> </w:t>
      </w:r>
      <w:r w:rsidR="005857F7">
        <w:rPr>
          <w:szCs w:val="24"/>
        </w:rPr>
        <w:t>Lugh is compared to the god Mercury, and as a result</w:t>
      </w:r>
      <w:r w:rsidR="00E92A80">
        <w:rPr>
          <w:szCs w:val="24"/>
        </w:rPr>
        <w:t xml:space="preserve"> can be referenced as another Celtic god, </w:t>
      </w:r>
      <w:r w:rsidR="00CC5190">
        <w:rPr>
          <w:szCs w:val="24"/>
        </w:rPr>
        <w:t xml:space="preserve">so causing problems when looking at Latin texts and attempting to </w:t>
      </w:r>
      <w:r w:rsidR="00A42AC7">
        <w:rPr>
          <w:szCs w:val="24"/>
        </w:rPr>
        <w:t>know what Celtic god they are referring to</w:t>
      </w:r>
      <w:r w:rsidR="00A736A5">
        <w:rPr>
          <w:szCs w:val="24"/>
        </w:rPr>
        <w:t>;</w:t>
      </w:r>
      <w:r w:rsidR="00A42AC7">
        <w:rPr>
          <w:szCs w:val="24"/>
        </w:rPr>
        <w:t xml:space="preserve"> we can see this problem in the boo</w:t>
      </w:r>
      <w:r w:rsidR="008C3284">
        <w:rPr>
          <w:szCs w:val="24"/>
        </w:rPr>
        <w:t>k Celtic Religions in the Roman Period, chapter</w:t>
      </w:r>
      <w:r w:rsidR="00A42AC7">
        <w:rPr>
          <w:szCs w:val="24"/>
        </w:rPr>
        <w:t xml:space="preserve"> by</w:t>
      </w:r>
      <w:r w:rsidR="00C55B38">
        <w:rPr>
          <w:szCs w:val="24"/>
        </w:rPr>
        <w:t xml:space="preserve"> John T. Koch and Fer</w:t>
      </w:r>
      <w:r w:rsidR="000C224E">
        <w:rPr>
          <w:szCs w:val="24"/>
        </w:rPr>
        <w:t>nando Ferná</w:t>
      </w:r>
      <w:r w:rsidR="00E50583">
        <w:rPr>
          <w:szCs w:val="24"/>
        </w:rPr>
        <w:t>ndez Palacios</w:t>
      </w:r>
      <w:r w:rsidR="00A42AC7">
        <w:rPr>
          <w:szCs w:val="24"/>
        </w:rPr>
        <w:t xml:space="preserve"> as it says</w:t>
      </w:r>
      <w:r w:rsidR="00E50583">
        <w:rPr>
          <w:szCs w:val="24"/>
        </w:rPr>
        <w:t xml:space="preserve"> “if its ‘Mercury’ </w:t>
      </w:r>
      <w:r w:rsidR="006E20B1">
        <w:rPr>
          <w:szCs w:val="24"/>
        </w:rPr>
        <w:t xml:space="preserve">is accepted as coterminous with </w:t>
      </w:r>
      <w:proofErr w:type="spellStart"/>
      <w:r w:rsidR="006E20B1">
        <w:rPr>
          <w:szCs w:val="24"/>
        </w:rPr>
        <w:t>Lugus</w:t>
      </w:r>
      <w:proofErr w:type="spellEnd"/>
      <w:r w:rsidR="006E20B1">
        <w:rPr>
          <w:szCs w:val="24"/>
        </w:rPr>
        <w:t xml:space="preserve">, it expands that </w:t>
      </w:r>
      <w:r w:rsidR="00D045BC">
        <w:rPr>
          <w:szCs w:val="24"/>
        </w:rPr>
        <w:t>Celtic god’s dossier enormously, taking in every dedication to, Cel</w:t>
      </w:r>
      <w:r w:rsidR="00A26070">
        <w:rPr>
          <w:szCs w:val="24"/>
        </w:rPr>
        <w:t>tic or Latin epithet or by – name for</w:t>
      </w:r>
      <w:r w:rsidR="00484347">
        <w:rPr>
          <w:szCs w:val="24"/>
        </w:rPr>
        <w:t>, and imagines of Mercury in Hail and the other Celtic – speaking provinces”</w:t>
      </w:r>
      <w:r w:rsidR="00B90C10">
        <w:rPr>
          <w:rStyle w:val="FootnoteReference"/>
          <w:szCs w:val="24"/>
        </w:rPr>
        <w:footnoteReference w:id="11"/>
      </w:r>
      <w:r w:rsidR="00B90C10">
        <w:rPr>
          <w:szCs w:val="24"/>
        </w:rPr>
        <w:t>.</w:t>
      </w:r>
      <w:r w:rsidR="00665954">
        <w:t xml:space="preserve"> The god </w:t>
      </w:r>
      <w:proofErr w:type="spellStart"/>
      <w:r w:rsidR="00665954">
        <w:t>Lugus</w:t>
      </w:r>
      <w:proofErr w:type="spellEnd"/>
      <w:r w:rsidR="00665954">
        <w:t xml:space="preserve"> or Lug</w:t>
      </w:r>
      <w:r w:rsidR="002052A6">
        <w:t xml:space="preserve"> in one way </w:t>
      </w:r>
      <w:proofErr w:type="gramStart"/>
      <w:r w:rsidR="002052A6">
        <w:t>is considered to be</w:t>
      </w:r>
      <w:proofErr w:type="gramEnd"/>
      <w:r w:rsidR="002052A6">
        <w:t xml:space="preserve"> the </w:t>
      </w:r>
      <w:r w:rsidR="003A4009">
        <w:t>shiny one,</w:t>
      </w:r>
      <w:r w:rsidR="003A4009">
        <w:rPr>
          <w:rStyle w:val="FootnoteReference"/>
        </w:rPr>
        <w:footnoteReference w:id="12"/>
      </w:r>
      <w:r w:rsidR="0076749F">
        <w:t xml:space="preserve"> this is contradicting as the boar is </w:t>
      </w:r>
      <w:r w:rsidR="00990830">
        <w:t xml:space="preserve">a contrast to this. </w:t>
      </w:r>
    </w:p>
    <w:p w14:paraId="2A507433" w14:textId="77777777" w:rsidR="00E823EF" w:rsidRDefault="00E823EF" w:rsidP="00CF4594">
      <w:pPr>
        <w:tabs>
          <w:tab w:val="left" w:pos="1260"/>
        </w:tabs>
      </w:pPr>
    </w:p>
    <w:p w14:paraId="2DAADB76" w14:textId="510790F2" w:rsidR="009031D6" w:rsidRPr="009031D6" w:rsidRDefault="009031D6" w:rsidP="00CF4594">
      <w:pPr>
        <w:tabs>
          <w:tab w:val="left" w:pos="1260"/>
        </w:tabs>
      </w:pPr>
      <w:r>
        <w:t xml:space="preserve">As seen above some of the </w:t>
      </w:r>
      <w:r w:rsidR="00B251AE">
        <w:t xml:space="preserve">work shows how there is a problem when attempting to identify this pre – Roman Celtic god that we know mainly as </w:t>
      </w:r>
      <w:proofErr w:type="spellStart"/>
      <w:r w:rsidR="00B251AE">
        <w:t>Moccus</w:t>
      </w:r>
      <w:proofErr w:type="spellEnd"/>
      <w:r w:rsidR="00B251AE">
        <w:t xml:space="preserve">, </w:t>
      </w:r>
      <w:r w:rsidR="00FF64DF">
        <w:t xml:space="preserve">this problem being, that modern scholarship identifies </w:t>
      </w:r>
      <w:r w:rsidR="002354CD">
        <w:t xml:space="preserve">it as the Roman god Mercury, </w:t>
      </w:r>
      <w:r w:rsidR="00055BB3">
        <w:t xml:space="preserve">it is an issue because </w:t>
      </w:r>
      <w:r w:rsidR="008C0695">
        <w:t>many Celtic gods have also been identified as Mercury</w:t>
      </w:r>
      <w:r w:rsidR="004C4C9D">
        <w:t>;</w:t>
      </w:r>
      <w:r w:rsidR="008C0695">
        <w:t xml:space="preserve"> </w:t>
      </w:r>
      <w:r w:rsidR="004C4C9D">
        <w:t xml:space="preserve">as a result, it is problematic when we see a depiction of Mercury in a </w:t>
      </w:r>
      <w:r w:rsidR="00C06E4D">
        <w:t xml:space="preserve">Celtic way, as the main way we will be able to tell what he is supposed to represent is by the things around him, and regrettably </w:t>
      </w:r>
      <w:r w:rsidR="00357770">
        <w:t xml:space="preserve">some depictions have been lost, so as said identifying what is supposed to be represented is </w:t>
      </w:r>
      <w:r w:rsidR="00E823EF">
        <w:t>difficulty</w:t>
      </w:r>
      <w:r w:rsidR="00357770">
        <w:t xml:space="preserve">. As a </w:t>
      </w:r>
      <w:proofErr w:type="gramStart"/>
      <w:r w:rsidR="00357770">
        <w:t>result</w:t>
      </w:r>
      <w:proofErr w:type="gramEnd"/>
      <w:r w:rsidR="00357770">
        <w:t xml:space="preserve"> this mean that when we look at modern scholarship to do with Celtic deities</w:t>
      </w:r>
      <w:r w:rsidR="00444BC7">
        <w:t>,</w:t>
      </w:r>
      <w:r w:rsidR="00357770">
        <w:t xml:space="preserve"> we must </w:t>
      </w:r>
      <w:r w:rsidR="005E5E68">
        <w:t xml:space="preserve">air on the side of caution, as any written evidence </w:t>
      </w:r>
      <w:r w:rsidR="007E6C6B">
        <w:t>may be</w:t>
      </w:r>
      <w:r w:rsidR="00444BC7">
        <w:t xml:space="preserve"> </w:t>
      </w:r>
      <w:r w:rsidR="007E6C6B">
        <w:t>lost, or if we have it, may be problematic due to translation or any other reason</w:t>
      </w:r>
      <w:r w:rsidR="00706471">
        <w:t xml:space="preserve">s; this would include a </w:t>
      </w:r>
      <w:r w:rsidR="00E823EF">
        <w:t>scholars own opinion.</w:t>
      </w:r>
      <w:r w:rsidR="007E6C6B">
        <w:t xml:space="preserve"> </w:t>
      </w:r>
    </w:p>
    <w:bookmarkEnd w:id="0" w:displacedByCustomXml="next"/>
    <w:sdt>
      <w:sdtPr>
        <w:id w:val="-1253278102"/>
        <w:docPartObj>
          <w:docPartGallery w:val="Bibliographies"/>
          <w:docPartUnique/>
        </w:docPartObj>
      </w:sdtPr>
      <w:sdtEndPr>
        <w:rPr>
          <w:rFonts w:ascii="Comic Sans MS" w:eastAsiaTheme="minorHAnsi" w:hAnsi="Comic Sans MS" w:cs="Arial"/>
          <w:color w:val="auto"/>
          <w:spacing w:val="20"/>
          <w:sz w:val="24"/>
          <w:szCs w:val="22"/>
          <w:lang w:val="en-GB"/>
        </w:rPr>
      </w:sdtEndPr>
      <w:sdtContent>
        <w:p w14:paraId="7846C22E" w14:textId="1AF8ECF0" w:rsidR="006207F1" w:rsidRDefault="006207F1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1691E21C" w14:textId="77777777" w:rsidR="00CA2374" w:rsidRDefault="006207F1" w:rsidP="00CA2374">
              <w:pPr>
                <w:pStyle w:val="Bibliography"/>
                <w:ind w:left="720" w:hanging="720"/>
                <w:rPr>
                  <w:noProof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CA2374">
                <w:rPr>
                  <w:noProof/>
                  <w:lang w:val="en-US"/>
                </w:rPr>
                <w:t>Anwyl, E. (1906). Celtic Religion in Pre-Christian times. 39.</w:t>
              </w:r>
            </w:p>
            <w:p w14:paraId="759BF754" w14:textId="77777777" w:rsidR="00CA2374" w:rsidRDefault="00CA2374" w:rsidP="00CA237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Green, M. J. (1986). </w:t>
              </w:r>
              <w:r>
                <w:rPr>
                  <w:i/>
                  <w:iCs/>
                  <w:noProof/>
                  <w:lang w:val="en-US"/>
                </w:rPr>
                <w:t>The Gods of the Celts.</w:t>
              </w:r>
              <w:r>
                <w:rPr>
                  <w:noProof/>
                  <w:lang w:val="en-US"/>
                </w:rPr>
                <w:t xml:space="preserve"> New Jersey : Barnes and Noble Books .</w:t>
              </w:r>
            </w:p>
            <w:p w14:paraId="7B6C4354" w14:textId="77777777" w:rsidR="00CA2374" w:rsidRDefault="00CA2374" w:rsidP="00CA237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Green, M. J. (1992). </w:t>
              </w:r>
              <w:r>
                <w:rPr>
                  <w:i/>
                  <w:iCs/>
                  <w:noProof/>
                  <w:lang w:val="en-US"/>
                </w:rPr>
                <w:t>Dictionary of Celtic Myths and Legends.</w:t>
              </w:r>
              <w:r>
                <w:rPr>
                  <w:noProof/>
                  <w:lang w:val="en-US"/>
                </w:rPr>
                <w:t xml:space="preserve"> London: Thames and Hudson Ltd.</w:t>
              </w:r>
            </w:p>
            <w:p w14:paraId="035FEA6D" w14:textId="77777777" w:rsidR="00CA2374" w:rsidRDefault="00CA2374" w:rsidP="00CA237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Heinz, S. (1999). </w:t>
              </w:r>
              <w:r>
                <w:rPr>
                  <w:i/>
                  <w:iCs/>
                  <w:noProof/>
                  <w:lang w:val="en-US"/>
                </w:rPr>
                <w:t>Symbols of the Celts.</w:t>
              </w:r>
              <w:r>
                <w:rPr>
                  <w:noProof/>
                  <w:lang w:val="en-US"/>
                </w:rPr>
                <w:t xml:space="preserve"> New York: Sterling Publishing Co.</w:t>
              </w:r>
            </w:p>
            <w:p w14:paraId="11B10349" w14:textId="77777777" w:rsidR="00CA2374" w:rsidRDefault="00CA2374" w:rsidP="00CA237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MacCulloch, J. (1991). </w:t>
              </w:r>
              <w:r>
                <w:rPr>
                  <w:i/>
                  <w:iCs/>
                  <w:noProof/>
                  <w:lang w:val="en-US"/>
                </w:rPr>
                <w:t>The Religion of the Ancient Celts.</w:t>
              </w:r>
              <w:r>
                <w:rPr>
                  <w:noProof/>
                  <w:lang w:val="en-US"/>
                </w:rPr>
                <w:t xml:space="preserve"> Edinburgh: T &amp; T Clark.</w:t>
              </w:r>
            </w:p>
            <w:p w14:paraId="4ED7B706" w14:textId="77777777" w:rsidR="00CA2374" w:rsidRDefault="00CA2374" w:rsidP="00CA237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Maimené, C. (2016, 03 20). The Gundestrup cauldron: Is this the key to the Enigma? </w:t>
              </w:r>
              <w:r>
                <w:rPr>
                  <w:i/>
                  <w:iCs/>
                  <w:noProof/>
                  <w:lang w:val="en-US"/>
                </w:rPr>
                <w:t>Mediterranean Archaeology and Archaeometry</w:t>
              </w:r>
              <w:r>
                <w:rPr>
                  <w:noProof/>
                  <w:lang w:val="en-US"/>
                </w:rPr>
                <w:t>, 351-358.</w:t>
              </w:r>
            </w:p>
            <w:p w14:paraId="4495412A" w14:textId="77777777" w:rsidR="00CA2374" w:rsidRDefault="00CA2374" w:rsidP="00CA237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Roberts, J. (2005). </w:t>
              </w:r>
              <w:r>
                <w:rPr>
                  <w:i/>
                  <w:iCs/>
                  <w:noProof/>
                  <w:lang w:val="en-US"/>
                </w:rPr>
                <w:t>The Oxford Dictionary of the Classical World.</w:t>
              </w:r>
              <w:r>
                <w:rPr>
                  <w:noProof/>
                  <w:lang w:val="en-US"/>
                </w:rPr>
                <w:t xml:space="preserve"> New York: Oxford University Press.</w:t>
              </w:r>
            </w:p>
            <w:p w14:paraId="2CF1B5E3" w14:textId="77777777" w:rsidR="00CA2374" w:rsidRDefault="00CA2374" w:rsidP="00CA237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Wood, J. (2000). </w:t>
              </w:r>
              <w:r>
                <w:rPr>
                  <w:i/>
                  <w:iCs/>
                  <w:noProof/>
                  <w:lang w:val="en-US"/>
                </w:rPr>
                <w:t>The Celtic Book of Living and Dying .</w:t>
              </w:r>
              <w:r>
                <w:rPr>
                  <w:noProof/>
                  <w:lang w:val="en-US"/>
                </w:rPr>
                <w:t xml:space="preserve"> London: Duncan Baird Publisher .</w:t>
              </w:r>
            </w:p>
            <w:p w14:paraId="4D946535" w14:textId="4144628B" w:rsidR="006207F1" w:rsidRDefault="006207F1" w:rsidP="00CA237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B00A013" w14:textId="77777777" w:rsidR="006207F1" w:rsidRDefault="006207F1" w:rsidP="00CF4594">
      <w:pPr>
        <w:tabs>
          <w:tab w:val="left" w:pos="1260"/>
        </w:tabs>
        <w:rPr>
          <w:szCs w:val="24"/>
          <w:shd w:val="clear" w:color="auto" w:fill="FFFFFF"/>
        </w:rPr>
      </w:pPr>
    </w:p>
    <w:p w14:paraId="0D48139B" w14:textId="77777777" w:rsidR="00F122DB" w:rsidRPr="00C14E3E" w:rsidRDefault="00F122DB" w:rsidP="00CF4594">
      <w:pPr>
        <w:tabs>
          <w:tab w:val="left" w:pos="1260"/>
        </w:tabs>
      </w:pPr>
    </w:p>
    <w:sectPr w:rsidR="00F122DB" w:rsidRPr="00C14E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343AF8" w14:textId="77777777" w:rsidR="00646958" w:rsidRDefault="00646958" w:rsidP="00646958">
      <w:pPr>
        <w:spacing w:after="0" w:line="240" w:lineRule="auto"/>
      </w:pPr>
      <w:r>
        <w:separator/>
      </w:r>
    </w:p>
  </w:endnote>
  <w:endnote w:type="continuationSeparator" w:id="0">
    <w:p w14:paraId="155F5E89" w14:textId="77777777" w:rsidR="00646958" w:rsidRDefault="00646958" w:rsidP="00646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958E40" w14:textId="77777777" w:rsidR="00646958" w:rsidRDefault="00646958" w:rsidP="00646958">
      <w:pPr>
        <w:spacing w:after="0" w:line="240" w:lineRule="auto"/>
      </w:pPr>
      <w:r>
        <w:separator/>
      </w:r>
    </w:p>
  </w:footnote>
  <w:footnote w:type="continuationSeparator" w:id="0">
    <w:p w14:paraId="47F4CAB4" w14:textId="77777777" w:rsidR="00646958" w:rsidRDefault="00646958" w:rsidP="00646958">
      <w:pPr>
        <w:spacing w:after="0" w:line="240" w:lineRule="auto"/>
      </w:pPr>
      <w:r>
        <w:continuationSeparator/>
      </w:r>
    </w:p>
  </w:footnote>
  <w:footnote w:id="1">
    <w:p w14:paraId="6BA51C64" w14:textId="1EACF0F7" w:rsidR="00362591" w:rsidRPr="00F122DB" w:rsidRDefault="0036259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3D12C4">
        <w:t>Annwyl</w:t>
      </w:r>
      <w:proofErr w:type="spellEnd"/>
      <w:r w:rsidR="003D12C4">
        <w:t xml:space="preserve"> E</w:t>
      </w:r>
      <w:r w:rsidR="00F122DB">
        <w:t xml:space="preserve">dwards, </w:t>
      </w:r>
      <w:r w:rsidR="00F122DB">
        <w:rPr>
          <w:i/>
        </w:rPr>
        <w:t>Celtic Religion in Pre-Christian Times</w:t>
      </w:r>
      <w:r w:rsidR="00F122DB">
        <w:t xml:space="preserve">, </w:t>
      </w:r>
      <w:r w:rsidR="0096398B">
        <w:t>1906</w:t>
      </w:r>
      <w:r w:rsidR="006207F1">
        <w:t>, p.15</w:t>
      </w:r>
    </w:p>
  </w:footnote>
  <w:footnote w:id="2">
    <w:p w14:paraId="50F9B612" w14:textId="1165977E" w:rsidR="007C59C3" w:rsidRPr="00BF5976" w:rsidRDefault="007C59C3">
      <w:pPr>
        <w:pStyle w:val="FootnoteText"/>
      </w:pPr>
      <w:r>
        <w:rPr>
          <w:rStyle w:val="FootnoteReference"/>
        </w:rPr>
        <w:footnoteRef/>
      </w:r>
      <w:r>
        <w:t xml:space="preserve"> Green Miranda,</w:t>
      </w:r>
      <w:r w:rsidR="009F4884">
        <w:t xml:space="preserve"> </w:t>
      </w:r>
      <w:r w:rsidR="009F4884">
        <w:rPr>
          <w:i/>
        </w:rPr>
        <w:t>Dictio</w:t>
      </w:r>
      <w:r w:rsidR="00BF5976">
        <w:rPr>
          <w:i/>
        </w:rPr>
        <w:t>nary of Celtic Myths and Legends,</w:t>
      </w:r>
      <w:r w:rsidR="00BF5976">
        <w:t xml:space="preserve"> </w:t>
      </w:r>
      <w:r w:rsidR="00DA669F">
        <w:t>1992, p.44</w:t>
      </w:r>
    </w:p>
  </w:footnote>
  <w:footnote w:id="3">
    <w:p w14:paraId="2F6C7895" w14:textId="7F2EA491" w:rsidR="003E79FF" w:rsidRPr="007F6452" w:rsidRDefault="003E79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F6452">
        <w:t xml:space="preserve">Heinz Sabine, </w:t>
      </w:r>
      <w:r w:rsidR="007F6452">
        <w:rPr>
          <w:i/>
        </w:rPr>
        <w:t>Symbols of the Celts</w:t>
      </w:r>
      <w:r w:rsidR="007F6452">
        <w:t xml:space="preserve">, 1999, </w:t>
      </w:r>
      <w:r w:rsidR="00FB4399">
        <w:t>p.63</w:t>
      </w:r>
    </w:p>
  </w:footnote>
  <w:footnote w:id="4">
    <w:p w14:paraId="159265DE" w14:textId="0C1A0749" w:rsidR="00E0315C" w:rsidRDefault="00E0315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Green Miranda, </w:t>
      </w:r>
      <w:r>
        <w:rPr>
          <w:i/>
        </w:rPr>
        <w:t>Dictionary of Celtic Myths and Legends,</w:t>
      </w:r>
      <w:r>
        <w:t xml:space="preserve"> 1992, p.44</w:t>
      </w:r>
    </w:p>
  </w:footnote>
  <w:footnote w:id="5">
    <w:p w14:paraId="2A7E947F" w14:textId="660B078D" w:rsidR="00B24603" w:rsidRDefault="00B246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Heinz Sabine, </w:t>
      </w:r>
      <w:r>
        <w:rPr>
          <w:i/>
        </w:rPr>
        <w:t>Symbols of the Celts</w:t>
      </w:r>
      <w:r>
        <w:t>, 1999, p.63</w:t>
      </w:r>
    </w:p>
  </w:footnote>
  <w:footnote w:id="6">
    <w:p w14:paraId="48577689" w14:textId="7D54722C" w:rsidR="00BC2DCB" w:rsidRPr="0085229D" w:rsidRDefault="00BC2DCB">
      <w:pPr>
        <w:pStyle w:val="FootnoteText"/>
      </w:pPr>
      <w:r>
        <w:rPr>
          <w:rStyle w:val="FootnoteReference"/>
        </w:rPr>
        <w:footnoteRef/>
      </w:r>
      <w:r>
        <w:t xml:space="preserve"> Wood </w:t>
      </w:r>
      <w:r w:rsidR="0085229D">
        <w:t xml:space="preserve">Juliette, </w:t>
      </w:r>
      <w:r w:rsidR="0085229D">
        <w:rPr>
          <w:i/>
        </w:rPr>
        <w:t>The Celtic book of Living and Dying</w:t>
      </w:r>
      <w:r w:rsidR="0085229D">
        <w:t>,</w:t>
      </w:r>
      <w:r w:rsidR="008C777D">
        <w:t xml:space="preserve"> 2000, p.29</w:t>
      </w:r>
    </w:p>
  </w:footnote>
  <w:footnote w:id="7">
    <w:p w14:paraId="45DC8C66" w14:textId="28EE944F" w:rsidR="006E06C7" w:rsidRPr="008B3F9C" w:rsidRDefault="006E06C7">
      <w:pPr>
        <w:pStyle w:val="FootnoteText"/>
      </w:pPr>
      <w:r>
        <w:rPr>
          <w:rStyle w:val="FootnoteReference"/>
        </w:rPr>
        <w:footnoteRef/>
      </w:r>
      <w:r>
        <w:t xml:space="preserve"> Green Miranda,</w:t>
      </w:r>
      <w:r w:rsidR="008B3F9C">
        <w:rPr>
          <w:i/>
        </w:rPr>
        <w:t xml:space="preserve"> The Gods of the Celts</w:t>
      </w:r>
      <w:r w:rsidR="008B3F9C">
        <w:t>, 1986, p.</w:t>
      </w:r>
      <w:r w:rsidR="007D6494">
        <w:t>181</w:t>
      </w:r>
    </w:p>
  </w:footnote>
  <w:footnote w:id="8">
    <w:p w14:paraId="04487D3E" w14:textId="1FC8783A" w:rsidR="00CB4735" w:rsidRPr="00007157" w:rsidRDefault="00CB47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MacCulloch</w:t>
      </w:r>
      <w:proofErr w:type="spellEnd"/>
      <w:r>
        <w:t xml:space="preserve"> J.A, </w:t>
      </w:r>
      <w:r w:rsidR="00007157">
        <w:rPr>
          <w:i/>
        </w:rPr>
        <w:t>The Religion of the Ancient Celts</w:t>
      </w:r>
      <w:r w:rsidR="00007157">
        <w:t>, 1991, p.24</w:t>
      </w:r>
    </w:p>
  </w:footnote>
  <w:footnote w:id="9">
    <w:p w14:paraId="354A2191" w14:textId="17118EE2" w:rsidR="00B16B13" w:rsidRPr="004B3976" w:rsidRDefault="00B16B13">
      <w:pPr>
        <w:pStyle w:val="FootnoteText"/>
      </w:pPr>
      <w:r>
        <w:rPr>
          <w:rStyle w:val="FootnoteReference"/>
        </w:rPr>
        <w:footnoteRef/>
      </w:r>
      <w:r>
        <w:t xml:space="preserve"> Rober</w:t>
      </w:r>
      <w:r w:rsidR="004B3976">
        <w:t>ts John,</w:t>
      </w:r>
      <w:r w:rsidR="004B3976">
        <w:rPr>
          <w:i/>
        </w:rPr>
        <w:t xml:space="preserve"> The Oxford Dictionary of the Classical World</w:t>
      </w:r>
      <w:r w:rsidR="004B3976">
        <w:t>,</w:t>
      </w:r>
      <w:r w:rsidR="009B12B6">
        <w:t xml:space="preserve"> 2005 p.469</w:t>
      </w:r>
    </w:p>
  </w:footnote>
  <w:footnote w:id="10">
    <w:p w14:paraId="1B7E60FE" w14:textId="0530DEF7" w:rsidR="00AF54F6" w:rsidRPr="00B061CD" w:rsidRDefault="00AF54F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9C261C">
        <w:t>Maumené</w:t>
      </w:r>
      <w:proofErr w:type="spellEnd"/>
      <w:r w:rsidR="009C261C">
        <w:t xml:space="preserve"> Claude, </w:t>
      </w:r>
      <w:r w:rsidR="009C261C">
        <w:rPr>
          <w:i/>
        </w:rPr>
        <w:t xml:space="preserve">The </w:t>
      </w:r>
      <w:proofErr w:type="spellStart"/>
      <w:r w:rsidR="009C261C">
        <w:rPr>
          <w:i/>
        </w:rPr>
        <w:t>Gundestrup</w:t>
      </w:r>
      <w:proofErr w:type="spellEnd"/>
      <w:r w:rsidR="009C261C">
        <w:rPr>
          <w:i/>
        </w:rPr>
        <w:t xml:space="preserve"> Cauldron</w:t>
      </w:r>
      <w:r w:rsidR="00B061CD">
        <w:rPr>
          <w:i/>
        </w:rPr>
        <w:t xml:space="preserve">: Is this the key to the Enigma? </w:t>
      </w:r>
      <w:r w:rsidR="0021722A">
        <w:t>2016, p.2</w:t>
      </w:r>
    </w:p>
  </w:footnote>
  <w:footnote w:id="11">
    <w:p w14:paraId="40D640D8" w14:textId="3A504399" w:rsidR="00B90C10" w:rsidRPr="008916C3" w:rsidRDefault="00B90C1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D56E3">
        <w:t xml:space="preserve">Koch John, and Palacio Fernando, </w:t>
      </w:r>
      <w:r w:rsidR="005D56E3">
        <w:rPr>
          <w:i/>
        </w:rPr>
        <w:t xml:space="preserve">Celtic Religions in the Roman Period, </w:t>
      </w:r>
      <w:r w:rsidR="008916C3">
        <w:rPr>
          <w:i/>
        </w:rPr>
        <w:t xml:space="preserve">Some Epigraphic </w:t>
      </w:r>
      <w:proofErr w:type="spellStart"/>
      <w:r w:rsidR="008916C3">
        <w:rPr>
          <w:i/>
        </w:rPr>
        <w:t>Comparanda</w:t>
      </w:r>
      <w:proofErr w:type="spellEnd"/>
      <w:r w:rsidR="008916C3">
        <w:rPr>
          <w:i/>
        </w:rPr>
        <w:t xml:space="preserve"> Bearing on the ‘Pan – Celtic God’ </w:t>
      </w:r>
      <w:proofErr w:type="spellStart"/>
      <w:r w:rsidR="008916C3">
        <w:rPr>
          <w:i/>
        </w:rPr>
        <w:t>Lugus</w:t>
      </w:r>
      <w:proofErr w:type="spellEnd"/>
      <w:r w:rsidR="00AC5312">
        <w:rPr>
          <w:i/>
        </w:rPr>
        <w:t>,</w:t>
      </w:r>
      <w:r w:rsidR="00AC5312">
        <w:t xml:space="preserve"> 2017, p.</w:t>
      </w:r>
      <w:r w:rsidR="00DC2D51">
        <w:t>39</w:t>
      </w:r>
    </w:p>
  </w:footnote>
  <w:footnote w:id="12">
    <w:p w14:paraId="232BDE49" w14:textId="4E1F4747" w:rsidR="003A4009" w:rsidRDefault="003A40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C2D51">
        <w:t xml:space="preserve">Koch John, and Palacio Fernando, </w:t>
      </w:r>
      <w:r w:rsidR="00DC2D51">
        <w:rPr>
          <w:i/>
        </w:rPr>
        <w:t xml:space="preserve">Celtic Religions in the Roman Period, Some Epigraphic </w:t>
      </w:r>
      <w:proofErr w:type="spellStart"/>
      <w:r w:rsidR="00DC2D51">
        <w:rPr>
          <w:i/>
        </w:rPr>
        <w:t>Comparanda</w:t>
      </w:r>
      <w:proofErr w:type="spellEnd"/>
      <w:r w:rsidR="00DC2D51">
        <w:rPr>
          <w:i/>
        </w:rPr>
        <w:t xml:space="preserve"> Bearing on the ‘Pan – Celtic God’ </w:t>
      </w:r>
      <w:proofErr w:type="spellStart"/>
      <w:r w:rsidR="00DC2D51">
        <w:rPr>
          <w:i/>
        </w:rPr>
        <w:t>Lugus</w:t>
      </w:r>
      <w:proofErr w:type="spellEnd"/>
      <w:r w:rsidR="00DC2D51">
        <w:rPr>
          <w:i/>
        </w:rPr>
        <w:t>,</w:t>
      </w:r>
      <w:r w:rsidR="00DC2D51">
        <w:t xml:space="preserve"> 2017, p.</w:t>
      </w:r>
      <w:r w:rsidR="00DC2D51">
        <w:t>40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594"/>
    <w:rsid w:val="00007157"/>
    <w:rsid w:val="00010EEA"/>
    <w:rsid w:val="00021D76"/>
    <w:rsid w:val="00030FE4"/>
    <w:rsid w:val="000359DB"/>
    <w:rsid w:val="00055BB3"/>
    <w:rsid w:val="00067FAA"/>
    <w:rsid w:val="000807D8"/>
    <w:rsid w:val="00081377"/>
    <w:rsid w:val="000A2154"/>
    <w:rsid w:val="000B5D6C"/>
    <w:rsid w:val="000C224E"/>
    <w:rsid w:val="000C2569"/>
    <w:rsid w:val="000C5424"/>
    <w:rsid w:val="000E6A70"/>
    <w:rsid w:val="00124F77"/>
    <w:rsid w:val="00137013"/>
    <w:rsid w:val="00161793"/>
    <w:rsid w:val="0016521B"/>
    <w:rsid w:val="00197BA7"/>
    <w:rsid w:val="001C0F2D"/>
    <w:rsid w:val="001E0600"/>
    <w:rsid w:val="001F24FF"/>
    <w:rsid w:val="002052A6"/>
    <w:rsid w:val="00215DAB"/>
    <w:rsid w:val="0021722A"/>
    <w:rsid w:val="00226834"/>
    <w:rsid w:val="002354CD"/>
    <w:rsid w:val="00252034"/>
    <w:rsid w:val="00293F32"/>
    <w:rsid w:val="002B39AF"/>
    <w:rsid w:val="002C390C"/>
    <w:rsid w:val="003167B6"/>
    <w:rsid w:val="00322006"/>
    <w:rsid w:val="00323C05"/>
    <w:rsid w:val="003551B1"/>
    <w:rsid w:val="00357770"/>
    <w:rsid w:val="00362591"/>
    <w:rsid w:val="003A4009"/>
    <w:rsid w:val="003B5EA1"/>
    <w:rsid w:val="003B67F0"/>
    <w:rsid w:val="003C3CF2"/>
    <w:rsid w:val="003D12C4"/>
    <w:rsid w:val="003E79FF"/>
    <w:rsid w:val="004267EB"/>
    <w:rsid w:val="00444BC7"/>
    <w:rsid w:val="00484347"/>
    <w:rsid w:val="00487A36"/>
    <w:rsid w:val="00491238"/>
    <w:rsid w:val="00497CD3"/>
    <w:rsid w:val="004B3976"/>
    <w:rsid w:val="004C17AE"/>
    <w:rsid w:val="004C4C9D"/>
    <w:rsid w:val="004C7C7D"/>
    <w:rsid w:val="004D219A"/>
    <w:rsid w:val="004D438B"/>
    <w:rsid w:val="004F4523"/>
    <w:rsid w:val="00500B39"/>
    <w:rsid w:val="005129B8"/>
    <w:rsid w:val="005365E9"/>
    <w:rsid w:val="00542099"/>
    <w:rsid w:val="00542AE3"/>
    <w:rsid w:val="00552619"/>
    <w:rsid w:val="00577054"/>
    <w:rsid w:val="005857F7"/>
    <w:rsid w:val="00592223"/>
    <w:rsid w:val="005C0649"/>
    <w:rsid w:val="005D56E3"/>
    <w:rsid w:val="005E5E68"/>
    <w:rsid w:val="006207F1"/>
    <w:rsid w:val="00623BFC"/>
    <w:rsid w:val="0062487C"/>
    <w:rsid w:val="00646958"/>
    <w:rsid w:val="00652534"/>
    <w:rsid w:val="00665954"/>
    <w:rsid w:val="00674B4E"/>
    <w:rsid w:val="00674FA7"/>
    <w:rsid w:val="006815FD"/>
    <w:rsid w:val="006B220F"/>
    <w:rsid w:val="006B614D"/>
    <w:rsid w:val="006E06C7"/>
    <w:rsid w:val="006E20B1"/>
    <w:rsid w:val="006E5F41"/>
    <w:rsid w:val="00706471"/>
    <w:rsid w:val="00745CC7"/>
    <w:rsid w:val="00766391"/>
    <w:rsid w:val="0076749F"/>
    <w:rsid w:val="007712DB"/>
    <w:rsid w:val="007872BE"/>
    <w:rsid w:val="0079339C"/>
    <w:rsid w:val="007C505E"/>
    <w:rsid w:val="007C59C3"/>
    <w:rsid w:val="007D6494"/>
    <w:rsid w:val="007D6927"/>
    <w:rsid w:val="007E059E"/>
    <w:rsid w:val="007E2F44"/>
    <w:rsid w:val="007E6C6B"/>
    <w:rsid w:val="007F5F99"/>
    <w:rsid w:val="007F6452"/>
    <w:rsid w:val="00813681"/>
    <w:rsid w:val="0082441C"/>
    <w:rsid w:val="0085229D"/>
    <w:rsid w:val="008916C3"/>
    <w:rsid w:val="00891E72"/>
    <w:rsid w:val="008B3F9C"/>
    <w:rsid w:val="008C0695"/>
    <w:rsid w:val="008C3284"/>
    <w:rsid w:val="008C777D"/>
    <w:rsid w:val="008E6643"/>
    <w:rsid w:val="008E6AAE"/>
    <w:rsid w:val="008F1A4B"/>
    <w:rsid w:val="008F6B96"/>
    <w:rsid w:val="00901228"/>
    <w:rsid w:val="009031D6"/>
    <w:rsid w:val="00903D99"/>
    <w:rsid w:val="00913C93"/>
    <w:rsid w:val="009448CE"/>
    <w:rsid w:val="0096398B"/>
    <w:rsid w:val="00990830"/>
    <w:rsid w:val="0099341C"/>
    <w:rsid w:val="009A5F1B"/>
    <w:rsid w:val="009B12B6"/>
    <w:rsid w:val="009C261C"/>
    <w:rsid w:val="009C7DB5"/>
    <w:rsid w:val="009F27AB"/>
    <w:rsid w:val="009F4884"/>
    <w:rsid w:val="00A26070"/>
    <w:rsid w:val="00A42874"/>
    <w:rsid w:val="00A42AC7"/>
    <w:rsid w:val="00A4326C"/>
    <w:rsid w:val="00A715A0"/>
    <w:rsid w:val="00A736A5"/>
    <w:rsid w:val="00A73AA4"/>
    <w:rsid w:val="00A91541"/>
    <w:rsid w:val="00A953DD"/>
    <w:rsid w:val="00AA5651"/>
    <w:rsid w:val="00AC3FF1"/>
    <w:rsid w:val="00AC5312"/>
    <w:rsid w:val="00AF54F6"/>
    <w:rsid w:val="00B061CD"/>
    <w:rsid w:val="00B15A81"/>
    <w:rsid w:val="00B16B13"/>
    <w:rsid w:val="00B24603"/>
    <w:rsid w:val="00B251AE"/>
    <w:rsid w:val="00B25EA4"/>
    <w:rsid w:val="00B43339"/>
    <w:rsid w:val="00B745F5"/>
    <w:rsid w:val="00B90C10"/>
    <w:rsid w:val="00BA76A1"/>
    <w:rsid w:val="00BB0C19"/>
    <w:rsid w:val="00BC2DCB"/>
    <w:rsid w:val="00BF5976"/>
    <w:rsid w:val="00C06E4D"/>
    <w:rsid w:val="00C149C9"/>
    <w:rsid w:val="00C14E3E"/>
    <w:rsid w:val="00C362FA"/>
    <w:rsid w:val="00C55B38"/>
    <w:rsid w:val="00C632E1"/>
    <w:rsid w:val="00C81FF7"/>
    <w:rsid w:val="00CA2374"/>
    <w:rsid w:val="00CA3FD2"/>
    <w:rsid w:val="00CB4735"/>
    <w:rsid w:val="00CC0C3D"/>
    <w:rsid w:val="00CC1516"/>
    <w:rsid w:val="00CC5190"/>
    <w:rsid w:val="00CF4594"/>
    <w:rsid w:val="00CF69F8"/>
    <w:rsid w:val="00D03795"/>
    <w:rsid w:val="00D045BC"/>
    <w:rsid w:val="00D52963"/>
    <w:rsid w:val="00D63B80"/>
    <w:rsid w:val="00D71A60"/>
    <w:rsid w:val="00D97EC3"/>
    <w:rsid w:val="00DA669F"/>
    <w:rsid w:val="00DC2D51"/>
    <w:rsid w:val="00E0315C"/>
    <w:rsid w:val="00E162A8"/>
    <w:rsid w:val="00E2525A"/>
    <w:rsid w:val="00E34512"/>
    <w:rsid w:val="00E50583"/>
    <w:rsid w:val="00E630FB"/>
    <w:rsid w:val="00E73EAB"/>
    <w:rsid w:val="00E815B8"/>
    <w:rsid w:val="00E823EF"/>
    <w:rsid w:val="00E92A80"/>
    <w:rsid w:val="00E92EC4"/>
    <w:rsid w:val="00EA0F38"/>
    <w:rsid w:val="00EB0D9A"/>
    <w:rsid w:val="00F122DB"/>
    <w:rsid w:val="00F37F39"/>
    <w:rsid w:val="00F4005B"/>
    <w:rsid w:val="00FB4399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CE0A2"/>
  <w15:chartTrackingRefBased/>
  <w15:docId w15:val="{9D322868-AD67-40C7-AE06-A4B186AF8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="Arial"/>
        <w:spacing w:val="20"/>
        <w:sz w:val="24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7F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pacing w:val="0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4695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695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46958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6207F1"/>
    <w:rPr>
      <w:rFonts w:asciiTheme="majorHAnsi" w:eastAsiaTheme="majorEastAsia" w:hAnsiTheme="majorHAnsi" w:cstheme="majorBidi"/>
      <w:color w:val="2F5496" w:themeColor="accent1" w:themeShade="BF"/>
      <w:spacing w:val="0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6207F1"/>
  </w:style>
  <w:style w:type="paragraph" w:customStyle="1" w:styleId="Default">
    <w:name w:val="Default"/>
    <w:rsid w:val="00AF5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73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Anw06</b:Tag>
    <b:SourceType>JournalArticle</b:SourceType>
    <b:Guid>{EE8A12F6-E44C-46C2-8488-9BF9CE9B42A5}</b:Guid>
    <b:Title>Celtic Religion in Pre-Christian times</b:Title>
    <b:Year>1906</b:Year>
    <b:Author>
      <b:Author>
        <b:NameList>
          <b:Person>
            <b:Last>Anwyl</b:Last>
            <b:First>Edward</b:First>
          </b:Person>
        </b:NameList>
      </b:Author>
    </b:Author>
    <b:Pages>39</b:Pages>
    <b:RefOrder>1</b:RefOrder>
  </b:Source>
  <b:Source>
    <b:Tag>Hei99</b:Tag>
    <b:SourceType>Book</b:SourceType>
    <b:Guid>{FABB3A5F-AE6A-48A2-8ABE-603F7259C997}</b:Guid>
    <b:Title>Symbols of the Celts</b:Title>
    <b:Year>1999</b:Year>
    <b:Author>
      <b:Author>
        <b:NameList>
          <b:Person>
            <b:Last>Heinz</b:Last>
            <b:First>Sabine</b:First>
          </b:Person>
        </b:NameList>
      </b:Author>
    </b:Author>
    <b:City>New York</b:City>
    <b:Publisher>Sterling Publishing Co</b:Publisher>
    <b:RefOrder>2</b:RefOrder>
  </b:Source>
  <b:Source>
    <b:Tag>Gre92</b:Tag>
    <b:SourceType>Book</b:SourceType>
    <b:Guid>{00D06597-623A-423C-8361-07D55026EAC0}</b:Guid>
    <b:Author>
      <b:Author>
        <b:NameList>
          <b:Person>
            <b:Last>Green</b:Last>
            <b:First>Miranda</b:First>
            <b:Middle>J</b:Middle>
          </b:Person>
        </b:NameList>
      </b:Author>
    </b:Author>
    <b:Title>Dictionary of Celtic Myths and Legends</b:Title>
    <b:Year>1992</b:Year>
    <b:City>London</b:City>
    <b:Publisher>Thames and Hudson Ltd</b:Publisher>
    <b:RefOrder>3</b:RefOrder>
  </b:Source>
  <b:Source>
    <b:Tag>Woo00</b:Tag>
    <b:SourceType>Book</b:SourceType>
    <b:Guid>{A5CA679A-07EF-49D0-A3A8-0E58E3959B8F}</b:Guid>
    <b:Author>
      <b:Author>
        <b:NameList>
          <b:Person>
            <b:Last>Wood</b:Last>
            <b:First>Juliette</b:First>
          </b:Person>
        </b:NameList>
      </b:Author>
    </b:Author>
    <b:Title>The Celtic Book of Living and Dying </b:Title>
    <b:Year>2000</b:Year>
    <b:City>London</b:City>
    <b:Publisher>Duncan Baird Publisher </b:Publisher>
    <b:RefOrder>4</b:RefOrder>
  </b:Source>
  <b:Source>
    <b:Tag>Mac91</b:Tag>
    <b:SourceType>Book</b:SourceType>
    <b:Guid>{24EBF925-AF1B-4570-B5A2-A2EF08327885}</b:Guid>
    <b:Author>
      <b:Author>
        <b:NameList>
          <b:Person>
            <b:Last>MacCulloch</b:Last>
            <b:First>J.A</b:First>
          </b:Person>
        </b:NameList>
      </b:Author>
    </b:Author>
    <b:Title>The Religion of the Ancient Celts</b:Title>
    <b:Year>1991</b:Year>
    <b:City>Edinburgh</b:City>
    <b:Publisher>T &amp; T Clark</b:Publisher>
    <b:RefOrder>5</b:RefOrder>
  </b:Source>
  <b:Source>
    <b:Tag>Rob05</b:Tag>
    <b:SourceType>Book</b:SourceType>
    <b:Guid>{ACBB03C0-B395-4944-BA4E-F81B1A9EF471}</b:Guid>
    <b:Author>
      <b:Author>
        <b:NameList>
          <b:Person>
            <b:Last>Roberts</b:Last>
            <b:First>John</b:First>
          </b:Person>
        </b:NameList>
      </b:Author>
    </b:Author>
    <b:Title>The Oxford Dictionary of the Classical World</b:Title>
    <b:Year>2005</b:Year>
    <b:City>New York</b:City>
    <b:Publisher>Oxford University Press</b:Publisher>
    <b:RefOrder>6</b:RefOrder>
  </b:Source>
  <b:Source>
    <b:Tag>Gre86</b:Tag>
    <b:SourceType>Book</b:SourceType>
    <b:Guid>{C2718B18-10E8-4A98-8CFA-7F09D92C5874}</b:Guid>
    <b:Author>
      <b:Author>
        <b:NameList>
          <b:Person>
            <b:Last>Green</b:Last>
            <b:First>Miranda</b:First>
            <b:Middle>J</b:Middle>
          </b:Person>
        </b:NameList>
      </b:Author>
    </b:Author>
    <b:Title>The Gods of the Celts</b:Title>
    <b:Year>1986</b:Year>
    <b:City>New Jersey </b:City>
    <b:Publisher>Barnes and Noble Books </b:Publisher>
    <b:RefOrder>7</b:RefOrder>
  </b:Source>
  <b:Source>
    <b:Tag>Mai16</b:Tag>
    <b:SourceType>JournalArticle</b:SourceType>
    <b:Guid>{12D50D42-6BAA-4733-B10F-2D538178AD29}</b:Guid>
    <b:Title>The Gundestrup cauldron: Is this the key to the Enigma?</b:Title>
    <b:Year>2016</b:Year>
    <b:JournalName>Mediterranean Archaeology and Archaeometry</b:JournalName>
    <b:Pages>351-358</b:Pages>
    <b:Author>
      <b:Author>
        <b:NameList>
          <b:Person>
            <b:Last>Maimené</b:Last>
            <b:First>Clause</b:First>
          </b:Person>
        </b:NameList>
      </b:Author>
    </b:Author>
    <b:Month>03</b:Month>
    <b:Day>20</b:Day>
    <b:RefOrder>8</b:RefOrder>
  </b:Source>
  <b:Source>
    <b:Tag>Pal17</b:Tag>
    <b:SourceType>BookSection</b:SourceType>
    <b:Guid>{507C7DF4-B835-42C4-8468-685226CA3516}</b:Guid>
    <b:Title>Some Epugraphic Comparanda Bearing on the 'Pan - Celtic God' Lugus</b:Title>
    <b:Year>2017</b:Year>
    <b:Pages>37 - 55</b:Pages>
    <b:Author>
      <b:Author>
        <b:NameList>
          <b:Person>
            <b:Last>Palacios</b:Last>
            <b:First>John</b:First>
            <b:Middle>T. Kosh and Fernando Fernándes</b:Middle>
          </b:Person>
        </b:NameList>
      </b:Author>
      <b:BookAuthor>
        <b:NameList>
          <b:Person>
            <b:Last>King</b:Last>
            <b:First>Ralph</b:First>
            <b:Middle>Haeussler and Anthony</b:Middle>
          </b:Person>
        </b:NameList>
      </b:BookAuthor>
    </b:Author>
    <b:BookTitle>Celtic Religions in the Roman Period </b:BookTitle>
    <b:City>Aberystwyth </b:City>
    <b:Publisher>Center for Advanced Welsh and Celtic Studies</b:Publisher>
    <b:RefOrder>9</b:RefOrder>
  </b:Source>
</b:Sources>
</file>

<file path=customXml/itemProps1.xml><?xml version="1.0" encoding="utf-8"?>
<ds:datastoreItem xmlns:ds="http://schemas.openxmlformats.org/officeDocument/2006/customXml" ds:itemID="{8E4C2754-D860-4B5B-9F73-7BDEF8D43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Lloyd (1700665)</dc:creator>
  <cp:keywords/>
  <dc:description/>
  <cp:lastModifiedBy>Angharad Lloyd (1700665)</cp:lastModifiedBy>
  <cp:revision>2</cp:revision>
  <dcterms:created xsi:type="dcterms:W3CDTF">2018-09-28T18:21:00Z</dcterms:created>
  <dcterms:modified xsi:type="dcterms:W3CDTF">2018-09-28T18:21:00Z</dcterms:modified>
</cp:coreProperties>
</file>