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23FD72" w14:textId="77777777" w:rsidR="00FE78AF" w:rsidRDefault="00FE78AF">
      <w:pPr>
        <w:rPr>
          <w:rFonts w:ascii="Calibri" w:hAnsi="Calibri" w:cs="Calibri"/>
          <w:sz w:val="22"/>
          <w:szCs w:val="22"/>
          <w:u w:val="single"/>
        </w:rPr>
      </w:pPr>
    </w:p>
    <w:p w14:paraId="42F7B819" w14:textId="23F79AF0" w:rsidR="00326093" w:rsidRPr="0017714A" w:rsidRDefault="00D37799">
      <w:pPr>
        <w:rPr>
          <w:rFonts w:ascii="Calibri" w:hAnsi="Calibri" w:cs="Calibri"/>
          <w:sz w:val="22"/>
          <w:szCs w:val="22"/>
          <w:u w:val="single"/>
        </w:rPr>
      </w:pPr>
      <w:r w:rsidRPr="0017714A">
        <w:rPr>
          <w:rFonts w:ascii="Calibri" w:hAnsi="Calibri" w:cs="Calibri"/>
          <w:sz w:val="22"/>
          <w:szCs w:val="22"/>
          <w:u w:val="single"/>
        </w:rPr>
        <w:t>Jordan Mitchell</w:t>
      </w:r>
      <w:r w:rsidR="0058445C">
        <w:rPr>
          <w:rFonts w:ascii="Calibri" w:hAnsi="Calibri" w:cs="Calibri"/>
          <w:sz w:val="22"/>
          <w:szCs w:val="22"/>
          <w:u w:val="single"/>
        </w:rPr>
        <w:t xml:space="preserve"> </w:t>
      </w:r>
    </w:p>
    <w:p w14:paraId="030D5CFC" w14:textId="77777777" w:rsidR="0017714A" w:rsidRPr="0017714A" w:rsidRDefault="0017714A">
      <w:pPr>
        <w:rPr>
          <w:rFonts w:ascii="Calibri" w:hAnsi="Calibri" w:cs="Calibri"/>
          <w:sz w:val="22"/>
          <w:szCs w:val="22"/>
          <w:u w:val="single"/>
        </w:rPr>
      </w:pPr>
    </w:p>
    <w:p w14:paraId="5F4B3C4D" w14:textId="5471ADC7" w:rsidR="0017714A" w:rsidRPr="00471203" w:rsidRDefault="0017714A">
      <w:pPr>
        <w:rPr>
          <w:rFonts w:ascii="Calibri" w:hAnsi="Calibri" w:cs="Calibri"/>
          <w:sz w:val="22"/>
          <w:szCs w:val="22"/>
        </w:rPr>
      </w:pPr>
      <w:r w:rsidRPr="00471203">
        <w:rPr>
          <w:rFonts w:ascii="Calibri" w:hAnsi="Calibri" w:cs="Calibri"/>
          <w:sz w:val="22"/>
          <w:szCs w:val="22"/>
        </w:rPr>
        <w:t>(AC 1.1) Explain the principles of reward and its importance to organisational culture and performance management.</w:t>
      </w:r>
    </w:p>
    <w:p w14:paraId="1CD4D25C" w14:textId="77777777" w:rsidR="0017714A" w:rsidRPr="0017714A" w:rsidRDefault="0017714A">
      <w:pPr>
        <w:rPr>
          <w:rFonts w:ascii="Calibri" w:hAnsi="Calibri" w:cs="Calibri"/>
          <w:sz w:val="22"/>
          <w:szCs w:val="22"/>
          <w:u w:val="single"/>
        </w:rPr>
      </w:pPr>
    </w:p>
    <w:p w14:paraId="31C48669" w14:textId="7599C47E" w:rsidR="006811A3" w:rsidRPr="0095737B" w:rsidRDefault="006811A3" w:rsidP="006811A3">
      <w:pPr>
        <w:rPr>
          <w:rFonts w:ascii="Calibri" w:hAnsi="Calibri" w:cs="Calibri"/>
          <w:sz w:val="22"/>
          <w:szCs w:val="22"/>
        </w:rPr>
      </w:pPr>
      <w:r w:rsidRPr="0095737B">
        <w:rPr>
          <w:rFonts w:ascii="Calibri" w:hAnsi="Calibri" w:cs="Calibri"/>
          <w:sz w:val="22"/>
          <w:szCs w:val="22"/>
        </w:rPr>
        <w:t>Reward plays a</w:t>
      </w:r>
      <w:r w:rsidR="00912135">
        <w:rPr>
          <w:rFonts w:ascii="Calibri" w:hAnsi="Calibri" w:cs="Calibri"/>
          <w:sz w:val="22"/>
          <w:szCs w:val="22"/>
        </w:rPr>
        <w:t>n</w:t>
      </w:r>
      <w:r w:rsidRPr="0095737B">
        <w:rPr>
          <w:rFonts w:ascii="Calibri" w:hAnsi="Calibri" w:cs="Calibri"/>
          <w:sz w:val="22"/>
          <w:szCs w:val="22"/>
        </w:rPr>
        <w:t xml:space="preserve"> </w:t>
      </w:r>
      <w:r w:rsidR="00912135">
        <w:rPr>
          <w:rFonts w:ascii="Calibri" w:hAnsi="Calibri" w:cs="Calibri"/>
          <w:sz w:val="22"/>
          <w:szCs w:val="22"/>
        </w:rPr>
        <w:t>important</w:t>
      </w:r>
      <w:r w:rsidRPr="0095737B">
        <w:rPr>
          <w:rFonts w:ascii="Calibri" w:hAnsi="Calibri" w:cs="Calibri"/>
          <w:sz w:val="22"/>
          <w:szCs w:val="22"/>
        </w:rPr>
        <w:t xml:space="preserve"> role in shaping </w:t>
      </w:r>
      <w:r w:rsidR="0095737B" w:rsidRPr="0095737B">
        <w:rPr>
          <w:rFonts w:ascii="Calibri" w:hAnsi="Calibri" w:cs="Calibri"/>
          <w:sz w:val="22"/>
          <w:szCs w:val="22"/>
        </w:rPr>
        <w:t>organis</w:t>
      </w:r>
      <w:r w:rsidR="0095737B">
        <w:rPr>
          <w:rFonts w:ascii="Calibri" w:hAnsi="Calibri" w:cs="Calibri"/>
          <w:sz w:val="22"/>
          <w:szCs w:val="22"/>
        </w:rPr>
        <w:t>a</w:t>
      </w:r>
      <w:r w:rsidR="0095737B" w:rsidRPr="0095737B">
        <w:rPr>
          <w:rFonts w:ascii="Calibri" w:hAnsi="Calibri" w:cs="Calibri"/>
          <w:sz w:val="22"/>
          <w:szCs w:val="22"/>
        </w:rPr>
        <w:t>tional</w:t>
      </w:r>
      <w:r w:rsidRPr="0095737B">
        <w:rPr>
          <w:rFonts w:ascii="Calibri" w:hAnsi="Calibri" w:cs="Calibri"/>
          <w:sz w:val="22"/>
          <w:szCs w:val="22"/>
        </w:rPr>
        <w:t xml:space="preserve"> culture and enhancing performance management. The principles of reward encompass both financial and non-financial elements </w:t>
      </w:r>
      <w:r w:rsidR="007203CD">
        <w:rPr>
          <w:rFonts w:ascii="Calibri" w:hAnsi="Calibri" w:cs="Calibri"/>
          <w:sz w:val="22"/>
          <w:szCs w:val="22"/>
        </w:rPr>
        <w:t xml:space="preserve">which are </w:t>
      </w:r>
      <w:r w:rsidRPr="0095737B">
        <w:rPr>
          <w:rFonts w:ascii="Calibri" w:hAnsi="Calibri" w:cs="Calibri"/>
          <w:sz w:val="22"/>
          <w:szCs w:val="22"/>
        </w:rPr>
        <w:t xml:space="preserve">designed to attract, retain, and motivate employees while aligning their </w:t>
      </w:r>
      <w:r w:rsidR="0095737B" w:rsidRPr="0095737B">
        <w:rPr>
          <w:rFonts w:ascii="Calibri" w:hAnsi="Calibri" w:cs="Calibri"/>
          <w:sz w:val="22"/>
          <w:szCs w:val="22"/>
        </w:rPr>
        <w:t>behaviours</w:t>
      </w:r>
      <w:r w:rsidRPr="0095737B">
        <w:rPr>
          <w:rFonts w:ascii="Calibri" w:hAnsi="Calibri" w:cs="Calibri"/>
          <w:sz w:val="22"/>
          <w:szCs w:val="22"/>
        </w:rPr>
        <w:t xml:space="preserve"> with organi</w:t>
      </w:r>
      <w:r w:rsidR="0095737B">
        <w:rPr>
          <w:rFonts w:ascii="Calibri" w:hAnsi="Calibri" w:cs="Calibri"/>
          <w:sz w:val="22"/>
          <w:szCs w:val="22"/>
        </w:rPr>
        <w:t>s</w:t>
      </w:r>
      <w:r w:rsidRPr="0095737B">
        <w:rPr>
          <w:rFonts w:ascii="Calibri" w:hAnsi="Calibri" w:cs="Calibri"/>
          <w:sz w:val="22"/>
          <w:szCs w:val="22"/>
        </w:rPr>
        <w:t>ational objectives.</w:t>
      </w:r>
    </w:p>
    <w:p w14:paraId="5B6547CE" w14:textId="5CEC48B3" w:rsidR="006811A3" w:rsidRPr="0095737B" w:rsidRDefault="006811A3" w:rsidP="006811A3">
      <w:pPr>
        <w:rPr>
          <w:rFonts w:ascii="Calibri" w:hAnsi="Calibri" w:cs="Calibri"/>
          <w:sz w:val="22"/>
          <w:szCs w:val="22"/>
        </w:rPr>
      </w:pPr>
      <w:r w:rsidRPr="0095737B">
        <w:rPr>
          <w:rFonts w:ascii="Calibri" w:hAnsi="Calibri" w:cs="Calibri"/>
          <w:sz w:val="22"/>
          <w:szCs w:val="22"/>
        </w:rPr>
        <w:t xml:space="preserve">Financial rewards, </w:t>
      </w:r>
      <w:r w:rsidR="0019744D">
        <w:rPr>
          <w:rFonts w:ascii="Calibri" w:hAnsi="Calibri" w:cs="Calibri"/>
          <w:sz w:val="22"/>
          <w:szCs w:val="22"/>
        </w:rPr>
        <w:t>such as</w:t>
      </w:r>
      <w:r w:rsidRPr="0095737B">
        <w:rPr>
          <w:rFonts w:ascii="Calibri" w:hAnsi="Calibri" w:cs="Calibri"/>
          <w:sz w:val="22"/>
          <w:szCs w:val="22"/>
        </w:rPr>
        <w:t xml:space="preserve"> </w:t>
      </w:r>
      <w:r w:rsidR="007203CD">
        <w:rPr>
          <w:rFonts w:ascii="Calibri" w:hAnsi="Calibri" w:cs="Calibri"/>
          <w:sz w:val="22"/>
          <w:szCs w:val="22"/>
        </w:rPr>
        <w:t>salary</w:t>
      </w:r>
      <w:r w:rsidRPr="0095737B">
        <w:rPr>
          <w:rFonts w:ascii="Calibri" w:hAnsi="Calibri" w:cs="Calibri"/>
          <w:sz w:val="22"/>
          <w:szCs w:val="22"/>
        </w:rPr>
        <w:t>, bonuses, and benefits, form the foundation of most reward systems. Performance-related pay (PRP) is often utili</w:t>
      </w:r>
      <w:r w:rsidR="0019744D">
        <w:rPr>
          <w:rFonts w:ascii="Calibri" w:hAnsi="Calibri" w:cs="Calibri"/>
          <w:sz w:val="22"/>
          <w:szCs w:val="22"/>
        </w:rPr>
        <w:t>s</w:t>
      </w:r>
      <w:r w:rsidRPr="0095737B">
        <w:rPr>
          <w:rFonts w:ascii="Calibri" w:hAnsi="Calibri" w:cs="Calibri"/>
          <w:sz w:val="22"/>
          <w:szCs w:val="22"/>
        </w:rPr>
        <w:t>ed to communicate performance expectations and incentivi</w:t>
      </w:r>
      <w:r w:rsidR="0019744D">
        <w:rPr>
          <w:rFonts w:ascii="Calibri" w:hAnsi="Calibri" w:cs="Calibri"/>
          <w:sz w:val="22"/>
          <w:szCs w:val="22"/>
        </w:rPr>
        <w:t>s</w:t>
      </w:r>
      <w:r w:rsidRPr="0095737B">
        <w:rPr>
          <w:rFonts w:ascii="Calibri" w:hAnsi="Calibri" w:cs="Calibri"/>
          <w:sz w:val="22"/>
          <w:szCs w:val="22"/>
        </w:rPr>
        <w:t>e high performers (Wilton, 20</w:t>
      </w:r>
      <w:r w:rsidR="00BF4D78">
        <w:rPr>
          <w:rFonts w:ascii="Calibri" w:hAnsi="Calibri" w:cs="Calibri"/>
          <w:sz w:val="22"/>
          <w:szCs w:val="22"/>
        </w:rPr>
        <w:t>19)</w:t>
      </w:r>
      <w:r w:rsidRPr="0095737B">
        <w:rPr>
          <w:rFonts w:ascii="Calibri" w:hAnsi="Calibri" w:cs="Calibri"/>
          <w:sz w:val="22"/>
          <w:szCs w:val="22"/>
        </w:rPr>
        <w:t xml:space="preserve"> However, the </w:t>
      </w:r>
      <w:r w:rsidR="0019744D">
        <w:rPr>
          <w:rFonts w:ascii="Calibri" w:hAnsi="Calibri" w:cs="Calibri"/>
          <w:sz w:val="22"/>
          <w:szCs w:val="22"/>
        </w:rPr>
        <w:t>efficiency</w:t>
      </w:r>
      <w:r w:rsidRPr="0095737B">
        <w:rPr>
          <w:rFonts w:ascii="Calibri" w:hAnsi="Calibri" w:cs="Calibri"/>
          <w:sz w:val="22"/>
          <w:szCs w:val="22"/>
        </w:rPr>
        <w:t xml:space="preserve"> of PRP is contingent upon perceived fairness and proper implementation. An excessive focus on financial incentives may inadvertently promote undesired </w:t>
      </w:r>
      <w:r w:rsidR="0095737B" w:rsidRPr="0095737B">
        <w:rPr>
          <w:rFonts w:ascii="Calibri" w:hAnsi="Calibri" w:cs="Calibri"/>
          <w:sz w:val="22"/>
          <w:szCs w:val="22"/>
        </w:rPr>
        <w:t>behaviours</w:t>
      </w:r>
      <w:r w:rsidRPr="0095737B">
        <w:rPr>
          <w:rFonts w:ascii="Calibri" w:hAnsi="Calibri" w:cs="Calibri"/>
          <w:sz w:val="22"/>
          <w:szCs w:val="22"/>
        </w:rPr>
        <w:t xml:space="preserve"> or a short-term perspective (Wilton, </w:t>
      </w:r>
      <w:r w:rsidR="00BF4D78">
        <w:rPr>
          <w:rFonts w:ascii="Calibri" w:hAnsi="Calibri" w:cs="Calibri"/>
          <w:sz w:val="22"/>
          <w:szCs w:val="22"/>
        </w:rPr>
        <w:t>2019</w:t>
      </w:r>
      <w:r w:rsidRPr="0095737B">
        <w:rPr>
          <w:rFonts w:ascii="Calibri" w:hAnsi="Calibri" w:cs="Calibri"/>
          <w:sz w:val="22"/>
          <w:szCs w:val="22"/>
        </w:rPr>
        <w:t>).</w:t>
      </w:r>
    </w:p>
    <w:p w14:paraId="5780859F" w14:textId="5520C755" w:rsidR="006811A3" w:rsidRPr="0095737B" w:rsidRDefault="006811A3" w:rsidP="006811A3">
      <w:pPr>
        <w:rPr>
          <w:rFonts w:ascii="Calibri" w:hAnsi="Calibri" w:cs="Calibri"/>
          <w:sz w:val="22"/>
          <w:szCs w:val="22"/>
        </w:rPr>
      </w:pPr>
      <w:r w:rsidRPr="0095737B">
        <w:rPr>
          <w:rFonts w:ascii="Calibri" w:hAnsi="Calibri" w:cs="Calibri"/>
          <w:sz w:val="22"/>
          <w:szCs w:val="22"/>
        </w:rPr>
        <w:t>Non-financial rewards are equally vital in a comprehensive reward strategy. These may include recognition, career development opportunities, flexible working arrangements, and a positive work environment (CIPD</w:t>
      </w:r>
      <w:r w:rsidR="007E5E3A">
        <w:rPr>
          <w:rFonts w:ascii="Calibri" w:hAnsi="Calibri" w:cs="Calibri"/>
          <w:sz w:val="22"/>
          <w:szCs w:val="22"/>
        </w:rPr>
        <w:t>, 2024a</w:t>
      </w:r>
      <w:r w:rsidRPr="0095737B">
        <w:rPr>
          <w:rFonts w:ascii="Calibri" w:hAnsi="Calibri" w:cs="Calibri"/>
          <w:sz w:val="22"/>
          <w:szCs w:val="22"/>
        </w:rPr>
        <w:t>). Such rewards can significantly impact employee engagement and commitment, often at a lower cost to the organi</w:t>
      </w:r>
      <w:r w:rsidR="00120DEA">
        <w:rPr>
          <w:rFonts w:ascii="Calibri" w:hAnsi="Calibri" w:cs="Calibri"/>
          <w:sz w:val="22"/>
          <w:szCs w:val="22"/>
        </w:rPr>
        <w:t>s</w:t>
      </w:r>
      <w:r w:rsidRPr="0095737B">
        <w:rPr>
          <w:rFonts w:ascii="Calibri" w:hAnsi="Calibri" w:cs="Calibri"/>
          <w:sz w:val="22"/>
          <w:szCs w:val="22"/>
        </w:rPr>
        <w:t>ation (CIPD</w:t>
      </w:r>
      <w:r w:rsidR="007E5E3A">
        <w:rPr>
          <w:rFonts w:ascii="Calibri" w:hAnsi="Calibri" w:cs="Calibri"/>
          <w:sz w:val="22"/>
          <w:szCs w:val="22"/>
        </w:rPr>
        <w:t>, 2024a</w:t>
      </w:r>
      <w:r w:rsidRPr="0095737B">
        <w:rPr>
          <w:rFonts w:ascii="Calibri" w:hAnsi="Calibri" w:cs="Calibri"/>
          <w:sz w:val="22"/>
          <w:szCs w:val="22"/>
        </w:rPr>
        <w:t>).</w:t>
      </w:r>
    </w:p>
    <w:p w14:paraId="78931227" w14:textId="6A98EA3E" w:rsidR="006811A3" w:rsidRPr="0095737B" w:rsidRDefault="006811A3" w:rsidP="006811A3">
      <w:pPr>
        <w:rPr>
          <w:rFonts w:ascii="Calibri" w:hAnsi="Calibri" w:cs="Calibri"/>
          <w:sz w:val="22"/>
          <w:szCs w:val="22"/>
        </w:rPr>
      </w:pPr>
      <w:r w:rsidRPr="0095737B">
        <w:rPr>
          <w:rFonts w:ascii="Calibri" w:hAnsi="Calibri" w:cs="Calibri"/>
          <w:sz w:val="22"/>
          <w:szCs w:val="22"/>
        </w:rPr>
        <w:t>The concept of total reward integrates both financial and non-financial elements to create a holistic approach (CIPD</w:t>
      </w:r>
      <w:r w:rsidR="007E5E3A">
        <w:rPr>
          <w:rFonts w:ascii="Calibri" w:hAnsi="Calibri" w:cs="Calibri"/>
          <w:sz w:val="22"/>
          <w:szCs w:val="22"/>
        </w:rPr>
        <w:t>, 2024a</w:t>
      </w:r>
      <w:r w:rsidRPr="0095737B">
        <w:rPr>
          <w:rFonts w:ascii="Calibri" w:hAnsi="Calibri" w:cs="Calibri"/>
          <w:sz w:val="22"/>
          <w:szCs w:val="22"/>
        </w:rPr>
        <w:t>). This strategy acknowledges that individuals are motivated by different factors at various stages of their careers and personal lives. A well-designed total reward package can enhance the employer brand and contribute to a positive organi</w:t>
      </w:r>
      <w:r w:rsidR="00120DEA">
        <w:rPr>
          <w:rFonts w:ascii="Calibri" w:hAnsi="Calibri" w:cs="Calibri"/>
          <w:sz w:val="22"/>
          <w:szCs w:val="22"/>
        </w:rPr>
        <w:t>s</w:t>
      </w:r>
      <w:r w:rsidRPr="0095737B">
        <w:rPr>
          <w:rFonts w:ascii="Calibri" w:hAnsi="Calibri" w:cs="Calibri"/>
          <w:sz w:val="22"/>
          <w:szCs w:val="22"/>
        </w:rPr>
        <w:t>ational culture (CIPD</w:t>
      </w:r>
      <w:r w:rsidR="007E5E3A">
        <w:rPr>
          <w:rFonts w:ascii="Calibri" w:hAnsi="Calibri" w:cs="Calibri"/>
          <w:sz w:val="22"/>
          <w:szCs w:val="22"/>
        </w:rPr>
        <w:t>, 2024a</w:t>
      </w:r>
      <w:r w:rsidRPr="0095737B">
        <w:rPr>
          <w:rFonts w:ascii="Calibri" w:hAnsi="Calibri" w:cs="Calibri"/>
          <w:sz w:val="22"/>
          <w:szCs w:val="22"/>
        </w:rPr>
        <w:t>).</w:t>
      </w:r>
    </w:p>
    <w:p w14:paraId="3D2C69DD" w14:textId="2C534098" w:rsidR="006811A3" w:rsidRPr="0095737B" w:rsidRDefault="006811A3" w:rsidP="006811A3">
      <w:pPr>
        <w:rPr>
          <w:rFonts w:ascii="Calibri" w:hAnsi="Calibri" w:cs="Calibri"/>
          <w:sz w:val="22"/>
          <w:szCs w:val="22"/>
        </w:rPr>
      </w:pPr>
      <w:r w:rsidRPr="0095737B">
        <w:rPr>
          <w:rFonts w:ascii="Calibri" w:hAnsi="Calibri" w:cs="Calibri"/>
          <w:sz w:val="22"/>
          <w:szCs w:val="22"/>
        </w:rPr>
        <w:t xml:space="preserve">Reward principles are closely </w:t>
      </w:r>
      <w:r w:rsidR="00120DEA" w:rsidRPr="0095737B">
        <w:rPr>
          <w:rFonts w:ascii="Calibri" w:hAnsi="Calibri" w:cs="Calibri"/>
          <w:sz w:val="22"/>
          <w:szCs w:val="22"/>
        </w:rPr>
        <w:t>linked</w:t>
      </w:r>
      <w:r w:rsidRPr="0095737B">
        <w:rPr>
          <w:rFonts w:ascii="Calibri" w:hAnsi="Calibri" w:cs="Calibri"/>
          <w:sz w:val="22"/>
          <w:szCs w:val="22"/>
        </w:rPr>
        <w:t xml:space="preserve"> with performance management, providing a mechanism for recogni</w:t>
      </w:r>
      <w:r w:rsidR="008A2B63">
        <w:rPr>
          <w:rFonts w:ascii="Calibri" w:hAnsi="Calibri" w:cs="Calibri"/>
          <w:sz w:val="22"/>
          <w:szCs w:val="22"/>
        </w:rPr>
        <w:t>s</w:t>
      </w:r>
      <w:r w:rsidRPr="0095737B">
        <w:rPr>
          <w:rFonts w:ascii="Calibri" w:hAnsi="Calibri" w:cs="Calibri"/>
          <w:sz w:val="22"/>
          <w:szCs w:val="22"/>
        </w:rPr>
        <w:t xml:space="preserve">ing and reinforcing desired </w:t>
      </w:r>
      <w:r w:rsidR="0095737B" w:rsidRPr="0095737B">
        <w:rPr>
          <w:rFonts w:ascii="Calibri" w:hAnsi="Calibri" w:cs="Calibri"/>
          <w:sz w:val="22"/>
          <w:szCs w:val="22"/>
        </w:rPr>
        <w:t>behaviours</w:t>
      </w:r>
      <w:r w:rsidRPr="0095737B">
        <w:rPr>
          <w:rFonts w:ascii="Calibri" w:hAnsi="Calibri" w:cs="Calibri"/>
          <w:sz w:val="22"/>
          <w:szCs w:val="22"/>
        </w:rPr>
        <w:t xml:space="preserve"> and outcomes (Wilton, </w:t>
      </w:r>
      <w:r w:rsidR="00BF4D78">
        <w:rPr>
          <w:rFonts w:ascii="Calibri" w:hAnsi="Calibri" w:cs="Calibri"/>
          <w:sz w:val="22"/>
          <w:szCs w:val="22"/>
        </w:rPr>
        <w:t>2019</w:t>
      </w:r>
      <w:r w:rsidRPr="0095737B">
        <w:rPr>
          <w:rFonts w:ascii="Calibri" w:hAnsi="Calibri" w:cs="Calibri"/>
          <w:sz w:val="22"/>
          <w:szCs w:val="22"/>
        </w:rPr>
        <w:t>). However, it's crucial to ensure that reward practices align with broader organi</w:t>
      </w:r>
      <w:r w:rsidR="00274A48">
        <w:rPr>
          <w:rFonts w:ascii="Calibri" w:hAnsi="Calibri" w:cs="Calibri"/>
          <w:sz w:val="22"/>
          <w:szCs w:val="22"/>
        </w:rPr>
        <w:t>s</w:t>
      </w:r>
      <w:r w:rsidRPr="0095737B">
        <w:rPr>
          <w:rFonts w:ascii="Calibri" w:hAnsi="Calibri" w:cs="Calibri"/>
          <w:sz w:val="22"/>
          <w:szCs w:val="22"/>
        </w:rPr>
        <w:t xml:space="preserve">ational goals and values. </w:t>
      </w:r>
      <w:r w:rsidR="00D04E06" w:rsidRPr="00D04E06">
        <w:rPr>
          <w:rFonts w:ascii="Calibri" w:hAnsi="Calibri" w:cs="Calibri"/>
          <w:sz w:val="22"/>
          <w:szCs w:val="22"/>
        </w:rPr>
        <w:t xml:space="preserve">Misaligned reward systems can potentially undermine cultural initiatives or lead to counterproductive behaviours (Wilton, </w:t>
      </w:r>
      <w:r w:rsidR="001E1C6D">
        <w:rPr>
          <w:rFonts w:ascii="Calibri" w:hAnsi="Calibri" w:cs="Calibri"/>
          <w:sz w:val="22"/>
          <w:szCs w:val="22"/>
        </w:rPr>
        <w:t>2019</w:t>
      </w:r>
      <w:r w:rsidR="00D04E06" w:rsidRPr="00D04E06">
        <w:rPr>
          <w:rFonts w:ascii="Calibri" w:hAnsi="Calibri" w:cs="Calibri"/>
          <w:sz w:val="22"/>
          <w:szCs w:val="22"/>
        </w:rPr>
        <w:t xml:space="preserve">). A prime example of this is the </w:t>
      </w:r>
      <w:r w:rsidR="004D356C">
        <w:rPr>
          <w:rFonts w:ascii="Calibri" w:hAnsi="Calibri" w:cs="Calibri"/>
          <w:sz w:val="22"/>
          <w:szCs w:val="22"/>
        </w:rPr>
        <w:t xml:space="preserve">2016 </w:t>
      </w:r>
      <w:r w:rsidR="00D04E06" w:rsidRPr="00D04E06">
        <w:rPr>
          <w:rFonts w:ascii="Calibri" w:hAnsi="Calibri" w:cs="Calibri"/>
          <w:sz w:val="22"/>
          <w:szCs w:val="22"/>
        </w:rPr>
        <w:t>Wells Fargo account fraud</w:t>
      </w:r>
      <w:r w:rsidR="008D1E04">
        <w:rPr>
          <w:rFonts w:ascii="Calibri" w:hAnsi="Calibri" w:cs="Calibri"/>
          <w:sz w:val="22"/>
          <w:szCs w:val="22"/>
        </w:rPr>
        <w:t xml:space="preserve"> scandal</w:t>
      </w:r>
      <w:r w:rsidR="00D04E06" w:rsidRPr="00D04E06">
        <w:rPr>
          <w:rFonts w:ascii="Calibri" w:hAnsi="Calibri" w:cs="Calibri"/>
          <w:sz w:val="22"/>
          <w:szCs w:val="22"/>
        </w:rPr>
        <w:t>. The bank had implemented an aggressive sales incentive program that rewarded employees for opening new accounts</w:t>
      </w:r>
      <w:r w:rsidR="00D04E06">
        <w:rPr>
          <w:rFonts w:ascii="Calibri" w:hAnsi="Calibri" w:cs="Calibri"/>
          <w:sz w:val="22"/>
          <w:szCs w:val="22"/>
        </w:rPr>
        <w:t xml:space="preserve"> which </w:t>
      </w:r>
      <w:r w:rsidR="00D04E06" w:rsidRPr="00D04E06">
        <w:rPr>
          <w:rFonts w:ascii="Calibri" w:hAnsi="Calibri" w:cs="Calibri"/>
          <w:sz w:val="22"/>
          <w:szCs w:val="22"/>
        </w:rPr>
        <w:t>led to widespread fraudulent practices where employees opened millions of unauthori</w:t>
      </w:r>
      <w:r w:rsidR="00F94D27">
        <w:rPr>
          <w:rFonts w:ascii="Calibri" w:hAnsi="Calibri" w:cs="Calibri"/>
          <w:sz w:val="22"/>
          <w:szCs w:val="22"/>
        </w:rPr>
        <w:t>s</w:t>
      </w:r>
      <w:r w:rsidR="00D04E06" w:rsidRPr="00D04E06">
        <w:rPr>
          <w:rFonts w:ascii="Calibri" w:hAnsi="Calibri" w:cs="Calibri"/>
          <w:sz w:val="22"/>
          <w:szCs w:val="22"/>
        </w:rPr>
        <w:t>ed accounts to meet sales targets and earn bonuses</w:t>
      </w:r>
      <w:r w:rsidR="00D04E06">
        <w:rPr>
          <w:rFonts w:ascii="Calibri" w:hAnsi="Calibri" w:cs="Calibri"/>
          <w:sz w:val="22"/>
          <w:szCs w:val="22"/>
        </w:rPr>
        <w:t xml:space="preserve"> (</w:t>
      </w:r>
      <w:r w:rsidR="00371209">
        <w:rPr>
          <w:rFonts w:ascii="Calibri" w:hAnsi="Calibri" w:cs="Calibri"/>
          <w:sz w:val="22"/>
          <w:szCs w:val="22"/>
        </w:rPr>
        <w:t>Witman, 2019</w:t>
      </w:r>
      <w:r w:rsidR="00D04E06">
        <w:rPr>
          <w:rFonts w:ascii="Calibri" w:hAnsi="Calibri" w:cs="Calibri"/>
          <w:sz w:val="22"/>
          <w:szCs w:val="22"/>
        </w:rPr>
        <w:t>)</w:t>
      </w:r>
      <w:r w:rsidR="00D04E06" w:rsidRPr="00D04E06">
        <w:rPr>
          <w:rFonts w:ascii="Calibri" w:hAnsi="Calibri" w:cs="Calibri"/>
          <w:sz w:val="22"/>
          <w:szCs w:val="22"/>
        </w:rPr>
        <w:t>. This misalignment between the reward system and ethical business practices severely damaged the bank's reputation and resulted in significant financial penalties.</w:t>
      </w:r>
    </w:p>
    <w:p w14:paraId="6BE61B53" w14:textId="1D510722" w:rsidR="006811A3" w:rsidRPr="0095737B" w:rsidRDefault="00A01EBF" w:rsidP="006811A3">
      <w:pPr>
        <w:rPr>
          <w:rFonts w:ascii="Calibri" w:hAnsi="Calibri" w:cs="Calibri"/>
          <w:sz w:val="22"/>
          <w:szCs w:val="22"/>
        </w:rPr>
      </w:pPr>
      <w:r>
        <w:rPr>
          <w:rFonts w:ascii="Calibri" w:hAnsi="Calibri" w:cs="Calibri"/>
          <w:sz w:val="22"/>
          <w:szCs w:val="22"/>
        </w:rPr>
        <w:t>Eco-Insulate UK</w:t>
      </w:r>
      <w:r w:rsidR="006811A3" w:rsidRPr="0095737B">
        <w:rPr>
          <w:rFonts w:ascii="Calibri" w:hAnsi="Calibri" w:cs="Calibri"/>
          <w:sz w:val="22"/>
          <w:szCs w:val="22"/>
        </w:rPr>
        <w:t xml:space="preserve"> should consider the role of reward in shaping </w:t>
      </w:r>
      <w:r>
        <w:rPr>
          <w:rFonts w:ascii="Calibri" w:hAnsi="Calibri" w:cs="Calibri"/>
          <w:sz w:val="22"/>
          <w:szCs w:val="22"/>
        </w:rPr>
        <w:t>the organisations</w:t>
      </w:r>
      <w:r w:rsidR="006811A3" w:rsidRPr="0095737B">
        <w:rPr>
          <w:rFonts w:ascii="Calibri" w:hAnsi="Calibri" w:cs="Calibri"/>
          <w:sz w:val="22"/>
          <w:szCs w:val="22"/>
        </w:rPr>
        <w:t xml:space="preserve"> culture. Reward practices communicate what the organi</w:t>
      </w:r>
      <w:r w:rsidR="009509D5">
        <w:rPr>
          <w:rFonts w:ascii="Calibri" w:hAnsi="Calibri" w:cs="Calibri"/>
          <w:sz w:val="22"/>
          <w:szCs w:val="22"/>
        </w:rPr>
        <w:t>s</w:t>
      </w:r>
      <w:r w:rsidR="006811A3" w:rsidRPr="0095737B">
        <w:rPr>
          <w:rFonts w:ascii="Calibri" w:hAnsi="Calibri" w:cs="Calibri"/>
          <w:sz w:val="22"/>
          <w:szCs w:val="22"/>
        </w:rPr>
        <w:t xml:space="preserve">ation values (Wilton, </w:t>
      </w:r>
      <w:r w:rsidR="001E1C6D">
        <w:rPr>
          <w:rFonts w:ascii="Calibri" w:hAnsi="Calibri" w:cs="Calibri"/>
          <w:sz w:val="22"/>
          <w:szCs w:val="22"/>
        </w:rPr>
        <w:t>2019</w:t>
      </w:r>
      <w:r w:rsidR="006811A3" w:rsidRPr="0095737B">
        <w:rPr>
          <w:rFonts w:ascii="Calibri" w:hAnsi="Calibri" w:cs="Calibri"/>
          <w:sz w:val="22"/>
          <w:szCs w:val="22"/>
        </w:rPr>
        <w:t xml:space="preserve">). For </w:t>
      </w:r>
      <w:r w:rsidR="00A20878">
        <w:rPr>
          <w:rFonts w:ascii="Calibri" w:hAnsi="Calibri" w:cs="Calibri"/>
          <w:sz w:val="22"/>
          <w:szCs w:val="22"/>
        </w:rPr>
        <w:t>example</w:t>
      </w:r>
      <w:r w:rsidR="006811A3" w:rsidRPr="0095737B">
        <w:rPr>
          <w:rFonts w:ascii="Calibri" w:hAnsi="Calibri" w:cs="Calibri"/>
          <w:sz w:val="22"/>
          <w:szCs w:val="22"/>
        </w:rPr>
        <w:t xml:space="preserve">, team-based rewards can </w:t>
      </w:r>
      <w:r w:rsidR="0001389A">
        <w:rPr>
          <w:rFonts w:ascii="Calibri" w:hAnsi="Calibri" w:cs="Calibri"/>
          <w:sz w:val="22"/>
          <w:szCs w:val="22"/>
        </w:rPr>
        <w:t>encourage</w:t>
      </w:r>
      <w:r w:rsidR="006811A3" w:rsidRPr="0095737B">
        <w:rPr>
          <w:rFonts w:ascii="Calibri" w:hAnsi="Calibri" w:cs="Calibri"/>
          <w:sz w:val="22"/>
          <w:szCs w:val="22"/>
        </w:rPr>
        <w:t xml:space="preserve"> collaboration, while individual bonuses might encourage competition. The selection of reward strategies should reflect and reinforce the desired organi</w:t>
      </w:r>
      <w:r w:rsidR="009509D5">
        <w:rPr>
          <w:rFonts w:ascii="Calibri" w:hAnsi="Calibri" w:cs="Calibri"/>
          <w:sz w:val="22"/>
          <w:szCs w:val="22"/>
        </w:rPr>
        <w:t>s</w:t>
      </w:r>
      <w:r w:rsidR="006811A3" w:rsidRPr="0095737B">
        <w:rPr>
          <w:rFonts w:ascii="Calibri" w:hAnsi="Calibri" w:cs="Calibri"/>
          <w:sz w:val="22"/>
          <w:szCs w:val="22"/>
        </w:rPr>
        <w:t xml:space="preserve">ational culture (Wilton, </w:t>
      </w:r>
      <w:r w:rsidR="001E1C6D">
        <w:rPr>
          <w:rFonts w:ascii="Calibri" w:hAnsi="Calibri" w:cs="Calibri"/>
          <w:sz w:val="22"/>
          <w:szCs w:val="22"/>
        </w:rPr>
        <w:t>2019</w:t>
      </w:r>
      <w:r w:rsidR="006811A3" w:rsidRPr="0095737B">
        <w:rPr>
          <w:rFonts w:ascii="Calibri" w:hAnsi="Calibri" w:cs="Calibri"/>
          <w:sz w:val="22"/>
          <w:szCs w:val="22"/>
        </w:rPr>
        <w:t>).</w:t>
      </w:r>
    </w:p>
    <w:p w14:paraId="56E562D9" w14:textId="301F49B8" w:rsidR="0017714A" w:rsidRDefault="009509D5" w:rsidP="006811A3">
      <w:pPr>
        <w:rPr>
          <w:rFonts w:ascii="Calibri" w:hAnsi="Calibri" w:cs="Calibri"/>
          <w:sz w:val="22"/>
          <w:szCs w:val="22"/>
        </w:rPr>
      </w:pPr>
      <w:r>
        <w:rPr>
          <w:rFonts w:ascii="Calibri" w:hAnsi="Calibri" w:cs="Calibri"/>
          <w:sz w:val="22"/>
          <w:szCs w:val="22"/>
        </w:rPr>
        <w:lastRenderedPageBreak/>
        <w:t>E</w:t>
      </w:r>
      <w:r w:rsidR="006811A3" w:rsidRPr="0095737B">
        <w:rPr>
          <w:rFonts w:ascii="Calibri" w:hAnsi="Calibri" w:cs="Calibri"/>
          <w:sz w:val="22"/>
          <w:szCs w:val="22"/>
        </w:rPr>
        <w:t>ffective reward principles extend beyond mere financial compensation. They encompass a range of financial and non-financial elements that, when properly aligned with organi</w:t>
      </w:r>
      <w:r>
        <w:rPr>
          <w:rFonts w:ascii="Calibri" w:hAnsi="Calibri" w:cs="Calibri"/>
          <w:sz w:val="22"/>
          <w:szCs w:val="22"/>
        </w:rPr>
        <w:t>s</w:t>
      </w:r>
      <w:r w:rsidR="006811A3" w:rsidRPr="0095737B">
        <w:rPr>
          <w:rFonts w:ascii="Calibri" w:hAnsi="Calibri" w:cs="Calibri"/>
          <w:sz w:val="22"/>
          <w:szCs w:val="22"/>
        </w:rPr>
        <w:t xml:space="preserve">ational goals and culture, can significantly enhance performance management. By adopting a total reward approach and carefully considering the cultural implications of reward practices, </w:t>
      </w:r>
      <w:r w:rsidR="00C70ADD">
        <w:rPr>
          <w:rFonts w:ascii="Calibri" w:hAnsi="Calibri" w:cs="Calibri"/>
          <w:sz w:val="22"/>
          <w:szCs w:val="22"/>
        </w:rPr>
        <w:t>Eco</w:t>
      </w:r>
      <w:r w:rsidR="00A01EBF">
        <w:rPr>
          <w:rFonts w:ascii="Calibri" w:hAnsi="Calibri" w:cs="Calibri"/>
          <w:sz w:val="22"/>
          <w:szCs w:val="22"/>
        </w:rPr>
        <w:t>-Insulate UK</w:t>
      </w:r>
      <w:r w:rsidR="006811A3" w:rsidRPr="0095737B">
        <w:rPr>
          <w:rFonts w:ascii="Calibri" w:hAnsi="Calibri" w:cs="Calibri"/>
          <w:sz w:val="22"/>
          <w:szCs w:val="22"/>
        </w:rPr>
        <w:t xml:space="preserve"> can create a powerful tool for driving performance and shaping their desired culture.</w:t>
      </w:r>
    </w:p>
    <w:p w14:paraId="4A960E72" w14:textId="77777777" w:rsidR="00D53D9E" w:rsidRDefault="00D53D9E" w:rsidP="006811A3">
      <w:pPr>
        <w:rPr>
          <w:rFonts w:ascii="Calibri" w:hAnsi="Calibri" w:cs="Calibri"/>
          <w:sz w:val="22"/>
          <w:szCs w:val="22"/>
        </w:rPr>
      </w:pPr>
    </w:p>
    <w:p w14:paraId="0558434F" w14:textId="77777777" w:rsidR="00D53D9E" w:rsidRPr="00D53D9E" w:rsidRDefault="00D53D9E" w:rsidP="00D53D9E">
      <w:pPr>
        <w:rPr>
          <w:rFonts w:ascii="Calibri" w:hAnsi="Calibri" w:cs="Calibri"/>
          <w:sz w:val="22"/>
          <w:szCs w:val="22"/>
        </w:rPr>
      </w:pPr>
    </w:p>
    <w:p w14:paraId="3212CF37" w14:textId="12155533" w:rsidR="00D53D9E" w:rsidRDefault="00D53D9E" w:rsidP="00D53D9E">
      <w:pPr>
        <w:rPr>
          <w:rFonts w:ascii="Calibri" w:hAnsi="Calibri" w:cs="Calibri"/>
          <w:sz w:val="22"/>
          <w:szCs w:val="22"/>
        </w:rPr>
      </w:pPr>
      <w:r>
        <w:rPr>
          <w:rFonts w:ascii="Calibri" w:hAnsi="Calibri" w:cs="Calibri"/>
          <w:sz w:val="22"/>
          <w:szCs w:val="22"/>
        </w:rPr>
        <w:t xml:space="preserve">(AC 1.2) </w:t>
      </w:r>
      <w:r w:rsidRPr="00D53D9E">
        <w:rPr>
          <w:rFonts w:ascii="Calibri" w:hAnsi="Calibri" w:cs="Calibri"/>
          <w:sz w:val="22"/>
          <w:szCs w:val="22"/>
        </w:rPr>
        <w:t xml:space="preserve">Assess the contribution of extrinsic and intrinsic rewards to improving employee contribution and sustained organisational performance. </w:t>
      </w:r>
    </w:p>
    <w:p w14:paraId="341DD6B0" w14:textId="77777777" w:rsidR="004B7145" w:rsidRDefault="004B7145" w:rsidP="00D53D9E">
      <w:pPr>
        <w:rPr>
          <w:rFonts w:ascii="Calibri" w:hAnsi="Calibri" w:cs="Calibri"/>
          <w:sz w:val="22"/>
          <w:szCs w:val="22"/>
        </w:rPr>
      </w:pPr>
    </w:p>
    <w:p w14:paraId="412208FB" w14:textId="6EAFD1FE" w:rsidR="00846ECC" w:rsidRPr="00846ECC" w:rsidRDefault="00846ECC" w:rsidP="00846ECC">
      <w:pPr>
        <w:rPr>
          <w:rFonts w:ascii="Calibri" w:hAnsi="Calibri" w:cs="Calibri"/>
          <w:sz w:val="22"/>
          <w:szCs w:val="22"/>
        </w:rPr>
      </w:pPr>
      <w:r w:rsidRPr="00846ECC">
        <w:rPr>
          <w:rFonts w:ascii="Calibri" w:hAnsi="Calibri" w:cs="Calibri"/>
          <w:sz w:val="22"/>
          <w:szCs w:val="22"/>
        </w:rPr>
        <w:t>Extrinsic rewards are tangible incentives provided by an organi</w:t>
      </w:r>
      <w:r>
        <w:rPr>
          <w:rFonts w:ascii="Calibri" w:hAnsi="Calibri" w:cs="Calibri"/>
          <w:sz w:val="22"/>
          <w:szCs w:val="22"/>
        </w:rPr>
        <w:t>s</w:t>
      </w:r>
      <w:r w:rsidRPr="00846ECC">
        <w:rPr>
          <w:rFonts w:ascii="Calibri" w:hAnsi="Calibri" w:cs="Calibri"/>
          <w:sz w:val="22"/>
          <w:szCs w:val="22"/>
        </w:rPr>
        <w:t>ation to motivate employees and enhance their performance (Wilton</w:t>
      </w:r>
      <w:r w:rsidR="0021494F">
        <w:rPr>
          <w:rFonts w:ascii="Calibri" w:hAnsi="Calibri" w:cs="Calibri"/>
          <w:sz w:val="22"/>
          <w:szCs w:val="22"/>
        </w:rPr>
        <w:t>, 2019b</w:t>
      </w:r>
      <w:r w:rsidRPr="00846ECC">
        <w:rPr>
          <w:rFonts w:ascii="Calibri" w:hAnsi="Calibri" w:cs="Calibri"/>
          <w:sz w:val="22"/>
          <w:szCs w:val="22"/>
        </w:rPr>
        <w:t xml:space="preserve">). These </w:t>
      </w:r>
      <w:r>
        <w:rPr>
          <w:rFonts w:ascii="Calibri" w:hAnsi="Calibri" w:cs="Calibri"/>
          <w:sz w:val="22"/>
          <w:szCs w:val="22"/>
        </w:rPr>
        <w:t>can</w:t>
      </w:r>
      <w:r w:rsidRPr="00846ECC">
        <w:rPr>
          <w:rFonts w:ascii="Calibri" w:hAnsi="Calibri" w:cs="Calibri"/>
          <w:sz w:val="22"/>
          <w:szCs w:val="22"/>
        </w:rPr>
        <w:t xml:space="preserve"> include financial compensation, bonuses, promotions, and other material benefits. Extrinsic rewards can lead to short-term improvements in employee contribution by providing clear, measurable incentives for employees to meet specific goals and targets.</w:t>
      </w:r>
    </w:p>
    <w:p w14:paraId="51BF50B6" w14:textId="59DB19CA" w:rsidR="00846ECC" w:rsidRPr="00846ECC" w:rsidRDefault="00846ECC" w:rsidP="00846ECC">
      <w:pPr>
        <w:rPr>
          <w:rFonts w:ascii="Calibri" w:hAnsi="Calibri" w:cs="Calibri"/>
          <w:sz w:val="22"/>
          <w:szCs w:val="22"/>
        </w:rPr>
      </w:pPr>
      <w:r w:rsidRPr="00846ECC">
        <w:rPr>
          <w:rFonts w:ascii="Calibri" w:hAnsi="Calibri" w:cs="Calibri"/>
          <w:sz w:val="22"/>
          <w:szCs w:val="22"/>
        </w:rPr>
        <w:t xml:space="preserve">Recent studies have provided nuanced insights into the effects of extrinsic rewards. </w:t>
      </w:r>
      <w:r w:rsidR="00852ECE">
        <w:rPr>
          <w:rFonts w:ascii="Calibri" w:hAnsi="Calibri" w:cs="Calibri"/>
          <w:sz w:val="22"/>
          <w:szCs w:val="22"/>
        </w:rPr>
        <w:t xml:space="preserve">Studies carried out by </w:t>
      </w:r>
      <w:r w:rsidRPr="00846ECC">
        <w:rPr>
          <w:rFonts w:ascii="Calibri" w:hAnsi="Calibri" w:cs="Calibri"/>
          <w:sz w:val="22"/>
          <w:szCs w:val="22"/>
        </w:rPr>
        <w:t>Thibault Landry et al. (2017) demonstrated that when bonuses are perceived as fairly distributed, they can enhance employees</w:t>
      </w:r>
      <w:r w:rsidR="00852ECE">
        <w:rPr>
          <w:rFonts w:ascii="Calibri" w:hAnsi="Calibri" w:cs="Calibri"/>
          <w:sz w:val="22"/>
          <w:szCs w:val="22"/>
        </w:rPr>
        <w:t>’</w:t>
      </w:r>
      <w:r w:rsidRPr="00846ECC">
        <w:rPr>
          <w:rFonts w:ascii="Calibri" w:hAnsi="Calibri" w:cs="Calibri"/>
          <w:sz w:val="22"/>
          <w:szCs w:val="22"/>
        </w:rPr>
        <w:t xml:space="preserve"> sense of autonomy and competence, leading to improved work performance. However, the long-term impact of extrinsic rewards on sustained organi</w:t>
      </w:r>
      <w:r w:rsidR="00674D92">
        <w:rPr>
          <w:rFonts w:ascii="Calibri" w:hAnsi="Calibri" w:cs="Calibri"/>
          <w:sz w:val="22"/>
          <w:szCs w:val="22"/>
        </w:rPr>
        <w:t>s</w:t>
      </w:r>
      <w:r w:rsidRPr="00846ECC">
        <w:rPr>
          <w:rFonts w:ascii="Calibri" w:hAnsi="Calibri" w:cs="Calibri"/>
          <w:sz w:val="22"/>
          <w:szCs w:val="22"/>
        </w:rPr>
        <w:t xml:space="preserve">ational performance is debated. Critics argue that </w:t>
      </w:r>
      <w:r w:rsidR="00674D92">
        <w:rPr>
          <w:rFonts w:ascii="Calibri" w:hAnsi="Calibri" w:cs="Calibri"/>
          <w:sz w:val="22"/>
          <w:szCs w:val="22"/>
        </w:rPr>
        <w:t xml:space="preserve">an </w:t>
      </w:r>
      <w:r w:rsidRPr="00846ECC">
        <w:rPr>
          <w:rFonts w:ascii="Calibri" w:hAnsi="Calibri" w:cs="Calibri"/>
          <w:sz w:val="22"/>
          <w:szCs w:val="22"/>
        </w:rPr>
        <w:t>overreliance on external motivators can potentially undermine intrinsic motivation (Wilton</w:t>
      </w:r>
      <w:r w:rsidR="0021494F">
        <w:rPr>
          <w:rFonts w:ascii="Calibri" w:hAnsi="Calibri" w:cs="Calibri"/>
          <w:sz w:val="22"/>
          <w:szCs w:val="22"/>
        </w:rPr>
        <w:t>, 2019b</w:t>
      </w:r>
      <w:r w:rsidRPr="00846ECC">
        <w:rPr>
          <w:rFonts w:ascii="Calibri" w:hAnsi="Calibri" w:cs="Calibri"/>
          <w:sz w:val="22"/>
          <w:szCs w:val="22"/>
        </w:rPr>
        <w:t>).</w:t>
      </w:r>
    </w:p>
    <w:p w14:paraId="3388338E" w14:textId="191098BB" w:rsidR="00846ECC" w:rsidRPr="00846ECC" w:rsidRDefault="00846ECC" w:rsidP="00846ECC">
      <w:pPr>
        <w:rPr>
          <w:rFonts w:ascii="Calibri" w:hAnsi="Calibri" w:cs="Calibri"/>
          <w:sz w:val="22"/>
          <w:szCs w:val="22"/>
        </w:rPr>
      </w:pPr>
      <w:r w:rsidRPr="00846ECC">
        <w:rPr>
          <w:rFonts w:ascii="Calibri" w:hAnsi="Calibri" w:cs="Calibri"/>
          <w:sz w:val="22"/>
          <w:szCs w:val="22"/>
        </w:rPr>
        <w:t>Intrinsic rewards are internal, psychological satisfactions derived from the work itself, including a sense of achievement, personal growth, and autonomy (Wilton</w:t>
      </w:r>
      <w:r w:rsidR="0021494F">
        <w:rPr>
          <w:rFonts w:ascii="Calibri" w:hAnsi="Calibri" w:cs="Calibri"/>
          <w:sz w:val="22"/>
          <w:szCs w:val="22"/>
        </w:rPr>
        <w:t>, 2019b</w:t>
      </w:r>
      <w:r w:rsidRPr="00846ECC">
        <w:rPr>
          <w:rFonts w:ascii="Calibri" w:hAnsi="Calibri" w:cs="Calibri"/>
          <w:sz w:val="22"/>
          <w:szCs w:val="22"/>
        </w:rPr>
        <w:t>). Evidence suggests that intrinsic rewards can have a more profound and lasting impact on employee contribution and organi</w:t>
      </w:r>
      <w:r w:rsidR="00FB0852">
        <w:rPr>
          <w:rFonts w:ascii="Calibri" w:hAnsi="Calibri" w:cs="Calibri"/>
          <w:sz w:val="22"/>
          <w:szCs w:val="22"/>
        </w:rPr>
        <w:t>s</w:t>
      </w:r>
      <w:r w:rsidRPr="00846ECC">
        <w:rPr>
          <w:rFonts w:ascii="Calibri" w:hAnsi="Calibri" w:cs="Calibri"/>
          <w:sz w:val="22"/>
          <w:szCs w:val="22"/>
        </w:rPr>
        <w:t xml:space="preserve">ational performance. When employees are intrinsically motivated, they tend to exhibit higher levels of creativity, engagement, and job satisfaction </w:t>
      </w:r>
      <w:r w:rsidR="00AC646F" w:rsidRPr="00AC646F">
        <w:rPr>
          <w:rFonts w:ascii="Calibri" w:hAnsi="Calibri" w:cs="Calibri"/>
          <w:sz w:val="22"/>
          <w:szCs w:val="22"/>
        </w:rPr>
        <w:t>(Antoni et al., 2017)</w:t>
      </w:r>
      <w:r w:rsidRPr="00846ECC">
        <w:rPr>
          <w:rFonts w:ascii="Calibri" w:hAnsi="Calibri" w:cs="Calibri"/>
          <w:sz w:val="22"/>
          <w:szCs w:val="22"/>
        </w:rPr>
        <w:t>.</w:t>
      </w:r>
    </w:p>
    <w:p w14:paraId="0B2E9579" w14:textId="03CF6DC5" w:rsidR="00846ECC" w:rsidRPr="00846ECC" w:rsidRDefault="00C121B2" w:rsidP="00846ECC">
      <w:pPr>
        <w:rPr>
          <w:rFonts w:ascii="Calibri" w:hAnsi="Calibri" w:cs="Calibri"/>
          <w:sz w:val="22"/>
          <w:szCs w:val="22"/>
        </w:rPr>
      </w:pPr>
      <w:r>
        <w:rPr>
          <w:rFonts w:ascii="Calibri" w:hAnsi="Calibri" w:cs="Calibri"/>
          <w:sz w:val="22"/>
          <w:szCs w:val="22"/>
        </w:rPr>
        <w:t>E</w:t>
      </w:r>
      <w:r w:rsidR="00846ECC" w:rsidRPr="00846ECC">
        <w:rPr>
          <w:rFonts w:ascii="Calibri" w:hAnsi="Calibri" w:cs="Calibri"/>
          <w:sz w:val="22"/>
          <w:szCs w:val="22"/>
        </w:rPr>
        <w:t xml:space="preserve">xtrinsic and intrinsic rewards are not mutually exclusive. As reward specialist Dan Pink notes, it's important to "Pay people enough to take the issue of money off the table" </w:t>
      </w:r>
      <w:r w:rsidR="00F05362" w:rsidRPr="00F05362">
        <w:rPr>
          <w:rFonts w:ascii="Calibri" w:hAnsi="Calibri" w:cs="Calibri"/>
          <w:sz w:val="22"/>
          <w:szCs w:val="22"/>
        </w:rPr>
        <w:t>(Hajduk, 2017)</w:t>
      </w:r>
      <w:r w:rsidR="00846ECC" w:rsidRPr="00846ECC">
        <w:rPr>
          <w:rFonts w:ascii="Calibri" w:hAnsi="Calibri" w:cs="Calibri"/>
          <w:sz w:val="22"/>
          <w:szCs w:val="22"/>
        </w:rPr>
        <w:t>. This means that pay has to be perceived as fair before employees can be motivated by intrinsic factors.</w:t>
      </w:r>
    </w:p>
    <w:p w14:paraId="1528EFFE" w14:textId="5EC8ECE4" w:rsidR="00846ECC" w:rsidRPr="00846ECC" w:rsidRDefault="00846ECC" w:rsidP="00846ECC">
      <w:pPr>
        <w:rPr>
          <w:rFonts w:ascii="Calibri" w:hAnsi="Calibri" w:cs="Calibri"/>
          <w:sz w:val="22"/>
          <w:szCs w:val="22"/>
        </w:rPr>
      </w:pPr>
      <w:r w:rsidRPr="00846ECC">
        <w:rPr>
          <w:rFonts w:ascii="Calibri" w:hAnsi="Calibri" w:cs="Calibri"/>
          <w:sz w:val="22"/>
          <w:szCs w:val="22"/>
        </w:rPr>
        <w:t>The effectiveness of both reward types can vary depending on individual preferences and job contexts (Wilton</w:t>
      </w:r>
      <w:r w:rsidR="0021494F">
        <w:rPr>
          <w:rFonts w:ascii="Calibri" w:hAnsi="Calibri" w:cs="Calibri"/>
          <w:sz w:val="22"/>
          <w:szCs w:val="22"/>
        </w:rPr>
        <w:t>, 2019b</w:t>
      </w:r>
      <w:r w:rsidRPr="00846ECC">
        <w:rPr>
          <w:rFonts w:ascii="Calibri" w:hAnsi="Calibri" w:cs="Calibri"/>
          <w:sz w:val="22"/>
          <w:szCs w:val="22"/>
        </w:rPr>
        <w:t xml:space="preserve">). </w:t>
      </w:r>
      <w:r w:rsidR="00614C26" w:rsidRPr="00614C26">
        <w:rPr>
          <w:rFonts w:ascii="Calibri" w:hAnsi="Calibri" w:cs="Calibri"/>
          <w:sz w:val="22"/>
          <w:szCs w:val="22"/>
        </w:rPr>
        <w:t xml:space="preserve">Individual competitiveness traits can significantly influence how employees respond to pay-for-performance systems. In highly competitive employees, these systems may inadvertently encourage harmful </w:t>
      </w:r>
      <w:r w:rsidR="0093578D" w:rsidRPr="00614C26">
        <w:rPr>
          <w:rFonts w:ascii="Calibri" w:hAnsi="Calibri" w:cs="Calibri"/>
          <w:sz w:val="22"/>
          <w:szCs w:val="22"/>
        </w:rPr>
        <w:t>behaviour</w:t>
      </w:r>
      <w:r w:rsidR="00614C26" w:rsidRPr="00614C26">
        <w:rPr>
          <w:rFonts w:ascii="Calibri" w:hAnsi="Calibri" w:cs="Calibri"/>
          <w:sz w:val="22"/>
          <w:szCs w:val="22"/>
        </w:rPr>
        <w:t xml:space="preserve"> towards coworke</w:t>
      </w:r>
      <w:r w:rsidR="00CE46E6">
        <w:rPr>
          <w:rFonts w:ascii="Calibri" w:hAnsi="Calibri" w:cs="Calibri"/>
          <w:sz w:val="22"/>
          <w:szCs w:val="22"/>
        </w:rPr>
        <w:t>rs</w:t>
      </w:r>
      <w:r w:rsidR="00431D07">
        <w:rPr>
          <w:rFonts w:ascii="Calibri" w:hAnsi="Calibri" w:cs="Calibri"/>
          <w:sz w:val="22"/>
          <w:szCs w:val="22"/>
        </w:rPr>
        <w:t xml:space="preserve"> </w:t>
      </w:r>
      <w:r w:rsidR="00AC646F" w:rsidRPr="00AC646F">
        <w:rPr>
          <w:rFonts w:ascii="Calibri" w:hAnsi="Calibri" w:cs="Calibri"/>
          <w:sz w:val="22"/>
          <w:szCs w:val="22"/>
        </w:rPr>
        <w:t>(Antoni et al., 2017)</w:t>
      </w:r>
      <w:r w:rsidR="00431D07">
        <w:rPr>
          <w:rFonts w:ascii="Calibri" w:hAnsi="Calibri" w:cs="Calibri"/>
          <w:sz w:val="22"/>
          <w:szCs w:val="22"/>
        </w:rPr>
        <w:t xml:space="preserve">, for example, </w:t>
      </w:r>
      <w:r w:rsidR="006B5DBE">
        <w:rPr>
          <w:rFonts w:ascii="Calibri" w:hAnsi="Calibri" w:cs="Calibri"/>
          <w:sz w:val="22"/>
          <w:szCs w:val="22"/>
        </w:rPr>
        <w:t xml:space="preserve">employees may prioritise individual targets at the expense of collaboration. </w:t>
      </w:r>
      <w:r w:rsidR="00CA2394">
        <w:rPr>
          <w:rFonts w:ascii="Calibri" w:hAnsi="Calibri" w:cs="Calibri"/>
          <w:sz w:val="22"/>
          <w:szCs w:val="22"/>
        </w:rPr>
        <w:t>This emphasises the need for careful implementation of such reward structures.</w:t>
      </w:r>
    </w:p>
    <w:p w14:paraId="5E8B9D1E" w14:textId="4D110351" w:rsidR="00846ECC" w:rsidRPr="00846ECC" w:rsidRDefault="00846ECC" w:rsidP="00846ECC">
      <w:pPr>
        <w:rPr>
          <w:rFonts w:ascii="Calibri" w:hAnsi="Calibri" w:cs="Calibri"/>
          <w:sz w:val="22"/>
          <w:szCs w:val="22"/>
        </w:rPr>
      </w:pPr>
      <w:r w:rsidRPr="00846ECC">
        <w:rPr>
          <w:rFonts w:ascii="Calibri" w:hAnsi="Calibri" w:cs="Calibri"/>
          <w:sz w:val="22"/>
          <w:szCs w:val="22"/>
        </w:rPr>
        <w:t>Organi</w:t>
      </w:r>
      <w:r w:rsidR="00076700">
        <w:rPr>
          <w:rFonts w:ascii="Calibri" w:hAnsi="Calibri" w:cs="Calibri"/>
          <w:sz w:val="22"/>
          <w:szCs w:val="22"/>
        </w:rPr>
        <w:t>s</w:t>
      </w:r>
      <w:r w:rsidRPr="00846ECC">
        <w:rPr>
          <w:rFonts w:ascii="Calibri" w:hAnsi="Calibri" w:cs="Calibri"/>
          <w:sz w:val="22"/>
          <w:szCs w:val="22"/>
        </w:rPr>
        <w:t>ations should strive for a balanced reward strategy that aligns with their objectives, culture, and workforce needs (Wilton</w:t>
      </w:r>
      <w:r w:rsidR="00FD4209">
        <w:rPr>
          <w:rFonts w:ascii="Calibri" w:hAnsi="Calibri" w:cs="Calibri"/>
          <w:sz w:val="22"/>
          <w:szCs w:val="22"/>
        </w:rPr>
        <w:t>, 2019b</w:t>
      </w:r>
      <w:r w:rsidRPr="00846ECC">
        <w:rPr>
          <w:rFonts w:ascii="Calibri" w:hAnsi="Calibri" w:cs="Calibri"/>
          <w:sz w:val="22"/>
          <w:szCs w:val="22"/>
        </w:rPr>
        <w:t>). This may involve a four-part categori</w:t>
      </w:r>
      <w:r w:rsidR="0011442A">
        <w:rPr>
          <w:rFonts w:ascii="Calibri" w:hAnsi="Calibri" w:cs="Calibri"/>
          <w:sz w:val="22"/>
          <w:szCs w:val="22"/>
        </w:rPr>
        <w:t>s</w:t>
      </w:r>
      <w:r w:rsidRPr="00846ECC">
        <w:rPr>
          <w:rFonts w:ascii="Calibri" w:hAnsi="Calibri" w:cs="Calibri"/>
          <w:sz w:val="22"/>
          <w:szCs w:val="22"/>
        </w:rPr>
        <w:t xml:space="preserve">ation: pay, benefits, personal growth, and culture and environment </w:t>
      </w:r>
      <w:r w:rsidR="00F05362" w:rsidRPr="00F05362">
        <w:rPr>
          <w:rFonts w:ascii="Calibri" w:hAnsi="Calibri" w:cs="Calibri"/>
          <w:sz w:val="22"/>
          <w:szCs w:val="22"/>
        </w:rPr>
        <w:t>(Hajduk, 2017)</w:t>
      </w:r>
      <w:r w:rsidRPr="00846ECC">
        <w:rPr>
          <w:rFonts w:ascii="Calibri" w:hAnsi="Calibri" w:cs="Calibri"/>
          <w:sz w:val="22"/>
          <w:szCs w:val="22"/>
        </w:rPr>
        <w:t xml:space="preserve">. </w:t>
      </w:r>
    </w:p>
    <w:p w14:paraId="125E0DDE" w14:textId="1793BEFC" w:rsidR="00FE78AF" w:rsidRDefault="003013DF" w:rsidP="00846ECC">
      <w:pPr>
        <w:rPr>
          <w:rFonts w:ascii="Calibri" w:hAnsi="Calibri" w:cs="Calibri"/>
          <w:sz w:val="22"/>
          <w:szCs w:val="22"/>
        </w:rPr>
      </w:pPr>
      <w:r>
        <w:rPr>
          <w:rFonts w:ascii="Calibri" w:hAnsi="Calibri" w:cs="Calibri"/>
          <w:sz w:val="22"/>
          <w:szCs w:val="22"/>
        </w:rPr>
        <w:lastRenderedPageBreak/>
        <w:t xml:space="preserve">A </w:t>
      </w:r>
      <w:r w:rsidR="00846ECC" w:rsidRPr="00846ECC">
        <w:rPr>
          <w:rFonts w:ascii="Calibri" w:hAnsi="Calibri" w:cs="Calibri"/>
          <w:sz w:val="22"/>
          <w:szCs w:val="22"/>
        </w:rPr>
        <w:t xml:space="preserve">balanced approach combining thoughtfully designed extrinsic incentives with a strong focus on </w:t>
      </w:r>
      <w:r w:rsidR="007858CF">
        <w:rPr>
          <w:rFonts w:ascii="Calibri" w:hAnsi="Calibri" w:cs="Calibri"/>
          <w:sz w:val="22"/>
          <w:szCs w:val="22"/>
        </w:rPr>
        <w:t>encouraging</w:t>
      </w:r>
      <w:r w:rsidR="00846ECC" w:rsidRPr="00846ECC">
        <w:rPr>
          <w:rFonts w:ascii="Calibri" w:hAnsi="Calibri" w:cs="Calibri"/>
          <w:sz w:val="22"/>
          <w:szCs w:val="22"/>
        </w:rPr>
        <w:t xml:space="preserve"> intrinsic motivation is likely to yield the best results for </w:t>
      </w:r>
      <w:r w:rsidR="00D701AD">
        <w:rPr>
          <w:rFonts w:ascii="Calibri" w:hAnsi="Calibri" w:cs="Calibri"/>
          <w:sz w:val="22"/>
          <w:szCs w:val="22"/>
        </w:rPr>
        <w:t>Eco-Insulate UK</w:t>
      </w:r>
      <w:r w:rsidR="00846ECC" w:rsidRPr="00846ECC">
        <w:rPr>
          <w:rFonts w:ascii="Calibri" w:hAnsi="Calibri" w:cs="Calibri"/>
          <w:sz w:val="22"/>
          <w:szCs w:val="22"/>
        </w:rPr>
        <w:t xml:space="preserve"> to enhance long-term performance and employee engagement (Wilton</w:t>
      </w:r>
      <w:r w:rsidR="0021494F">
        <w:rPr>
          <w:rFonts w:ascii="Calibri" w:hAnsi="Calibri" w:cs="Calibri"/>
          <w:sz w:val="22"/>
          <w:szCs w:val="22"/>
        </w:rPr>
        <w:t>, 2019b</w:t>
      </w:r>
      <w:r w:rsidR="00846ECC" w:rsidRPr="00846ECC">
        <w:rPr>
          <w:rFonts w:ascii="Calibri" w:hAnsi="Calibri" w:cs="Calibri"/>
          <w:sz w:val="22"/>
          <w:szCs w:val="22"/>
        </w:rPr>
        <w:t xml:space="preserve">). </w:t>
      </w:r>
      <w:r w:rsidR="00C70ADD">
        <w:rPr>
          <w:rFonts w:ascii="Calibri" w:hAnsi="Calibri" w:cs="Calibri"/>
          <w:sz w:val="22"/>
          <w:szCs w:val="22"/>
        </w:rPr>
        <w:t>Eco-Insulate UK</w:t>
      </w:r>
      <w:r w:rsidR="00846ECC" w:rsidRPr="00846ECC">
        <w:rPr>
          <w:rFonts w:ascii="Calibri" w:hAnsi="Calibri" w:cs="Calibri"/>
          <w:sz w:val="22"/>
          <w:szCs w:val="22"/>
        </w:rPr>
        <w:t xml:space="preserve"> should view reward as an investment, focusing on how they treat people and make them feel part of the wider vision and purpose of the organi</w:t>
      </w:r>
      <w:r w:rsidR="00D55847">
        <w:rPr>
          <w:rFonts w:ascii="Calibri" w:hAnsi="Calibri" w:cs="Calibri"/>
          <w:sz w:val="22"/>
          <w:szCs w:val="22"/>
        </w:rPr>
        <w:t>s</w:t>
      </w:r>
      <w:r w:rsidR="00846ECC" w:rsidRPr="00846ECC">
        <w:rPr>
          <w:rFonts w:ascii="Calibri" w:hAnsi="Calibri" w:cs="Calibri"/>
          <w:sz w:val="22"/>
          <w:szCs w:val="22"/>
        </w:rPr>
        <w:t>ation</w:t>
      </w:r>
      <w:r w:rsidR="00D55847">
        <w:rPr>
          <w:rFonts w:ascii="Calibri" w:hAnsi="Calibri" w:cs="Calibri"/>
          <w:sz w:val="22"/>
          <w:szCs w:val="22"/>
        </w:rPr>
        <w:t>.</w:t>
      </w:r>
    </w:p>
    <w:p w14:paraId="251AD3D2" w14:textId="77777777" w:rsidR="00BD50EA" w:rsidRDefault="00BD50EA" w:rsidP="00D53D9E">
      <w:pPr>
        <w:rPr>
          <w:rFonts w:ascii="Calibri" w:hAnsi="Calibri" w:cs="Calibri"/>
          <w:sz w:val="22"/>
          <w:szCs w:val="22"/>
        </w:rPr>
      </w:pPr>
    </w:p>
    <w:p w14:paraId="19087275" w14:textId="02589F5F" w:rsidR="009A6EEC" w:rsidRDefault="00D0099D" w:rsidP="00D53D9E">
      <w:pPr>
        <w:rPr>
          <w:rFonts w:ascii="Calibri" w:hAnsi="Calibri" w:cs="Calibri"/>
          <w:sz w:val="22"/>
          <w:szCs w:val="22"/>
        </w:rPr>
      </w:pPr>
      <w:r>
        <w:rPr>
          <w:rFonts w:ascii="Calibri" w:hAnsi="Calibri" w:cs="Calibri"/>
          <w:sz w:val="22"/>
          <w:szCs w:val="22"/>
        </w:rPr>
        <w:t xml:space="preserve">(AC 2.1) </w:t>
      </w:r>
      <w:r w:rsidRPr="00D0099D">
        <w:rPr>
          <w:rFonts w:ascii="Calibri" w:hAnsi="Calibri" w:cs="Calibri"/>
          <w:sz w:val="22"/>
          <w:szCs w:val="22"/>
        </w:rPr>
        <w:t xml:space="preserve">Explain the differences between types of grade and pay structures. </w:t>
      </w:r>
    </w:p>
    <w:p w14:paraId="668AD922" w14:textId="50816AD4" w:rsidR="009768AE" w:rsidRPr="009768AE" w:rsidRDefault="009768AE" w:rsidP="009768AE">
      <w:pPr>
        <w:rPr>
          <w:rFonts w:ascii="Calibri" w:hAnsi="Calibri" w:cs="Calibri"/>
          <w:sz w:val="22"/>
          <w:szCs w:val="22"/>
        </w:rPr>
      </w:pPr>
      <w:r w:rsidRPr="009768AE">
        <w:rPr>
          <w:rFonts w:ascii="Calibri" w:hAnsi="Calibri" w:cs="Calibri"/>
          <w:sz w:val="22"/>
          <w:szCs w:val="22"/>
        </w:rPr>
        <w:t>Pay structures provide a framework for managing employee compensation and career progression within an organi</w:t>
      </w:r>
      <w:r w:rsidR="008B7D6D">
        <w:rPr>
          <w:rFonts w:ascii="Calibri" w:hAnsi="Calibri" w:cs="Calibri"/>
          <w:sz w:val="22"/>
          <w:szCs w:val="22"/>
        </w:rPr>
        <w:t>s</w:t>
      </w:r>
      <w:r w:rsidRPr="009768AE">
        <w:rPr>
          <w:rFonts w:ascii="Calibri" w:hAnsi="Calibri" w:cs="Calibri"/>
          <w:sz w:val="22"/>
          <w:szCs w:val="22"/>
        </w:rPr>
        <w:t>ation. There are several types of grade and pay structures that organi</w:t>
      </w:r>
      <w:r w:rsidR="00262BE9">
        <w:rPr>
          <w:rFonts w:ascii="Calibri" w:hAnsi="Calibri" w:cs="Calibri"/>
          <w:sz w:val="22"/>
          <w:szCs w:val="22"/>
        </w:rPr>
        <w:t>s</w:t>
      </w:r>
      <w:r w:rsidRPr="009768AE">
        <w:rPr>
          <w:rFonts w:ascii="Calibri" w:hAnsi="Calibri" w:cs="Calibri"/>
          <w:sz w:val="22"/>
          <w:szCs w:val="22"/>
        </w:rPr>
        <w:t>ations can implement, each with their own advantages and considerations</w:t>
      </w:r>
      <w:r w:rsidR="00262BE9">
        <w:rPr>
          <w:rFonts w:ascii="Calibri" w:hAnsi="Calibri" w:cs="Calibri"/>
          <w:sz w:val="22"/>
          <w:szCs w:val="22"/>
        </w:rPr>
        <w:t>.</w:t>
      </w:r>
    </w:p>
    <w:p w14:paraId="77B8D26D" w14:textId="6CC73C6E" w:rsidR="009768AE" w:rsidRPr="009768AE" w:rsidRDefault="009768AE" w:rsidP="009768AE">
      <w:pPr>
        <w:rPr>
          <w:rFonts w:ascii="Calibri" w:hAnsi="Calibri" w:cs="Calibri"/>
          <w:sz w:val="22"/>
          <w:szCs w:val="22"/>
        </w:rPr>
      </w:pPr>
      <w:r w:rsidRPr="009768AE">
        <w:rPr>
          <w:rFonts w:ascii="Calibri" w:hAnsi="Calibri" w:cs="Calibri"/>
          <w:sz w:val="22"/>
          <w:szCs w:val="22"/>
        </w:rPr>
        <w:t>One common approach is narrow-graded structures, which consist of many grades (usually 10 or more) with jobs of similar value grouped into each grade</w:t>
      </w:r>
      <w:r w:rsidR="00262BE9">
        <w:rPr>
          <w:rFonts w:ascii="Calibri" w:hAnsi="Calibri" w:cs="Calibri"/>
          <w:sz w:val="22"/>
          <w:szCs w:val="22"/>
        </w:rPr>
        <w:t>,</w:t>
      </w:r>
      <w:r w:rsidRPr="009768AE">
        <w:rPr>
          <w:rFonts w:ascii="Calibri" w:hAnsi="Calibri" w:cs="Calibri"/>
          <w:sz w:val="22"/>
          <w:szCs w:val="22"/>
        </w:rPr>
        <w:t xml:space="preserve"> </w:t>
      </w:r>
      <w:r w:rsidR="009E7480">
        <w:rPr>
          <w:rFonts w:ascii="Calibri" w:hAnsi="Calibri" w:cs="Calibri"/>
          <w:sz w:val="22"/>
          <w:szCs w:val="22"/>
        </w:rPr>
        <w:t>this</w:t>
      </w:r>
      <w:r w:rsidRPr="009768AE">
        <w:rPr>
          <w:rFonts w:ascii="Calibri" w:hAnsi="Calibri" w:cs="Calibri"/>
          <w:sz w:val="22"/>
          <w:szCs w:val="22"/>
        </w:rPr>
        <w:t xml:space="preserve"> allows for clear career paths but can lead to "grade drift" where jobs are ranked more highly than justified (</w:t>
      </w:r>
      <w:r w:rsidR="00552C31">
        <w:rPr>
          <w:rFonts w:ascii="Calibri" w:hAnsi="Calibri" w:cs="Calibri"/>
          <w:sz w:val="22"/>
          <w:szCs w:val="22"/>
        </w:rPr>
        <w:t>Cotton, 2024</w:t>
      </w:r>
      <w:r w:rsidRPr="009768AE">
        <w:rPr>
          <w:rFonts w:ascii="Calibri" w:hAnsi="Calibri" w:cs="Calibri"/>
          <w:sz w:val="22"/>
          <w:szCs w:val="22"/>
        </w:rPr>
        <w:t>). In contrast, broad-banded structures use fewer, wider bands to allow for greater pay flexibility</w:t>
      </w:r>
      <w:r w:rsidR="007A2BC6">
        <w:rPr>
          <w:rFonts w:ascii="Calibri" w:hAnsi="Calibri" w:cs="Calibri"/>
          <w:sz w:val="22"/>
          <w:szCs w:val="22"/>
        </w:rPr>
        <w:t xml:space="preserve"> which </w:t>
      </w:r>
      <w:r w:rsidRPr="009768AE">
        <w:rPr>
          <w:rFonts w:ascii="Calibri" w:hAnsi="Calibri" w:cs="Calibri"/>
          <w:sz w:val="22"/>
          <w:szCs w:val="22"/>
        </w:rPr>
        <w:t>provides more room for pay progression within a band but may raise equal pay concerns without proper controls (</w:t>
      </w:r>
      <w:r w:rsidR="00552C31">
        <w:rPr>
          <w:rFonts w:ascii="Calibri" w:hAnsi="Calibri" w:cs="Calibri"/>
          <w:sz w:val="22"/>
          <w:szCs w:val="22"/>
        </w:rPr>
        <w:t>Cotton, 2024</w:t>
      </w:r>
      <w:r w:rsidRPr="009768AE">
        <w:rPr>
          <w:rFonts w:ascii="Calibri" w:hAnsi="Calibri" w:cs="Calibri"/>
          <w:sz w:val="22"/>
          <w:szCs w:val="22"/>
        </w:rPr>
        <w:t>).</w:t>
      </w:r>
    </w:p>
    <w:p w14:paraId="044A2FFF" w14:textId="02B9A5E7" w:rsidR="00181581" w:rsidRDefault="00181581" w:rsidP="009768AE">
      <w:pPr>
        <w:rPr>
          <w:rFonts w:ascii="Calibri" w:hAnsi="Calibri" w:cs="Calibri"/>
          <w:sz w:val="22"/>
          <w:szCs w:val="22"/>
        </w:rPr>
      </w:pPr>
      <w:r w:rsidRPr="00181581">
        <w:rPr>
          <w:rFonts w:ascii="Calibri" w:hAnsi="Calibri" w:cs="Calibri"/>
          <w:sz w:val="22"/>
          <w:szCs w:val="22"/>
        </w:rPr>
        <w:t>Job family structures organi</w:t>
      </w:r>
      <w:r w:rsidR="00B00DE2">
        <w:rPr>
          <w:rFonts w:ascii="Calibri" w:hAnsi="Calibri" w:cs="Calibri"/>
          <w:sz w:val="22"/>
          <w:szCs w:val="22"/>
        </w:rPr>
        <w:t>s</w:t>
      </w:r>
      <w:r w:rsidRPr="00181581">
        <w:rPr>
          <w:rFonts w:ascii="Calibri" w:hAnsi="Calibri" w:cs="Calibri"/>
          <w:sz w:val="22"/>
          <w:szCs w:val="22"/>
        </w:rPr>
        <w:t>e</w:t>
      </w:r>
      <w:r w:rsidR="00B00DE2">
        <w:rPr>
          <w:rFonts w:ascii="Calibri" w:hAnsi="Calibri" w:cs="Calibri"/>
          <w:sz w:val="22"/>
          <w:szCs w:val="22"/>
        </w:rPr>
        <w:t>s</w:t>
      </w:r>
      <w:r w:rsidRPr="00181581">
        <w:rPr>
          <w:rFonts w:ascii="Calibri" w:hAnsi="Calibri" w:cs="Calibri"/>
          <w:sz w:val="22"/>
          <w:szCs w:val="22"/>
        </w:rPr>
        <w:t xml:space="preserve"> roles into groups based on similar occupations, functions, or skillsets.</w:t>
      </w:r>
      <w:r w:rsidR="00B00DE2">
        <w:rPr>
          <w:rFonts w:ascii="Calibri" w:hAnsi="Calibri" w:cs="Calibri"/>
          <w:sz w:val="22"/>
          <w:szCs w:val="22"/>
        </w:rPr>
        <w:t xml:space="preserve"> J</w:t>
      </w:r>
      <w:r w:rsidRPr="00181581">
        <w:rPr>
          <w:rFonts w:ascii="Calibri" w:hAnsi="Calibri" w:cs="Calibri"/>
          <w:sz w:val="22"/>
          <w:szCs w:val="22"/>
        </w:rPr>
        <w:t>ob families can be categori</w:t>
      </w:r>
      <w:r w:rsidR="00B00DE2">
        <w:rPr>
          <w:rFonts w:ascii="Calibri" w:hAnsi="Calibri" w:cs="Calibri"/>
          <w:sz w:val="22"/>
          <w:szCs w:val="22"/>
        </w:rPr>
        <w:t>s</w:t>
      </w:r>
      <w:r w:rsidRPr="00181581">
        <w:rPr>
          <w:rFonts w:ascii="Calibri" w:hAnsi="Calibri" w:cs="Calibri"/>
          <w:sz w:val="22"/>
          <w:szCs w:val="22"/>
        </w:rPr>
        <w:t>ed by function</w:t>
      </w:r>
      <w:r w:rsidR="0003061C">
        <w:rPr>
          <w:rFonts w:ascii="Calibri" w:hAnsi="Calibri" w:cs="Calibri"/>
          <w:sz w:val="22"/>
          <w:szCs w:val="22"/>
        </w:rPr>
        <w:t xml:space="preserve"> </w:t>
      </w:r>
      <w:r w:rsidR="00B53B94">
        <w:rPr>
          <w:rFonts w:ascii="Calibri" w:hAnsi="Calibri" w:cs="Calibri"/>
          <w:sz w:val="22"/>
          <w:szCs w:val="22"/>
        </w:rPr>
        <w:t>(IT or Finance)</w:t>
      </w:r>
      <w:r w:rsidRPr="00181581">
        <w:rPr>
          <w:rFonts w:ascii="Calibri" w:hAnsi="Calibri" w:cs="Calibri"/>
          <w:sz w:val="22"/>
          <w:szCs w:val="22"/>
        </w:rPr>
        <w:t>, occupation</w:t>
      </w:r>
      <w:r w:rsidR="00B53B94">
        <w:rPr>
          <w:rFonts w:ascii="Calibri" w:hAnsi="Calibri" w:cs="Calibri"/>
          <w:sz w:val="22"/>
          <w:szCs w:val="22"/>
        </w:rPr>
        <w:t xml:space="preserve"> (Engineers or </w:t>
      </w:r>
      <w:r w:rsidR="009E72AA">
        <w:rPr>
          <w:rFonts w:ascii="Calibri" w:hAnsi="Calibri" w:cs="Calibri"/>
          <w:sz w:val="22"/>
          <w:szCs w:val="22"/>
        </w:rPr>
        <w:t>Designers)</w:t>
      </w:r>
      <w:r w:rsidRPr="00181581">
        <w:rPr>
          <w:rFonts w:ascii="Calibri" w:hAnsi="Calibri" w:cs="Calibri"/>
          <w:sz w:val="22"/>
          <w:szCs w:val="22"/>
        </w:rPr>
        <w:t>, business unit, or skill/capability (</w:t>
      </w:r>
      <w:r w:rsidR="00EC3BC6">
        <w:rPr>
          <w:rFonts w:ascii="Calibri" w:hAnsi="Calibri" w:cs="Calibri"/>
          <w:sz w:val="22"/>
          <w:szCs w:val="22"/>
        </w:rPr>
        <w:t>Wilton, 2019c</w:t>
      </w:r>
      <w:r w:rsidRPr="00181581">
        <w:rPr>
          <w:rFonts w:ascii="Calibri" w:hAnsi="Calibri" w:cs="Calibri"/>
          <w:sz w:val="22"/>
          <w:szCs w:val="22"/>
        </w:rPr>
        <w:t>). This approach allows organi</w:t>
      </w:r>
      <w:r w:rsidR="00481CD1">
        <w:rPr>
          <w:rFonts w:ascii="Calibri" w:hAnsi="Calibri" w:cs="Calibri"/>
          <w:sz w:val="22"/>
          <w:szCs w:val="22"/>
        </w:rPr>
        <w:t>s</w:t>
      </w:r>
      <w:r w:rsidRPr="00181581">
        <w:rPr>
          <w:rFonts w:ascii="Calibri" w:hAnsi="Calibri" w:cs="Calibri"/>
          <w:sz w:val="22"/>
          <w:szCs w:val="22"/>
        </w:rPr>
        <w:t>ations to create more streamlined and consistent pay structures across related roles. It can simplify pay structures, facilitate clearer career paths, and enhance pay transparency and equity (</w:t>
      </w:r>
      <w:r w:rsidR="00EC3BC6">
        <w:rPr>
          <w:rFonts w:ascii="Calibri" w:hAnsi="Calibri" w:cs="Calibri"/>
          <w:sz w:val="22"/>
          <w:szCs w:val="22"/>
        </w:rPr>
        <w:t>Wilton, 2019c</w:t>
      </w:r>
      <w:r w:rsidRPr="00181581">
        <w:rPr>
          <w:rFonts w:ascii="Calibri" w:hAnsi="Calibri" w:cs="Calibri"/>
          <w:sz w:val="22"/>
          <w:szCs w:val="22"/>
        </w:rPr>
        <w:t>). Career family structures are similar but use a common pay structure across all job families, emphasi</w:t>
      </w:r>
      <w:r w:rsidR="00EB226A">
        <w:rPr>
          <w:rFonts w:ascii="Calibri" w:hAnsi="Calibri" w:cs="Calibri"/>
          <w:sz w:val="22"/>
          <w:szCs w:val="22"/>
        </w:rPr>
        <w:t>s</w:t>
      </w:r>
      <w:r w:rsidRPr="00181581">
        <w:rPr>
          <w:rFonts w:ascii="Calibri" w:hAnsi="Calibri" w:cs="Calibri"/>
          <w:sz w:val="22"/>
          <w:szCs w:val="22"/>
        </w:rPr>
        <w:t>ing career paths and progression (</w:t>
      </w:r>
      <w:r w:rsidR="00552C31">
        <w:rPr>
          <w:rFonts w:ascii="Calibri" w:hAnsi="Calibri" w:cs="Calibri"/>
          <w:sz w:val="22"/>
          <w:szCs w:val="22"/>
        </w:rPr>
        <w:t>Cotton, 2024</w:t>
      </w:r>
      <w:r w:rsidRPr="00181581">
        <w:rPr>
          <w:rFonts w:ascii="Calibri" w:hAnsi="Calibri" w:cs="Calibri"/>
          <w:sz w:val="22"/>
          <w:szCs w:val="22"/>
        </w:rPr>
        <w:t>).</w:t>
      </w:r>
    </w:p>
    <w:p w14:paraId="17270B86" w14:textId="0FD7FC2E" w:rsidR="00BD1EE7" w:rsidRDefault="00BD1EE7" w:rsidP="009768AE">
      <w:pPr>
        <w:rPr>
          <w:rFonts w:ascii="Calibri" w:hAnsi="Calibri" w:cs="Calibri"/>
          <w:sz w:val="22"/>
          <w:szCs w:val="22"/>
        </w:rPr>
      </w:pPr>
      <w:r w:rsidRPr="00BD1EE7">
        <w:rPr>
          <w:rFonts w:ascii="Calibri" w:hAnsi="Calibri" w:cs="Calibri"/>
          <w:sz w:val="22"/>
          <w:szCs w:val="22"/>
        </w:rPr>
        <w:t>Pay spine structures typically employ a graduated series of salary levels that allow employees to increase their earnings over time</w:t>
      </w:r>
      <w:r>
        <w:rPr>
          <w:rFonts w:ascii="Calibri" w:hAnsi="Calibri" w:cs="Calibri"/>
          <w:sz w:val="22"/>
          <w:szCs w:val="22"/>
        </w:rPr>
        <w:t xml:space="preserve"> (</w:t>
      </w:r>
      <w:r w:rsidR="00552C31">
        <w:rPr>
          <w:rFonts w:ascii="Calibri" w:hAnsi="Calibri" w:cs="Calibri"/>
          <w:sz w:val="22"/>
          <w:szCs w:val="22"/>
        </w:rPr>
        <w:t>Cotton, 2024</w:t>
      </w:r>
      <w:r>
        <w:rPr>
          <w:rFonts w:ascii="Calibri" w:hAnsi="Calibri" w:cs="Calibri"/>
          <w:sz w:val="22"/>
          <w:szCs w:val="22"/>
        </w:rPr>
        <w:t>).</w:t>
      </w:r>
      <w:r w:rsidRPr="00BD1EE7">
        <w:rPr>
          <w:rFonts w:ascii="Calibri" w:hAnsi="Calibri" w:cs="Calibri"/>
          <w:sz w:val="22"/>
          <w:szCs w:val="22"/>
        </w:rPr>
        <w:t xml:space="preserve"> While traditionally linked to length of service, modern implementations can be more nuanced. For example, the NHS's Agenda for Change system, </w:t>
      </w:r>
      <w:r w:rsidR="002B0673">
        <w:rPr>
          <w:rFonts w:ascii="Calibri" w:hAnsi="Calibri" w:cs="Calibri"/>
          <w:sz w:val="22"/>
          <w:szCs w:val="22"/>
        </w:rPr>
        <w:t>implemented</w:t>
      </w:r>
      <w:r w:rsidRPr="00BD1EE7">
        <w:rPr>
          <w:rFonts w:ascii="Calibri" w:hAnsi="Calibri" w:cs="Calibri"/>
          <w:sz w:val="22"/>
          <w:szCs w:val="22"/>
        </w:rPr>
        <w:t xml:space="preserve"> in 2004, represents a significant reform of public sector pay structures</w:t>
      </w:r>
      <w:r w:rsidR="005E46D4">
        <w:rPr>
          <w:rFonts w:ascii="Calibri" w:hAnsi="Calibri" w:cs="Calibri"/>
          <w:sz w:val="22"/>
          <w:szCs w:val="22"/>
        </w:rPr>
        <w:t xml:space="preserve"> </w:t>
      </w:r>
      <w:r w:rsidR="00BD35EE" w:rsidRPr="00BD35EE">
        <w:rPr>
          <w:rFonts w:ascii="Calibri" w:hAnsi="Calibri" w:cs="Calibri"/>
          <w:sz w:val="22"/>
          <w:szCs w:val="22"/>
        </w:rPr>
        <w:t>(Schofield, 2001)</w:t>
      </w:r>
      <w:r w:rsidR="005E46D4">
        <w:rPr>
          <w:rFonts w:ascii="Calibri" w:hAnsi="Calibri" w:cs="Calibri"/>
          <w:sz w:val="22"/>
          <w:szCs w:val="22"/>
        </w:rPr>
        <w:t>.</w:t>
      </w:r>
      <w:r w:rsidRPr="00BD1EE7">
        <w:rPr>
          <w:rFonts w:ascii="Calibri" w:hAnsi="Calibri" w:cs="Calibri"/>
          <w:sz w:val="22"/>
          <w:szCs w:val="22"/>
        </w:rPr>
        <w:t xml:space="preserve"> This system aims to ensure fair pay and support moderni</w:t>
      </w:r>
      <w:r w:rsidR="00216836">
        <w:rPr>
          <w:rFonts w:ascii="Calibri" w:hAnsi="Calibri" w:cs="Calibri"/>
          <w:sz w:val="22"/>
          <w:szCs w:val="22"/>
        </w:rPr>
        <w:t>s</w:t>
      </w:r>
      <w:r w:rsidRPr="00BD1EE7">
        <w:rPr>
          <w:rFonts w:ascii="Calibri" w:hAnsi="Calibri" w:cs="Calibri"/>
          <w:sz w:val="22"/>
          <w:szCs w:val="22"/>
        </w:rPr>
        <w:t xml:space="preserve">ation by linking pay progression not just to tenure, but also to responsibility, competence, and performance </w:t>
      </w:r>
      <w:r w:rsidR="00BD35EE" w:rsidRPr="00BD35EE">
        <w:rPr>
          <w:rFonts w:ascii="Calibri" w:hAnsi="Calibri" w:cs="Calibri"/>
          <w:sz w:val="22"/>
          <w:szCs w:val="22"/>
        </w:rPr>
        <w:t>(Schofield, 2001)</w:t>
      </w:r>
      <w:r w:rsidRPr="00BD1EE7">
        <w:rPr>
          <w:rFonts w:ascii="Calibri" w:hAnsi="Calibri" w:cs="Calibri"/>
          <w:sz w:val="22"/>
          <w:szCs w:val="22"/>
        </w:rPr>
        <w:t xml:space="preserve">. This approach demonstrates how traditional pay structures can be adapted to better align with </w:t>
      </w:r>
      <w:r w:rsidR="001160AB">
        <w:rPr>
          <w:rFonts w:ascii="Calibri" w:hAnsi="Calibri" w:cs="Calibri"/>
          <w:sz w:val="22"/>
          <w:szCs w:val="22"/>
        </w:rPr>
        <w:t>Eco-Insulate UK’s</w:t>
      </w:r>
      <w:r w:rsidRPr="00BD1EE7">
        <w:rPr>
          <w:rFonts w:ascii="Calibri" w:hAnsi="Calibri" w:cs="Calibri"/>
          <w:sz w:val="22"/>
          <w:szCs w:val="22"/>
        </w:rPr>
        <w:t xml:space="preserve"> goals and changing workforce needs.</w:t>
      </w:r>
    </w:p>
    <w:p w14:paraId="2F31D634" w14:textId="3D343BAD" w:rsidR="009768AE" w:rsidRPr="009768AE" w:rsidRDefault="009768AE" w:rsidP="009768AE">
      <w:pPr>
        <w:rPr>
          <w:rFonts w:ascii="Calibri" w:hAnsi="Calibri" w:cs="Calibri"/>
          <w:sz w:val="22"/>
          <w:szCs w:val="22"/>
        </w:rPr>
      </w:pPr>
      <w:r w:rsidRPr="009768AE">
        <w:rPr>
          <w:rFonts w:ascii="Calibri" w:hAnsi="Calibri" w:cs="Calibri"/>
          <w:sz w:val="22"/>
          <w:szCs w:val="22"/>
        </w:rPr>
        <w:t xml:space="preserve">The choice of pay structure can significantly impact employee motivation and progression. Research shows that clearer progression paths and opportunities for development are associated with employees being more likely to escape low pay over time </w:t>
      </w:r>
      <w:r w:rsidR="00EF6D15" w:rsidRPr="00EF6D15">
        <w:rPr>
          <w:rFonts w:ascii="Calibri" w:hAnsi="Calibri" w:cs="Calibri"/>
          <w:sz w:val="22"/>
          <w:szCs w:val="22"/>
        </w:rPr>
        <w:t>(CIPD and John Lewis, 2014)</w:t>
      </w:r>
      <w:r w:rsidRPr="009768AE">
        <w:rPr>
          <w:rFonts w:ascii="Calibri" w:hAnsi="Calibri" w:cs="Calibri"/>
          <w:sz w:val="22"/>
          <w:szCs w:val="22"/>
        </w:rPr>
        <w:t xml:space="preserve">. </w:t>
      </w:r>
      <w:r w:rsidR="00D00FFE">
        <w:rPr>
          <w:rFonts w:ascii="Calibri" w:hAnsi="Calibri" w:cs="Calibri"/>
          <w:sz w:val="22"/>
          <w:szCs w:val="22"/>
        </w:rPr>
        <w:t>O</w:t>
      </w:r>
      <w:r w:rsidRPr="009768AE">
        <w:rPr>
          <w:rFonts w:ascii="Calibri" w:hAnsi="Calibri" w:cs="Calibri"/>
          <w:sz w:val="22"/>
          <w:szCs w:val="22"/>
        </w:rPr>
        <w:t>rgani</w:t>
      </w:r>
      <w:r w:rsidR="000033D2">
        <w:rPr>
          <w:rFonts w:ascii="Calibri" w:hAnsi="Calibri" w:cs="Calibri"/>
          <w:sz w:val="22"/>
          <w:szCs w:val="22"/>
        </w:rPr>
        <w:t>s</w:t>
      </w:r>
      <w:r w:rsidRPr="009768AE">
        <w:rPr>
          <w:rFonts w:ascii="Calibri" w:hAnsi="Calibri" w:cs="Calibri"/>
          <w:sz w:val="22"/>
          <w:szCs w:val="22"/>
        </w:rPr>
        <w:t xml:space="preserve">ations should </w:t>
      </w:r>
      <w:r w:rsidR="00D00FFE">
        <w:rPr>
          <w:rFonts w:ascii="Calibri" w:hAnsi="Calibri" w:cs="Calibri"/>
          <w:sz w:val="22"/>
          <w:szCs w:val="22"/>
        </w:rPr>
        <w:t xml:space="preserve">therefore </w:t>
      </w:r>
      <w:r w:rsidRPr="009768AE">
        <w:rPr>
          <w:rFonts w:ascii="Calibri" w:hAnsi="Calibri" w:cs="Calibri"/>
          <w:sz w:val="22"/>
          <w:szCs w:val="22"/>
        </w:rPr>
        <w:t>consider how their chosen pay structure aligns with their goals for employee development and retention.</w:t>
      </w:r>
    </w:p>
    <w:p w14:paraId="624FA4A9" w14:textId="1FFE034B" w:rsidR="009768AE" w:rsidRDefault="000033D2" w:rsidP="009768AE">
      <w:pPr>
        <w:rPr>
          <w:rFonts w:ascii="Calibri" w:hAnsi="Calibri" w:cs="Calibri"/>
          <w:sz w:val="22"/>
          <w:szCs w:val="22"/>
        </w:rPr>
      </w:pPr>
      <w:r>
        <w:rPr>
          <w:rFonts w:ascii="Calibri" w:hAnsi="Calibri" w:cs="Calibri"/>
          <w:sz w:val="22"/>
          <w:szCs w:val="22"/>
        </w:rPr>
        <w:t>T</w:t>
      </w:r>
      <w:r w:rsidR="009768AE" w:rsidRPr="009768AE">
        <w:rPr>
          <w:rFonts w:ascii="Calibri" w:hAnsi="Calibri" w:cs="Calibri"/>
          <w:sz w:val="22"/>
          <w:szCs w:val="22"/>
        </w:rPr>
        <w:t xml:space="preserve">he variety of grade and pay structures available allows </w:t>
      </w:r>
      <w:r w:rsidR="00841B32">
        <w:rPr>
          <w:rFonts w:ascii="Calibri" w:hAnsi="Calibri" w:cs="Calibri"/>
          <w:sz w:val="22"/>
          <w:szCs w:val="22"/>
        </w:rPr>
        <w:t>Eco-Insulate UK</w:t>
      </w:r>
      <w:r w:rsidR="009768AE" w:rsidRPr="009768AE">
        <w:rPr>
          <w:rFonts w:ascii="Calibri" w:hAnsi="Calibri" w:cs="Calibri"/>
          <w:sz w:val="22"/>
          <w:szCs w:val="22"/>
        </w:rPr>
        <w:t xml:space="preserve"> to tailor their approach to their specific needs and workforce. The key is to balance factors </w:t>
      </w:r>
      <w:r w:rsidR="00831875">
        <w:rPr>
          <w:rFonts w:ascii="Calibri" w:hAnsi="Calibri" w:cs="Calibri"/>
          <w:sz w:val="22"/>
          <w:szCs w:val="22"/>
        </w:rPr>
        <w:t>such as</w:t>
      </w:r>
      <w:r w:rsidR="009768AE" w:rsidRPr="009768AE">
        <w:rPr>
          <w:rFonts w:ascii="Calibri" w:hAnsi="Calibri" w:cs="Calibri"/>
          <w:sz w:val="22"/>
          <w:szCs w:val="22"/>
        </w:rPr>
        <w:t xml:space="preserve"> flexibility, fairness, transparency, and alignment with organi</w:t>
      </w:r>
      <w:r>
        <w:rPr>
          <w:rFonts w:ascii="Calibri" w:hAnsi="Calibri" w:cs="Calibri"/>
          <w:sz w:val="22"/>
          <w:szCs w:val="22"/>
        </w:rPr>
        <w:t>s</w:t>
      </w:r>
      <w:r w:rsidR="009768AE" w:rsidRPr="009768AE">
        <w:rPr>
          <w:rFonts w:ascii="Calibri" w:hAnsi="Calibri" w:cs="Calibri"/>
          <w:sz w:val="22"/>
          <w:szCs w:val="22"/>
        </w:rPr>
        <w:t>ational objectives when designing and implementing a pay structure.</w:t>
      </w:r>
    </w:p>
    <w:p w14:paraId="1A2822E7" w14:textId="77777777" w:rsidR="006F34F8" w:rsidRDefault="006F34F8" w:rsidP="006811A3">
      <w:pPr>
        <w:rPr>
          <w:rFonts w:ascii="Calibri" w:hAnsi="Calibri" w:cs="Calibri"/>
          <w:sz w:val="22"/>
          <w:szCs w:val="22"/>
        </w:rPr>
      </w:pPr>
    </w:p>
    <w:p w14:paraId="093FBB41" w14:textId="4CCCCDA4" w:rsidR="006F34F8" w:rsidRDefault="001267ED" w:rsidP="006811A3">
      <w:pPr>
        <w:rPr>
          <w:rFonts w:ascii="Calibri" w:hAnsi="Calibri" w:cs="Calibri"/>
          <w:sz w:val="22"/>
          <w:szCs w:val="22"/>
        </w:rPr>
      </w:pPr>
      <w:r>
        <w:rPr>
          <w:rFonts w:ascii="Calibri" w:hAnsi="Calibri" w:cs="Calibri"/>
          <w:sz w:val="22"/>
          <w:szCs w:val="22"/>
        </w:rPr>
        <w:t xml:space="preserve">(AC 2.2) </w:t>
      </w:r>
      <w:r w:rsidRPr="001267ED">
        <w:rPr>
          <w:rFonts w:ascii="Calibri" w:hAnsi="Calibri" w:cs="Calibri"/>
          <w:sz w:val="22"/>
          <w:szCs w:val="22"/>
        </w:rPr>
        <w:t xml:space="preserve">Explain how contingent rewards can impact individual, team and organisational performance. </w:t>
      </w:r>
    </w:p>
    <w:p w14:paraId="2C3B03CA" w14:textId="2F032CBB" w:rsidR="00DE1882" w:rsidRDefault="00DE1882" w:rsidP="00A32E99">
      <w:pPr>
        <w:rPr>
          <w:rFonts w:ascii="Calibri" w:hAnsi="Calibri" w:cs="Calibri"/>
          <w:sz w:val="22"/>
          <w:szCs w:val="22"/>
        </w:rPr>
      </w:pPr>
      <w:r w:rsidRPr="00DE1882">
        <w:rPr>
          <w:rFonts w:ascii="Calibri" w:hAnsi="Calibri" w:cs="Calibri"/>
          <w:sz w:val="22"/>
          <w:szCs w:val="22"/>
        </w:rPr>
        <w:t>Contingent rewards are a type of incentive system used in organisations</w:t>
      </w:r>
      <w:r w:rsidR="00ED2D06" w:rsidRPr="00ED2D06">
        <w:rPr>
          <w:rFonts w:ascii="Calibri" w:hAnsi="Calibri" w:cs="Calibri"/>
          <w:sz w:val="22"/>
          <w:szCs w:val="22"/>
        </w:rPr>
        <w:t xml:space="preserve"> </w:t>
      </w:r>
      <w:r w:rsidRPr="00DE1882">
        <w:rPr>
          <w:rFonts w:ascii="Calibri" w:hAnsi="Calibri" w:cs="Calibri"/>
          <w:sz w:val="22"/>
          <w:szCs w:val="22"/>
        </w:rPr>
        <w:t xml:space="preserve">to motivate employees and improve performance. </w:t>
      </w:r>
      <w:r w:rsidR="009C29A1">
        <w:rPr>
          <w:rFonts w:ascii="Calibri" w:hAnsi="Calibri" w:cs="Calibri"/>
          <w:sz w:val="22"/>
          <w:szCs w:val="22"/>
        </w:rPr>
        <w:t>Leaders</w:t>
      </w:r>
      <w:r w:rsidRPr="00DE1882">
        <w:rPr>
          <w:rFonts w:ascii="Calibri" w:hAnsi="Calibri" w:cs="Calibri"/>
          <w:sz w:val="22"/>
          <w:szCs w:val="22"/>
        </w:rPr>
        <w:t xml:space="preserve"> or managers offer specific rewards to employees based on their ability to meet pre</w:t>
      </w:r>
      <w:r w:rsidR="00E43BCD">
        <w:rPr>
          <w:rFonts w:ascii="Calibri" w:hAnsi="Calibri" w:cs="Calibri"/>
          <w:sz w:val="22"/>
          <w:szCs w:val="22"/>
        </w:rPr>
        <w:t>-</w:t>
      </w:r>
      <w:r w:rsidRPr="00DE1882">
        <w:rPr>
          <w:rFonts w:ascii="Calibri" w:hAnsi="Calibri" w:cs="Calibri"/>
          <w:sz w:val="22"/>
          <w:szCs w:val="22"/>
        </w:rPr>
        <w:t>determined goals or performance standards. These rewards are 'contingent' upon the employee successfully completing certain tasks or achieving particular objectives. The rewards can be tangible, such as bonuses, pay raises, or promotions, or intangible, like praise, recognition, or additional responsibilities. The core idea behind contingent rewards is to create a clear link between an employee's efforts and the benefits they receive</w:t>
      </w:r>
      <w:r w:rsidR="00E43BCD">
        <w:rPr>
          <w:rFonts w:ascii="Calibri" w:hAnsi="Calibri" w:cs="Calibri"/>
          <w:sz w:val="22"/>
          <w:szCs w:val="22"/>
        </w:rPr>
        <w:t>.</w:t>
      </w:r>
      <w:r w:rsidR="00A56C36">
        <w:rPr>
          <w:rFonts w:ascii="Calibri" w:hAnsi="Calibri" w:cs="Calibri"/>
          <w:sz w:val="22"/>
          <w:szCs w:val="22"/>
        </w:rPr>
        <w:t xml:space="preserve"> </w:t>
      </w:r>
      <w:r w:rsidR="00A56C36" w:rsidRPr="00A32E99">
        <w:rPr>
          <w:rFonts w:ascii="Calibri" w:hAnsi="Calibri" w:cs="Calibri"/>
          <w:sz w:val="22"/>
          <w:szCs w:val="22"/>
        </w:rPr>
        <w:t xml:space="preserve">Contingent rewards </w:t>
      </w:r>
      <w:r w:rsidR="00A56C36">
        <w:rPr>
          <w:rFonts w:ascii="Calibri" w:hAnsi="Calibri" w:cs="Calibri"/>
          <w:sz w:val="22"/>
          <w:szCs w:val="22"/>
        </w:rPr>
        <w:t xml:space="preserve">have the power to </w:t>
      </w:r>
      <w:r w:rsidR="00A56C36" w:rsidRPr="00A32E99">
        <w:rPr>
          <w:rFonts w:ascii="Calibri" w:hAnsi="Calibri" w:cs="Calibri"/>
          <w:sz w:val="22"/>
          <w:szCs w:val="22"/>
        </w:rPr>
        <w:t>impact performance at individual, team, and organi</w:t>
      </w:r>
      <w:r w:rsidR="00A56C36">
        <w:rPr>
          <w:rFonts w:ascii="Calibri" w:hAnsi="Calibri" w:cs="Calibri"/>
          <w:sz w:val="22"/>
          <w:szCs w:val="22"/>
        </w:rPr>
        <w:t>s</w:t>
      </w:r>
      <w:r w:rsidR="00A56C36" w:rsidRPr="00A32E99">
        <w:rPr>
          <w:rFonts w:ascii="Calibri" w:hAnsi="Calibri" w:cs="Calibri"/>
          <w:sz w:val="22"/>
          <w:szCs w:val="22"/>
        </w:rPr>
        <w:t>ational level.</w:t>
      </w:r>
    </w:p>
    <w:p w14:paraId="4DC5556A" w14:textId="4F08FFA3" w:rsidR="00A32E99" w:rsidRPr="00A32E99" w:rsidRDefault="00A32E99" w:rsidP="00A32E99">
      <w:pPr>
        <w:rPr>
          <w:rFonts w:ascii="Calibri" w:hAnsi="Calibri" w:cs="Calibri"/>
          <w:sz w:val="22"/>
          <w:szCs w:val="22"/>
        </w:rPr>
      </w:pPr>
      <w:r w:rsidRPr="00A32E99">
        <w:rPr>
          <w:rFonts w:ascii="Calibri" w:hAnsi="Calibri" w:cs="Calibri"/>
          <w:sz w:val="22"/>
          <w:szCs w:val="22"/>
        </w:rPr>
        <w:t xml:space="preserve">At the individual level, these rewards clarify the link between effort and outcomes, motivating employees to work harder towards specific goals </w:t>
      </w:r>
      <w:r w:rsidR="005D059B" w:rsidRPr="005D059B">
        <w:rPr>
          <w:rFonts w:ascii="Calibri" w:hAnsi="Calibri" w:cs="Calibri"/>
          <w:sz w:val="22"/>
          <w:szCs w:val="22"/>
        </w:rPr>
        <w:t xml:space="preserve">(Ghosh, Buss and </w:t>
      </w:r>
      <w:proofErr w:type="spellStart"/>
      <w:r w:rsidR="005D059B" w:rsidRPr="005D059B">
        <w:rPr>
          <w:rFonts w:ascii="Calibri" w:hAnsi="Calibri" w:cs="Calibri"/>
          <w:sz w:val="22"/>
          <w:szCs w:val="22"/>
        </w:rPr>
        <w:t>Shivhare</w:t>
      </w:r>
      <w:proofErr w:type="spellEnd"/>
      <w:r w:rsidR="005D059B" w:rsidRPr="005D059B">
        <w:rPr>
          <w:rFonts w:ascii="Calibri" w:hAnsi="Calibri" w:cs="Calibri"/>
          <w:sz w:val="22"/>
          <w:szCs w:val="22"/>
        </w:rPr>
        <w:t>, 2023)</w:t>
      </w:r>
      <w:r w:rsidR="005D059B">
        <w:rPr>
          <w:rFonts w:ascii="Calibri" w:hAnsi="Calibri" w:cs="Calibri"/>
          <w:sz w:val="22"/>
          <w:szCs w:val="22"/>
        </w:rPr>
        <w:t xml:space="preserve">. </w:t>
      </w:r>
      <w:r w:rsidRPr="00A32E99">
        <w:rPr>
          <w:rFonts w:ascii="Calibri" w:hAnsi="Calibri" w:cs="Calibri"/>
          <w:sz w:val="22"/>
          <w:szCs w:val="22"/>
        </w:rPr>
        <w:t xml:space="preserve">The theory of learned industriousness explains that contingent rewards make effort seem less unpleasant and highlight which </w:t>
      </w:r>
      <w:r w:rsidR="002662BA">
        <w:rPr>
          <w:rFonts w:ascii="Calibri" w:hAnsi="Calibri" w:cs="Calibri"/>
          <w:sz w:val="22"/>
          <w:szCs w:val="22"/>
        </w:rPr>
        <w:t>behaviours</w:t>
      </w:r>
      <w:r w:rsidRPr="00A32E99">
        <w:rPr>
          <w:rFonts w:ascii="Calibri" w:hAnsi="Calibri" w:cs="Calibri"/>
          <w:sz w:val="22"/>
          <w:szCs w:val="22"/>
        </w:rPr>
        <w:t xml:space="preserve"> are valued, encouraging </w:t>
      </w:r>
      <w:r w:rsidR="002662BA">
        <w:rPr>
          <w:rFonts w:ascii="Calibri" w:hAnsi="Calibri" w:cs="Calibri"/>
          <w:sz w:val="22"/>
          <w:szCs w:val="22"/>
        </w:rPr>
        <w:t>employees</w:t>
      </w:r>
      <w:r w:rsidRPr="00A32E99">
        <w:rPr>
          <w:rFonts w:ascii="Calibri" w:hAnsi="Calibri" w:cs="Calibri"/>
          <w:sz w:val="22"/>
          <w:szCs w:val="22"/>
        </w:rPr>
        <w:t xml:space="preserve"> to tackle challenging tasks </w:t>
      </w:r>
      <w:r w:rsidR="005D059B" w:rsidRPr="005D059B">
        <w:rPr>
          <w:rFonts w:ascii="Calibri" w:hAnsi="Calibri" w:cs="Calibri"/>
          <w:sz w:val="22"/>
          <w:szCs w:val="22"/>
        </w:rPr>
        <w:t xml:space="preserve">(Ghosh, Buss and </w:t>
      </w:r>
      <w:proofErr w:type="spellStart"/>
      <w:r w:rsidR="005D059B" w:rsidRPr="005D059B">
        <w:rPr>
          <w:rFonts w:ascii="Calibri" w:hAnsi="Calibri" w:cs="Calibri"/>
          <w:sz w:val="22"/>
          <w:szCs w:val="22"/>
        </w:rPr>
        <w:t>Shivhare</w:t>
      </w:r>
      <w:proofErr w:type="spellEnd"/>
      <w:r w:rsidR="005D059B" w:rsidRPr="005D059B">
        <w:rPr>
          <w:rFonts w:ascii="Calibri" w:hAnsi="Calibri" w:cs="Calibri"/>
          <w:sz w:val="22"/>
          <w:szCs w:val="22"/>
        </w:rPr>
        <w:t>, 2023)</w:t>
      </w:r>
      <w:r w:rsidRPr="00A32E99">
        <w:rPr>
          <w:rFonts w:ascii="Calibri" w:hAnsi="Calibri" w:cs="Calibri"/>
          <w:sz w:val="22"/>
          <w:szCs w:val="22"/>
        </w:rPr>
        <w:t>.</w:t>
      </w:r>
    </w:p>
    <w:p w14:paraId="266AA1B2" w14:textId="1EFB39D4" w:rsidR="00A32E99" w:rsidRPr="00A32E99" w:rsidRDefault="00A32E99" w:rsidP="00A32E99">
      <w:pPr>
        <w:rPr>
          <w:rFonts w:ascii="Calibri" w:hAnsi="Calibri" w:cs="Calibri"/>
          <w:sz w:val="22"/>
          <w:szCs w:val="22"/>
        </w:rPr>
      </w:pPr>
      <w:r w:rsidRPr="00A32E99">
        <w:rPr>
          <w:rFonts w:ascii="Calibri" w:hAnsi="Calibri" w:cs="Calibri"/>
          <w:sz w:val="22"/>
          <w:szCs w:val="22"/>
        </w:rPr>
        <w:t xml:space="preserve">In teams, contingent rewards can improve processes like knowledge sharing. When leaders consistently reward information exchange and creative outcomes, team members are more likely to share ideas and expertise </w:t>
      </w:r>
      <w:r w:rsidR="005D059B" w:rsidRPr="005D059B">
        <w:rPr>
          <w:rFonts w:ascii="Calibri" w:hAnsi="Calibri" w:cs="Calibri"/>
          <w:sz w:val="22"/>
          <w:szCs w:val="22"/>
        </w:rPr>
        <w:t xml:space="preserve">(Ghosh, Buss and </w:t>
      </w:r>
      <w:proofErr w:type="spellStart"/>
      <w:r w:rsidR="005D059B" w:rsidRPr="005D059B">
        <w:rPr>
          <w:rFonts w:ascii="Calibri" w:hAnsi="Calibri" w:cs="Calibri"/>
          <w:sz w:val="22"/>
          <w:szCs w:val="22"/>
        </w:rPr>
        <w:t>Shivhare</w:t>
      </w:r>
      <w:proofErr w:type="spellEnd"/>
      <w:r w:rsidR="005D059B" w:rsidRPr="005D059B">
        <w:rPr>
          <w:rFonts w:ascii="Calibri" w:hAnsi="Calibri" w:cs="Calibri"/>
          <w:sz w:val="22"/>
          <w:szCs w:val="22"/>
        </w:rPr>
        <w:t>, 2023)</w:t>
      </w:r>
      <w:r w:rsidRPr="00A32E99">
        <w:rPr>
          <w:rFonts w:ascii="Calibri" w:hAnsi="Calibri" w:cs="Calibri"/>
          <w:sz w:val="22"/>
          <w:szCs w:val="22"/>
        </w:rPr>
        <w:t>. This increased collaboration can boost team creativity and problem</w:t>
      </w:r>
      <w:r w:rsidR="00513D79">
        <w:rPr>
          <w:rFonts w:ascii="Calibri" w:hAnsi="Calibri" w:cs="Calibri"/>
          <w:sz w:val="22"/>
          <w:szCs w:val="22"/>
        </w:rPr>
        <w:t xml:space="preserve"> </w:t>
      </w:r>
      <w:r w:rsidRPr="00A32E99">
        <w:rPr>
          <w:rFonts w:ascii="Calibri" w:hAnsi="Calibri" w:cs="Calibri"/>
          <w:sz w:val="22"/>
          <w:szCs w:val="22"/>
        </w:rPr>
        <w:t>solving. However, the effectiveness of these rewards depend</w:t>
      </w:r>
      <w:r w:rsidR="00513D79">
        <w:rPr>
          <w:rFonts w:ascii="Calibri" w:hAnsi="Calibri" w:cs="Calibri"/>
          <w:sz w:val="22"/>
          <w:szCs w:val="22"/>
        </w:rPr>
        <w:t xml:space="preserve"> </w:t>
      </w:r>
      <w:r w:rsidRPr="00A32E99">
        <w:rPr>
          <w:rFonts w:ascii="Calibri" w:hAnsi="Calibri" w:cs="Calibri"/>
          <w:sz w:val="22"/>
          <w:szCs w:val="22"/>
        </w:rPr>
        <w:t>on how predictably leaders use them. If leaders are inconsistent in giving rewards, it can create uncertainty and potentially discourage knowledge sharing among team members.</w:t>
      </w:r>
    </w:p>
    <w:p w14:paraId="63CA0081" w14:textId="51D98D17" w:rsidR="00A32E99" w:rsidRPr="00A32E99" w:rsidRDefault="00A32E99" w:rsidP="00A32E99">
      <w:pPr>
        <w:rPr>
          <w:rFonts w:ascii="Calibri" w:hAnsi="Calibri" w:cs="Calibri"/>
          <w:sz w:val="22"/>
          <w:szCs w:val="22"/>
        </w:rPr>
      </w:pPr>
      <w:r w:rsidRPr="00A32E99">
        <w:rPr>
          <w:rFonts w:ascii="Calibri" w:hAnsi="Calibri" w:cs="Calibri"/>
          <w:sz w:val="22"/>
          <w:szCs w:val="22"/>
        </w:rPr>
        <w:t xml:space="preserve">At </w:t>
      </w:r>
      <w:r w:rsidR="004169A5">
        <w:rPr>
          <w:rFonts w:ascii="Calibri" w:hAnsi="Calibri" w:cs="Calibri"/>
          <w:sz w:val="22"/>
          <w:szCs w:val="22"/>
        </w:rPr>
        <w:t>an</w:t>
      </w:r>
      <w:r w:rsidRPr="00A32E99">
        <w:rPr>
          <w:rFonts w:ascii="Calibri" w:hAnsi="Calibri" w:cs="Calibri"/>
          <w:sz w:val="22"/>
          <w:szCs w:val="22"/>
        </w:rPr>
        <w:t xml:space="preserve"> organi</w:t>
      </w:r>
      <w:r w:rsidR="00DC03CB">
        <w:rPr>
          <w:rFonts w:ascii="Calibri" w:hAnsi="Calibri" w:cs="Calibri"/>
          <w:sz w:val="22"/>
          <w:szCs w:val="22"/>
        </w:rPr>
        <w:t>s</w:t>
      </w:r>
      <w:r w:rsidRPr="00A32E99">
        <w:rPr>
          <w:rFonts w:ascii="Calibri" w:hAnsi="Calibri" w:cs="Calibri"/>
          <w:sz w:val="22"/>
          <w:szCs w:val="22"/>
        </w:rPr>
        <w:t xml:space="preserve">ational level, contingent pay systems can align individual and team efforts with </w:t>
      </w:r>
      <w:r w:rsidR="00DC03CB">
        <w:rPr>
          <w:rFonts w:ascii="Calibri" w:hAnsi="Calibri" w:cs="Calibri"/>
          <w:sz w:val="22"/>
          <w:szCs w:val="22"/>
        </w:rPr>
        <w:t>the organisations</w:t>
      </w:r>
      <w:r w:rsidRPr="00A32E99">
        <w:rPr>
          <w:rFonts w:ascii="Calibri" w:hAnsi="Calibri" w:cs="Calibri"/>
          <w:sz w:val="22"/>
          <w:szCs w:val="22"/>
        </w:rPr>
        <w:t xml:space="preserve"> goals. By connecting rewards to specific performance outcomes, organi</w:t>
      </w:r>
      <w:r w:rsidR="00DC03CB">
        <w:rPr>
          <w:rFonts w:ascii="Calibri" w:hAnsi="Calibri" w:cs="Calibri"/>
          <w:sz w:val="22"/>
          <w:szCs w:val="22"/>
        </w:rPr>
        <w:t>s</w:t>
      </w:r>
      <w:r w:rsidRPr="00A32E99">
        <w:rPr>
          <w:rFonts w:ascii="Calibri" w:hAnsi="Calibri" w:cs="Calibri"/>
          <w:sz w:val="22"/>
          <w:szCs w:val="22"/>
        </w:rPr>
        <w:t xml:space="preserve">ations can focus employee efforts on key priorities </w:t>
      </w:r>
      <w:r w:rsidR="00715414" w:rsidRPr="00715414">
        <w:rPr>
          <w:rFonts w:ascii="Calibri" w:hAnsi="Calibri" w:cs="Calibri"/>
          <w:sz w:val="22"/>
          <w:szCs w:val="22"/>
        </w:rPr>
        <w:t>(Ogbonnaya, Daniels and Nielsen, 2017)</w:t>
      </w:r>
      <w:r w:rsidRPr="00A32E99">
        <w:rPr>
          <w:rFonts w:ascii="Calibri" w:hAnsi="Calibri" w:cs="Calibri"/>
          <w:sz w:val="22"/>
          <w:szCs w:val="22"/>
        </w:rPr>
        <w:t>. This alignment can improve overall organi</w:t>
      </w:r>
      <w:r w:rsidR="00A25E7F">
        <w:rPr>
          <w:rFonts w:ascii="Calibri" w:hAnsi="Calibri" w:cs="Calibri"/>
          <w:sz w:val="22"/>
          <w:szCs w:val="22"/>
        </w:rPr>
        <w:t>s</w:t>
      </w:r>
      <w:r w:rsidRPr="00A32E99">
        <w:rPr>
          <w:rFonts w:ascii="Calibri" w:hAnsi="Calibri" w:cs="Calibri"/>
          <w:sz w:val="22"/>
          <w:szCs w:val="22"/>
        </w:rPr>
        <w:t>ational performance and foster a culture of high achievement.</w:t>
      </w:r>
    </w:p>
    <w:p w14:paraId="578242B5" w14:textId="36B78265" w:rsidR="00A32E99" w:rsidRPr="00A32E99" w:rsidRDefault="00A25E7F" w:rsidP="00A32E99">
      <w:pPr>
        <w:rPr>
          <w:rFonts w:ascii="Calibri" w:hAnsi="Calibri" w:cs="Calibri"/>
          <w:sz w:val="22"/>
          <w:szCs w:val="22"/>
        </w:rPr>
      </w:pPr>
      <w:r>
        <w:rPr>
          <w:rFonts w:ascii="Calibri" w:hAnsi="Calibri" w:cs="Calibri"/>
          <w:sz w:val="22"/>
          <w:szCs w:val="22"/>
        </w:rPr>
        <w:t>The</w:t>
      </w:r>
      <w:r w:rsidR="00A32E99" w:rsidRPr="00A32E99">
        <w:rPr>
          <w:rFonts w:ascii="Calibri" w:hAnsi="Calibri" w:cs="Calibri"/>
          <w:sz w:val="22"/>
          <w:szCs w:val="22"/>
        </w:rPr>
        <w:t xml:space="preserve"> effectiveness</w:t>
      </w:r>
      <w:r>
        <w:rPr>
          <w:rFonts w:ascii="Calibri" w:hAnsi="Calibri" w:cs="Calibri"/>
          <w:sz w:val="22"/>
          <w:szCs w:val="22"/>
        </w:rPr>
        <w:t xml:space="preserve"> of contingent rewards</w:t>
      </w:r>
      <w:r w:rsidR="00A32E99" w:rsidRPr="00A32E99">
        <w:rPr>
          <w:rFonts w:ascii="Calibri" w:hAnsi="Calibri" w:cs="Calibri"/>
          <w:sz w:val="22"/>
          <w:szCs w:val="22"/>
        </w:rPr>
        <w:t xml:space="preserve"> can vary based on factors such as task complexity, individual differences, and implementation. People may respond differently to reward systems, and how the system is designed and carried out </w:t>
      </w:r>
      <w:r w:rsidR="00766CA0">
        <w:rPr>
          <w:rFonts w:ascii="Calibri" w:hAnsi="Calibri" w:cs="Calibri"/>
          <w:sz w:val="22"/>
          <w:szCs w:val="22"/>
        </w:rPr>
        <w:t>can have an effect on it</w:t>
      </w:r>
      <w:r w:rsidR="00A32E99" w:rsidRPr="00A32E99">
        <w:rPr>
          <w:rFonts w:ascii="Calibri" w:hAnsi="Calibri" w:cs="Calibri"/>
          <w:sz w:val="22"/>
          <w:szCs w:val="22"/>
        </w:rPr>
        <w:t xml:space="preserve">. </w:t>
      </w:r>
      <w:r w:rsidR="00766CA0">
        <w:rPr>
          <w:rFonts w:ascii="Calibri" w:hAnsi="Calibri" w:cs="Calibri"/>
          <w:sz w:val="22"/>
          <w:szCs w:val="22"/>
        </w:rPr>
        <w:t>S</w:t>
      </w:r>
      <w:r w:rsidR="00A32E99" w:rsidRPr="00A32E99">
        <w:rPr>
          <w:rFonts w:ascii="Calibri" w:hAnsi="Calibri" w:cs="Calibri"/>
          <w:sz w:val="22"/>
          <w:szCs w:val="22"/>
        </w:rPr>
        <w:t xml:space="preserve">ome contingent pay schemes may lead to work intensification, which could offset the positive effects on employee attitudes </w:t>
      </w:r>
      <w:r w:rsidR="00715414" w:rsidRPr="00715414">
        <w:rPr>
          <w:rFonts w:ascii="Calibri" w:hAnsi="Calibri" w:cs="Calibri"/>
          <w:sz w:val="22"/>
          <w:szCs w:val="22"/>
        </w:rPr>
        <w:t>(Ogbonnaya, Daniels and Nielsen, 2017)</w:t>
      </w:r>
      <w:r w:rsidR="00A32E99" w:rsidRPr="00A32E99">
        <w:rPr>
          <w:rFonts w:ascii="Calibri" w:hAnsi="Calibri" w:cs="Calibri"/>
          <w:sz w:val="22"/>
          <w:szCs w:val="22"/>
        </w:rPr>
        <w:t>.</w:t>
      </w:r>
    </w:p>
    <w:p w14:paraId="3B45FE88" w14:textId="2C57E83C" w:rsidR="00A32E99" w:rsidRDefault="00A32E99" w:rsidP="00A32E99">
      <w:pPr>
        <w:rPr>
          <w:rFonts w:ascii="Calibri" w:hAnsi="Calibri" w:cs="Calibri"/>
          <w:sz w:val="22"/>
          <w:szCs w:val="22"/>
        </w:rPr>
      </w:pPr>
      <w:r w:rsidRPr="00A32E99">
        <w:rPr>
          <w:rFonts w:ascii="Calibri" w:hAnsi="Calibri" w:cs="Calibri"/>
          <w:sz w:val="22"/>
          <w:szCs w:val="22"/>
        </w:rPr>
        <w:t>To maximi</w:t>
      </w:r>
      <w:r w:rsidR="00766CA0">
        <w:rPr>
          <w:rFonts w:ascii="Calibri" w:hAnsi="Calibri" w:cs="Calibri"/>
          <w:sz w:val="22"/>
          <w:szCs w:val="22"/>
        </w:rPr>
        <w:t>s</w:t>
      </w:r>
      <w:r w:rsidRPr="00A32E99">
        <w:rPr>
          <w:rFonts w:ascii="Calibri" w:hAnsi="Calibri" w:cs="Calibri"/>
          <w:sz w:val="22"/>
          <w:szCs w:val="22"/>
        </w:rPr>
        <w:t xml:space="preserve">e the benefits of contingent rewards across all levels, </w:t>
      </w:r>
      <w:r w:rsidR="00CA4ED0">
        <w:rPr>
          <w:rFonts w:ascii="Calibri" w:hAnsi="Calibri" w:cs="Calibri"/>
          <w:sz w:val="22"/>
          <w:szCs w:val="22"/>
        </w:rPr>
        <w:t>Eco</w:t>
      </w:r>
      <w:r w:rsidR="00FB27E9">
        <w:rPr>
          <w:rFonts w:ascii="Calibri" w:hAnsi="Calibri" w:cs="Calibri"/>
          <w:sz w:val="22"/>
          <w:szCs w:val="22"/>
        </w:rPr>
        <w:t>-Insulate UK</w:t>
      </w:r>
      <w:r w:rsidRPr="00A32E99">
        <w:rPr>
          <w:rFonts w:ascii="Calibri" w:hAnsi="Calibri" w:cs="Calibri"/>
          <w:sz w:val="22"/>
          <w:szCs w:val="22"/>
        </w:rPr>
        <w:t xml:space="preserve"> must carefully design and consistently implement these systems. This involves clear communication about how rewards are earned, ensuring leaders apply the system predictably, and aligning the rewards with the organi</w:t>
      </w:r>
      <w:r w:rsidR="003A792E">
        <w:rPr>
          <w:rFonts w:ascii="Calibri" w:hAnsi="Calibri" w:cs="Calibri"/>
          <w:sz w:val="22"/>
          <w:szCs w:val="22"/>
        </w:rPr>
        <w:t>s</w:t>
      </w:r>
      <w:r w:rsidRPr="00A32E99">
        <w:rPr>
          <w:rFonts w:ascii="Calibri" w:hAnsi="Calibri" w:cs="Calibri"/>
          <w:sz w:val="22"/>
          <w:szCs w:val="22"/>
        </w:rPr>
        <w:t>ation's specific context and goals</w:t>
      </w:r>
      <w:r w:rsidR="00CD0270">
        <w:rPr>
          <w:rFonts w:ascii="Calibri" w:hAnsi="Calibri" w:cs="Calibri"/>
          <w:sz w:val="22"/>
          <w:szCs w:val="22"/>
        </w:rPr>
        <w:t xml:space="preserve"> </w:t>
      </w:r>
      <w:r w:rsidR="00715414" w:rsidRPr="00715414">
        <w:rPr>
          <w:rFonts w:ascii="Calibri" w:hAnsi="Calibri" w:cs="Calibri"/>
          <w:sz w:val="22"/>
          <w:szCs w:val="22"/>
        </w:rPr>
        <w:t>(Ogbonnaya, Daniels and Nielsen, 2017)</w:t>
      </w:r>
      <w:r w:rsidR="00CD0270">
        <w:rPr>
          <w:rFonts w:ascii="Calibri" w:hAnsi="Calibri" w:cs="Calibri"/>
          <w:sz w:val="22"/>
          <w:szCs w:val="22"/>
        </w:rPr>
        <w:t>.</w:t>
      </w:r>
    </w:p>
    <w:p w14:paraId="2FE21A28" w14:textId="77777777" w:rsidR="000A4258" w:rsidRDefault="000A4258" w:rsidP="00A32E99">
      <w:pPr>
        <w:rPr>
          <w:rFonts w:ascii="Calibri" w:hAnsi="Calibri" w:cs="Calibri"/>
          <w:sz w:val="22"/>
          <w:szCs w:val="22"/>
        </w:rPr>
      </w:pPr>
    </w:p>
    <w:p w14:paraId="283D75E0" w14:textId="3B71B6D4" w:rsidR="000A4258" w:rsidRDefault="00E649D2" w:rsidP="00A32E99">
      <w:pPr>
        <w:rPr>
          <w:rFonts w:ascii="Calibri" w:hAnsi="Calibri" w:cs="Calibri"/>
          <w:sz w:val="22"/>
          <w:szCs w:val="22"/>
        </w:rPr>
      </w:pPr>
      <w:r>
        <w:rPr>
          <w:rFonts w:ascii="Calibri" w:hAnsi="Calibri" w:cs="Calibri"/>
          <w:sz w:val="22"/>
          <w:szCs w:val="22"/>
        </w:rPr>
        <w:t xml:space="preserve">(AC 2.3) </w:t>
      </w:r>
      <w:r w:rsidRPr="00E649D2">
        <w:rPr>
          <w:rFonts w:ascii="Calibri" w:hAnsi="Calibri" w:cs="Calibri"/>
          <w:sz w:val="22"/>
          <w:szCs w:val="22"/>
        </w:rPr>
        <w:t xml:space="preserve">Explain the merits of different types of benefits offered by organisations. </w:t>
      </w:r>
    </w:p>
    <w:p w14:paraId="7A8D4789" w14:textId="52EF73EB" w:rsidR="00AC25B2" w:rsidRPr="00AC25B2" w:rsidRDefault="00AC25B2" w:rsidP="00AC25B2">
      <w:pPr>
        <w:rPr>
          <w:rFonts w:ascii="Calibri" w:hAnsi="Calibri" w:cs="Calibri"/>
          <w:sz w:val="22"/>
          <w:szCs w:val="22"/>
        </w:rPr>
      </w:pPr>
      <w:r w:rsidRPr="00AC25B2">
        <w:rPr>
          <w:rFonts w:ascii="Calibri" w:hAnsi="Calibri" w:cs="Calibri"/>
          <w:sz w:val="22"/>
          <w:szCs w:val="22"/>
        </w:rPr>
        <w:lastRenderedPageBreak/>
        <w:t xml:space="preserve">Employee benefits </w:t>
      </w:r>
      <w:r w:rsidR="00DB7513">
        <w:rPr>
          <w:rFonts w:ascii="Calibri" w:hAnsi="Calibri" w:cs="Calibri"/>
          <w:sz w:val="22"/>
          <w:szCs w:val="22"/>
        </w:rPr>
        <w:t xml:space="preserve">contributes to an organisations </w:t>
      </w:r>
      <w:r w:rsidRPr="00AC25B2">
        <w:rPr>
          <w:rFonts w:ascii="Calibri" w:hAnsi="Calibri" w:cs="Calibri"/>
          <w:sz w:val="22"/>
          <w:szCs w:val="22"/>
        </w:rPr>
        <w:t xml:space="preserve">total reward strategy, </w:t>
      </w:r>
      <w:r w:rsidR="005F050B">
        <w:rPr>
          <w:rFonts w:ascii="Calibri" w:hAnsi="Calibri" w:cs="Calibri"/>
          <w:sz w:val="22"/>
          <w:szCs w:val="22"/>
        </w:rPr>
        <w:t>it offer</w:t>
      </w:r>
      <w:r w:rsidR="002B4BD6">
        <w:rPr>
          <w:rFonts w:ascii="Calibri" w:hAnsi="Calibri" w:cs="Calibri"/>
          <w:sz w:val="22"/>
          <w:szCs w:val="22"/>
        </w:rPr>
        <w:t>s</w:t>
      </w:r>
      <w:r w:rsidRPr="00AC25B2">
        <w:rPr>
          <w:rFonts w:ascii="Calibri" w:hAnsi="Calibri" w:cs="Calibri"/>
          <w:sz w:val="22"/>
          <w:szCs w:val="22"/>
        </w:rPr>
        <w:t xml:space="preserve"> value to employees beyond their base salary. Different types of benefits serve various purposes and can significantly impact employee satisfaction, retention, and overall well-being.</w:t>
      </w:r>
    </w:p>
    <w:p w14:paraId="0393751B" w14:textId="666F3E63" w:rsidR="002B4BD6" w:rsidRPr="002B4BD6" w:rsidRDefault="002B4BD6" w:rsidP="002B4BD6">
      <w:pPr>
        <w:rPr>
          <w:rFonts w:ascii="Calibri" w:hAnsi="Calibri" w:cs="Calibri"/>
          <w:sz w:val="22"/>
          <w:szCs w:val="22"/>
        </w:rPr>
      </w:pPr>
      <w:r w:rsidRPr="002B4BD6">
        <w:rPr>
          <w:rFonts w:ascii="Calibri" w:hAnsi="Calibri" w:cs="Calibri"/>
          <w:sz w:val="22"/>
          <w:szCs w:val="22"/>
        </w:rPr>
        <w:t>Pension schemes are a key component of employee benefits, with legal requirements for employers to automatically enro</w:t>
      </w:r>
      <w:r w:rsidR="006D2585">
        <w:rPr>
          <w:rFonts w:ascii="Calibri" w:hAnsi="Calibri" w:cs="Calibri"/>
          <w:sz w:val="22"/>
          <w:szCs w:val="22"/>
        </w:rPr>
        <w:t>l</w:t>
      </w:r>
      <w:r w:rsidRPr="002B4BD6">
        <w:rPr>
          <w:rFonts w:ascii="Calibri" w:hAnsi="Calibri" w:cs="Calibri"/>
          <w:sz w:val="22"/>
          <w:szCs w:val="22"/>
        </w:rPr>
        <w:t xml:space="preserve"> eligible workers into a pension scheme. Employers must contribute at least the minimum amount set by law, ensuring wider pension coverage across the workforce (</w:t>
      </w:r>
      <w:r w:rsidR="00422B71">
        <w:rPr>
          <w:rFonts w:ascii="Calibri" w:hAnsi="Calibri" w:cs="Calibri"/>
          <w:sz w:val="22"/>
          <w:szCs w:val="22"/>
        </w:rPr>
        <w:t>Gov.UK, 2021</w:t>
      </w:r>
      <w:r w:rsidRPr="002B4BD6">
        <w:rPr>
          <w:rFonts w:ascii="Calibri" w:hAnsi="Calibri" w:cs="Calibri"/>
          <w:sz w:val="22"/>
          <w:szCs w:val="22"/>
        </w:rPr>
        <w:t>). Whilst defined benefit schemes still exist, offering guaranteed pensions based on salary and service, many organisations have shifted towards defined contribution schemes. These offer more predictable costs for employers but transfer investment risk to employees by linking the final pension amount to contribution levels and investment performance (Wilton, 201</w:t>
      </w:r>
      <w:r w:rsidR="006958AD">
        <w:rPr>
          <w:rFonts w:ascii="Calibri" w:hAnsi="Calibri" w:cs="Calibri"/>
          <w:sz w:val="22"/>
          <w:szCs w:val="22"/>
        </w:rPr>
        <w:t>9d</w:t>
      </w:r>
      <w:r w:rsidRPr="002B4BD6">
        <w:rPr>
          <w:rFonts w:ascii="Calibri" w:hAnsi="Calibri" w:cs="Calibri"/>
          <w:sz w:val="22"/>
          <w:szCs w:val="22"/>
        </w:rPr>
        <w:t>).</w:t>
      </w:r>
    </w:p>
    <w:p w14:paraId="4B003FD6" w14:textId="6C36303E" w:rsidR="002B4BD6" w:rsidRPr="002B4BD6" w:rsidRDefault="002B4BD6" w:rsidP="002B4BD6">
      <w:pPr>
        <w:rPr>
          <w:rFonts w:ascii="Calibri" w:hAnsi="Calibri" w:cs="Calibri"/>
          <w:sz w:val="22"/>
          <w:szCs w:val="22"/>
        </w:rPr>
      </w:pPr>
      <w:r w:rsidRPr="002B4BD6">
        <w:rPr>
          <w:rFonts w:ascii="Calibri" w:hAnsi="Calibri" w:cs="Calibri"/>
          <w:sz w:val="22"/>
          <w:szCs w:val="22"/>
        </w:rPr>
        <w:t xml:space="preserve">Personal security benefits, such as healthcare and insurance coverage, address employees' immediate and future well-being needs. These can include private medical insurance, life assurance and sick pay provisions, which can enhance loyalty and reduce absenteeism </w:t>
      </w:r>
      <w:r w:rsidR="00FD4209" w:rsidRPr="00FD4209">
        <w:rPr>
          <w:rFonts w:ascii="Calibri" w:hAnsi="Calibri" w:cs="Calibri"/>
          <w:sz w:val="22"/>
          <w:szCs w:val="22"/>
        </w:rPr>
        <w:t>(Armstrong and Brown, 2019)</w:t>
      </w:r>
    </w:p>
    <w:p w14:paraId="639DC2F7" w14:textId="62A9DABB" w:rsidR="002B4BD6" w:rsidRPr="002B4BD6" w:rsidRDefault="002B4BD6" w:rsidP="002B4BD6">
      <w:pPr>
        <w:rPr>
          <w:rFonts w:ascii="Calibri" w:hAnsi="Calibri" w:cs="Calibri"/>
          <w:sz w:val="22"/>
          <w:szCs w:val="22"/>
        </w:rPr>
      </w:pPr>
      <w:r w:rsidRPr="002B4BD6">
        <w:rPr>
          <w:rFonts w:ascii="Calibri" w:hAnsi="Calibri" w:cs="Calibri"/>
          <w:sz w:val="22"/>
          <w:szCs w:val="22"/>
        </w:rPr>
        <w:t xml:space="preserve">Flexible benefits schemes have gained popularity, allowing employees to choose benefits that best suit their individual circumstances </w:t>
      </w:r>
      <w:r w:rsidR="00FD4209" w:rsidRPr="00FD4209">
        <w:rPr>
          <w:rFonts w:ascii="Calibri" w:hAnsi="Calibri" w:cs="Calibri"/>
          <w:sz w:val="22"/>
          <w:szCs w:val="22"/>
        </w:rPr>
        <w:t>(Armstrong and Brown, 2019)</w:t>
      </w:r>
      <w:r w:rsidRPr="002B4BD6">
        <w:rPr>
          <w:rFonts w:ascii="Calibri" w:hAnsi="Calibri" w:cs="Calibri"/>
          <w:sz w:val="22"/>
          <w:szCs w:val="22"/>
        </w:rPr>
        <w:t xml:space="preserve">. This approach recognises the diverse needs of a modern workforce and can increase the perceived value of the benefits package. Samsung's scheme, introduced in 2013, </w:t>
      </w:r>
      <w:r w:rsidR="00755BE7">
        <w:rPr>
          <w:rFonts w:ascii="Calibri" w:hAnsi="Calibri" w:cs="Calibri"/>
          <w:sz w:val="22"/>
          <w:szCs w:val="22"/>
        </w:rPr>
        <w:t>is an</w:t>
      </w:r>
      <w:r w:rsidRPr="002B4BD6">
        <w:rPr>
          <w:rFonts w:ascii="Calibri" w:hAnsi="Calibri" w:cs="Calibri"/>
          <w:sz w:val="22"/>
          <w:szCs w:val="22"/>
        </w:rPr>
        <w:t xml:space="preserve"> example of this approach. </w:t>
      </w:r>
      <w:r w:rsidR="00755BE7">
        <w:rPr>
          <w:rFonts w:ascii="Calibri" w:hAnsi="Calibri" w:cs="Calibri"/>
          <w:sz w:val="22"/>
          <w:szCs w:val="22"/>
        </w:rPr>
        <w:t xml:space="preserve">The organisation </w:t>
      </w:r>
      <w:r w:rsidRPr="002B4BD6">
        <w:rPr>
          <w:rFonts w:ascii="Calibri" w:hAnsi="Calibri" w:cs="Calibri"/>
          <w:sz w:val="22"/>
          <w:szCs w:val="22"/>
        </w:rPr>
        <w:t>implemented 'Samsung Highlights', an online portal allowing employees to allocate a monthly allowance to various benefits</w:t>
      </w:r>
      <w:r w:rsidR="005B0C1E">
        <w:rPr>
          <w:rFonts w:ascii="Calibri" w:hAnsi="Calibri" w:cs="Calibri"/>
          <w:sz w:val="22"/>
          <w:szCs w:val="22"/>
        </w:rPr>
        <w:t xml:space="preserve"> (Wilton</w:t>
      </w:r>
      <w:r w:rsidR="006958AD">
        <w:rPr>
          <w:rFonts w:ascii="Calibri" w:hAnsi="Calibri" w:cs="Calibri"/>
          <w:sz w:val="22"/>
          <w:szCs w:val="22"/>
        </w:rPr>
        <w:t>, 2019d</w:t>
      </w:r>
      <w:r w:rsidR="005B0C1E">
        <w:rPr>
          <w:rFonts w:ascii="Calibri" w:hAnsi="Calibri" w:cs="Calibri"/>
          <w:sz w:val="22"/>
          <w:szCs w:val="22"/>
        </w:rPr>
        <w:t xml:space="preserve">). </w:t>
      </w:r>
      <w:r w:rsidRPr="002B4BD6">
        <w:rPr>
          <w:rFonts w:ascii="Calibri" w:hAnsi="Calibri" w:cs="Calibri"/>
          <w:sz w:val="22"/>
          <w:szCs w:val="22"/>
        </w:rPr>
        <w:t>This approach was adopted after Samsung discovered that their previous benefits package was undervalued by employees. By offering choice, Samsung aims to better cater to its diverse workforce and increase engagement with benefits (Wilton, 201</w:t>
      </w:r>
      <w:r w:rsidR="006958AD">
        <w:rPr>
          <w:rFonts w:ascii="Calibri" w:hAnsi="Calibri" w:cs="Calibri"/>
          <w:sz w:val="22"/>
          <w:szCs w:val="22"/>
        </w:rPr>
        <w:t>9d</w:t>
      </w:r>
      <w:r w:rsidRPr="002B4BD6">
        <w:rPr>
          <w:rFonts w:ascii="Calibri" w:hAnsi="Calibri" w:cs="Calibri"/>
          <w:sz w:val="22"/>
          <w:szCs w:val="22"/>
        </w:rPr>
        <w:t>).</w:t>
      </w:r>
    </w:p>
    <w:p w14:paraId="364D6FD9" w14:textId="686209DE" w:rsidR="002B4BD6" w:rsidRPr="002B4BD6" w:rsidRDefault="002B4BD6" w:rsidP="002B4BD6">
      <w:pPr>
        <w:rPr>
          <w:rFonts w:ascii="Calibri" w:hAnsi="Calibri" w:cs="Calibri"/>
          <w:sz w:val="22"/>
          <w:szCs w:val="22"/>
        </w:rPr>
      </w:pPr>
      <w:r w:rsidRPr="002B4BD6">
        <w:rPr>
          <w:rFonts w:ascii="Calibri" w:hAnsi="Calibri" w:cs="Calibri"/>
          <w:sz w:val="22"/>
          <w:szCs w:val="22"/>
        </w:rPr>
        <w:t>Financial assistance benefits, such as company loans or mortgage support, can be particularly valuable to employees facing significant life expenses. These can aid in attracting and retaining talent, especially in competitive labour markets or high-cost areas. Benefits addressing personal needs, like childcare provision or employee assistance programmes, demonstrate an employer's understanding of work</w:t>
      </w:r>
      <w:r w:rsidR="00D21E81">
        <w:rPr>
          <w:rFonts w:ascii="Calibri" w:hAnsi="Calibri" w:cs="Calibri"/>
          <w:sz w:val="22"/>
          <w:szCs w:val="22"/>
        </w:rPr>
        <w:t xml:space="preserve"> </w:t>
      </w:r>
      <w:r w:rsidRPr="002B4BD6">
        <w:rPr>
          <w:rFonts w:ascii="Calibri" w:hAnsi="Calibri" w:cs="Calibri"/>
          <w:sz w:val="22"/>
          <w:szCs w:val="22"/>
        </w:rPr>
        <w:t>life balance issues (Wilton, 201</w:t>
      </w:r>
      <w:r w:rsidR="006958AD">
        <w:rPr>
          <w:rFonts w:ascii="Calibri" w:hAnsi="Calibri" w:cs="Calibri"/>
          <w:sz w:val="22"/>
          <w:szCs w:val="22"/>
        </w:rPr>
        <w:t>9d</w:t>
      </w:r>
      <w:r w:rsidRPr="002B4BD6">
        <w:rPr>
          <w:rFonts w:ascii="Calibri" w:hAnsi="Calibri" w:cs="Calibri"/>
          <w:sz w:val="22"/>
          <w:szCs w:val="22"/>
        </w:rPr>
        <w:t>).</w:t>
      </w:r>
    </w:p>
    <w:p w14:paraId="53C8A3CF" w14:textId="5B9C38CC" w:rsidR="002B4BD6" w:rsidRPr="002B4BD6" w:rsidRDefault="002B4BD6" w:rsidP="002B4BD6">
      <w:pPr>
        <w:rPr>
          <w:rFonts w:ascii="Calibri" w:hAnsi="Calibri" w:cs="Calibri"/>
          <w:sz w:val="22"/>
          <w:szCs w:val="22"/>
        </w:rPr>
      </w:pPr>
      <w:r w:rsidRPr="002B4BD6">
        <w:rPr>
          <w:rFonts w:ascii="Calibri" w:hAnsi="Calibri" w:cs="Calibri"/>
          <w:sz w:val="22"/>
          <w:szCs w:val="22"/>
        </w:rPr>
        <w:t>Company cars</w:t>
      </w:r>
      <w:r w:rsidR="00F71EAA">
        <w:rPr>
          <w:rFonts w:ascii="Calibri" w:hAnsi="Calibri" w:cs="Calibri"/>
          <w:sz w:val="22"/>
          <w:szCs w:val="22"/>
        </w:rPr>
        <w:t xml:space="preserve"> </w:t>
      </w:r>
      <w:r w:rsidRPr="002B4BD6">
        <w:rPr>
          <w:rFonts w:ascii="Calibri" w:hAnsi="Calibri" w:cs="Calibri"/>
          <w:sz w:val="22"/>
          <w:szCs w:val="22"/>
        </w:rPr>
        <w:t>remain a valued benefit for many employees, particularly those in sales or management roles. This benefit can serve both as a status symbol and provide practical value for roles requiring frequent travel (Wilton, 201</w:t>
      </w:r>
      <w:r w:rsidR="006958AD">
        <w:rPr>
          <w:rFonts w:ascii="Calibri" w:hAnsi="Calibri" w:cs="Calibri"/>
          <w:sz w:val="22"/>
          <w:szCs w:val="22"/>
        </w:rPr>
        <w:t>9d</w:t>
      </w:r>
      <w:r w:rsidRPr="002B4BD6">
        <w:rPr>
          <w:rFonts w:ascii="Calibri" w:hAnsi="Calibri" w:cs="Calibri"/>
          <w:sz w:val="22"/>
          <w:szCs w:val="22"/>
        </w:rPr>
        <w:t>).</w:t>
      </w:r>
    </w:p>
    <w:p w14:paraId="19FEC920" w14:textId="05F0C868" w:rsidR="00487E24" w:rsidRDefault="00CD2B87" w:rsidP="002B4BD6">
      <w:pPr>
        <w:rPr>
          <w:rFonts w:ascii="Calibri" w:hAnsi="Calibri" w:cs="Calibri"/>
          <w:sz w:val="22"/>
          <w:szCs w:val="22"/>
        </w:rPr>
      </w:pPr>
      <w:r>
        <w:rPr>
          <w:rFonts w:ascii="Calibri" w:hAnsi="Calibri" w:cs="Calibri"/>
          <w:sz w:val="22"/>
          <w:szCs w:val="22"/>
        </w:rPr>
        <w:t>A</w:t>
      </w:r>
      <w:r w:rsidR="002B4BD6" w:rsidRPr="002B4BD6">
        <w:rPr>
          <w:rFonts w:ascii="Calibri" w:hAnsi="Calibri" w:cs="Calibri"/>
          <w:sz w:val="22"/>
          <w:szCs w:val="22"/>
        </w:rPr>
        <w:t xml:space="preserve"> well-designed benefits package</w:t>
      </w:r>
      <w:r w:rsidR="000F1681">
        <w:rPr>
          <w:rFonts w:ascii="Calibri" w:hAnsi="Calibri" w:cs="Calibri"/>
          <w:sz w:val="22"/>
          <w:szCs w:val="22"/>
        </w:rPr>
        <w:t xml:space="preserve"> which is </w:t>
      </w:r>
      <w:r w:rsidR="002B4BD6" w:rsidRPr="002B4BD6">
        <w:rPr>
          <w:rFonts w:ascii="Calibri" w:hAnsi="Calibri" w:cs="Calibri"/>
          <w:sz w:val="22"/>
          <w:szCs w:val="22"/>
        </w:rPr>
        <w:t xml:space="preserve">tailored to employee needs, can significantly enhance </w:t>
      </w:r>
      <w:r>
        <w:rPr>
          <w:rFonts w:ascii="Calibri" w:hAnsi="Calibri" w:cs="Calibri"/>
          <w:sz w:val="22"/>
          <w:szCs w:val="22"/>
        </w:rPr>
        <w:t xml:space="preserve">Eco-Insulate UK’s </w:t>
      </w:r>
      <w:r w:rsidR="002B4BD6" w:rsidRPr="002B4BD6">
        <w:rPr>
          <w:rFonts w:ascii="Calibri" w:hAnsi="Calibri" w:cs="Calibri"/>
          <w:sz w:val="22"/>
          <w:szCs w:val="22"/>
        </w:rPr>
        <w:t xml:space="preserve">ability to attract, retain and motivate employees. By providing a mix of legally mandated and voluntary benefits, </w:t>
      </w:r>
      <w:r w:rsidR="00C732B3">
        <w:rPr>
          <w:rFonts w:ascii="Calibri" w:hAnsi="Calibri" w:cs="Calibri"/>
          <w:sz w:val="22"/>
          <w:szCs w:val="22"/>
        </w:rPr>
        <w:t>it is possible to</w:t>
      </w:r>
      <w:r w:rsidR="002B4BD6" w:rsidRPr="002B4BD6">
        <w:rPr>
          <w:rFonts w:ascii="Calibri" w:hAnsi="Calibri" w:cs="Calibri"/>
          <w:sz w:val="22"/>
          <w:szCs w:val="22"/>
        </w:rPr>
        <w:t xml:space="preserve"> create a total reward package that demonstrates commitment to </w:t>
      </w:r>
      <w:r w:rsidR="00C732B3">
        <w:rPr>
          <w:rFonts w:ascii="Calibri" w:hAnsi="Calibri" w:cs="Calibri"/>
          <w:sz w:val="22"/>
          <w:szCs w:val="22"/>
        </w:rPr>
        <w:t>the</w:t>
      </w:r>
      <w:r w:rsidR="002B4BD6" w:rsidRPr="002B4BD6">
        <w:rPr>
          <w:rFonts w:ascii="Calibri" w:hAnsi="Calibri" w:cs="Calibri"/>
          <w:sz w:val="22"/>
          <w:szCs w:val="22"/>
        </w:rPr>
        <w:t xml:space="preserve"> workforce beyond basic salary compensation.</w:t>
      </w:r>
    </w:p>
    <w:p w14:paraId="7AC37E69" w14:textId="77777777" w:rsidR="00FD4209" w:rsidRDefault="00FD4209" w:rsidP="002B4BD6">
      <w:pPr>
        <w:rPr>
          <w:rFonts w:ascii="Calibri" w:hAnsi="Calibri" w:cs="Calibri"/>
          <w:sz w:val="22"/>
          <w:szCs w:val="22"/>
        </w:rPr>
      </w:pPr>
    </w:p>
    <w:p w14:paraId="67116EC8" w14:textId="77777777" w:rsidR="00967546" w:rsidRDefault="001972B3" w:rsidP="002B4BD6">
      <w:pPr>
        <w:rPr>
          <w:rFonts w:ascii="Calibri" w:hAnsi="Calibri" w:cs="Calibri"/>
          <w:sz w:val="22"/>
          <w:szCs w:val="22"/>
        </w:rPr>
      </w:pPr>
      <w:r>
        <w:rPr>
          <w:rFonts w:ascii="Calibri" w:hAnsi="Calibri" w:cs="Calibri"/>
          <w:sz w:val="22"/>
          <w:szCs w:val="22"/>
        </w:rPr>
        <w:t xml:space="preserve">(AC 2.4) </w:t>
      </w:r>
      <w:r w:rsidRPr="001972B3">
        <w:rPr>
          <w:rFonts w:ascii="Calibri" w:hAnsi="Calibri" w:cs="Calibri"/>
          <w:sz w:val="22"/>
          <w:szCs w:val="22"/>
        </w:rPr>
        <w:t>Explain the merits of different types of recognition schemes offered by organisations.</w:t>
      </w:r>
    </w:p>
    <w:p w14:paraId="451DEAB4" w14:textId="11C72E2C" w:rsidR="00967546" w:rsidRPr="00967546" w:rsidRDefault="00967546" w:rsidP="00967546">
      <w:pPr>
        <w:rPr>
          <w:rFonts w:ascii="Calibri" w:hAnsi="Calibri" w:cs="Calibri"/>
          <w:sz w:val="22"/>
          <w:szCs w:val="22"/>
        </w:rPr>
      </w:pPr>
      <w:r w:rsidRPr="00967546">
        <w:rPr>
          <w:rFonts w:ascii="Calibri" w:hAnsi="Calibri" w:cs="Calibri"/>
          <w:sz w:val="22"/>
          <w:szCs w:val="22"/>
        </w:rPr>
        <w:t>Employee recognition schemes can take various forms, each with its own merits and potential drawbacks. One common approach is the use of formal award programmes, which often involve public ceremonies and tangible rewards. These can be highly effective in boosting morale and motivation, as they provide visible acknowledgement of employees' contributions (</w:t>
      </w:r>
      <w:r w:rsidR="00133245">
        <w:rPr>
          <w:rFonts w:ascii="Calibri" w:hAnsi="Calibri" w:cs="Calibri"/>
          <w:sz w:val="22"/>
          <w:szCs w:val="22"/>
        </w:rPr>
        <w:t>CIPD, 2022</w:t>
      </w:r>
      <w:r w:rsidRPr="00967546">
        <w:rPr>
          <w:rFonts w:ascii="Calibri" w:hAnsi="Calibri" w:cs="Calibri"/>
          <w:sz w:val="22"/>
          <w:szCs w:val="22"/>
        </w:rPr>
        <w:t xml:space="preserve">). </w:t>
      </w:r>
      <w:r w:rsidRPr="00967546">
        <w:rPr>
          <w:rFonts w:ascii="Calibri" w:hAnsi="Calibri" w:cs="Calibri"/>
          <w:sz w:val="22"/>
          <w:szCs w:val="22"/>
        </w:rPr>
        <w:lastRenderedPageBreak/>
        <w:t>However, such schemes may also create feelings of discomfort or resentment among those who are not recognised, potentially undermining team cohesion.</w:t>
      </w:r>
    </w:p>
    <w:p w14:paraId="27C1DADA" w14:textId="2B689AC4" w:rsidR="00967546" w:rsidRPr="00967546" w:rsidRDefault="00967546" w:rsidP="00967546">
      <w:pPr>
        <w:rPr>
          <w:rFonts w:ascii="Calibri" w:hAnsi="Calibri" w:cs="Calibri"/>
          <w:sz w:val="22"/>
          <w:szCs w:val="22"/>
        </w:rPr>
      </w:pPr>
      <w:r w:rsidRPr="00967546">
        <w:rPr>
          <w:rFonts w:ascii="Calibri" w:hAnsi="Calibri" w:cs="Calibri"/>
          <w:sz w:val="22"/>
          <w:szCs w:val="22"/>
        </w:rPr>
        <w:t>Another popular type of recognition is the peer-to-peer scheme, which empowers employees to recognise each other's efforts (CIPD</w:t>
      </w:r>
      <w:r w:rsidR="00394D74">
        <w:rPr>
          <w:rFonts w:ascii="Calibri" w:hAnsi="Calibri" w:cs="Calibri"/>
          <w:sz w:val="22"/>
          <w:szCs w:val="22"/>
        </w:rPr>
        <w:t>, 2020</w:t>
      </w:r>
      <w:r w:rsidRPr="00967546">
        <w:rPr>
          <w:rFonts w:ascii="Calibri" w:hAnsi="Calibri" w:cs="Calibri"/>
          <w:sz w:val="22"/>
          <w:szCs w:val="22"/>
        </w:rPr>
        <w:t>). This approach can foster a culture of appreciation and strengthen relationships between colleagues. It also has the advantage of being more immediate and frequent than top-down recognition. However, it may be susceptible to bias or favouritism if not properly managed (</w:t>
      </w:r>
      <w:r w:rsidR="00133245">
        <w:rPr>
          <w:rFonts w:ascii="Calibri" w:hAnsi="Calibri" w:cs="Calibri"/>
          <w:sz w:val="22"/>
          <w:szCs w:val="22"/>
        </w:rPr>
        <w:t>CIPD, 2022</w:t>
      </w:r>
      <w:r w:rsidRPr="00967546">
        <w:rPr>
          <w:rFonts w:ascii="Calibri" w:hAnsi="Calibri" w:cs="Calibri"/>
          <w:sz w:val="22"/>
          <w:szCs w:val="22"/>
        </w:rPr>
        <w:t>).</w:t>
      </w:r>
    </w:p>
    <w:p w14:paraId="52F5A068" w14:textId="59915AB3" w:rsidR="00967546" w:rsidRPr="00967546" w:rsidRDefault="00967546" w:rsidP="00967546">
      <w:pPr>
        <w:rPr>
          <w:rFonts w:ascii="Calibri" w:hAnsi="Calibri" w:cs="Calibri"/>
          <w:sz w:val="22"/>
          <w:szCs w:val="22"/>
        </w:rPr>
      </w:pPr>
      <w:r w:rsidRPr="00967546">
        <w:rPr>
          <w:rFonts w:ascii="Calibri" w:hAnsi="Calibri" w:cs="Calibri"/>
          <w:sz w:val="22"/>
          <w:szCs w:val="22"/>
        </w:rPr>
        <w:t xml:space="preserve">Some organisations </w:t>
      </w:r>
      <w:r w:rsidR="00794AA3">
        <w:rPr>
          <w:rFonts w:ascii="Calibri" w:hAnsi="Calibri" w:cs="Calibri"/>
          <w:sz w:val="22"/>
          <w:szCs w:val="22"/>
        </w:rPr>
        <w:t xml:space="preserve">choose to use </w:t>
      </w:r>
      <w:r w:rsidRPr="00967546">
        <w:rPr>
          <w:rFonts w:ascii="Calibri" w:hAnsi="Calibri" w:cs="Calibri"/>
          <w:sz w:val="22"/>
          <w:szCs w:val="22"/>
        </w:rPr>
        <w:t>more informal, spontaneous recognition practices. These might include verbal praise, thank-you notes, or small impromptu rewards</w:t>
      </w:r>
      <w:r w:rsidR="00890EB0">
        <w:rPr>
          <w:rFonts w:ascii="Calibri" w:hAnsi="Calibri" w:cs="Calibri"/>
          <w:sz w:val="22"/>
          <w:szCs w:val="22"/>
        </w:rPr>
        <w:t xml:space="preserve"> </w:t>
      </w:r>
      <w:r w:rsidR="003161AA">
        <w:rPr>
          <w:rFonts w:ascii="Calibri" w:hAnsi="Calibri" w:cs="Calibri"/>
          <w:sz w:val="22"/>
          <w:szCs w:val="22"/>
        </w:rPr>
        <w:t xml:space="preserve">(such as </w:t>
      </w:r>
      <w:r w:rsidR="00890EB0">
        <w:rPr>
          <w:rFonts w:ascii="Calibri" w:hAnsi="Calibri" w:cs="Calibri"/>
          <w:sz w:val="22"/>
          <w:szCs w:val="22"/>
        </w:rPr>
        <w:t xml:space="preserve">gift cards, or </w:t>
      </w:r>
      <w:r w:rsidR="003161AA">
        <w:rPr>
          <w:rFonts w:ascii="Calibri" w:hAnsi="Calibri" w:cs="Calibri"/>
          <w:sz w:val="22"/>
          <w:szCs w:val="22"/>
        </w:rPr>
        <w:t>an extra day off)</w:t>
      </w:r>
      <w:r w:rsidRPr="00967546">
        <w:rPr>
          <w:rFonts w:ascii="Calibri" w:hAnsi="Calibri" w:cs="Calibri"/>
          <w:sz w:val="22"/>
          <w:szCs w:val="22"/>
        </w:rPr>
        <w:t>. The strength of this approach lies in its authenticity and timeliness, as it allows for immediate recognition of good work (</w:t>
      </w:r>
      <w:r w:rsidR="00460CE4">
        <w:rPr>
          <w:rFonts w:ascii="Calibri" w:hAnsi="Calibri" w:cs="Calibri"/>
          <w:sz w:val="22"/>
          <w:szCs w:val="22"/>
        </w:rPr>
        <w:t>Smith, 2014</w:t>
      </w:r>
      <w:r w:rsidRPr="00967546">
        <w:rPr>
          <w:rFonts w:ascii="Calibri" w:hAnsi="Calibri" w:cs="Calibri"/>
          <w:sz w:val="22"/>
          <w:szCs w:val="22"/>
        </w:rPr>
        <w:t>). It can also feel more personal and genuine than formalised schemes. The downside is that it may be inconsistently applied across the organisation, potentially leading to perceptions of unfairness (</w:t>
      </w:r>
      <w:r w:rsidR="00133245">
        <w:rPr>
          <w:rFonts w:ascii="Calibri" w:hAnsi="Calibri" w:cs="Calibri"/>
          <w:sz w:val="22"/>
          <w:szCs w:val="22"/>
        </w:rPr>
        <w:t>CIPD, 2022</w:t>
      </w:r>
      <w:r w:rsidRPr="00967546">
        <w:rPr>
          <w:rFonts w:ascii="Calibri" w:hAnsi="Calibri" w:cs="Calibri"/>
          <w:sz w:val="22"/>
          <w:szCs w:val="22"/>
        </w:rPr>
        <w:t>).</w:t>
      </w:r>
    </w:p>
    <w:p w14:paraId="34178D00" w14:textId="3B1AA35B" w:rsidR="00967546" w:rsidRPr="00967546" w:rsidRDefault="00A41F73" w:rsidP="00967546">
      <w:pPr>
        <w:rPr>
          <w:rFonts w:ascii="Calibri" w:hAnsi="Calibri" w:cs="Calibri"/>
          <w:sz w:val="22"/>
          <w:szCs w:val="22"/>
        </w:rPr>
      </w:pPr>
      <w:r>
        <w:rPr>
          <w:rFonts w:ascii="Calibri" w:hAnsi="Calibri" w:cs="Calibri"/>
          <w:sz w:val="22"/>
          <w:szCs w:val="22"/>
        </w:rPr>
        <w:t xml:space="preserve">Many organisations </w:t>
      </w:r>
      <w:r w:rsidR="00967546" w:rsidRPr="00967546">
        <w:rPr>
          <w:rFonts w:ascii="Calibri" w:hAnsi="Calibri" w:cs="Calibri"/>
          <w:sz w:val="22"/>
          <w:szCs w:val="22"/>
        </w:rPr>
        <w:t>are now embracing technology</w:t>
      </w:r>
      <w:r>
        <w:rPr>
          <w:rFonts w:ascii="Calibri" w:hAnsi="Calibri" w:cs="Calibri"/>
          <w:sz w:val="22"/>
          <w:szCs w:val="22"/>
        </w:rPr>
        <w:t xml:space="preserve"> </w:t>
      </w:r>
      <w:r w:rsidR="00967546" w:rsidRPr="00967546">
        <w:rPr>
          <w:rFonts w:ascii="Calibri" w:hAnsi="Calibri" w:cs="Calibri"/>
          <w:sz w:val="22"/>
          <w:szCs w:val="22"/>
        </w:rPr>
        <w:t>driven recognition platforms</w:t>
      </w:r>
      <w:r>
        <w:rPr>
          <w:rFonts w:ascii="Calibri" w:hAnsi="Calibri" w:cs="Calibri"/>
          <w:sz w:val="22"/>
          <w:szCs w:val="22"/>
        </w:rPr>
        <w:t xml:space="preserve"> which </w:t>
      </w:r>
      <w:r w:rsidR="00967546" w:rsidRPr="00967546">
        <w:rPr>
          <w:rFonts w:ascii="Calibri" w:hAnsi="Calibri" w:cs="Calibri"/>
          <w:sz w:val="22"/>
          <w:szCs w:val="22"/>
        </w:rPr>
        <w:t>can facilitate real-time feedback, allow for social sharing of achievements, and provide data analytics on recognition patterns (CIPD</w:t>
      </w:r>
      <w:r w:rsidR="00A30A4B">
        <w:rPr>
          <w:rFonts w:ascii="Calibri" w:hAnsi="Calibri" w:cs="Calibri"/>
          <w:sz w:val="22"/>
          <w:szCs w:val="22"/>
        </w:rPr>
        <w:t>, 2020</w:t>
      </w:r>
      <w:r w:rsidR="00967546" w:rsidRPr="00967546">
        <w:rPr>
          <w:rFonts w:ascii="Calibri" w:hAnsi="Calibri" w:cs="Calibri"/>
          <w:sz w:val="22"/>
          <w:szCs w:val="22"/>
        </w:rPr>
        <w:t>). Such systems can increase engagement and provide valuable insights for management. However, they may feel impersonal to some employees and could potentially lead to over-reliance on digital communication at the expense of face-to-face interactions (</w:t>
      </w:r>
      <w:r w:rsidR="00460CE4">
        <w:rPr>
          <w:rFonts w:ascii="Calibri" w:hAnsi="Calibri" w:cs="Calibri"/>
          <w:sz w:val="22"/>
          <w:szCs w:val="22"/>
        </w:rPr>
        <w:t>Smith, 2014</w:t>
      </w:r>
      <w:r w:rsidR="00967546" w:rsidRPr="00967546">
        <w:rPr>
          <w:rFonts w:ascii="Calibri" w:hAnsi="Calibri" w:cs="Calibri"/>
          <w:sz w:val="22"/>
          <w:szCs w:val="22"/>
        </w:rPr>
        <w:t>).</w:t>
      </w:r>
    </w:p>
    <w:p w14:paraId="70C88FBB" w14:textId="5AE874D3" w:rsidR="00FD4209" w:rsidRDefault="00B95097" w:rsidP="00967546">
      <w:pPr>
        <w:rPr>
          <w:rFonts w:ascii="Calibri" w:hAnsi="Calibri" w:cs="Calibri"/>
          <w:sz w:val="22"/>
          <w:szCs w:val="22"/>
        </w:rPr>
      </w:pPr>
      <w:r>
        <w:rPr>
          <w:rFonts w:ascii="Calibri" w:hAnsi="Calibri" w:cs="Calibri"/>
          <w:sz w:val="22"/>
          <w:szCs w:val="22"/>
        </w:rPr>
        <w:t>T</w:t>
      </w:r>
      <w:r w:rsidR="00967546" w:rsidRPr="00967546">
        <w:rPr>
          <w:rFonts w:ascii="Calibri" w:hAnsi="Calibri" w:cs="Calibri"/>
          <w:sz w:val="22"/>
          <w:szCs w:val="22"/>
        </w:rPr>
        <w:t>he most effective recognition schemes</w:t>
      </w:r>
      <w:r>
        <w:rPr>
          <w:rFonts w:ascii="Calibri" w:hAnsi="Calibri" w:cs="Calibri"/>
          <w:sz w:val="22"/>
          <w:szCs w:val="22"/>
        </w:rPr>
        <w:t xml:space="preserve"> for Eco-Insulate UK</w:t>
      </w:r>
      <w:r w:rsidR="00967546" w:rsidRPr="00967546">
        <w:rPr>
          <w:rFonts w:ascii="Calibri" w:hAnsi="Calibri" w:cs="Calibri"/>
          <w:sz w:val="22"/>
          <w:szCs w:val="22"/>
        </w:rPr>
        <w:t xml:space="preserve"> are those that align with th</w:t>
      </w:r>
      <w:r>
        <w:rPr>
          <w:rFonts w:ascii="Calibri" w:hAnsi="Calibri" w:cs="Calibri"/>
          <w:sz w:val="22"/>
          <w:szCs w:val="22"/>
        </w:rPr>
        <w:t xml:space="preserve">e </w:t>
      </w:r>
      <w:r w:rsidR="00967546" w:rsidRPr="00967546">
        <w:rPr>
          <w:rFonts w:ascii="Calibri" w:hAnsi="Calibri" w:cs="Calibri"/>
          <w:sz w:val="22"/>
          <w:szCs w:val="22"/>
        </w:rPr>
        <w:t>culture and values</w:t>
      </w:r>
      <w:r>
        <w:rPr>
          <w:rFonts w:ascii="Calibri" w:hAnsi="Calibri" w:cs="Calibri"/>
          <w:sz w:val="22"/>
          <w:szCs w:val="22"/>
        </w:rPr>
        <w:t xml:space="preserve"> of the organisation</w:t>
      </w:r>
      <w:r w:rsidR="00967546" w:rsidRPr="00967546">
        <w:rPr>
          <w:rFonts w:ascii="Calibri" w:hAnsi="Calibri" w:cs="Calibri"/>
          <w:sz w:val="22"/>
          <w:szCs w:val="22"/>
        </w:rPr>
        <w:t>, while also meeting the diverse needs of employees (CIPD</w:t>
      </w:r>
      <w:r w:rsidR="00394D74">
        <w:rPr>
          <w:rFonts w:ascii="Calibri" w:hAnsi="Calibri" w:cs="Calibri"/>
          <w:sz w:val="22"/>
          <w:szCs w:val="22"/>
        </w:rPr>
        <w:t>, 2020</w:t>
      </w:r>
      <w:r w:rsidR="00967546" w:rsidRPr="00967546">
        <w:rPr>
          <w:rFonts w:ascii="Calibri" w:hAnsi="Calibri" w:cs="Calibri"/>
          <w:sz w:val="22"/>
          <w:szCs w:val="22"/>
        </w:rPr>
        <w:t xml:space="preserve">). A combination of different approaches is often most successful, allowing for both formal and informal recognition, as well as top-down and peer-to-peer appreciation. Whatever </w:t>
      </w:r>
      <w:r w:rsidR="00225153">
        <w:rPr>
          <w:rFonts w:ascii="Calibri" w:hAnsi="Calibri" w:cs="Calibri"/>
          <w:sz w:val="22"/>
          <w:szCs w:val="22"/>
        </w:rPr>
        <w:t>method Eco-Insulate UK chooses,</w:t>
      </w:r>
      <w:r w:rsidR="00967546" w:rsidRPr="00967546">
        <w:rPr>
          <w:rFonts w:ascii="Calibri" w:hAnsi="Calibri" w:cs="Calibri"/>
          <w:sz w:val="22"/>
          <w:szCs w:val="22"/>
        </w:rPr>
        <w:t xml:space="preserve"> it is crucial that </w:t>
      </w:r>
      <w:r w:rsidR="00883C2B">
        <w:rPr>
          <w:rFonts w:ascii="Calibri" w:hAnsi="Calibri" w:cs="Calibri"/>
          <w:sz w:val="22"/>
          <w:szCs w:val="22"/>
        </w:rPr>
        <w:t xml:space="preserve">the </w:t>
      </w:r>
      <w:r w:rsidR="00967546" w:rsidRPr="00967546">
        <w:rPr>
          <w:rFonts w:ascii="Calibri" w:hAnsi="Calibri" w:cs="Calibri"/>
          <w:sz w:val="22"/>
          <w:szCs w:val="22"/>
        </w:rPr>
        <w:t>recognition is sincere, timely, and fairly distributed to maximise its positive impact on employee motivation and organisational performance (</w:t>
      </w:r>
      <w:r w:rsidR="00B43089">
        <w:rPr>
          <w:rFonts w:ascii="Calibri" w:hAnsi="Calibri" w:cs="Calibri"/>
          <w:sz w:val="22"/>
          <w:szCs w:val="22"/>
        </w:rPr>
        <w:t>CIPD, 2022</w:t>
      </w:r>
      <w:r w:rsidR="00967546" w:rsidRPr="00967546">
        <w:rPr>
          <w:rFonts w:ascii="Calibri" w:hAnsi="Calibri" w:cs="Calibri"/>
          <w:sz w:val="22"/>
          <w:szCs w:val="22"/>
        </w:rPr>
        <w:t>).</w:t>
      </w:r>
      <w:r w:rsidR="001972B3" w:rsidRPr="001972B3">
        <w:rPr>
          <w:rFonts w:ascii="Calibri" w:hAnsi="Calibri" w:cs="Calibri"/>
          <w:sz w:val="22"/>
          <w:szCs w:val="22"/>
        </w:rPr>
        <w:t xml:space="preserve"> </w:t>
      </w:r>
    </w:p>
    <w:p w14:paraId="3620B532" w14:textId="77777777" w:rsidR="00487E24" w:rsidRDefault="00487E24" w:rsidP="00A32E99">
      <w:pPr>
        <w:rPr>
          <w:rFonts w:ascii="Calibri" w:hAnsi="Calibri" w:cs="Calibri"/>
          <w:sz w:val="22"/>
          <w:szCs w:val="22"/>
        </w:rPr>
      </w:pPr>
    </w:p>
    <w:p w14:paraId="7734422B" w14:textId="3AC83378" w:rsidR="00D11F57" w:rsidRDefault="00D11F57" w:rsidP="00A32E99">
      <w:pPr>
        <w:rPr>
          <w:rFonts w:ascii="Calibri" w:hAnsi="Calibri" w:cs="Calibri"/>
          <w:sz w:val="22"/>
          <w:szCs w:val="22"/>
        </w:rPr>
      </w:pPr>
      <w:r>
        <w:rPr>
          <w:rFonts w:ascii="Calibri" w:hAnsi="Calibri" w:cs="Calibri"/>
          <w:sz w:val="22"/>
          <w:szCs w:val="22"/>
        </w:rPr>
        <w:t xml:space="preserve">(AC 3.1) </w:t>
      </w:r>
      <w:r w:rsidRPr="00D11F57">
        <w:rPr>
          <w:rFonts w:ascii="Calibri" w:hAnsi="Calibri" w:cs="Calibri"/>
          <w:sz w:val="22"/>
          <w:szCs w:val="22"/>
        </w:rPr>
        <w:t xml:space="preserve">Assess the business context of the reward environment. </w:t>
      </w:r>
    </w:p>
    <w:p w14:paraId="57C7CB6B" w14:textId="6CA96663" w:rsidR="008D1B74" w:rsidRPr="008D1B74" w:rsidRDefault="008D1B74" w:rsidP="008D1B74">
      <w:pPr>
        <w:rPr>
          <w:rFonts w:ascii="Calibri" w:hAnsi="Calibri" w:cs="Calibri"/>
          <w:sz w:val="22"/>
          <w:szCs w:val="22"/>
        </w:rPr>
      </w:pPr>
      <w:r w:rsidRPr="008D1B74">
        <w:rPr>
          <w:rFonts w:ascii="Calibri" w:hAnsi="Calibri" w:cs="Calibri"/>
          <w:sz w:val="22"/>
          <w:szCs w:val="22"/>
        </w:rPr>
        <w:t xml:space="preserve">Labour market dynamics </w:t>
      </w:r>
      <w:r w:rsidR="00444E18">
        <w:rPr>
          <w:rFonts w:ascii="Calibri" w:hAnsi="Calibri" w:cs="Calibri"/>
          <w:sz w:val="22"/>
          <w:szCs w:val="22"/>
        </w:rPr>
        <w:t>have an</w:t>
      </w:r>
      <w:r w:rsidRPr="008D1B74">
        <w:rPr>
          <w:rFonts w:ascii="Calibri" w:hAnsi="Calibri" w:cs="Calibri"/>
          <w:sz w:val="22"/>
          <w:szCs w:val="22"/>
        </w:rPr>
        <w:t xml:space="preserve"> influence reward practices. Organisations operate across various markets - local, national, or international</w:t>
      </w:r>
      <w:r>
        <w:rPr>
          <w:rFonts w:ascii="Calibri" w:hAnsi="Calibri" w:cs="Calibri"/>
          <w:sz w:val="22"/>
          <w:szCs w:val="22"/>
        </w:rPr>
        <w:t xml:space="preserve">, </w:t>
      </w:r>
      <w:r w:rsidRPr="008D1B74">
        <w:rPr>
          <w:rFonts w:ascii="Calibri" w:hAnsi="Calibri" w:cs="Calibri"/>
          <w:sz w:val="22"/>
          <w:szCs w:val="22"/>
        </w:rPr>
        <w:t xml:space="preserve">depending on their labour requirements. The advantage of this is that it allows </w:t>
      </w:r>
      <w:r w:rsidR="006933F5">
        <w:rPr>
          <w:rFonts w:ascii="Calibri" w:hAnsi="Calibri" w:cs="Calibri"/>
          <w:sz w:val="22"/>
          <w:szCs w:val="22"/>
        </w:rPr>
        <w:t>organisations</w:t>
      </w:r>
      <w:r w:rsidRPr="008D1B74">
        <w:rPr>
          <w:rFonts w:ascii="Calibri" w:hAnsi="Calibri" w:cs="Calibri"/>
          <w:sz w:val="22"/>
          <w:szCs w:val="22"/>
        </w:rPr>
        <w:t xml:space="preserve"> to benchmark their reward packages against market rates, ensuring competitiveness. However, a</w:t>
      </w:r>
      <w:r w:rsidR="00B26189">
        <w:rPr>
          <w:rFonts w:ascii="Calibri" w:hAnsi="Calibri" w:cs="Calibri"/>
          <w:sz w:val="22"/>
          <w:szCs w:val="22"/>
        </w:rPr>
        <w:t xml:space="preserve">n </w:t>
      </w:r>
      <w:r w:rsidRPr="008D1B74">
        <w:rPr>
          <w:rFonts w:ascii="Calibri" w:hAnsi="Calibri" w:cs="Calibri"/>
          <w:sz w:val="22"/>
          <w:szCs w:val="22"/>
        </w:rPr>
        <w:t>that over-reliance on market rates can lead to inflated wage bills, particularly in sectors with skills shortages.</w:t>
      </w:r>
    </w:p>
    <w:p w14:paraId="26D3BA4A" w14:textId="5B90E574" w:rsidR="008D1B74" w:rsidRPr="008D1B74" w:rsidRDefault="008D1B74" w:rsidP="008D1B74">
      <w:pPr>
        <w:rPr>
          <w:rFonts w:ascii="Calibri" w:hAnsi="Calibri" w:cs="Calibri"/>
          <w:sz w:val="22"/>
          <w:szCs w:val="22"/>
        </w:rPr>
      </w:pPr>
      <w:r w:rsidRPr="008D1B74">
        <w:rPr>
          <w:rFonts w:ascii="Calibri" w:hAnsi="Calibri" w:cs="Calibri"/>
          <w:sz w:val="22"/>
          <w:szCs w:val="22"/>
        </w:rPr>
        <w:t>Economic conditions play a crucial role in shaping reward strategies. During economic downturns, organisations often face the challenge of balancing cost containment with talent engagement</w:t>
      </w:r>
      <w:r w:rsidR="00B26189">
        <w:rPr>
          <w:rFonts w:ascii="Calibri" w:hAnsi="Calibri" w:cs="Calibri"/>
          <w:sz w:val="22"/>
          <w:szCs w:val="22"/>
        </w:rPr>
        <w:t xml:space="preserve">, which </w:t>
      </w:r>
      <w:r w:rsidRPr="008D1B74">
        <w:rPr>
          <w:rFonts w:ascii="Calibri" w:hAnsi="Calibri" w:cs="Calibri"/>
          <w:sz w:val="22"/>
          <w:szCs w:val="22"/>
        </w:rPr>
        <w:t>can lead to increased focus on performance-related pay and variable pay structures (Wilton</w:t>
      </w:r>
      <w:r w:rsidR="00740FBE">
        <w:rPr>
          <w:rFonts w:ascii="Calibri" w:hAnsi="Calibri" w:cs="Calibri"/>
          <w:sz w:val="22"/>
          <w:szCs w:val="22"/>
        </w:rPr>
        <w:t>, 2019e</w:t>
      </w:r>
      <w:r w:rsidRPr="008D1B74">
        <w:rPr>
          <w:rFonts w:ascii="Calibri" w:hAnsi="Calibri" w:cs="Calibri"/>
          <w:sz w:val="22"/>
          <w:szCs w:val="22"/>
        </w:rPr>
        <w:t>). The advantage of this approach is that it allows organisations to tie rewards directly to business performance. However</w:t>
      </w:r>
      <w:r w:rsidR="0097090B">
        <w:rPr>
          <w:rFonts w:ascii="Calibri" w:hAnsi="Calibri" w:cs="Calibri"/>
          <w:sz w:val="22"/>
          <w:szCs w:val="22"/>
        </w:rPr>
        <w:t>, this</w:t>
      </w:r>
      <w:r w:rsidRPr="008D1B74">
        <w:rPr>
          <w:rFonts w:ascii="Calibri" w:hAnsi="Calibri" w:cs="Calibri"/>
          <w:sz w:val="22"/>
          <w:szCs w:val="22"/>
        </w:rPr>
        <w:t xml:space="preserve"> can create income insecurity for employees and may negatively impact motivation during challenging economic times.</w:t>
      </w:r>
    </w:p>
    <w:p w14:paraId="239E6A5F" w14:textId="48F2ED26" w:rsidR="008D1B74" w:rsidRDefault="008D1B74" w:rsidP="008D1B74">
      <w:pPr>
        <w:rPr>
          <w:rFonts w:ascii="Calibri" w:hAnsi="Calibri" w:cs="Calibri"/>
          <w:sz w:val="22"/>
          <w:szCs w:val="22"/>
        </w:rPr>
      </w:pPr>
      <w:r w:rsidRPr="008D1B74">
        <w:rPr>
          <w:rFonts w:ascii="Calibri" w:hAnsi="Calibri" w:cs="Calibri"/>
          <w:sz w:val="22"/>
          <w:szCs w:val="22"/>
        </w:rPr>
        <w:t xml:space="preserve">Government interventions, such as minimum wage legislation and equality laws, set parameters for reward systems. While these regulations ensure a basic level of fairness and protect vulnerable </w:t>
      </w:r>
      <w:r w:rsidRPr="008D1B74">
        <w:rPr>
          <w:rFonts w:ascii="Calibri" w:hAnsi="Calibri" w:cs="Calibri"/>
          <w:sz w:val="22"/>
          <w:szCs w:val="22"/>
        </w:rPr>
        <w:lastRenderedPageBreak/>
        <w:t>workers, they can also reduce flexibility for employers and potentially increase labour costs, particularly for small businesses (Armstrong</w:t>
      </w:r>
      <w:r w:rsidR="00E92819">
        <w:rPr>
          <w:rFonts w:ascii="Calibri" w:hAnsi="Calibri" w:cs="Calibri"/>
          <w:sz w:val="22"/>
          <w:szCs w:val="22"/>
        </w:rPr>
        <w:t>, 2019b</w:t>
      </w:r>
      <w:r w:rsidRPr="008D1B74">
        <w:rPr>
          <w:rFonts w:ascii="Calibri" w:hAnsi="Calibri" w:cs="Calibri"/>
          <w:sz w:val="22"/>
          <w:szCs w:val="22"/>
        </w:rPr>
        <w:t>).</w:t>
      </w:r>
    </w:p>
    <w:p w14:paraId="763253DA" w14:textId="22B948D4" w:rsidR="005008A1" w:rsidRPr="008D1B74" w:rsidRDefault="005008A1" w:rsidP="008D1B74">
      <w:pPr>
        <w:rPr>
          <w:rFonts w:ascii="Calibri" w:hAnsi="Calibri" w:cs="Calibri"/>
          <w:sz w:val="22"/>
          <w:szCs w:val="22"/>
        </w:rPr>
      </w:pPr>
      <w:r w:rsidRPr="005008A1">
        <w:rPr>
          <w:rFonts w:ascii="Calibri" w:hAnsi="Calibri" w:cs="Calibri"/>
          <w:sz w:val="22"/>
          <w:szCs w:val="22"/>
        </w:rPr>
        <w:t>The rise of knowledge work, gig economy, and remote working arrangements are challenging traditional notions of job value and performance measurement (Wilton</w:t>
      </w:r>
      <w:r w:rsidR="00740FBE">
        <w:rPr>
          <w:rFonts w:ascii="Calibri" w:hAnsi="Calibri" w:cs="Calibri"/>
          <w:sz w:val="22"/>
          <w:szCs w:val="22"/>
        </w:rPr>
        <w:t>, 2019e</w:t>
      </w:r>
      <w:r w:rsidRPr="005008A1">
        <w:rPr>
          <w:rFonts w:ascii="Calibri" w:hAnsi="Calibri" w:cs="Calibri"/>
          <w:sz w:val="22"/>
          <w:szCs w:val="22"/>
        </w:rPr>
        <w:t xml:space="preserve">). This shift presents both opportunities and challenges for reward management. </w:t>
      </w:r>
      <w:r w:rsidR="000D33B1">
        <w:rPr>
          <w:rFonts w:ascii="Calibri" w:hAnsi="Calibri" w:cs="Calibri"/>
          <w:sz w:val="22"/>
          <w:szCs w:val="22"/>
        </w:rPr>
        <w:t>I</w:t>
      </w:r>
      <w:r w:rsidR="00314F0B">
        <w:rPr>
          <w:rFonts w:ascii="Calibri" w:hAnsi="Calibri" w:cs="Calibri"/>
          <w:sz w:val="22"/>
          <w:szCs w:val="22"/>
        </w:rPr>
        <w:t>t</w:t>
      </w:r>
      <w:r w:rsidR="000D33B1">
        <w:rPr>
          <w:rFonts w:ascii="Calibri" w:hAnsi="Calibri" w:cs="Calibri"/>
          <w:sz w:val="22"/>
          <w:szCs w:val="22"/>
        </w:rPr>
        <w:t xml:space="preserve"> can</w:t>
      </w:r>
      <w:r w:rsidRPr="005008A1">
        <w:rPr>
          <w:rFonts w:ascii="Calibri" w:hAnsi="Calibri" w:cs="Calibri"/>
          <w:sz w:val="22"/>
          <w:szCs w:val="22"/>
        </w:rPr>
        <w:t xml:space="preserve"> allow for more flexible and personali</w:t>
      </w:r>
      <w:r w:rsidR="00792F28">
        <w:rPr>
          <w:rFonts w:ascii="Calibri" w:hAnsi="Calibri" w:cs="Calibri"/>
          <w:sz w:val="22"/>
          <w:szCs w:val="22"/>
        </w:rPr>
        <w:t>s</w:t>
      </w:r>
      <w:r w:rsidRPr="005008A1">
        <w:rPr>
          <w:rFonts w:ascii="Calibri" w:hAnsi="Calibri" w:cs="Calibri"/>
          <w:sz w:val="22"/>
          <w:szCs w:val="22"/>
        </w:rPr>
        <w:t>ed reward packages that can cater to diverse employee needs</w:t>
      </w:r>
      <w:r w:rsidR="0074563E">
        <w:rPr>
          <w:rFonts w:ascii="Calibri" w:hAnsi="Calibri" w:cs="Calibri"/>
          <w:sz w:val="22"/>
          <w:szCs w:val="22"/>
        </w:rPr>
        <w:t xml:space="preserve">, but, </w:t>
      </w:r>
      <w:r w:rsidRPr="005008A1">
        <w:rPr>
          <w:rFonts w:ascii="Calibri" w:hAnsi="Calibri" w:cs="Calibri"/>
          <w:sz w:val="22"/>
          <w:szCs w:val="22"/>
        </w:rPr>
        <w:t>it complicate the process of ensuring fairness and consistency across different work arrangements.</w:t>
      </w:r>
      <w:r w:rsidR="00792F28">
        <w:rPr>
          <w:rFonts w:ascii="Calibri" w:hAnsi="Calibri" w:cs="Calibri"/>
          <w:sz w:val="22"/>
          <w:szCs w:val="22"/>
        </w:rPr>
        <w:t xml:space="preserve"> For example, a</w:t>
      </w:r>
      <w:r w:rsidRPr="005008A1">
        <w:rPr>
          <w:rFonts w:ascii="Calibri" w:hAnsi="Calibri" w:cs="Calibri"/>
          <w:sz w:val="22"/>
          <w:szCs w:val="22"/>
        </w:rPr>
        <w:t>s skills and competencies become increasingly important in the knowledge economy, organisations are moving towards more skills-based pay structures. While this can better align rewards with value creation, it also requires more sophisticated performance management systems and can potentially create tensions between long-serving employees and newer, highly skilled workers (Armstrong</w:t>
      </w:r>
      <w:r w:rsidR="00E92819">
        <w:rPr>
          <w:rFonts w:ascii="Calibri" w:hAnsi="Calibri" w:cs="Calibri"/>
          <w:sz w:val="22"/>
          <w:szCs w:val="22"/>
        </w:rPr>
        <w:t>, 2019b</w:t>
      </w:r>
      <w:r w:rsidRPr="005008A1">
        <w:rPr>
          <w:rFonts w:ascii="Calibri" w:hAnsi="Calibri" w:cs="Calibri"/>
          <w:sz w:val="22"/>
          <w:szCs w:val="22"/>
        </w:rPr>
        <w:t>).</w:t>
      </w:r>
    </w:p>
    <w:p w14:paraId="0F638EEA" w14:textId="77777777" w:rsidR="008D1B74" w:rsidRPr="008D1B74" w:rsidRDefault="008D1B74" w:rsidP="008D1B74">
      <w:pPr>
        <w:rPr>
          <w:rFonts w:ascii="Calibri" w:hAnsi="Calibri" w:cs="Calibri"/>
          <w:sz w:val="22"/>
          <w:szCs w:val="22"/>
        </w:rPr>
      </w:pPr>
      <w:r w:rsidRPr="008D1B74">
        <w:rPr>
          <w:rFonts w:ascii="Calibri" w:hAnsi="Calibri" w:cs="Calibri"/>
          <w:sz w:val="22"/>
          <w:szCs w:val="22"/>
        </w:rPr>
        <w:t>Internally, organisations must balance the concept of internal equity with external market competitiveness. Striving for internal equity can boost employee morale and reduce perceptions of unfairness. However, it can also make it challenging to offer competitive packages for hard-to-fill positions or retain top performers who could command higher salaries elsewhere.</w:t>
      </w:r>
    </w:p>
    <w:p w14:paraId="796E56A9" w14:textId="7173AE9D" w:rsidR="008D1B74" w:rsidRPr="008D1B74" w:rsidRDefault="008D1B74" w:rsidP="008D1B74">
      <w:pPr>
        <w:rPr>
          <w:rFonts w:ascii="Calibri" w:hAnsi="Calibri" w:cs="Calibri"/>
          <w:sz w:val="22"/>
          <w:szCs w:val="22"/>
        </w:rPr>
      </w:pPr>
      <w:r w:rsidRPr="008D1B74">
        <w:rPr>
          <w:rFonts w:ascii="Calibri" w:hAnsi="Calibri" w:cs="Calibri"/>
          <w:sz w:val="22"/>
          <w:szCs w:val="22"/>
        </w:rPr>
        <w:t>The psychological contract between employer and employee</w:t>
      </w:r>
      <w:r w:rsidR="005E76A0">
        <w:rPr>
          <w:rFonts w:ascii="Calibri" w:hAnsi="Calibri" w:cs="Calibri"/>
          <w:sz w:val="22"/>
          <w:szCs w:val="22"/>
        </w:rPr>
        <w:t xml:space="preserve"> has an impact on </w:t>
      </w:r>
      <w:r w:rsidRPr="008D1B74">
        <w:rPr>
          <w:rFonts w:ascii="Calibri" w:hAnsi="Calibri" w:cs="Calibri"/>
          <w:sz w:val="22"/>
          <w:szCs w:val="22"/>
        </w:rPr>
        <w:t>how rewards are perceived. Changes in business context can impact this contract, necessitating adjustments in reward strategies</w:t>
      </w:r>
      <w:r w:rsidR="00FE622A">
        <w:rPr>
          <w:rFonts w:ascii="Calibri" w:hAnsi="Calibri" w:cs="Calibri"/>
          <w:sz w:val="22"/>
          <w:szCs w:val="22"/>
        </w:rPr>
        <w:t xml:space="preserve"> (Wilton, 2019e)</w:t>
      </w:r>
      <w:r w:rsidRPr="008D1B74">
        <w:rPr>
          <w:rFonts w:ascii="Calibri" w:hAnsi="Calibri" w:cs="Calibri"/>
          <w:sz w:val="22"/>
          <w:szCs w:val="22"/>
        </w:rPr>
        <w:t>. While a strong psychological contract can enhance employee engagement and loyalty, it can also create challenges when organisations need to make changes to reward packages due to business pressures.</w:t>
      </w:r>
    </w:p>
    <w:p w14:paraId="18FF7F51" w14:textId="6D2607DF" w:rsidR="008D1B74" w:rsidRPr="008D1B74" w:rsidRDefault="008D1B74" w:rsidP="008D1B74">
      <w:pPr>
        <w:rPr>
          <w:rFonts w:ascii="Calibri" w:hAnsi="Calibri" w:cs="Calibri"/>
          <w:sz w:val="22"/>
          <w:szCs w:val="22"/>
        </w:rPr>
      </w:pPr>
      <w:r w:rsidRPr="008D1B74">
        <w:rPr>
          <w:rFonts w:ascii="Calibri" w:hAnsi="Calibri" w:cs="Calibri"/>
          <w:sz w:val="22"/>
          <w:szCs w:val="22"/>
        </w:rPr>
        <w:t xml:space="preserve">For multinational corporations, cultural differences significantly influence attitudes towards reward. This allows for tailored approaches in different markets but can also create complexity and potential perceptions of unfairness across </w:t>
      </w:r>
      <w:r w:rsidR="00CB2FED">
        <w:rPr>
          <w:rFonts w:ascii="Calibri" w:hAnsi="Calibri" w:cs="Calibri"/>
          <w:sz w:val="22"/>
          <w:szCs w:val="22"/>
        </w:rPr>
        <w:t xml:space="preserve">the broader </w:t>
      </w:r>
      <w:r w:rsidRPr="008D1B74">
        <w:rPr>
          <w:rFonts w:ascii="Calibri" w:hAnsi="Calibri" w:cs="Calibri"/>
          <w:sz w:val="22"/>
          <w:szCs w:val="22"/>
        </w:rPr>
        <w:t>workforce (Wilton</w:t>
      </w:r>
      <w:r w:rsidR="00740FBE">
        <w:rPr>
          <w:rFonts w:ascii="Calibri" w:hAnsi="Calibri" w:cs="Calibri"/>
          <w:sz w:val="22"/>
          <w:szCs w:val="22"/>
        </w:rPr>
        <w:t>, 2019e</w:t>
      </w:r>
      <w:r w:rsidRPr="008D1B74">
        <w:rPr>
          <w:rFonts w:ascii="Calibri" w:hAnsi="Calibri" w:cs="Calibri"/>
          <w:sz w:val="22"/>
          <w:szCs w:val="22"/>
        </w:rPr>
        <w:t>).</w:t>
      </w:r>
    </w:p>
    <w:p w14:paraId="3123F7D9" w14:textId="6BCA078F" w:rsidR="008D1B74" w:rsidRDefault="008D1B74" w:rsidP="008D1B74">
      <w:pPr>
        <w:rPr>
          <w:rFonts w:ascii="Calibri" w:hAnsi="Calibri" w:cs="Calibri"/>
          <w:sz w:val="22"/>
          <w:szCs w:val="22"/>
        </w:rPr>
      </w:pPr>
      <w:r w:rsidRPr="008D1B74">
        <w:rPr>
          <w:rFonts w:ascii="Calibri" w:hAnsi="Calibri" w:cs="Calibri"/>
          <w:sz w:val="22"/>
          <w:szCs w:val="22"/>
        </w:rPr>
        <w:t>Effective reward strategies must navigate these complexities, balancing various stakeholder interests while remaining aligned with organisational objectives and adapting to changing business conditions.</w:t>
      </w:r>
    </w:p>
    <w:p w14:paraId="55C378A0" w14:textId="77777777" w:rsidR="00B6361F" w:rsidRDefault="00B6361F" w:rsidP="008D1B74">
      <w:pPr>
        <w:rPr>
          <w:rFonts w:ascii="Calibri" w:hAnsi="Calibri" w:cs="Calibri"/>
          <w:sz w:val="22"/>
          <w:szCs w:val="22"/>
        </w:rPr>
      </w:pPr>
    </w:p>
    <w:p w14:paraId="401C7E3B" w14:textId="78447A66" w:rsidR="00FB2940" w:rsidRDefault="00B92182" w:rsidP="00A32E99">
      <w:pPr>
        <w:rPr>
          <w:rFonts w:ascii="Calibri" w:hAnsi="Calibri" w:cs="Calibri"/>
          <w:sz w:val="22"/>
          <w:szCs w:val="22"/>
        </w:rPr>
      </w:pPr>
      <w:r>
        <w:rPr>
          <w:rFonts w:ascii="Calibri" w:hAnsi="Calibri" w:cs="Calibri"/>
          <w:sz w:val="22"/>
          <w:szCs w:val="22"/>
        </w:rPr>
        <w:t xml:space="preserve">(AC 3.2) </w:t>
      </w:r>
      <w:r w:rsidRPr="00B92182">
        <w:rPr>
          <w:rFonts w:ascii="Calibri" w:hAnsi="Calibri" w:cs="Calibri"/>
          <w:sz w:val="22"/>
          <w:szCs w:val="22"/>
        </w:rPr>
        <w:t xml:space="preserve">Evaluate the most appropriate ways in which benchmarking data can be gathered and   measured to develop insight. </w:t>
      </w:r>
    </w:p>
    <w:p w14:paraId="0B9DCEF5" w14:textId="7AC23C93" w:rsidR="00FB2940" w:rsidRPr="00FB2940" w:rsidRDefault="00FB2940" w:rsidP="00FB2940">
      <w:pPr>
        <w:rPr>
          <w:rFonts w:ascii="Calibri" w:hAnsi="Calibri" w:cs="Calibri"/>
          <w:sz w:val="22"/>
          <w:szCs w:val="22"/>
        </w:rPr>
      </w:pPr>
      <w:r>
        <w:rPr>
          <w:rFonts w:ascii="Calibri" w:hAnsi="Calibri" w:cs="Calibri"/>
          <w:sz w:val="22"/>
          <w:szCs w:val="22"/>
        </w:rPr>
        <w:t>A</w:t>
      </w:r>
      <w:r w:rsidRPr="00FB2940">
        <w:rPr>
          <w:rFonts w:ascii="Calibri" w:hAnsi="Calibri" w:cs="Calibri"/>
          <w:sz w:val="22"/>
          <w:szCs w:val="22"/>
        </w:rPr>
        <w:t xml:space="preserve"> valuable method for gathering benchmarking data is participating in industry salary surveys conducted by reputable organisations. These surveys provide comprehensive data on pay levels, benefits, and reward practices across similar organisations and roles (CIPD</w:t>
      </w:r>
      <w:r w:rsidR="00AA15AC">
        <w:rPr>
          <w:rFonts w:ascii="Calibri" w:hAnsi="Calibri" w:cs="Calibri"/>
          <w:sz w:val="22"/>
          <w:szCs w:val="22"/>
        </w:rPr>
        <w:t>, 2022b</w:t>
      </w:r>
      <w:r w:rsidRPr="00FB2940">
        <w:rPr>
          <w:rFonts w:ascii="Calibri" w:hAnsi="Calibri" w:cs="Calibri"/>
          <w:sz w:val="22"/>
          <w:szCs w:val="22"/>
        </w:rPr>
        <w:t xml:space="preserve">). By contributing data and receiving aggregated results, </w:t>
      </w:r>
      <w:r w:rsidR="001532CC">
        <w:rPr>
          <w:rFonts w:ascii="Calibri" w:hAnsi="Calibri" w:cs="Calibri"/>
          <w:sz w:val="22"/>
          <w:szCs w:val="22"/>
        </w:rPr>
        <w:t>organisations</w:t>
      </w:r>
      <w:r w:rsidRPr="00FB2940">
        <w:rPr>
          <w:rFonts w:ascii="Calibri" w:hAnsi="Calibri" w:cs="Calibri"/>
          <w:sz w:val="22"/>
          <w:szCs w:val="22"/>
        </w:rPr>
        <w:t xml:space="preserve"> gain a</w:t>
      </w:r>
      <w:r w:rsidR="001532CC">
        <w:rPr>
          <w:rFonts w:ascii="Calibri" w:hAnsi="Calibri" w:cs="Calibri"/>
          <w:sz w:val="22"/>
          <w:szCs w:val="22"/>
        </w:rPr>
        <w:t xml:space="preserve">n </w:t>
      </w:r>
      <w:r w:rsidRPr="00FB2940">
        <w:rPr>
          <w:rFonts w:ascii="Calibri" w:hAnsi="Calibri" w:cs="Calibri"/>
          <w:sz w:val="22"/>
          <w:szCs w:val="22"/>
        </w:rPr>
        <w:t>external perspective on market rates and trends.</w:t>
      </w:r>
      <w:r w:rsidR="00456A02">
        <w:rPr>
          <w:rFonts w:ascii="Calibri" w:hAnsi="Calibri" w:cs="Calibri"/>
          <w:sz w:val="22"/>
          <w:szCs w:val="22"/>
        </w:rPr>
        <w:t xml:space="preserve"> </w:t>
      </w:r>
      <w:r w:rsidR="00456A02" w:rsidRPr="00456A02">
        <w:rPr>
          <w:rFonts w:ascii="Calibri" w:hAnsi="Calibri" w:cs="Calibri"/>
          <w:sz w:val="22"/>
          <w:szCs w:val="22"/>
        </w:rPr>
        <w:t>However, it is important to be careful when using these surveys to ensure the surveys used are rigorous in their methodology and provide</w:t>
      </w:r>
      <w:r w:rsidR="0029289C">
        <w:rPr>
          <w:rFonts w:ascii="Calibri" w:hAnsi="Calibri" w:cs="Calibri"/>
          <w:sz w:val="22"/>
          <w:szCs w:val="22"/>
        </w:rPr>
        <w:t xml:space="preserve"> a</w:t>
      </w:r>
      <w:r w:rsidR="00456A02" w:rsidRPr="00456A02">
        <w:rPr>
          <w:rFonts w:ascii="Calibri" w:hAnsi="Calibri" w:cs="Calibri"/>
          <w:sz w:val="22"/>
          <w:szCs w:val="22"/>
        </w:rPr>
        <w:t xml:space="preserve"> like-for-like comparison to avoid misleading conclusions.</w:t>
      </w:r>
    </w:p>
    <w:p w14:paraId="401931CB" w14:textId="33396A0D" w:rsidR="00FB2940" w:rsidRPr="00FB2940" w:rsidRDefault="00FB2940" w:rsidP="00FB2940">
      <w:pPr>
        <w:rPr>
          <w:rFonts w:ascii="Calibri" w:hAnsi="Calibri" w:cs="Calibri"/>
          <w:sz w:val="22"/>
          <w:szCs w:val="22"/>
        </w:rPr>
      </w:pPr>
      <w:r w:rsidRPr="00FB2940">
        <w:rPr>
          <w:rFonts w:ascii="Calibri" w:hAnsi="Calibri" w:cs="Calibri"/>
          <w:sz w:val="22"/>
          <w:szCs w:val="22"/>
        </w:rPr>
        <w:t>Another effective approach is conducting targeted research on key competitors</w:t>
      </w:r>
      <w:r w:rsidR="00456A02">
        <w:rPr>
          <w:rFonts w:ascii="Calibri" w:hAnsi="Calibri" w:cs="Calibri"/>
          <w:sz w:val="22"/>
          <w:szCs w:val="22"/>
        </w:rPr>
        <w:t xml:space="preserve">. </w:t>
      </w:r>
      <w:r w:rsidRPr="00FB2940">
        <w:rPr>
          <w:rFonts w:ascii="Calibri" w:hAnsi="Calibri" w:cs="Calibri"/>
          <w:sz w:val="22"/>
          <w:szCs w:val="22"/>
        </w:rPr>
        <w:t>This may involve analysing publicly available information, such as annual reports, as well as gathering intelligence through professional networks (Armstrong</w:t>
      </w:r>
      <w:r w:rsidR="00ED7E18">
        <w:rPr>
          <w:rFonts w:ascii="Calibri" w:hAnsi="Calibri" w:cs="Calibri"/>
          <w:sz w:val="22"/>
          <w:szCs w:val="22"/>
        </w:rPr>
        <w:t>, 2008</w:t>
      </w:r>
      <w:r w:rsidRPr="00FB2940">
        <w:rPr>
          <w:rFonts w:ascii="Calibri" w:hAnsi="Calibri" w:cs="Calibri"/>
          <w:sz w:val="22"/>
          <w:szCs w:val="22"/>
        </w:rPr>
        <w:t xml:space="preserve">). While potentially less comprehensive than formal </w:t>
      </w:r>
      <w:r w:rsidRPr="00FB2940">
        <w:rPr>
          <w:rFonts w:ascii="Calibri" w:hAnsi="Calibri" w:cs="Calibri"/>
          <w:sz w:val="22"/>
          <w:szCs w:val="22"/>
        </w:rPr>
        <w:lastRenderedPageBreak/>
        <w:t xml:space="preserve">surveys, </w:t>
      </w:r>
      <w:r w:rsidR="00DD40A0">
        <w:rPr>
          <w:rFonts w:ascii="Calibri" w:hAnsi="Calibri" w:cs="Calibri"/>
          <w:sz w:val="22"/>
          <w:szCs w:val="22"/>
        </w:rPr>
        <w:t xml:space="preserve">and </w:t>
      </w:r>
      <w:r w:rsidR="00511D52">
        <w:rPr>
          <w:rFonts w:ascii="Calibri" w:hAnsi="Calibri" w:cs="Calibri"/>
          <w:sz w:val="22"/>
          <w:szCs w:val="22"/>
        </w:rPr>
        <w:t xml:space="preserve">should be understood that it will not display the full picture, </w:t>
      </w:r>
      <w:r w:rsidRPr="00FB2940">
        <w:rPr>
          <w:rFonts w:ascii="Calibri" w:hAnsi="Calibri" w:cs="Calibri"/>
          <w:sz w:val="22"/>
          <w:szCs w:val="22"/>
        </w:rPr>
        <w:t xml:space="preserve">this </w:t>
      </w:r>
      <w:r w:rsidR="00FB4C44">
        <w:rPr>
          <w:rFonts w:ascii="Calibri" w:hAnsi="Calibri" w:cs="Calibri"/>
          <w:sz w:val="22"/>
          <w:szCs w:val="22"/>
        </w:rPr>
        <w:t xml:space="preserve">method understands </w:t>
      </w:r>
      <w:r w:rsidR="00DD40A0">
        <w:rPr>
          <w:rFonts w:ascii="Calibri" w:hAnsi="Calibri" w:cs="Calibri"/>
          <w:sz w:val="22"/>
          <w:szCs w:val="22"/>
        </w:rPr>
        <w:t xml:space="preserve">what employees may gain by moving to a competitor. </w:t>
      </w:r>
      <w:r w:rsidR="00456A02">
        <w:rPr>
          <w:rFonts w:ascii="Calibri" w:hAnsi="Calibri" w:cs="Calibri"/>
          <w:sz w:val="22"/>
          <w:szCs w:val="22"/>
        </w:rPr>
        <w:t xml:space="preserve"> </w:t>
      </w:r>
    </w:p>
    <w:p w14:paraId="219819B5" w14:textId="252DAEBB" w:rsidR="00FB2940" w:rsidRPr="00FB2940" w:rsidRDefault="00FB2940" w:rsidP="00FB2940">
      <w:pPr>
        <w:rPr>
          <w:rFonts w:ascii="Calibri" w:hAnsi="Calibri" w:cs="Calibri"/>
          <w:sz w:val="22"/>
          <w:szCs w:val="22"/>
        </w:rPr>
      </w:pPr>
      <w:r w:rsidRPr="00FB2940">
        <w:rPr>
          <w:rFonts w:ascii="Calibri" w:hAnsi="Calibri" w:cs="Calibri"/>
          <w:sz w:val="22"/>
          <w:szCs w:val="22"/>
        </w:rPr>
        <w:t xml:space="preserve">Internal benchmarking should not be overlooked as a source of insight. Analysing pay and performance data across different </w:t>
      </w:r>
      <w:r w:rsidR="00EC32F1">
        <w:rPr>
          <w:rFonts w:ascii="Calibri" w:hAnsi="Calibri" w:cs="Calibri"/>
          <w:sz w:val="22"/>
          <w:szCs w:val="22"/>
        </w:rPr>
        <w:t>departments</w:t>
      </w:r>
      <w:r w:rsidRPr="00FB2940">
        <w:rPr>
          <w:rFonts w:ascii="Calibri" w:hAnsi="Calibri" w:cs="Calibri"/>
          <w:sz w:val="22"/>
          <w:szCs w:val="22"/>
        </w:rPr>
        <w:t xml:space="preserve"> or </w:t>
      </w:r>
      <w:r w:rsidR="00EC32F1">
        <w:rPr>
          <w:rFonts w:ascii="Calibri" w:hAnsi="Calibri" w:cs="Calibri"/>
          <w:sz w:val="22"/>
          <w:szCs w:val="22"/>
        </w:rPr>
        <w:t>locations</w:t>
      </w:r>
      <w:r w:rsidRPr="00FB2940">
        <w:rPr>
          <w:rFonts w:ascii="Calibri" w:hAnsi="Calibri" w:cs="Calibri"/>
          <w:sz w:val="22"/>
          <w:szCs w:val="22"/>
        </w:rPr>
        <w:t xml:space="preserve"> within the organisation can reveal important trends and anomalies (CIPD</w:t>
      </w:r>
      <w:r w:rsidR="00AA15AC">
        <w:rPr>
          <w:rFonts w:ascii="Calibri" w:hAnsi="Calibri" w:cs="Calibri"/>
          <w:sz w:val="22"/>
          <w:szCs w:val="22"/>
        </w:rPr>
        <w:t>, 2022b</w:t>
      </w:r>
      <w:r w:rsidRPr="00FB2940">
        <w:rPr>
          <w:rFonts w:ascii="Calibri" w:hAnsi="Calibri" w:cs="Calibri"/>
          <w:sz w:val="22"/>
          <w:szCs w:val="22"/>
        </w:rPr>
        <w:t>). This internal perspective is crucial for ensuring consistency and fairness in reward practices.</w:t>
      </w:r>
    </w:p>
    <w:p w14:paraId="46605ED5" w14:textId="5BC68101" w:rsidR="001532CC" w:rsidRPr="00FB2940" w:rsidRDefault="001532CC" w:rsidP="00FB2940">
      <w:pPr>
        <w:rPr>
          <w:rFonts w:ascii="Calibri" w:hAnsi="Calibri" w:cs="Calibri"/>
          <w:sz w:val="22"/>
          <w:szCs w:val="22"/>
        </w:rPr>
      </w:pPr>
      <w:r w:rsidRPr="00FB2940">
        <w:rPr>
          <w:rFonts w:ascii="Calibri" w:hAnsi="Calibri" w:cs="Calibri"/>
          <w:sz w:val="22"/>
          <w:szCs w:val="22"/>
        </w:rPr>
        <w:t>Performance metrics for bonuses and identifying top performers can provide valuable benchmarking insights. By analysing data on bonus payouts and performance ratings across different roles and departments, organisations can establish internal benchmarks and identify areas for improvement. This approach can help ensure that reward strategies are aligned with organisational goals and effectively motivate high performance.</w:t>
      </w:r>
    </w:p>
    <w:p w14:paraId="5F9E8BCB" w14:textId="1A0748F1" w:rsidR="00FB2940" w:rsidRPr="00FB2940" w:rsidRDefault="00FB2940" w:rsidP="00FB2940">
      <w:pPr>
        <w:rPr>
          <w:rFonts w:ascii="Calibri" w:hAnsi="Calibri" w:cs="Calibri"/>
          <w:sz w:val="22"/>
          <w:szCs w:val="22"/>
        </w:rPr>
      </w:pPr>
      <w:r w:rsidRPr="00FB2940">
        <w:rPr>
          <w:rFonts w:ascii="Calibri" w:hAnsi="Calibri" w:cs="Calibri"/>
          <w:sz w:val="22"/>
          <w:szCs w:val="22"/>
        </w:rPr>
        <w:t xml:space="preserve">Incorporating non-financial benchmarking </w:t>
      </w:r>
      <w:r w:rsidR="00BD0802">
        <w:rPr>
          <w:rFonts w:ascii="Calibri" w:hAnsi="Calibri" w:cs="Calibri"/>
          <w:sz w:val="22"/>
          <w:szCs w:val="22"/>
        </w:rPr>
        <w:t xml:space="preserve">can be used for </w:t>
      </w:r>
      <w:r w:rsidRPr="00FB2940">
        <w:rPr>
          <w:rFonts w:ascii="Calibri" w:hAnsi="Calibri" w:cs="Calibri"/>
          <w:sz w:val="22"/>
          <w:szCs w:val="22"/>
        </w:rPr>
        <w:t>developing a comprehensive understanding of reward practices. This can include evaluating the frequency, type, and perceived impact of recognition activities (</w:t>
      </w:r>
      <w:r w:rsidR="00EB69FF">
        <w:rPr>
          <w:rFonts w:ascii="Calibri" w:hAnsi="Calibri" w:cs="Calibri"/>
          <w:sz w:val="22"/>
          <w:szCs w:val="22"/>
        </w:rPr>
        <w:t>CIPD, 2022</w:t>
      </w:r>
      <w:r w:rsidR="00AA15AC">
        <w:rPr>
          <w:rFonts w:ascii="Calibri" w:hAnsi="Calibri" w:cs="Calibri"/>
          <w:sz w:val="22"/>
          <w:szCs w:val="22"/>
        </w:rPr>
        <w:t>c</w:t>
      </w:r>
      <w:r w:rsidRPr="00FB2940">
        <w:rPr>
          <w:rFonts w:ascii="Calibri" w:hAnsi="Calibri" w:cs="Calibri"/>
          <w:sz w:val="22"/>
          <w:szCs w:val="22"/>
        </w:rPr>
        <w:t>). For example, organisations can track metrics such as the number of formal and informal recognition moments per employee or employee ratings of how valued they feel.</w:t>
      </w:r>
    </w:p>
    <w:p w14:paraId="6065C136" w14:textId="4B7323E5" w:rsidR="00FB2940" w:rsidRPr="00FB2940" w:rsidRDefault="00FB2940" w:rsidP="00FB2940">
      <w:pPr>
        <w:rPr>
          <w:rFonts w:ascii="Calibri" w:hAnsi="Calibri" w:cs="Calibri"/>
          <w:sz w:val="22"/>
          <w:szCs w:val="22"/>
        </w:rPr>
      </w:pPr>
      <w:r w:rsidRPr="00FB2940">
        <w:rPr>
          <w:rFonts w:ascii="Calibri" w:hAnsi="Calibri" w:cs="Calibri"/>
          <w:sz w:val="22"/>
          <w:szCs w:val="22"/>
        </w:rPr>
        <w:t xml:space="preserve">The use of performance measurement tools like OKRs (Objectives and Key Results), project management systems, and skill gap analyses can provide additional benchmarking data on employee performance and development </w:t>
      </w:r>
      <w:r w:rsidR="00693B15" w:rsidRPr="00693B15">
        <w:rPr>
          <w:rFonts w:ascii="Calibri" w:hAnsi="Calibri" w:cs="Calibri"/>
          <w:sz w:val="22"/>
          <w:szCs w:val="22"/>
        </w:rPr>
        <w:t>(Vuong and Nguyen, 2022)</w:t>
      </w:r>
      <w:r w:rsidRPr="00FB2940">
        <w:rPr>
          <w:rFonts w:ascii="Calibri" w:hAnsi="Calibri" w:cs="Calibri"/>
          <w:sz w:val="22"/>
          <w:szCs w:val="22"/>
        </w:rPr>
        <w:t xml:space="preserve">. </w:t>
      </w:r>
      <w:r w:rsidR="00BB56BC" w:rsidRPr="00BB56BC">
        <w:rPr>
          <w:rFonts w:ascii="Calibri" w:hAnsi="Calibri" w:cs="Calibri"/>
          <w:sz w:val="22"/>
          <w:szCs w:val="22"/>
        </w:rPr>
        <w:t>These tools allow for more detailed and objective measurement of employee contributions and skills. However, an overreliance on such metrics can sometimes lead to a narrow focus on quantifiable outputs, potentially overlooking important qualitative aspects of employee performance or unintended consequences on workplace culture.</w:t>
      </w:r>
    </w:p>
    <w:p w14:paraId="48B2ADF0" w14:textId="14731562" w:rsidR="00B04CA4" w:rsidRDefault="00FB2940" w:rsidP="00B04CA4">
      <w:pPr>
        <w:rPr>
          <w:rFonts w:ascii="Calibri" w:hAnsi="Calibri" w:cs="Calibri"/>
          <w:sz w:val="22"/>
          <w:szCs w:val="22"/>
        </w:rPr>
      </w:pPr>
      <w:r w:rsidRPr="00FB2940">
        <w:rPr>
          <w:rFonts w:ascii="Calibri" w:hAnsi="Calibri" w:cs="Calibri"/>
          <w:sz w:val="22"/>
          <w:szCs w:val="22"/>
        </w:rPr>
        <w:t>Benchmarking recognition practices is particularly important given the substantial evidence linking employee recognition</w:t>
      </w:r>
      <w:r w:rsidR="00B7200C">
        <w:rPr>
          <w:rFonts w:ascii="Calibri" w:hAnsi="Calibri" w:cs="Calibri"/>
          <w:sz w:val="22"/>
          <w:szCs w:val="22"/>
        </w:rPr>
        <w:t>, financial</w:t>
      </w:r>
      <w:r w:rsidRPr="00FB2940">
        <w:rPr>
          <w:rFonts w:ascii="Calibri" w:hAnsi="Calibri" w:cs="Calibri"/>
          <w:sz w:val="22"/>
          <w:szCs w:val="22"/>
        </w:rPr>
        <w:t xml:space="preserve"> and non-financial rewards to significant improvements in workplace performance (</w:t>
      </w:r>
      <w:r w:rsidR="00EB69FF">
        <w:rPr>
          <w:rFonts w:ascii="Calibri" w:hAnsi="Calibri" w:cs="Calibri"/>
          <w:sz w:val="22"/>
          <w:szCs w:val="22"/>
        </w:rPr>
        <w:t>CIPD, 2022</w:t>
      </w:r>
      <w:r w:rsidR="00AA15AC">
        <w:rPr>
          <w:rFonts w:ascii="Calibri" w:hAnsi="Calibri" w:cs="Calibri"/>
          <w:sz w:val="22"/>
          <w:szCs w:val="22"/>
        </w:rPr>
        <w:t>c</w:t>
      </w:r>
      <w:r w:rsidR="00AD79BE">
        <w:rPr>
          <w:rFonts w:ascii="Calibri" w:hAnsi="Calibri" w:cs="Calibri"/>
          <w:sz w:val="22"/>
          <w:szCs w:val="22"/>
        </w:rPr>
        <w:t xml:space="preserve">). </w:t>
      </w:r>
      <w:r w:rsidR="00B04CA4" w:rsidRPr="00B04CA4">
        <w:rPr>
          <w:rFonts w:ascii="Calibri" w:hAnsi="Calibri" w:cs="Calibri"/>
          <w:sz w:val="22"/>
          <w:szCs w:val="22"/>
        </w:rPr>
        <w:t xml:space="preserve">By understanding how </w:t>
      </w:r>
      <w:r w:rsidR="00B95B60">
        <w:rPr>
          <w:rFonts w:ascii="Calibri" w:hAnsi="Calibri" w:cs="Calibri"/>
          <w:sz w:val="22"/>
          <w:szCs w:val="22"/>
        </w:rPr>
        <w:t>Eco-Insulate UK</w:t>
      </w:r>
      <w:r w:rsidR="00BC2A99">
        <w:rPr>
          <w:rFonts w:ascii="Calibri" w:hAnsi="Calibri" w:cs="Calibri"/>
          <w:sz w:val="22"/>
          <w:szCs w:val="22"/>
        </w:rPr>
        <w:t>’s</w:t>
      </w:r>
      <w:r w:rsidR="00B04CA4" w:rsidRPr="00B04CA4">
        <w:rPr>
          <w:rFonts w:ascii="Calibri" w:hAnsi="Calibri" w:cs="Calibri"/>
          <w:sz w:val="22"/>
          <w:szCs w:val="22"/>
        </w:rPr>
        <w:t xml:space="preserve"> recognition practices compare to industry norms and best practices, </w:t>
      </w:r>
      <w:r w:rsidR="008C4147">
        <w:rPr>
          <w:rFonts w:ascii="Calibri" w:hAnsi="Calibri" w:cs="Calibri"/>
          <w:sz w:val="22"/>
          <w:szCs w:val="22"/>
        </w:rPr>
        <w:t>the organisation</w:t>
      </w:r>
      <w:r w:rsidR="00B04CA4" w:rsidRPr="00B04CA4">
        <w:rPr>
          <w:rFonts w:ascii="Calibri" w:hAnsi="Calibri" w:cs="Calibri"/>
          <w:sz w:val="22"/>
          <w:szCs w:val="22"/>
        </w:rPr>
        <w:t xml:space="preserve"> can identify opportunities to enhance their approach and potentially drive notable performance improvements.</w:t>
      </w:r>
    </w:p>
    <w:p w14:paraId="658B0C56" w14:textId="77777777" w:rsidR="00BC2A99" w:rsidRDefault="00BC2A99" w:rsidP="00B04CA4">
      <w:pPr>
        <w:rPr>
          <w:rFonts w:ascii="Calibri" w:hAnsi="Calibri" w:cs="Calibri"/>
          <w:sz w:val="22"/>
          <w:szCs w:val="22"/>
        </w:rPr>
      </w:pPr>
    </w:p>
    <w:p w14:paraId="20D2D6A5" w14:textId="01BE8AFB" w:rsidR="00693B15" w:rsidRDefault="00BC2A99" w:rsidP="00B04CA4">
      <w:pPr>
        <w:rPr>
          <w:rFonts w:ascii="Calibri" w:hAnsi="Calibri" w:cs="Calibri"/>
          <w:sz w:val="22"/>
          <w:szCs w:val="22"/>
        </w:rPr>
      </w:pPr>
      <w:r>
        <w:rPr>
          <w:rFonts w:ascii="Calibri" w:hAnsi="Calibri" w:cs="Calibri"/>
          <w:sz w:val="22"/>
          <w:szCs w:val="22"/>
        </w:rPr>
        <w:t xml:space="preserve">(AC 3.3) </w:t>
      </w:r>
      <w:r w:rsidRPr="00BC2A99">
        <w:rPr>
          <w:rFonts w:ascii="Calibri" w:hAnsi="Calibri" w:cs="Calibri"/>
          <w:sz w:val="22"/>
          <w:szCs w:val="22"/>
        </w:rPr>
        <w:t xml:space="preserve">Explain approaches to job evaluation. </w:t>
      </w:r>
    </w:p>
    <w:p w14:paraId="68F713F5" w14:textId="42B04052" w:rsidR="00B263F4" w:rsidRPr="00B263F4" w:rsidRDefault="00B263F4" w:rsidP="00B263F4">
      <w:pPr>
        <w:rPr>
          <w:rFonts w:ascii="Calibri" w:hAnsi="Calibri" w:cs="Calibri"/>
          <w:sz w:val="22"/>
          <w:szCs w:val="22"/>
        </w:rPr>
      </w:pPr>
      <w:r w:rsidRPr="00B263F4">
        <w:rPr>
          <w:rFonts w:ascii="Calibri" w:hAnsi="Calibri" w:cs="Calibri"/>
          <w:sz w:val="22"/>
          <w:szCs w:val="22"/>
        </w:rPr>
        <w:t>Job evaluation is a systematic process used by organisations to determine the relative worth of different jobs within their structure. The primary purpose of job evaluation is to compare all jobs in an organisation to produce a rank order, which can then be used to develop pay grades and ranges (A</w:t>
      </w:r>
      <w:r w:rsidR="00D42629">
        <w:rPr>
          <w:rFonts w:ascii="Calibri" w:hAnsi="Calibri" w:cs="Calibri"/>
          <w:sz w:val="22"/>
          <w:szCs w:val="22"/>
        </w:rPr>
        <w:t>CAS, 2014</w:t>
      </w:r>
      <w:r w:rsidRPr="00B263F4">
        <w:rPr>
          <w:rFonts w:ascii="Calibri" w:hAnsi="Calibri" w:cs="Calibri"/>
          <w:sz w:val="22"/>
          <w:szCs w:val="22"/>
        </w:rPr>
        <w:t>). A</w:t>
      </w:r>
      <w:r w:rsidR="004878B9">
        <w:rPr>
          <w:rFonts w:ascii="Calibri" w:hAnsi="Calibri" w:cs="Calibri"/>
          <w:sz w:val="22"/>
          <w:szCs w:val="22"/>
        </w:rPr>
        <w:t xml:space="preserve">n </w:t>
      </w:r>
      <w:r w:rsidRPr="00B263F4">
        <w:rPr>
          <w:rFonts w:ascii="Calibri" w:hAnsi="Calibri" w:cs="Calibri"/>
          <w:sz w:val="22"/>
          <w:szCs w:val="22"/>
        </w:rPr>
        <w:t xml:space="preserve">example of this is the NHS Job Evaluation scheme, which is used to determine pay bands for over a million NHS staff under the Agenda for Change terms and conditions </w:t>
      </w:r>
      <w:r w:rsidR="00EC0DF6" w:rsidRPr="00EC0DF6">
        <w:rPr>
          <w:rFonts w:ascii="Calibri" w:hAnsi="Calibri" w:cs="Calibri"/>
          <w:sz w:val="22"/>
          <w:szCs w:val="22"/>
        </w:rPr>
        <w:t>(NHS, n.d.)</w:t>
      </w:r>
      <w:r w:rsidRPr="00B263F4">
        <w:rPr>
          <w:rFonts w:ascii="Calibri" w:hAnsi="Calibri" w:cs="Calibri"/>
          <w:sz w:val="22"/>
          <w:szCs w:val="22"/>
        </w:rPr>
        <w:t>.</w:t>
      </w:r>
    </w:p>
    <w:p w14:paraId="69C5A014" w14:textId="7AC67533" w:rsidR="00B263F4" w:rsidRPr="00B263F4" w:rsidRDefault="00B263F4" w:rsidP="00B263F4">
      <w:pPr>
        <w:rPr>
          <w:rFonts w:ascii="Calibri" w:hAnsi="Calibri" w:cs="Calibri"/>
          <w:sz w:val="22"/>
          <w:szCs w:val="22"/>
        </w:rPr>
      </w:pPr>
      <w:r w:rsidRPr="00B263F4">
        <w:rPr>
          <w:rFonts w:ascii="Calibri" w:hAnsi="Calibri" w:cs="Calibri"/>
          <w:sz w:val="22"/>
          <w:szCs w:val="22"/>
        </w:rPr>
        <w:t>There are two main approaches to job evaluation: analytical and non-analytical schemes. Analytical schemes involve breaking down jobs into defined factors or elements that are present across roles, such as skill, effort, and responsibility (Wilton</w:t>
      </w:r>
      <w:r w:rsidR="00586F27">
        <w:rPr>
          <w:rFonts w:ascii="Calibri" w:hAnsi="Calibri" w:cs="Calibri"/>
          <w:sz w:val="22"/>
          <w:szCs w:val="22"/>
        </w:rPr>
        <w:t>, 2019f</w:t>
      </w:r>
      <w:r w:rsidRPr="00B263F4">
        <w:rPr>
          <w:rFonts w:ascii="Calibri" w:hAnsi="Calibri" w:cs="Calibri"/>
          <w:sz w:val="22"/>
          <w:szCs w:val="22"/>
        </w:rPr>
        <w:t xml:space="preserve">). The NHS Job Evaluation scheme exemplifies this approach, measuring the skills, responsibilities, and effort required for each job to allocate it to an appropriate pay band </w:t>
      </w:r>
      <w:r w:rsidR="00EC0DF6" w:rsidRPr="00EC0DF6">
        <w:rPr>
          <w:rFonts w:ascii="Calibri" w:hAnsi="Calibri" w:cs="Calibri"/>
          <w:sz w:val="22"/>
          <w:szCs w:val="22"/>
        </w:rPr>
        <w:t>(NHS, n.d.)</w:t>
      </w:r>
      <w:r w:rsidRPr="00B263F4">
        <w:rPr>
          <w:rFonts w:ascii="Calibri" w:hAnsi="Calibri" w:cs="Calibri"/>
          <w:sz w:val="22"/>
          <w:szCs w:val="22"/>
        </w:rPr>
        <w:t xml:space="preserve">. Points are then awarded for each factor to produce an overall </w:t>
      </w:r>
      <w:r w:rsidRPr="00B263F4">
        <w:rPr>
          <w:rFonts w:ascii="Calibri" w:hAnsi="Calibri" w:cs="Calibri"/>
          <w:sz w:val="22"/>
          <w:szCs w:val="22"/>
        </w:rPr>
        <w:lastRenderedPageBreak/>
        <w:t>score and ranking (Wilton</w:t>
      </w:r>
      <w:r w:rsidR="00586F27">
        <w:rPr>
          <w:rFonts w:ascii="Calibri" w:hAnsi="Calibri" w:cs="Calibri"/>
          <w:sz w:val="22"/>
          <w:szCs w:val="22"/>
        </w:rPr>
        <w:t>, 2019f</w:t>
      </w:r>
      <w:r w:rsidRPr="00B263F4">
        <w:rPr>
          <w:rFonts w:ascii="Calibri" w:hAnsi="Calibri" w:cs="Calibri"/>
          <w:sz w:val="22"/>
          <w:szCs w:val="22"/>
        </w:rPr>
        <w:t xml:space="preserve">). This method can meet equal pay requirements if designed and applied without discrimination </w:t>
      </w:r>
      <w:r w:rsidR="005F504C" w:rsidRPr="005F504C">
        <w:rPr>
          <w:rFonts w:ascii="Calibri" w:hAnsi="Calibri" w:cs="Calibri"/>
          <w:sz w:val="22"/>
          <w:szCs w:val="22"/>
        </w:rPr>
        <w:t>(Chaneta, 2014)</w:t>
      </w:r>
      <w:r w:rsidRPr="00B263F4">
        <w:rPr>
          <w:rFonts w:ascii="Calibri" w:hAnsi="Calibri" w:cs="Calibri"/>
          <w:sz w:val="22"/>
          <w:szCs w:val="22"/>
        </w:rPr>
        <w:t>.</w:t>
      </w:r>
    </w:p>
    <w:p w14:paraId="5D9B05B1" w14:textId="5176F8F8" w:rsidR="00B263F4" w:rsidRPr="00B263F4" w:rsidRDefault="00B263F4" w:rsidP="00B263F4">
      <w:pPr>
        <w:rPr>
          <w:rFonts w:ascii="Calibri" w:hAnsi="Calibri" w:cs="Calibri"/>
          <w:sz w:val="22"/>
          <w:szCs w:val="22"/>
        </w:rPr>
      </w:pPr>
      <w:r w:rsidRPr="00B263F4">
        <w:rPr>
          <w:rFonts w:ascii="Calibri" w:hAnsi="Calibri" w:cs="Calibri"/>
          <w:sz w:val="22"/>
          <w:szCs w:val="22"/>
        </w:rPr>
        <w:t>Non-analytical schemes, in contrast, compare whole jobs without breaking them down into constituent parts (Wilton</w:t>
      </w:r>
      <w:r w:rsidR="0070666B">
        <w:rPr>
          <w:rFonts w:ascii="Calibri" w:hAnsi="Calibri" w:cs="Calibri"/>
          <w:sz w:val="22"/>
          <w:szCs w:val="22"/>
        </w:rPr>
        <w:t>, 2019f</w:t>
      </w:r>
      <w:r w:rsidRPr="00B263F4">
        <w:rPr>
          <w:rFonts w:ascii="Calibri" w:hAnsi="Calibri" w:cs="Calibri"/>
          <w:sz w:val="22"/>
          <w:szCs w:val="22"/>
        </w:rPr>
        <w:t>). Job classification, where jobs are slotted into predefined grades, and job ranking, where entire jobs are compared and ordered, are examples of non-analytical approaches (Wilton</w:t>
      </w:r>
      <w:r w:rsidR="00586F27">
        <w:rPr>
          <w:rFonts w:ascii="Calibri" w:hAnsi="Calibri" w:cs="Calibri"/>
          <w:sz w:val="22"/>
          <w:szCs w:val="22"/>
        </w:rPr>
        <w:t>, 2019f</w:t>
      </w:r>
      <w:r w:rsidRPr="00B263F4">
        <w:rPr>
          <w:rFonts w:ascii="Calibri" w:hAnsi="Calibri" w:cs="Calibri"/>
          <w:sz w:val="22"/>
          <w:szCs w:val="22"/>
        </w:rPr>
        <w:t xml:space="preserve">). While simpler to implement, these methods may be less defensible in equal pay cases </w:t>
      </w:r>
      <w:r w:rsidR="005F504C" w:rsidRPr="005F504C">
        <w:rPr>
          <w:rFonts w:ascii="Calibri" w:hAnsi="Calibri" w:cs="Calibri"/>
          <w:sz w:val="22"/>
          <w:szCs w:val="22"/>
        </w:rPr>
        <w:t>(Chaneta, 2014)</w:t>
      </w:r>
      <w:r w:rsidRPr="00B263F4">
        <w:rPr>
          <w:rFonts w:ascii="Calibri" w:hAnsi="Calibri" w:cs="Calibri"/>
          <w:sz w:val="22"/>
          <w:szCs w:val="22"/>
        </w:rPr>
        <w:t>.</w:t>
      </w:r>
    </w:p>
    <w:p w14:paraId="1F363CC2" w14:textId="6A39B51C" w:rsidR="00B263F4" w:rsidRPr="00B263F4" w:rsidRDefault="00B263F4" w:rsidP="00B263F4">
      <w:pPr>
        <w:rPr>
          <w:rFonts w:ascii="Calibri" w:hAnsi="Calibri" w:cs="Calibri"/>
          <w:sz w:val="22"/>
          <w:szCs w:val="22"/>
        </w:rPr>
      </w:pPr>
      <w:r w:rsidRPr="00B263F4">
        <w:rPr>
          <w:rFonts w:ascii="Calibri" w:hAnsi="Calibri" w:cs="Calibri"/>
          <w:sz w:val="22"/>
          <w:szCs w:val="22"/>
        </w:rPr>
        <w:t>The choice between formal and informal evaluation approaches depends on organisational context. Some companies prefer informal methods, believing their structure clearly indicates relative job values without need for a formal process (</w:t>
      </w:r>
      <w:r w:rsidR="00E43EF7">
        <w:rPr>
          <w:rFonts w:ascii="Calibri" w:hAnsi="Calibri" w:cs="Calibri"/>
          <w:sz w:val="22"/>
          <w:szCs w:val="22"/>
        </w:rPr>
        <w:t>ACAS, 2014</w:t>
      </w:r>
      <w:r w:rsidRPr="00B263F4">
        <w:rPr>
          <w:rFonts w:ascii="Calibri" w:hAnsi="Calibri" w:cs="Calibri"/>
          <w:sz w:val="22"/>
          <w:szCs w:val="22"/>
        </w:rPr>
        <w:t xml:space="preserve">). However, large organisations like the NHS opt for a systematic approach to ensure fair pay structures and minimise equal value claim risks </w:t>
      </w:r>
      <w:r w:rsidR="00EC0DF6" w:rsidRPr="00EC0DF6">
        <w:rPr>
          <w:rFonts w:ascii="Calibri" w:hAnsi="Calibri" w:cs="Calibri"/>
          <w:sz w:val="22"/>
          <w:szCs w:val="22"/>
        </w:rPr>
        <w:t>(NHS, n.d.)</w:t>
      </w:r>
      <w:r w:rsidRPr="00B263F4">
        <w:rPr>
          <w:rFonts w:ascii="Calibri" w:hAnsi="Calibri" w:cs="Calibri"/>
          <w:sz w:val="22"/>
          <w:szCs w:val="22"/>
        </w:rPr>
        <w:t>. Competency frameworks have also emerged as an alternative to traditional job evaluation, focusing on people analysis rather than job analysis to determine attributes required for desired performance (Wilton</w:t>
      </w:r>
      <w:r w:rsidR="00E02F9D">
        <w:rPr>
          <w:rFonts w:ascii="Calibri" w:hAnsi="Calibri" w:cs="Calibri"/>
          <w:sz w:val="22"/>
          <w:szCs w:val="22"/>
        </w:rPr>
        <w:t>, 2019f</w:t>
      </w:r>
      <w:r w:rsidRPr="00B263F4">
        <w:rPr>
          <w:rFonts w:ascii="Calibri" w:hAnsi="Calibri" w:cs="Calibri"/>
          <w:sz w:val="22"/>
          <w:szCs w:val="22"/>
        </w:rPr>
        <w:t>).</w:t>
      </w:r>
    </w:p>
    <w:p w14:paraId="28E411CD" w14:textId="0280816B" w:rsidR="0029289C" w:rsidRDefault="00B263F4" w:rsidP="00B263F4">
      <w:pPr>
        <w:rPr>
          <w:rFonts w:ascii="Calibri" w:hAnsi="Calibri" w:cs="Calibri"/>
          <w:sz w:val="22"/>
          <w:szCs w:val="22"/>
        </w:rPr>
      </w:pPr>
      <w:r w:rsidRPr="00B263F4">
        <w:rPr>
          <w:rFonts w:ascii="Calibri" w:hAnsi="Calibri" w:cs="Calibri"/>
          <w:sz w:val="22"/>
          <w:szCs w:val="22"/>
        </w:rPr>
        <w:t xml:space="preserve">Regardless of the specific approach chosen, effective job evaluation should be systematic, judgemental, focused on jobs rather than individuals, and concerned with internal relativities </w:t>
      </w:r>
      <w:r w:rsidR="005F504C" w:rsidRPr="005F504C">
        <w:rPr>
          <w:rFonts w:ascii="Calibri" w:hAnsi="Calibri" w:cs="Calibri"/>
          <w:sz w:val="22"/>
          <w:szCs w:val="22"/>
        </w:rPr>
        <w:t>(Chaneta, 2014)</w:t>
      </w:r>
      <w:r w:rsidRPr="00B263F4">
        <w:rPr>
          <w:rFonts w:ascii="Calibri" w:hAnsi="Calibri" w:cs="Calibri"/>
          <w:sz w:val="22"/>
          <w:szCs w:val="22"/>
        </w:rPr>
        <w:t xml:space="preserve">. The NHS Job Evaluation scheme demonstrates this by matching jobs to national job profiles or evaluating them locally, ensuring a consistent and fair approach across the organisation </w:t>
      </w:r>
      <w:r w:rsidR="00EC0DF6" w:rsidRPr="00EC0DF6">
        <w:rPr>
          <w:rFonts w:ascii="Calibri" w:hAnsi="Calibri" w:cs="Calibri"/>
          <w:sz w:val="22"/>
          <w:szCs w:val="22"/>
        </w:rPr>
        <w:t>(NHS, n.d.)</w:t>
      </w:r>
      <w:r w:rsidRPr="00B263F4">
        <w:rPr>
          <w:rFonts w:ascii="Calibri" w:hAnsi="Calibri" w:cs="Calibri"/>
          <w:sz w:val="22"/>
          <w:szCs w:val="22"/>
        </w:rPr>
        <w:t>. While no method is entirely objective, a well-designed evaluation process can provide a defensible basis for fair and consistent decisions about the relative worth of jobs within an organisation (</w:t>
      </w:r>
      <w:r w:rsidR="00E43EF7">
        <w:rPr>
          <w:rFonts w:ascii="Calibri" w:hAnsi="Calibri" w:cs="Calibri"/>
          <w:sz w:val="22"/>
          <w:szCs w:val="22"/>
        </w:rPr>
        <w:t>ACAS, 2014</w:t>
      </w:r>
      <w:r w:rsidRPr="00B263F4">
        <w:rPr>
          <w:rFonts w:ascii="Calibri" w:hAnsi="Calibri" w:cs="Calibri"/>
          <w:sz w:val="22"/>
          <w:szCs w:val="22"/>
        </w:rPr>
        <w:t>).</w:t>
      </w:r>
    </w:p>
    <w:p w14:paraId="7A62CCD2" w14:textId="77777777" w:rsidR="0047406C" w:rsidRDefault="0047406C" w:rsidP="00B263F4">
      <w:pPr>
        <w:rPr>
          <w:rFonts w:ascii="Calibri" w:hAnsi="Calibri" w:cs="Calibri"/>
          <w:sz w:val="22"/>
          <w:szCs w:val="22"/>
        </w:rPr>
      </w:pPr>
    </w:p>
    <w:p w14:paraId="4CC1C013" w14:textId="7DAECE7B" w:rsidR="0047406C" w:rsidRDefault="00471203" w:rsidP="00B263F4">
      <w:pPr>
        <w:rPr>
          <w:rFonts w:ascii="Calibri" w:hAnsi="Calibri" w:cs="Calibri"/>
          <w:sz w:val="22"/>
          <w:szCs w:val="22"/>
        </w:rPr>
      </w:pPr>
      <w:r>
        <w:rPr>
          <w:rFonts w:ascii="Calibri" w:hAnsi="Calibri" w:cs="Calibri"/>
          <w:sz w:val="22"/>
          <w:szCs w:val="22"/>
        </w:rPr>
        <w:t xml:space="preserve">(AC 3.4) </w:t>
      </w:r>
      <w:r w:rsidRPr="00471203">
        <w:rPr>
          <w:rFonts w:ascii="Calibri" w:hAnsi="Calibri" w:cs="Calibri"/>
          <w:sz w:val="22"/>
          <w:szCs w:val="22"/>
        </w:rPr>
        <w:t>Explain the legislative requirements that impact reward practice.</w:t>
      </w:r>
    </w:p>
    <w:p w14:paraId="18AEC40B" w14:textId="77777777" w:rsidR="00285D48" w:rsidRDefault="00285D48" w:rsidP="00B263F4">
      <w:pPr>
        <w:rPr>
          <w:rFonts w:ascii="Calibri" w:hAnsi="Calibri" w:cs="Calibri"/>
          <w:sz w:val="22"/>
          <w:szCs w:val="22"/>
        </w:rPr>
      </w:pPr>
    </w:p>
    <w:p w14:paraId="44318D73" w14:textId="25DC50A3" w:rsidR="00FA5D9F" w:rsidRPr="00FA5D9F" w:rsidRDefault="00FA5D9F" w:rsidP="00FA5D9F">
      <w:pPr>
        <w:rPr>
          <w:rFonts w:ascii="Calibri" w:hAnsi="Calibri" w:cs="Calibri"/>
          <w:sz w:val="22"/>
          <w:szCs w:val="22"/>
        </w:rPr>
      </w:pPr>
      <w:r w:rsidRPr="00FA5D9F">
        <w:rPr>
          <w:rFonts w:ascii="Calibri" w:hAnsi="Calibri" w:cs="Calibri"/>
          <w:sz w:val="22"/>
          <w:szCs w:val="22"/>
        </w:rPr>
        <w:t xml:space="preserve">Legislative requirements have </w:t>
      </w:r>
      <w:r w:rsidR="00222D19">
        <w:rPr>
          <w:rFonts w:ascii="Calibri" w:hAnsi="Calibri" w:cs="Calibri"/>
          <w:sz w:val="22"/>
          <w:szCs w:val="22"/>
        </w:rPr>
        <w:t xml:space="preserve">a direct </w:t>
      </w:r>
      <w:r w:rsidRPr="00FA5D9F">
        <w:rPr>
          <w:rFonts w:ascii="Calibri" w:hAnsi="Calibri" w:cs="Calibri"/>
          <w:sz w:val="22"/>
          <w:szCs w:val="22"/>
        </w:rPr>
        <w:t xml:space="preserve">impact on </w:t>
      </w:r>
      <w:r w:rsidR="00F668CA">
        <w:rPr>
          <w:rFonts w:ascii="Calibri" w:hAnsi="Calibri" w:cs="Calibri"/>
          <w:sz w:val="22"/>
          <w:szCs w:val="22"/>
        </w:rPr>
        <w:t xml:space="preserve">how organisations shape their </w:t>
      </w:r>
      <w:r w:rsidRPr="00FA5D9F">
        <w:rPr>
          <w:rFonts w:ascii="Calibri" w:hAnsi="Calibri" w:cs="Calibri"/>
          <w:sz w:val="22"/>
          <w:szCs w:val="22"/>
        </w:rPr>
        <w:t>reward practices</w:t>
      </w:r>
      <w:r w:rsidR="00F668CA">
        <w:rPr>
          <w:rFonts w:ascii="Calibri" w:hAnsi="Calibri" w:cs="Calibri"/>
          <w:sz w:val="22"/>
          <w:szCs w:val="22"/>
        </w:rPr>
        <w:t>. There are some k</w:t>
      </w:r>
      <w:r w:rsidRPr="00FA5D9F">
        <w:rPr>
          <w:rFonts w:ascii="Calibri" w:hAnsi="Calibri" w:cs="Calibri"/>
          <w:sz w:val="22"/>
          <w:szCs w:val="22"/>
        </w:rPr>
        <w:t xml:space="preserve">ey laws that employers must comply with </w:t>
      </w:r>
      <w:r w:rsidR="004764E0">
        <w:rPr>
          <w:rFonts w:ascii="Calibri" w:hAnsi="Calibri" w:cs="Calibri"/>
          <w:sz w:val="22"/>
          <w:szCs w:val="22"/>
        </w:rPr>
        <w:t>such as</w:t>
      </w:r>
      <w:r w:rsidRPr="00FA5D9F">
        <w:rPr>
          <w:rFonts w:ascii="Calibri" w:hAnsi="Calibri" w:cs="Calibri"/>
          <w:sz w:val="22"/>
          <w:szCs w:val="22"/>
        </w:rPr>
        <w:t xml:space="preserve"> the Equality Act 2010, which mandates equal pay for equal work regardless of gender or other protected characteristics (</w:t>
      </w:r>
      <w:r w:rsidR="008331E7">
        <w:rPr>
          <w:rFonts w:ascii="Calibri" w:hAnsi="Calibri" w:cs="Calibri"/>
          <w:sz w:val="22"/>
          <w:szCs w:val="22"/>
        </w:rPr>
        <w:t>ACAS, 2024</w:t>
      </w:r>
      <w:r w:rsidRPr="00FA5D9F">
        <w:rPr>
          <w:rFonts w:ascii="Calibri" w:hAnsi="Calibri" w:cs="Calibri"/>
          <w:sz w:val="22"/>
          <w:szCs w:val="22"/>
        </w:rPr>
        <w:t>). This means organisations need to ensure their pay and benefits structures do not discriminate, either directly or indirectly. For example, a</w:t>
      </w:r>
      <w:r w:rsidR="00452BDD">
        <w:rPr>
          <w:rFonts w:ascii="Calibri" w:hAnsi="Calibri" w:cs="Calibri"/>
          <w:sz w:val="22"/>
          <w:szCs w:val="22"/>
        </w:rPr>
        <w:t xml:space="preserve">n organisation </w:t>
      </w:r>
      <w:r w:rsidRPr="00FA5D9F">
        <w:rPr>
          <w:rFonts w:ascii="Calibri" w:hAnsi="Calibri" w:cs="Calibri"/>
          <w:sz w:val="22"/>
          <w:szCs w:val="22"/>
        </w:rPr>
        <w:t>offering higher pension contributions to full-time workers compared to part-time</w:t>
      </w:r>
      <w:r w:rsidR="00452BDD">
        <w:rPr>
          <w:rFonts w:ascii="Calibri" w:hAnsi="Calibri" w:cs="Calibri"/>
          <w:sz w:val="22"/>
          <w:szCs w:val="22"/>
        </w:rPr>
        <w:t xml:space="preserve"> workers </w:t>
      </w:r>
      <w:r w:rsidR="00EC5D6D">
        <w:rPr>
          <w:rFonts w:ascii="Calibri" w:hAnsi="Calibri" w:cs="Calibri"/>
          <w:sz w:val="22"/>
          <w:szCs w:val="22"/>
        </w:rPr>
        <w:t>may</w:t>
      </w:r>
      <w:r w:rsidRPr="00FA5D9F">
        <w:rPr>
          <w:rFonts w:ascii="Calibri" w:hAnsi="Calibri" w:cs="Calibri"/>
          <w:sz w:val="22"/>
          <w:szCs w:val="22"/>
        </w:rPr>
        <w:t xml:space="preserve"> be indirectly discriminating against women, who are more likely to work part-time</w:t>
      </w:r>
      <w:r w:rsidR="00452BDD">
        <w:rPr>
          <w:rFonts w:ascii="Calibri" w:hAnsi="Calibri" w:cs="Calibri"/>
          <w:sz w:val="22"/>
          <w:szCs w:val="22"/>
        </w:rPr>
        <w:t xml:space="preserve"> </w:t>
      </w:r>
      <w:r w:rsidR="00452BDD" w:rsidRPr="00452BDD">
        <w:rPr>
          <w:rFonts w:ascii="Calibri" w:hAnsi="Calibri" w:cs="Calibri"/>
          <w:sz w:val="22"/>
          <w:szCs w:val="22"/>
        </w:rPr>
        <w:t>(Francis-Devine and Foley, 2024)</w:t>
      </w:r>
      <w:r w:rsidR="00452BDD">
        <w:rPr>
          <w:rFonts w:ascii="Calibri" w:hAnsi="Calibri" w:cs="Calibri"/>
          <w:sz w:val="22"/>
          <w:szCs w:val="22"/>
        </w:rPr>
        <w:t>.</w:t>
      </w:r>
    </w:p>
    <w:p w14:paraId="3C0C5F07" w14:textId="500B9AEA" w:rsidR="00FA5D9F" w:rsidRPr="00FA5D9F" w:rsidRDefault="00FA5D9F" w:rsidP="00FA5D9F">
      <w:pPr>
        <w:rPr>
          <w:rFonts w:ascii="Calibri" w:hAnsi="Calibri" w:cs="Calibri"/>
          <w:sz w:val="22"/>
          <w:szCs w:val="22"/>
        </w:rPr>
      </w:pPr>
      <w:r w:rsidRPr="00FA5D9F">
        <w:rPr>
          <w:rFonts w:ascii="Calibri" w:hAnsi="Calibri" w:cs="Calibri"/>
          <w:sz w:val="22"/>
          <w:szCs w:val="22"/>
        </w:rPr>
        <w:t xml:space="preserve">The National Minimum Wage Act sets statutory minimum hourly rates that employers must adhere to, with different rates for workers of different ages </w:t>
      </w:r>
      <w:r w:rsidR="004133DC" w:rsidRPr="004133DC">
        <w:rPr>
          <w:rFonts w:ascii="Calibri" w:hAnsi="Calibri" w:cs="Calibri"/>
          <w:sz w:val="22"/>
          <w:szCs w:val="22"/>
        </w:rPr>
        <w:t>(</w:t>
      </w:r>
      <w:r w:rsidR="009F27A6">
        <w:rPr>
          <w:rFonts w:ascii="Calibri" w:hAnsi="Calibri" w:cs="Calibri"/>
          <w:sz w:val="22"/>
          <w:szCs w:val="22"/>
        </w:rPr>
        <w:t>GOV.UK, 2024</w:t>
      </w:r>
      <w:r w:rsidR="004133DC" w:rsidRPr="004133DC">
        <w:rPr>
          <w:rFonts w:ascii="Calibri" w:hAnsi="Calibri" w:cs="Calibri"/>
          <w:sz w:val="22"/>
          <w:szCs w:val="22"/>
        </w:rPr>
        <w:t>)</w:t>
      </w:r>
      <w:r w:rsidRPr="00FA5D9F">
        <w:rPr>
          <w:rFonts w:ascii="Calibri" w:hAnsi="Calibri" w:cs="Calibri"/>
          <w:sz w:val="22"/>
          <w:szCs w:val="22"/>
        </w:rPr>
        <w:t>. Failure to pay at least the minimum wage can result in fines. This legislation particularly affects industries with traditionally low-paid workers, such as hospitality and retail, forcing employers to regularly review and adjust their pay scales.</w:t>
      </w:r>
    </w:p>
    <w:p w14:paraId="41A658C0" w14:textId="169CC713" w:rsidR="00FA5D9F" w:rsidRPr="00FA5D9F" w:rsidRDefault="003A48C7" w:rsidP="00FA5D9F">
      <w:pPr>
        <w:rPr>
          <w:rFonts w:ascii="Calibri" w:hAnsi="Calibri" w:cs="Calibri"/>
          <w:sz w:val="22"/>
          <w:szCs w:val="22"/>
        </w:rPr>
      </w:pPr>
      <w:r>
        <w:rPr>
          <w:rFonts w:ascii="Calibri" w:hAnsi="Calibri" w:cs="Calibri"/>
          <w:sz w:val="22"/>
          <w:szCs w:val="22"/>
        </w:rPr>
        <w:t>Employers</w:t>
      </w:r>
      <w:r w:rsidR="00FA5D9F" w:rsidRPr="00FA5D9F">
        <w:rPr>
          <w:rFonts w:ascii="Calibri" w:hAnsi="Calibri" w:cs="Calibri"/>
          <w:sz w:val="22"/>
          <w:szCs w:val="22"/>
        </w:rPr>
        <w:t xml:space="preserve"> are legally required to provide workplace pensions under auto-enrolment legislation. As the CIPD survey found, the vast majority of employers now offer defined contribution pension schemes to comply with these requirements (CIPD</w:t>
      </w:r>
      <w:r w:rsidR="008F3CB0">
        <w:rPr>
          <w:rFonts w:ascii="Calibri" w:hAnsi="Calibri" w:cs="Calibri"/>
          <w:sz w:val="22"/>
          <w:szCs w:val="22"/>
        </w:rPr>
        <w:t>, 2018</w:t>
      </w:r>
      <w:r w:rsidR="00FA5D9F" w:rsidRPr="00FA5D9F">
        <w:rPr>
          <w:rFonts w:ascii="Calibri" w:hAnsi="Calibri" w:cs="Calibri"/>
          <w:sz w:val="22"/>
          <w:szCs w:val="22"/>
        </w:rPr>
        <w:t xml:space="preserve">). This has significantly increased pension provision across the workforce, </w:t>
      </w:r>
      <w:r w:rsidR="00585FBC">
        <w:rPr>
          <w:rFonts w:ascii="Calibri" w:hAnsi="Calibri" w:cs="Calibri"/>
          <w:sz w:val="22"/>
          <w:szCs w:val="22"/>
        </w:rPr>
        <w:t>at an additional</w:t>
      </w:r>
      <w:r w:rsidR="00FA5D9F" w:rsidRPr="00FA5D9F">
        <w:rPr>
          <w:rFonts w:ascii="Calibri" w:hAnsi="Calibri" w:cs="Calibri"/>
          <w:sz w:val="22"/>
          <w:szCs w:val="22"/>
        </w:rPr>
        <w:t xml:space="preserve"> cost for employers.</w:t>
      </w:r>
    </w:p>
    <w:p w14:paraId="25A782FC" w14:textId="2F9854F9" w:rsidR="00FA5D9F" w:rsidRPr="00FA5D9F" w:rsidRDefault="00FA5D9F" w:rsidP="00FA5D9F">
      <w:pPr>
        <w:rPr>
          <w:rFonts w:ascii="Calibri" w:hAnsi="Calibri" w:cs="Calibri"/>
          <w:sz w:val="22"/>
          <w:szCs w:val="22"/>
        </w:rPr>
      </w:pPr>
      <w:r w:rsidRPr="00FA5D9F">
        <w:rPr>
          <w:rFonts w:ascii="Calibri" w:hAnsi="Calibri" w:cs="Calibri"/>
          <w:sz w:val="22"/>
          <w:szCs w:val="22"/>
        </w:rPr>
        <w:lastRenderedPageBreak/>
        <w:t>Working</w:t>
      </w:r>
      <w:r w:rsidR="00585FBC">
        <w:rPr>
          <w:rFonts w:ascii="Calibri" w:hAnsi="Calibri" w:cs="Calibri"/>
          <w:sz w:val="22"/>
          <w:szCs w:val="22"/>
        </w:rPr>
        <w:t>-</w:t>
      </w:r>
      <w:r w:rsidRPr="00FA5D9F">
        <w:rPr>
          <w:rFonts w:ascii="Calibri" w:hAnsi="Calibri" w:cs="Calibri"/>
          <w:sz w:val="22"/>
          <w:szCs w:val="22"/>
        </w:rPr>
        <w:t>time regulations place limits on maximum weekly hours and mandate minimum paid holiday entitlements. The survey showed paid leave of at least 25 days is now commonplace (CIPD</w:t>
      </w:r>
      <w:r w:rsidR="007D3DFD">
        <w:rPr>
          <w:rFonts w:ascii="Calibri" w:hAnsi="Calibri" w:cs="Calibri"/>
          <w:sz w:val="22"/>
          <w:szCs w:val="22"/>
        </w:rPr>
        <w:t>, 2018</w:t>
      </w:r>
      <w:r w:rsidRPr="00FA5D9F">
        <w:rPr>
          <w:rFonts w:ascii="Calibri" w:hAnsi="Calibri" w:cs="Calibri"/>
          <w:sz w:val="22"/>
          <w:szCs w:val="22"/>
        </w:rPr>
        <w:t>). Statutory sick pay, maternity pay and other family-friendly policies must also be provided in line with legislation. Some employers go beyond the legal minimums, with occupational sick pay being offered by 60% of organisations surveyed (CIPD</w:t>
      </w:r>
      <w:r w:rsidR="008F3CB0">
        <w:rPr>
          <w:rFonts w:ascii="Calibri" w:hAnsi="Calibri" w:cs="Calibri"/>
          <w:sz w:val="22"/>
          <w:szCs w:val="22"/>
        </w:rPr>
        <w:t>, 2018</w:t>
      </w:r>
      <w:r w:rsidRPr="00FA5D9F">
        <w:rPr>
          <w:rFonts w:ascii="Calibri" w:hAnsi="Calibri" w:cs="Calibri"/>
          <w:sz w:val="22"/>
          <w:szCs w:val="22"/>
        </w:rPr>
        <w:t>).</w:t>
      </w:r>
    </w:p>
    <w:p w14:paraId="2658D118" w14:textId="26EC97CF" w:rsidR="00FA5D9F" w:rsidRPr="00FA5D9F" w:rsidRDefault="00FA5D9F" w:rsidP="00FA5D9F">
      <w:pPr>
        <w:rPr>
          <w:rFonts w:ascii="Calibri" w:hAnsi="Calibri" w:cs="Calibri"/>
          <w:sz w:val="22"/>
          <w:szCs w:val="22"/>
        </w:rPr>
      </w:pPr>
      <w:r w:rsidRPr="00FA5D9F">
        <w:rPr>
          <w:rFonts w:ascii="Calibri" w:hAnsi="Calibri" w:cs="Calibri"/>
          <w:sz w:val="22"/>
          <w:szCs w:val="22"/>
        </w:rPr>
        <w:t>Tax and National Insurance obligations shape how rewards are structured, with salary sacrifice arrangements being popular as they can reduce NI contributions for both employer and employee (CIPD</w:t>
      </w:r>
      <w:r w:rsidR="008F3CB0">
        <w:rPr>
          <w:rFonts w:ascii="Calibri" w:hAnsi="Calibri" w:cs="Calibri"/>
          <w:sz w:val="22"/>
          <w:szCs w:val="22"/>
        </w:rPr>
        <w:t>, 2018</w:t>
      </w:r>
      <w:r w:rsidRPr="00FA5D9F">
        <w:rPr>
          <w:rFonts w:ascii="Calibri" w:hAnsi="Calibri" w:cs="Calibri"/>
          <w:sz w:val="22"/>
          <w:szCs w:val="22"/>
        </w:rPr>
        <w:t xml:space="preserve">). However, recent changes have restricted the tax advantages of some benefits. For </w:t>
      </w:r>
      <w:r w:rsidR="00A20878">
        <w:rPr>
          <w:rFonts w:ascii="Calibri" w:hAnsi="Calibri" w:cs="Calibri"/>
          <w:sz w:val="22"/>
          <w:szCs w:val="22"/>
        </w:rPr>
        <w:t>example</w:t>
      </w:r>
      <w:r w:rsidRPr="00FA5D9F">
        <w:rPr>
          <w:rFonts w:ascii="Calibri" w:hAnsi="Calibri" w:cs="Calibri"/>
          <w:sz w:val="22"/>
          <w:szCs w:val="22"/>
        </w:rPr>
        <w:t>, company car schemes have been restructured by many employers to favour low-emission vehicles due to changes in tax treatment.</w:t>
      </w:r>
    </w:p>
    <w:p w14:paraId="385A4D80" w14:textId="6A98896D" w:rsidR="00FA5D9F" w:rsidRPr="00FA5D9F" w:rsidRDefault="00FA5D9F" w:rsidP="00FA5D9F">
      <w:pPr>
        <w:rPr>
          <w:rFonts w:ascii="Calibri" w:hAnsi="Calibri" w:cs="Calibri"/>
          <w:sz w:val="22"/>
          <w:szCs w:val="22"/>
        </w:rPr>
      </w:pPr>
      <w:r w:rsidRPr="00FA5D9F">
        <w:rPr>
          <w:rFonts w:ascii="Calibri" w:hAnsi="Calibri" w:cs="Calibri"/>
          <w:sz w:val="22"/>
          <w:szCs w:val="22"/>
        </w:rPr>
        <w:t>Health and safety laws require employers to protect workers</w:t>
      </w:r>
      <w:r w:rsidR="00AC7158">
        <w:rPr>
          <w:rFonts w:ascii="Calibri" w:hAnsi="Calibri" w:cs="Calibri"/>
          <w:sz w:val="22"/>
          <w:szCs w:val="22"/>
        </w:rPr>
        <w:t xml:space="preserve"> </w:t>
      </w:r>
      <w:r w:rsidRPr="00FA5D9F">
        <w:rPr>
          <w:rFonts w:ascii="Calibri" w:hAnsi="Calibri" w:cs="Calibri"/>
          <w:sz w:val="22"/>
          <w:szCs w:val="22"/>
        </w:rPr>
        <w:t>wellbeing, influencing benefits like employee assistance programmes. Nearly two-thirds of employers now offer these (CIPD</w:t>
      </w:r>
      <w:r w:rsidR="008F3CB0">
        <w:rPr>
          <w:rFonts w:ascii="Calibri" w:hAnsi="Calibri" w:cs="Calibri"/>
          <w:sz w:val="22"/>
          <w:szCs w:val="22"/>
        </w:rPr>
        <w:t>, 2018</w:t>
      </w:r>
      <w:r w:rsidRPr="00FA5D9F">
        <w:rPr>
          <w:rFonts w:ascii="Calibri" w:hAnsi="Calibri" w:cs="Calibri"/>
          <w:sz w:val="22"/>
          <w:szCs w:val="22"/>
        </w:rPr>
        <w:t>). This reflects a growing recognition of the importance of mental health support in the workplace, partly driven by legal obligations.</w:t>
      </w:r>
    </w:p>
    <w:p w14:paraId="7B5C01C9" w14:textId="77777777" w:rsidR="00FA5D9F" w:rsidRPr="00FA5D9F" w:rsidRDefault="00FA5D9F" w:rsidP="00FA5D9F">
      <w:pPr>
        <w:rPr>
          <w:rFonts w:ascii="Calibri" w:hAnsi="Calibri" w:cs="Calibri"/>
          <w:sz w:val="22"/>
          <w:szCs w:val="22"/>
        </w:rPr>
      </w:pPr>
      <w:r w:rsidRPr="00FA5D9F">
        <w:rPr>
          <w:rFonts w:ascii="Calibri" w:hAnsi="Calibri" w:cs="Calibri"/>
          <w:sz w:val="22"/>
          <w:szCs w:val="22"/>
        </w:rPr>
        <w:t>Data protection regulations, particularly the General Data Protection Regulation (GDPR), also impact how employee information related to rewards is handled and stored. This has led many organisations to review and update their HR systems and processes to ensure compliance.</w:t>
      </w:r>
    </w:p>
    <w:p w14:paraId="13BD7781" w14:textId="77777777" w:rsidR="00FA5D9F" w:rsidRDefault="00FA5D9F" w:rsidP="00FA5D9F">
      <w:pPr>
        <w:rPr>
          <w:rFonts w:ascii="Calibri" w:hAnsi="Calibri" w:cs="Calibri"/>
          <w:sz w:val="22"/>
          <w:szCs w:val="22"/>
        </w:rPr>
      </w:pPr>
      <w:r w:rsidRPr="00FA5D9F">
        <w:rPr>
          <w:rFonts w:ascii="Calibri" w:hAnsi="Calibri" w:cs="Calibri"/>
          <w:sz w:val="22"/>
          <w:szCs w:val="22"/>
        </w:rPr>
        <w:t>The gender pay gap reporting requirements have put additional pressure on larger employers to scrutinise their reward practices from an equality perspective. This has led some companies to implement more transparent pay structures and review their promotion processes.</w:t>
      </w:r>
    </w:p>
    <w:p w14:paraId="129F12D9" w14:textId="77777777" w:rsidR="00190B86" w:rsidRDefault="00190B86" w:rsidP="00FA5D9F">
      <w:pPr>
        <w:rPr>
          <w:rFonts w:ascii="Calibri" w:hAnsi="Calibri" w:cs="Calibri"/>
          <w:sz w:val="22"/>
          <w:szCs w:val="22"/>
        </w:rPr>
      </w:pPr>
    </w:p>
    <w:p w14:paraId="2D41AB2B" w14:textId="524CDA7F" w:rsidR="00190B86" w:rsidRPr="00FA5D9F" w:rsidRDefault="00190B86" w:rsidP="00190B86">
      <w:pPr>
        <w:jc w:val="right"/>
        <w:rPr>
          <w:rFonts w:ascii="Calibri" w:hAnsi="Calibri" w:cs="Calibri"/>
          <w:sz w:val="22"/>
          <w:szCs w:val="22"/>
        </w:rPr>
      </w:pPr>
      <w:r>
        <w:rPr>
          <w:rFonts w:ascii="Calibri" w:hAnsi="Calibri" w:cs="Calibri"/>
          <w:sz w:val="22"/>
          <w:szCs w:val="22"/>
        </w:rPr>
        <w:t>Word Count: 4196</w:t>
      </w:r>
    </w:p>
    <w:p w14:paraId="1F326035" w14:textId="4BE502CA" w:rsidR="006F34F8" w:rsidRDefault="006F34F8" w:rsidP="006811A3">
      <w:pPr>
        <w:rPr>
          <w:rFonts w:ascii="Calibri" w:hAnsi="Calibri" w:cs="Calibri"/>
          <w:sz w:val="22"/>
          <w:szCs w:val="22"/>
        </w:rPr>
      </w:pPr>
    </w:p>
    <w:p w14:paraId="52C6BC16" w14:textId="37404F92" w:rsidR="006F34F8" w:rsidRDefault="006F34F8" w:rsidP="006811A3">
      <w:pPr>
        <w:rPr>
          <w:rFonts w:ascii="Calibri" w:hAnsi="Calibri" w:cs="Calibri"/>
          <w:sz w:val="22"/>
          <w:szCs w:val="22"/>
        </w:rPr>
      </w:pPr>
      <w:r>
        <w:rPr>
          <w:rFonts w:ascii="Calibri" w:hAnsi="Calibri" w:cs="Calibri"/>
          <w:sz w:val="22"/>
          <w:szCs w:val="22"/>
        </w:rPr>
        <w:t xml:space="preserve">References: </w:t>
      </w:r>
    </w:p>
    <w:p w14:paraId="31ED19CC" w14:textId="77777777" w:rsidR="004764E0" w:rsidRDefault="004764E0" w:rsidP="006811A3">
      <w:pPr>
        <w:rPr>
          <w:rFonts w:ascii="Calibri" w:hAnsi="Calibri" w:cs="Calibri"/>
          <w:sz w:val="22"/>
          <w:szCs w:val="22"/>
        </w:rPr>
      </w:pPr>
      <w:r w:rsidRPr="00D42629">
        <w:rPr>
          <w:rFonts w:ascii="Calibri" w:hAnsi="Calibri" w:cs="Calibri"/>
          <w:sz w:val="22"/>
          <w:szCs w:val="22"/>
        </w:rPr>
        <w:t xml:space="preserve">ACAS (2014). Job evaluation: considerations and risks advice booklet | </w:t>
      </w:r>
      <w:proofErr w:type="spellStart"/>
      <w:r w:rsidRPr="00D42629">
        <w:rPr>
          <w:rFonts w:ascii="Calibri" w:hAnsi="Calibri" w:cs="Calibri"/>
          <w:sz w:val="22"/>
          <w:szCs w:val="22"/>
        </w:rPr>
        <w:t>Acas</w:t>
      </w:r>
      <w:proofErr w:type="spellEnd"/>
      <w:r w:rsidRPr="00D42629">
        <w:rPr>
          <w:rFonts w:ascii="Calibri" w:hAnsi="Calibri" w:cs="Calibri"/>
          <w:sz w:val="22"/>
          <w:szCs w:val="22"/>
        </w:rPr>
        <w:t>. [online] www.acas.org.uk. Available at: https://www.acas.org.uk/job-evaluation-considerations-and-risks-advice-booklet [Accessed 18 Aug. 2024].</w:t>
      </w:r>
    </w:p>
    <w:p w14:paraId="700363E0" w14:textId="77777777" w:rsidR="004764E0" w:rsidRDefault="004764E0" w:rsidP="006811A3">
      <w:pPr>
        <w:rPr>
          <w:rFonts w:ascii="Calibri" w:hAnsi="Calibri" w:cs="Calibri"/>
          <w:sz w:val="22"/>
          <w:szCs w:val="22"/>
        </w:rPr>
      </w:pPr>
      <w:r w:rsidRPr="000F1BC6">
        <w:rPr>
          <w:rFonts w:ascii="Calibri" w:hAnsi="Calibri" w:cs="Calibri"/>
          <w:sz w:val="22"/>
          <w:szCs w:val="22"/>
        </w:rPr>
        <w:t>ACAS (2024). Equal Pay and the Law. [online] ACAS. Available at: https://www.acas.org.uk/equal-pay/equal-pay-law [Accessed 19 Aug. 2024].</w:t>
      </w:r>
    </w:p>
    <w:p w14:paraId="4D1B6E21" w14:textId="77777777" w:rsidR="004764E0" w:rsidRDefault="004764E0" w:rsidP="006811A3">
      <w:pPr>
        <w:rPr>
          <w:rFonts w:ascii="Calibri" w:hAnsi="Calibri" w:cs="Calibri"/>
          <w:sz w:val="22"/>
          <w:szCs w:val="22"/>
        </w:rPr>
      </w:pPr>
      <w:r w:rsidRPr="005C4C11">
        <w:rPr>
          <w:rFonts w:ascii="Calibri" w:hAnsi="Calibri" w:cs="Calibri"/>
          <w:sz w:val="22"/>
          <w:szCs w:val="22"/>
        </w:rPr>
        <w:t xml:space="preserve">Antoni, C.H., Baeten, X., Perkins, S.J., Shaw, J.D. and Vartiainen, M. (2017). Reward management: Linking Employee Motivation and Organizational Performance. Journal of Personnel Psychology, 16(2), pp.57–60. </w:t>
      </w:r>
      <w:proofErr w:type="spellStart"/>
      <w:r w:rsidRPr="005C4C11">
        <w:rPr>
          <w:rFonts w:ascii="Calibri" w:hAnsi="Calibri" w:cs="Calibri"/>
          <w:sz w:val="22"/>
          <w:szCs w:val="22"/>
        </w:rPr>
        <w:t>doi:https</w:t>
      </w:r>
      <w:proofErr w:type="spellEnd"/>
      <w:r w:rsidRPr="005C4C11">
        <w:rPr>
          <w:rFonts w:ascii="Calibri" w:hAnsi="Calibri" w:cs="Calibri"/>
          <w:sz w:val="22"/>
          <w:szCs w:val="22"/>
        </w:rPr>
        <w:t>://doi.org/10.1027/1866-5888/a000187.</w:t>
      </w:r>
    </w:p>
    <w:p w14:paraId="305CB53E" w14:textId="77777777" w:rsidR="004764E0" w:rsidRDefault="004764E0" w:rsidP="006811A3">
      <w:pPr>
        <w:rPr>
          <w:rFonts w:ascii="Calibri" w:hAnsi="Calibri" w:cs="Calibri"/>
          <w:sz w:val="22"/>
          <w:szCs w:val="22"/>
        </w:rPr>
      </w:pPr>
      <w:r w:rsidRPr="007770DF">
        <w:rPr>
          <w:rFonts w:ascii="Calibri" w:hAnsi="Calibri" w:cs="Calibri"/>
          <w:sz w:val="22"/>
          <w:szCs w:val="22"/>
        </w:rPr>
        <w:t>Armstrong, M. (2008). Strategic human resource management: a guide to action. 4th ed. (9780749453756) (KEN-0093/08). 4th ed. Kogan Page, pp.182–192.</w:t>
      </w:r>
    </w:p>
    <w:p w14:paraId="6FA1C969" w14:textId="77777777" w:rsidR="004764E0" w:rsidRDefault="004764E0" w:rsidP="006811A3">
      <w:pPr>
        <w:rPr>
          <w:rFonts w:ascii="Calibri" w:hAnsi="Calibri" w:cs="Calibri"/>
          <w:sz w:val="22"/>
          <w:szCs w:val="22"/>
        </w:rPr>
      </w:pPr>
      <w:r w:rsidRPr="00380175">
        <w:rPr>
          <w:rFonts w:ascii="Calibri" w:hAnsi="Calibri" w:cs="Calibri"/>
          <w:sz w:val="22"/>
          <w:szCs w:val="22"/>
        </w:rPr>
        <w:t>Armstrong, M. and Brown, D. (2019). Armstrong’s handbook of reward management practice : improving performance through reward. 6th ed. London ; New York: Kogan Page, pp.340–348.</w:t>
      </w:r>
    </w:p>
    <w:p w14:paraId="2CB8C2B2" w14:textId="77777777" w:rsidR="004764E0" w:rsidRDefault="004764E0" w:rsidP="00A4776C">
      <w:pPr>
        <w:rPr>
          <w:rFonts w:ascii="Calibri" w:hAnsi="Calibri" w:cs="Calibri"/>
          <w:sz w:val="22"/>
          <w:szCs w:val="22"/>
        </w:rPr>
      </w:pPr>
      <w:r w:rsidRPr="00380175">
        <w:rPr>
          <w:rFonts w:ascii="Calibri" w:hAnsi="Calibri" w:cs="Calibri"/>
          <w:sz w:val="22"/>
          <w:szCs w:val="22"/>
        </w:rPr>
        <w:lastRenderedPageBreak/>
        <w:t>Armstrong, M. and Brown, D. (2019</w:t>
      </w:r>
      <w:r>
        <w:rPr>
          <w:rFonts w:ascii="Calibri" w:hAnsi="Calibri" w:cs="Calibri"/>
          <w:sz w:val="22"/>
          <w:szCs w:val="22"/>
        </w:rPr>
        <w:t>b</w:t>
      </w:r>
      <w:r w:rsidRPr="00380175">
        <w:rPr>
          <w:rFonts w:ascii="Calibri" w:hAnsi="Calibri" w:cs="Calibri"/>
          <w:sz w:val="22"/>
          <w:szCs w:val="22"/>
        </w:rPr>
        <w:t>). Armstrong’s handbook of reward management practice : improving performance through reward. 6th ed. London ; New York: Kogan Page, pp.</w:t>
      </w:r>
      <w:r>
        <w:rPr>
          <w:rFonts w:ascii="Calibri" w:hAnsi="Calibri" w:cs="Calibri"/>
          <w:sz w:val="22"/>
          <w:szCs w:val="22"/>
        </w:rPr>
        <w:t>55</w:t>
      </w:r>
      <w:r w:rsidRPr="00380175">
        <w:rPr>
          <w:rFonts w:ascii="Calibri" w:hAnsi="Calibri" w:cs="Calibri"/>
          <w:sz w:val="22"/>
          <w:szCs w:val="22"/>
        </w:rPr>
        <w:t>–</w:t>
      </w:r>
      <w:r>
        <w:rPr>
          <w:rFonts w:ascii="Calibri" w:hAnsi="Calibri" w:cs="Calibri"/>
          <w:sz w:val="22"/>
          <w:szCs w:val="22"/>
        </w:rPr>
        <w:t>66</w:t>
      </w:r>
      <w:r w:rsidRPr="00380175">
        <w:rPr>
          <w:rFonts w:ascii="Calibri" w:hAnsi="Calibri" w:cs="Calibri"/>
          <w:sz w:val="22"/>
          <w:szCs w:val="22"/>
        </w:rPr>
        <w:t>.</w:t>
      </w:r>
    </w:p>
    <w:p w14:paraId="471202C0" w14:textId="77777777" w:rsidR="004764E0" w:rsidRDefault="004764E0" w:rsidP="00A4776C">
      <w:pPr>
        <w:rPr>
          <w:rFonts w:ascii="Calibri" w:hAnsi="Calibri" w:cs="Calibri"/>
          <w:sz w:val="22"/>
          <w:szCs w:val="22"/>
        </w:rPr>
      </w:pPr>
      <w:r w:rsidRPr="00DB6141">
        <w:rPr>
          <w:rFonts w:ascii="Calibri" w:hAnsi="Calibri" w:cs="Calibri"/>
          <w:sz w:val="22"/>
          <w:szCs w:val="22"/>
        </w:rPr>
        <w:t xml:space="preserve">Chaneta, I. (2014). Effects of Job Evaluation on Decisions Involving Pay Equity. Asian Social Science, [online] 10(4). </w:t>
      </w:r>
      <w:proofErr w:type="spellStart"/>
      <w:r w:rsidRPr="00DB6141">
        <w:rPr>
          <w:rFonts w:ascii="Calibri" w:hAnsi="Calibri" w:cs="Calibri"/>
          <w:sz w:val="22"/>
          <w:szCs w:val="22"/>
        </w:rPr>
        <w:t>doi:https</w:t>
      </w:r>
      <w:proofErr w:type="spellEnd"/>
      <w:r w:rsidRPr="00DB6141">
        <w:rPr>
          <w:rFonts w:ascii="Calibri" w:hAnsi="Calibri" w:cs="Calibri"/>
          <w:sz w:val="22"/>
          <w:szCs w:val="22"/>
        </w:rPr>
        <w:t>://doi.org/10.5539/ass.v10n4p145.</w:t>
      </w:r>
    </w:p>
    <w:p w14:paraId="190062A8" w14:textId="77777777" w:rsidR="004764E0" w:rsidRDefault="004764E0" w:rsidP="006811A3">
      <w:pPr>
        <w:rPr>
          <w:rFonts w:ascii="Calibri" w:hAnsi="Calibri" w:cs="Calibri"/>
          <w:sz w:val="22"/>
          <w:szCs w:val="22"/>
        </w:rPr>
      </w:pPr>
      <w:r w:rsidRPr="008F3CB0">
        <w:rPr>
          <w:rFonts w:ascii="Calibri" w:hAnsi="Calibri" w:cs="Calibri"/>
          <w:sz w:val="22"/>
          <w:szCs w:val="22"/>
        </w:rPr>
        <w:t>CIPD (2018). Reward Management Report. [online] CIPD. Available at: https://www.cipd.org/globalassets/media/knowledge/knowledge-hub/reports/2018-pdfs/reward-management-report-2018_tcm18-51630.pdf [Accessed 19 Aug. 2024].</w:t>
      </w:r>
    </w:p>
    <w:p w14:paraId="3ED597E1" w14:textId="77777777" w:rsidR="004764E0" w:rsidRDefault="004764E0" w:rsidP="00327BEE">
      <w:pPr>
        <w:rPr>
          <w:rFonts w:ascii="Calibri" w:hAnsi="Calibri" w:cs="Calibri"/>
          <w:sz w:val="22"/>
          <w:szCs w:val="22"/>
        </w:rPr>
      </w:pPr>
      <w:r w:rsidRPr="00394D74">
        <w:rPr>
          <w:rFonts w:ascii="Calibri" w:hAnsi="Calibri" w:cs="Calibri"/>
          <w:sz w:val="22"/>
          <w:szCs w:val="22"/>
        </w:rPr>
        <w:t>CIPD (2020). CIPD | Five ideas for employee recognition. [online] CIPD. Available at: https://www.cipd.org/uk/about/news/five-ideas-employee-recognition/ [Accessed 18 Aug. 2024].</w:t>
      </w:r>
    </w:p>
    <w:p w14:paraId="23306C34" w14:textId="77777777" w:rsidR="004764E0" w:rsidRDefault="004764E0" w:rsidP="006811A3">
      <w:pPr>
        <w:rPr>
          <w:rFonts w:ascii="Calibri" w:hAnsi="Calibri" w:cs="Calibri"/>
          <w:sz w:val="22"/>
          <w:szCs w:val="22"/>
        </w:rPr>
      </w:pPr>
      <w:r w:rsidRPr="00B43089">
        <w:rPr>
          <w:rFonts w:ascii="Calibri" w:hAnsi="Calibri" w:cs="Calibri"/>
          <w:sz w:val="22"/>
          <w:szCs w:val="22"/>
        </w:rPr>
        <w:t>CIPD (2022</w:t>
      </w:r>
      <w:r>
        <w:rPr>
          <w:rFonts w:ascii="Calibri" w:hAnsi="Calibri" w:cs="Calibri"/>
          <w:sz w:val="22"/>
          <w:szCs w:val="22"/>
        </w:rPr>
        <w:t>a</w:t>
      </w:r>
      <w:r w:rsidRPr="00B43089">
        <w:rPr>
          <w:rFonts w:ascii="Calibri" w:hAnsi="Calibri" w:cs="Calibri"/>
          <w:sz w:val="22"/>
          <w:szCs w:val="22"/>
        </w:rPr>
        <w:t>). An evidence review INCENTIVES AND RECOGNITION Practice summary and recommendations. [online] CIPD. Available at: https://www.cipd.org/globalassets/media/knowledge/knowledge-hub/evidence-reviews/incentives-recognition-practice-summary_tcm18-105466.pdf [Accessed 18 Aug. 2024].</w:t>
      </w:r>
    </w:p>
    <w:p w14:paraId="13B3DC16" w14:textId="77777777" w:rsidR="004764E0" w:rsidRDefault="004764E0" w:rsidP="00A4776C">
      <w:pPr>
        <w:rPr>
          <w:rFonts w:ascii="Calibri" w:hAnsi="Calibri" w:cs="Calibri"/>
          <w:sz w:val="22"/>
          <w:szCs w:val="22"/>
        </w:rPr>
      </w:pPr>
      <w:r w:rsidRPr="005A09BC">
        <w:rPr>
          <w:rFonts w:ascii="Calibri" w:hAnsi="Calibri" w:cs="Calibri"/>
          <w:sz w:val="22"/>
          <w:szCs w:val="22"/>
        </w:rPr>
        <w:t>CIPD (2022</w:t>
      </w:r>
      <w:r>
        <w:rPr>
          <w:rFonts w:ascii="Calibri" w:hAnsi="Calibri" w:cs="Calibri"/>
          <w:sz w:val="22"/>
          <w:szCs w:val="22"/>
        </w:rPr>
        <w:t>b</w:t>
      </w:r>
      <w:r w:rsidRPr="005A09BC">
        <w:rPr>
          <w:rFonts w:ascii="Calibri" w:hAnsi="Calibri" w:cs="Calibri"/>
          <w:sz w:val="22"/>
          <w:szCs w:val="22"/>
        </w:rPr>
        <w:t>). Survey Report Focus on Employee Benefits REWARD MANAGEMENT SURVEY. [online] Available at: https://www.cipd.org/globalassets/media/knowledge/knowledge-hub/reports/reward-management-survey-2022_tcm18-108776.pdf [Accessed 18 Aug. 2024].</w:t>
      </w:r>
    </w:p>
    <w:p w14:paraId="760EFF9F" w14:textId="77777777" w:rsidR="004764E0" w:rsidRDefault="004764E0" w:rsidP="006811A3">
      <w:pPr>
        <w:rPr>
          <w:rFonts w:ascii="Calibri" w:hAnsi="Calibri" w:cs="Calibri"/>
          <w:sz w:val="22"/>
          <w:szCs w:val="22"/>
        </w:rPr>
      </w:pPr>
      <w:r w:rsidRPr="00F502DC">
        <w:rPr>
          <w:rFonts w:ascii="Calibri" w:hAnsi="Calibri" w:cs="Calibri"/>
          <w:sz w:val="22"/>
          <w:szCs w:val="22"/>
        </w:rPr>
        <w:t>CIPD (2022</w:t>
      </w:r>
      <w:r>
        <w:rPr>
          <w:rFonts w:ascii="Calibri" w:hAnsi="Calibri" w:cs="Calibri"/>
          <w:sz w:val="22"/>
          <w:szCs w:val="22"/>
        </w:rPr>
        <w:t>c</w:t>
      </w:r>
      <w:r w:rsidRPr="00F502DC">
        <w:rPr>
          <w:rFonts w:ascii="Calibri" w:hAnsi="Calibri" w:cs="Calibri"/>
          <w:sz w:val="22"/>
          <w:szCs w:val="22"/>
        </w:rPr>
        <w:t>). EMPLOYEE RECOGNITION AND NON-FINANCIAL REWARDS. [online] Available at: https://www.cipd.org/globalassets/media/knowledge/knowledge-hub/evidence-reviews/non-financial-recognition-scientific-summary_tcm18-105469.pdf [Accessed 18 Aug. 2024].</w:t>
      </w:r>
    </w:p>
    <w:p w14:paraId="3871697A" w14:textId="77777777" w:rsidR="004764E0" w:rsidRDefault="004764E0" w:rsidP="006811A3">
      <w:pPr>
        <w:rPr>
          <w:rFonts w:ascii="Calibri" w:hAnsi="Calibri" w:cs="Calibri"/>
          <w:sz w:val="22"/>
          <w:szCs w:val="22"/>
        </w:rPr>
      </w:pPr>
      <w:r w:rsidRPr="007E5E3A">
        <w:rPr>
          <w:rFonts w:ascii="Calibri" w:hAnsi="Calibri" w:cs="Calibri"/>
          <w:sz w:val="22"/>
          <w:szCs w:val="22"/>
        </w:rPr>
        <w:t>CIPD (2024</w:t>
      </w:r>
      <w:r>
        <w:rPr>
          <w:rFonts w:ascii="Calibri" w:hAnsi="Calibri" w:cs="Calibri"/>
          <w:sz w:val="22"/>
          <w:szCs w:val="22"/>
        </w:rPr>
        <w:t>a</w:t>
      </w:r>
      <w:r w:rsidRPr="007E5E3A">
        <w:rPr>
          <w:rFonts w:ascii="Calibri" w:hAnsi="Calibri" w:cs="Calibri"/>
          <w:sz w:val="22"/>
          <w:szCs w:val="22"/>
        </w:rPr>
        <w:t>). CIPD | Reward | Factsheets. [online] CIPD. Available at: https://www.cipd.org/uk/knowledge/factsheets/reward-factsheet/ [Accessed 11 Aug. 2024].</w:t>
      </w:r>
    </w:p>
    <w:p w14:paraId="71E84AC1" w14:textId="77777777" w:rsidR="004764E0" w:rsidRDefault="004764E0" w:rsidP="006811A3">
      <w:pPr>
        <w:rPr>
          <w:rFonts w:ascii="Calibri" w:hAnsi="Calibri" w:cs="Calibri"/>
          <w:sz w:val="22"/>
          <w:szCs w:val="22"/>
        </w:rPr>
      </w:pPr>
      <w:r w:rsidRPr="00AD59D1">
        <w:rPr>
          <w:rFonts w:ascii="Calibri" w:hAnsi="Calibri" w:cs="Calibri"/>
          <w:sz w:val="22"/>
          <w:szCs w:val="22"/>
        </w:rPr>
        <w:t>CIPD and John Lewis (2014). Pay progression Understanding the barriers for the lowest paid. [online] Available at: https://cipd.soutron.net/Portal/Default/en-GB/DownloadImageFile.ashx?objectId=81&amp;ownerType=0&amp;ownerId=54056 [Accessed 17 Aug. 2024].</w:t>
      </w:r>
    </w:p>
    <w:p w14:paraId="7788BB5B" w14:textId="77777777" w:rsidR="004764E0" w:rsidRDefault="004764E0" w:rsidP="00327BEE">
      <w:pPr>
        <w:rPr>
          <w:rFonts w:ascii="Calibri" w:hAnsi="Calibri" w:cs="Calibri"/>
          <w:sz w:val="22"/>
          <w:szCs w:val="22"/>
        </w:rPr>
      </w:pPr>
      <w:r w:rsidRPr="00552C31">
        <w:rPr>
          <w:rFonts w:ascii="Calibri" w:hAnsi="Calibri" w:cs="Calibri"/>
          <w:sz w:val="22"/>
          <w:szCs w:val="22"/>
        </w:rPr>
        <w:t>Cotton, C. (2024). CIPD | Pay Structures and Pay Progression | Factsheets. [online] CIPD. Available at: https://www.cipd.org/uk/knowledge/factsheets/pay-structures-factsheet/ [Accessed 17 Aug. 2024].</w:t>
      </w:r>
    </w:p>
    <w:p w14:paraId="53888BF7" w14:textId="77777777" w:rsidR="004764E0" w:rsidRDefault="004764E0" w:rsidP="006811A3">
      <w:pPr>
        <w:rPr>
          <w:rFonts w:ascii="Calibri" w:hAnsi="Calibri" w:cs="Calibri"/>
          <w:sz w:val="22"/>
          <w:szCs w:val="22"/>
        </w:rPr>
      </w:pPr>
      <w:r w:rsidRPr="00FE4B17">
        <w:rPr>
          <w:rFonts w:ascii="Calibri" w:hAnsi="Calibri" w:cs="Calibri"/>
          <w:sz w:val="22"/>
          <w:szCs w:val="22"/>
        </w:rPr>
        <w:t>Francis-Devine, B. and Foley, N. (2024). Women and the Economy. [online] House of Commons Library. Available at: https://commonslibrary.parliament.uk/research-briefings/sn06838/ [Accessed 19 Aug. 2024].</w:t>
      </w:r>
    </w:p>
    <w:p w14:paraId="386E70F3" w14:textId="77777777" w:rsidR="004764E0" w:rsidRDefault="004764E0" w:rsidP="006811A3">
      <w:pPr>
        <w:rPr>
          <w:rFonts w:ascii="Calibri" w:hAnsi="Calibri" w:cs="Calibri"/>
          <w:sz w:val="22"/>
          <w:szCs w:val="22"/>
        </w:rPr>
      </w:pPr>
      <w:r w:rsidRPr="00794175">
        <w:rPr>
          <w:rFonts w:ascii="Calibri" w:hAnsi="Calibri" w:cs="Calibri"/>
          <w:sz w:val="22"/>
          <w:szCs w:val="22"/>
        </w:rPr>
        <w:t xml:space="preserve">Ghosh, D., Buss, M. and </w:t>
      </w:r>
      <w:proofErr w:type="spellStart"/>
      <w:r w:rsidRPr="00794175">
        <w:rPr>
          <w:rFonts w:ascii="Calibri" w:hAnsi="Calibri" w:cs="Calibri"/>
          <w:sz w:val="22"/>
          <w:szCs w:val="22"/>
        </w:rPr>
        <w:t>Shivhare</w:t>
      </w:r>
      <w:proofErr w:type="spellEnd"/>
      <w:r w:rsidRPr="00794175">
        <w:rPr>
          <w:rFonts w:ascii="Calibri" w:hAnsi="Calibri" w:cs="Calibri"/>
          <w:sz w:val="22"/>
          <w:szCs w:val="22"/>
        </w:rPr>
        <w:t xml:space="preserve">, A. (2023). Does Contingent Reward Leadership Enhance or Diminish Team Creativity? It Depends on Leader (Un-) Predictability. Journal of Leadership &amp; Organizational Studies, 31(2). </w:t>
      </w:r>
      <w:proofErr w:type="spellStart"/>
      <w:r w:rsidRPr="00794175">
        <w:rPr>
          <w:rFonts w:ascii="Calibri" w:hAnsi="Calibri" w:cs="Calibri"/>
          <w:sz w:val="22"/>
          <w:szCs w:val="22"/>
        </w:rPr>
        <w:t>doi:https</w:t>
      </w:r>
      <w:proofErr w:type="spellEnd"/>
      <w:r w:rsidRPr="00794175">
        <w:rPr>
          <w:rFonts w:ascii="Calibri" w:hAnsi="Calibri" w:cs="Calibri"/>
          <w:sz w:val="22"/>
          <w:szCs w:val="22"/>
        </w:rPr>
        <w:t>://doi.org/10.1177/15480518231216868.</w:t>
      </w:r>
      <w:r w:rsidRPr="00794175">
        <w:rPr>
          <w:rFonts w:ascii="Calibri" w:hAnsi="Calibri" w:cs="Calibri"/>
          <w:sz w:val="22"/>
          <w:szCs w:val="22"/>
        </w:rPr>
        <w:t xml:space="preserve"> </w:t>
      </w:r>
    </w:p>
    <w:p w14:paraId="7FEFFB88" w14:textId="77777777" w:rsidR="004764E0" w:rsidRDefault="004764E0" w:rsidP="00A4776C">
      <w:pPr>
        <w:rPr>
          <w:rFonts w:ascii="Calibri" w:hAnsi="Calibri" w:cs="Calibri"/>
          <w:sz w:val="22"/>
          <w:szCs w:val="22"/>
        </w:rPr>
      </w:pPr>
      <w:r w:rsidRPr="00E6494C">
        <w:rPr>
          <w:rFonts w:ascii="Calibri" w:hAnsi="Calibri" w:cs="Calibri"/>
          <w:sz w:val="22"/>
          <w:szCs w:val="22"/>
        </w:rPr>
        <w:t>GOV UK (2024). National Minimum Wage and National Living Wage Rates. [online] Gov.uk. Available at: https://www.gov.uk/national-minimum-wage-rates [Accessed 19 Aug. 2024].</w:t>
      </w:r>
    </w:p>
    <w:p w14:paraId="349187C5" w14:textId="77777777" w:rsidR="004764E0" w:rsidRDefault="004764E0" w:rsidP="006811A3">
      <w:pPr>
        <w:rPr>
          <w:rFonts w:ascii="Calibri" w:hAnsi="Calibri" w:cs="Calibri"/>
          <w:sz w:val="22"/>
          <w:szCs w:val="22"/>
        </w:rPr>
      </w:pPr>
      <w:r w:rsidRPr="00422B71">
        <w:rPr>
          <w:rFonts w:ascii="Calibri" w:hAnsi="Calibri" w:cs="Calibri"/>
          <w:sz w:val="22"/>
          <w:szCs w:val="22"/>
        </w:rPr>
        <w:t>GOV.UK (2021). Workplace pensions - what your employer can and can’t do. [online] GOV.UK. Available at: https://www.gov.uk/employers-workplace-pensions-rules [Accessed 18 Aug. 2024].</w:t>
      </w:r>
    </w:p>
    <w:p w14:paraId="4E1251AE" w14:textId="77777777" w:rsidR="004764E0" w:rsidRDefault="004764E0" w:rsidP="006811A3">
      <w:pPr>
        <w:rPr>
          <w:rFonts w:ascii="Calibri" w:hAnsi="Calibri" w:cs="Calibri"/>
          <w:sz w:val="22"/>
          <w:szCs w:val="22"/>
        </w:rPr>
      </w:pPr>
      <w:r w:rsidRPr="00F05362">
        <w:rPr>
          <w:rFonts w:ascii="Calibri" w:hAnsi="Calibri" w:cs="Calibri"/>
          <w:sz w:val="22"/>
          <w:szCs w:val="22"/>
        </w:rPr>
        <w:lastRenderedPageBreak/>
        <w:t>Hajduk, P. (2017). What’s the Real Value of reward? [online] People Management. Available at: https://www.peoplemanagement.co.uk/article/1743866/real-value-reward [Accessed 17 Aug. 2024].</w:t>
      </w:r>
    </w:p>
    <w:p w14:paraId="2FD45422" w14:textId="77777777" w:rsidR="004764E0" w:rsidRPr="0095737B" w:rsidRDefault="004764E0" w:rsidP="006811A3">
      <w:pPr>
        <w:rPr>
          <w:rFonts w:ascii="Calibri" w:hAnsi="Calibri" w:cs="Calibri"/>
          <w:sz w:val="22"/>
          <w:szCs w:val="22"/>
        </w:rPr>
      </w:pPr>
      <w:r w:rsidRPr="004764E0">
        <w:rPr>
          <w:rFonts w:ascii="Calibri" w:hAnsi="Calibri" w:cs="Calibri"/>
          <w:sz w:val="22"/>
          <w:szCs w:val="22"/>
          <w:lang w:val="fr-FR"/>
        </w:rPr>
        <w:t xml:space="preserve">Landry, A.T., Gagné, M., Forest, J., Guerrero, S., Séguin, M. and </w:t>
      </w:r>
      <w:proofErr w:type="spellStart"/>
      <w:r w:rsidRPr="004764E0">
        <w:rPr>
          <w:rFonts w:ascii="Calibri" w:hAnsi="Calibri" w:cs="Calibri"/>
          <w:sz w:val="22"/>
          <w:szCs w:val="22"/>
          <w:lang w:val="fr-FR"/>
        </w:rPr>
        <w:t>Papachristopoulos</w:t>
      </w:r>
      <w:proofErr w:type="spellEnd"/>
      <w:r w:rsidRPr="004764E0">
        <w:rPr>
          <w:rFonts w:ascii="Calibri" w:hAnsi="Calibri" w:cs="Calibri"/>
          <w:sz w:val="22"/>
          <w:szCs w:val="22"/>
          <w:lang w:val="fr-FR"/>
        </w:rPr>
        <w:t xml:space="preserve">, K. (2017). </w:t>
      </w:r>
      <w:r w:rsidRPr="004B7145">
        <w:rPr>
          <w:rFonts w:ascii="Calibri" w:hAnsi="Calibri" w:cs="Calibri"/>
          <w:sz w:val="22"/>
          <w:szCs w:val="22"/>
        </w:rPr>
        <w:t xml:space="preserve">The Relation Between Financial Incentives, Motivation, and Performance. Journal of Personnel Psychology, 16(2), pp.61–76. </w:t>
      </w:r>
      <w:proofErr w:type="spellStart"/>
      <w:r w:rsidRPr="004B7145">
        <w:rPr>
          <w:rFonts w:ascii="Calibri" w:hAnsi="Calibri" w:cs="Calibri"/>
          <w:sz w:val="22"/>
          <w:szCs w:val="22"/>
        </w:rPr>
        <w:t>doi:https</w:t>
      </w:r>
      <w:proofErr w:type="spellEnd"/>
      <w:r w:rsidRPr="004B7145">
        <w:rPr>
          <w:rFonts w:ascii="Calibri" w:hAnsi="Calibri" w:cs="Calibri"/>
          <w:sz w:val="22"/>
          <w:szCs w:val="22"/>
        </w:rPr>
        <w:t>://doi.org/10.1027/1866-5888/a000182.</w:t>
      </w:r>
    </w:p>
    <w:p w14:paraId="7FAC609C" w14:textId="77777777" w:rsidR="004764E0" w:rsidRDefault="004764E0" w:rsidP="00A4776C">
      <w:pPr>
        <w:rPr>
          <w:rFonts w:ascii="Calibri" w:hAnsi="Calibri" w:cs="Calibri"/>
          <w:sz w:val="22"/>
          <w:szCs w:val="22"/>
        </w:rPr>
      </w:pPr>
      <w:r w:rsidRPr="00F81F91">
        <w:rPr>
          <w:rFonts w:ascii="Calibri" w:hAnsi="Calibri" w:cs="Calibri"/>
          <w:sz w:val="22"/>
          <w:szCs w:val="22"/>
        </w:rPr>
        <w:t>NHS (n.d.). Job evaluation | NHS Employers. [online] www.nhsemployers.org. Available at: https://www.nhsemployers.org/topics/pay-pensions-and-reward/job-evaluation [Accessed 18 Aug. 2024].</w:t>
      </w:r>
    </w:p>
    <w:p w14:paraId="13032CB9" w14:textId="77777777" w:rsidR="004764E0" w:rsidRDefault="004764E0" w:rsidP="006811A3">
      <w:pPr>
        <w:rPr>
          <w:rFonts w:ascii="Calibri" w:hAnsi="Calibri" w:cs="Calibri"/>
          <w:sz w:val="22"/>
          <w:szCs w:val="22"/>
        </w:rPr>
      </w:pPr>
      <w:proofErr w:type="spellStart"/>
      <w:r w:rsidRPr="002C6EB0">
        <w:rPr>
          <w:rFonts w:ascii="Calibri" w:hAnsi="Calibri" w:cs="Calibri"/>
          <w:sz w:val="22"/>
          <w:szCs w:val="22"/>
          <w:lang w:val="de-DE"/>
        </w:rPr>
        <w:t>Ogbonnaya</w:t>
      </w:r>
      <w:proofErr w:type="spellEnd"/>
      <w:r w:rsidRPr="002C6EB0">
        <w:rPr>
          <w:rFonts w:ascii="Calibri" w:hAnsi="Calibri" w:cs="Calibri"/>
          <w:sz w:val="22"/>
          <w:szCs w:val="22"/>
          <w:lang w:val="de-DE"/>
        </w:rPr>
        <w:t xml:space="preserve">, C., Daniels, K. and Nielsen, K. (2017). </w:t>
      </w:r>
      <w:r w:rsidRPr="002C6EB0">
        <w:rPr>
          <w:rFonts w:ascii="Calibri" w:hAnsi="Calibri" w:cs="Calibri"/>
          <w:sz w:val="22"/>
          <w:szCs w:val="22"/>
        </w:rPr>
        <w:t xml:space="preserve">Does contingent pay encourage positive employee attitudes and intensify work? Human Resource Management Journal, [online] 27(1), pp.94–112. </w:t>
      </w:r>
      <w:proofErr w:type="spellStart"/>
      <w:r w:rsidRPr="002C6EB0">
        <w:rPr>
          <w:rFonts w:ascii="Calibri" w:hAnsi="Calibri" w:cs="Calibri"/>
          <w:sz w:val="22"/>
          <w:szCs w:val="22"/>
        </w:rPr>
        <w:t>doi:https</w:t>
      </w:r>
      <w:proofErr w:type="spellEnd"/>
      <w:r w:rsidRPr="002C6EB0">
        <w:rPr>
          <w:rFonts w:ascii="Calibri" w:hAnsi="Calibri" w:cs="Calibri"/>
          <w:sz w:val="22"/>
          <w:szCs w:val="22"/>
        </w:rPr>
        <w:t>://doi.org/10.1111/1748-8583.12130.</w:t>
      </w:r>
    </w:p>
    <w:p w14:paraId="7BD765FB" w14:textId="77777777" w:rsidR="004764E0" w:rsidRDefault="004764E0" w:rsidP="006811A3">
      <w:pPr>
        <w:rPr>
          <w:rFonts w:ascii="Calibri" w:hAnsi="Calibri" w:cs="Calibri"/>
          <w:sz w:val="22"/>
          <w:szCs w:val="22"/>
        </w:rPr>
      </w:pPr>
      <w:r w:rsidRPr="00F1242A">
        <w:rPr>
          <w:rFonts w:ascii="Calibri" w:hAnsi="Calibri" w:cs="Calibri"/>
          <w:sz w:val="22"/>
          <w:szCs w:val="22"/>
        </w:rPr>
        <w:t>Schofield, C. (2001).  A study of the effects of pay reform in the National Health Service. [online] Manchester Metropolitan University. Available at: https://e-space.mmu.ac.uk/1549/ [Accessed 17 Aug. 2024].</w:t>
      </w:r>
    </w:p>
    <w:p w14:paraId="117057E8" w14:textId="77777777" w:rsidR="004764E0" w:rsidRDefault="004764E0" w:rsidP="006811A3">
      <w:pPr>
        <w:rPr>
          <w:rFonts w:ascii="Calibri" w:hAnsi="Calibri" w:cs="Calibri"/>
          <w:sz w:val="22"/>
          <w:szCs w:val="22"/>
        </w:rPr>
      </w:pPr>
      <w:r w:rsidRPr="00460CE4">
        <w:rPr>
          <w:rFonts w:ascii="Calibri" w:hAnsi="Calibri" w:cs="Calibri"/>
          <w:sz w:val="22"/>
          <w:szCs w:val="22"/>
        </w:rPr>
        <w:t>Smith, C. (2014). Employee recognition at work: A study of employee experiences . [online] Available at: https://etheses.whiterose.ac.uk/8024/1/Employee%20recognition%20at%20work.pdf [Accessed 18 Aug. 2024].</w:t>
      </w:r>
    </w:p>
    <w:p w14:paraId="1DE90D5D" w14:textId="77777777" w:rsidR="004764E0" w:rsidRDefault="004764E0" w:rsidP="00A4776C">
      <w:pPr>
        <w:rPr>
          <w:rFonts w:ascii="Calibri" w:hAnsi="Calibri" w:cs="Calibri"/>
          <w:sz w:val="22"/>
          <w:szCs w:val="22"/>
        </w:rPr>
      </w:pPr>
      <w:r w:rsidRPr="00BB4A08">
        <w:rPr>
          <w:rFonts w:ascii="Calibri" w:hAnsi="Calibri" w:cs="Calibri"/>
          <w:sz w:val="22"/>
          <w:szCs w:val="22"/>
        </w:rPr>
        <w:t xml:space="preserve">Vuong, T.D.N. and Nguyen, L.T. (2022). The Key Strategies for Measuring Employee Performance in Companies: A Systematic Review. Sustainability, 14(21), p.14017. </w:t>
      </w:r>
      <w:proofErr w:type="spellStart"/>
      <w:r w:rsidRPr="00BB4A08">
        <w:rPr>
          <w:rFonts w:ascii="Calibri" w:hAnsi="Calibri" w:cs="Calibri"/>
          <w:sz w:val="22"/>
          <w:szCs w:val="22"/>
        </w:rPr>
        <w:t>doi:https</w:t>
      </w:r>
      <w:proofErr w:type="spellEnd"/>
      <w:r w:rsidRPr="00BB4A08">
        <w:rPr>
          <w:rFonts w:ascii="Calibri" w:hAnsi="Calibri" w:cs="Calibri"/>
          <w:sz w:val="22"/>
          <w:szCs w:val="22"/>
        </w:rPr>
        <w:t>://doi.org/10.3390/su142114017.</w:t>
      </w:r>
    </w:p>
    <w:p w14:paraId="10B27777" w14:textId="77777777" w:rsidR="004764E0" w:rsidRDefault="004764E0" w:rsidP="006811A3">
      <w:pPr>
        <w:rPr>
          <w:rFonts w:ascii="Calibri" w:hAnsi="Calibri" w:cs="Calibri"/>
          <w:sz w:val="22"/>
          <w:szCs w:val="22"/>
        </w:rPr>
      </w:pPr>
      <w:r w:rsidRPr="00BA70AA">
        <w:rPr>
          <w:rFonts w:ascii="Calibri" w:hAnsi="Calibri" w:cs="Calibri"/>
          <w:sz w:val="22"/>
          <w:szCs w:val="22"/>
        </w:rPr>
        <w:t>White, G. and Druker, J. (2009). Reward management : a critical text. 2nd ed. London ; New York: Routledge.</w:t>
      </w:r>
    </w:p>
    <w:p w14:paraId="299DB911" w14:textId="77777777" w:rsidR="004764E0" w:rsidRDefault="004764E0" w:rsidP="006811A3">
      <w:pPr>
        <w:rPr>
          <w:rFonts w:ascii="Calibri" w:hAnsi="Calibri" w:cs="Calibri"/>
          <w:sz w:val="22"/>
          <w:szCs w:val="22"/>
        </w:rPr>
      </w:pPr>
      <w:r w:rsidRPr="006E0D94">
        <w:rPr>
          <w:rFonts w:ascii="Calibri" w:hAnsi="Calibri" w:cs="Calibri"/>
          <w:sz w:val="22"/>
          <w:szCs w:val="22"/>
        </w:rPr>
        <w:t xml:space="preserve">Wilton, N. (2019a) An Introduction to Human Resource Management. 4th </w:t>
      </w:r>
      <w:proofErr w:type="spellStart"/>
      <w:r w:rsidRPr="006E0D94">
        <w:rPr>
          <w:rFonts w:ascii="Calibri" w:hAnsi="Calibri" w:cs="Calibri"/>
          <w:sz w:val="22"/>
          <w:szCs w:val="22"/>
        </w:rPr>
        <w:t>edn</w:t>
      </w:r>
      <w:proofErr w:type="spellEnd"/>
      <w:r w:rsidRPr="006E0D94">
        <w:rPr>
          <w:rFonts w:ascii="Calibri" w:hAnsi="Calibri" w:cs="Calibri"/>
          <w:sz w:val="22"/>
          <w:szCs w:val="22"/>
        </w:rPr>
        <w:t xml:space="preserve">. London, UK: SAGE, pp. </w:t>
      </w:r>
      <w:r>
        <w:rPr>
          <w:rFonts w:ascii="Calibri" w:hAnsi="Calibri" w:cs="Calibri"/>
          <w:sz w:val="22"/>
          <w:szCs w:val="22"/>
        </w:rPr>
        <w:t>225</w:t>
      </w:r>
      <w:r w:rsidRPr="006E0D94">
        <w:rPr>
          <w:rFonts w:ascii="Calibri" w:hAnsi="Calibri" w:cs="Calibri"/>
          <w:sz w:val="22"/>
          <w:szCs w:val="22"/>
        </w:rPr>
        <w:t>-</w:t>
      </w:r>
      <w:r>
        <w:rPr>
          <w:rFonts w:ascii="Calibri" w:hAnsi="Calibri" w:cs="Calibri"/>
          <w:sz w:val="22"/>
          <w:szCs w:val="22"/>
        </w:rPr>
        <w:t>235</w:t>
      </w:r>
      <w:r w:rsidRPr="006E0D94">
        <w:rPr>
          <w:rFonts w:ascii="Calibri" w:hAnsi="Calibri" w:cs="Calibri"/>
          <w:sz w:val="22"/>
          <w:szCs w:val="22"/>
        </w:rPr>
        <w:t>.</w:t>
      </w:r>
    </w:p>
    <w:p w14:paraId="22D19ACB" w14:textId="77777777" w:rsidR="004764E0" w:rsidRDefault="004764E0" w:rsidP="00327BEE">
      <w:pPr>
        <w:rPr>
          <w:rFonts w:ascii="Calibri" w:hAnsi="Calibri" w:cs="Calibri"/>
          <w:sz w:val="22"/>
          <w:szCs w:val="22"/>
        </w:rPr>
      </w:pPr>
      <w:r w:rsidRPr="006E0D94">
        <w:rPr>
          <w:rFonts w:ascii="Calibri" w:hAnsi="Calibri" w:cs="Calibri"/>
          <w:sz w:val="22"/>
          <w:szCs w:val="22"/>
        </w:rPr>
        <w:t>Wilton, N. (2019</w:t>
      </w:r>
      <w:r>
        <w:rPr>
          <w:rFonts w:ascii="Calibri" w:hAnsi="Calibri" w:cs="Calibri"/>
          <w:sz w:val="22"/>
          <w:szCs w:val="22"/>
        </w:rPr>
        <w:t>b</w:t>
      </w:r>
      <w:r w:rsidRPr="006E0D94">
        <w:rPr>
          <w:rFonts w:ascii="Calibri" w:hAnsi="Calibri" w:cs="Calibri"/>
          <w:sz w:val="22"/>
          <w:szCs w:val="22"/>
        </w:rPr>
        <w:t xml:space="preserve">) An Introduction to Human Resource Management. 4th </w:t>
      </w:r>
      <w:proofErr w:type="spellStart"/>
      <w:r w:rsidRPr="006E0D94">
        <w:rPr>
          <w:rFonts w:ascii="Calibri" w:hAnsi="Calibri" w:cs="Calibri"/>
          <w:sz w:val="22"/>
          <w:szCs w:val="22"/>
        </w:rPr>
        <w:t>edn</w:t>
      </w:r>
      <w:proofErr w:type="spellEnd"/>
      <w:r w:rsidRPr="006E0D94">
        <w:rPr>
          <w:rFonts w:ascii="Calibri" w:hAnsi="Calibri" w:cs="Calibri"/>
          <w:sz w:val="22"/>
          <w:szCs w:val="22"/>
        </w:rPr>
        <w:t xml:space="preserve">. London, UK: SAGE, pp. </w:t>
      </w:r>
      <w:r>
        <w:rPr>
          <w:rFonts w:ascii="Calibri" w:hAnsi="Calibri" w:cs="Calibri"/>
          <w:sz w:val="22"/>
          <w:szCs w:val="22"/>
        </w:rPr>
        <w:t>2</w:t>
      </w:r>
      <w:r>
        <w:rPr>
          <w:rFonts w:ascii="Calibri" w:hAnsi="Calibri" w:cs="Calibri"/>
          <w:sz w:val="22"/>
          <w:szCs w:val="22"/>
        </w:rPr>
        <w:t>41</w:t>
      </w:r>
      <w:r w:rsidRPr="006E0D94">
        <w:rPr>
          <w:rFonts w:ascii="Calibri" w:hAnsi="Calibri" w:cs="Calibri"/>
          <w:sz w:val="22"/>
          <w:szCs w:val="22"/>
        </w:rPr>
        <w:t>-</w:t>
      </w:r>
      <w:r>
        <w:rPr>
          <w:rFonts w:ascii="Calibri" w:hAnsi="Calibri" w:cs="Calibri"/>
          <w:sz w:val="22"/>
          <w:szCs w:val="22"/>
        </w:rPr>
        <w:t>2</w:t>
      </w:r>
      <w:r>
        <w:rPr>
          <w:rFonts w:ascii="Calibri" w:hAnsi="Calibri" w:cs="Calibri"/>
          <w:sz w:val="22"/>
          <w:szCs w:val="22"/>
        </w:rPr>
        <w:t>48</w:t>
      </w:r>
      <w:r w:rsidRPr="006E0D94">
        <w:rPr>
          <w:rFonts w:ascii="Calibri" w:hAnsi="Calibri" w:cs="Calibri"/>
          <w:sz w:val="22"/>
          <w:szCs w:val="22"/>
        </w:rPr>
        <w:t>.</w:t>
      </w:r>
    </w:p>
    <w:p w14:paraId="5E2C1A83" w14:textId="77777777" w:rsidR="004764E0" w:rsidRDefault="004764E0" w:rsidP="00327BEE">
      <w:pPr>
        <w:rPr>
          <w:rFonts w:ascii="Calibri" w:hAnsi="Calibri" w:cs="Calibri"/>
          <w:sz w:val="22"/>
          <w:szCs w:val="22"/>
        </w:rPr>
      </w:pPr>
      <w:r w:rsidRPr="006E0D94">
        <w:rPr>
          <w:rFonts w:ascii="Calibri" w:hAnsi="Calibri" w:cs="Calibri"/>
          <w:sz w:val="22"/>
          <w:szCs w:val="22"/>
        </w:rPr>
        <w:t>Wilton, N. (2019</w:t>
      </w:r>
      <w:r>
        <w:rPr>
          <w:rFonts w:ascii="Calibri" w:hAnsi="Calibri" w:cs="Calibri"/>
          <w:sz w:val="22"/>
          <w:szCs w:val="22"/>
        </w:rPr>
        <w:t>c</w:t>
      </w:r>
      <w:r w:rsidRPr="006E0D94">
        <w:rPr>
          <w:rFonts w:ascii="Calibri" w:hAnsi="Calibri" w:cs="Calibri"/>
          <w:sz w:val="22"/>
          <w:szCs w:val="22"/>
        </w:rPr>
        <w:t xml:space="preserve">) An Introduction to Human Resource Management. 4th </w:t>
      </w:r>
      <w:proofErr w:type="spellStart"/>
      <w:r w:rsidRPr="006E0D94">
        <w:rPr>
          <w:rFonts w:ascii="Calibri" w:hAnsi="Calibri" w:cs="Calibri"/>
          <w:sz w:val="22"/>
          <w:szCs w:val="22"/>
        </w:rPr>
        <w:t>edn</w:t>
      </w:r>
      <w:proofErr w:type="spellEnd"/>
      <w:r w:rsidRPr="006E0D94">
        <w:rPr>
          <w:rFonts w:ascii="Calibri" w:hAnsi="Calibri" w:cs="Calibri"/>
          <w:sz w:val="22"/>
          <w:szCs w:val="22"/>
        </w:rPr>
        <w:t xml:space="preserve">. London, UK: SAGE, pp. </w:t>
      </w:r>
      <w:r>
        <w:rPr>
          <w:rFonts w:ascii="Calibri" w:hAnsi="Calibri" w:cs="Calibri"/>
          <w:sz w:val="22"/>
          <w:szCs w:val="22"/>
        </w:rPr>
        <w:t>2</w:t>
      </w:r>
      <w:r>
        <w:rPr>
          <w:rFonts w:ascii="Calibri" w:hAnsi="Calibri" w:cs="Calibri"/>
          <w:sz w:val="22"/>
          <w:szCs w:val="22"/>
        </w:rPr>
        <w:t>57</w:t>
      </w:r>
      <w:r w:rsidRPr="006E0D94">
        <w:rPr>
          <w:rFonts w:ascii="Calibri" w:hAnsi="Calibri" w:cs="Calibri"/>
          <w:sz w:val="22"/>
          <w:szCs w:val="22"/>
        </w:rPr>
        <w:t>.</w:t>
      </w:r>
    </w:p>
    <w:p w14:paraId="5D01F957" w14:textId="77777777" w:rsidR="004764E0" w:rsidRDefault="004764E0" w:rsidP="00327BEE">
      <w:pPr>
        <w:rPr>
          <w:rFonts w:ascii="Calibri" w:hAnsi="Calibri" w:cs="Calibri"/>
          <w:sz w:val="22"/>
          <w:szCs w:val="22"/>
        </w:rPr>
      </w:pPr>
      <w:r w:rsidRPr="006E0D94">
        <w:rPr>
          <w:rFonts w:ascii="Calibri" w:hAnsi="Calibri" w:cs="Calibri"/>
          <w:sz w:val="22"/>
          <w:szCs w:val="22"/>
        </w:rPr>
        <w:t>Wilton, N. (2019</w:t>
      </w:r>
      <w:r>
        <w:rPr>
          <w:rFonts w:ascii="Calibri" w:hAnsi="Calibri" w:cs="Calibri"/>
          <w:sz w:val="22"/>
          <w:szCs w:val="22"/>
        </w:rPr>
        <w:t>d</w:t>
      </w:r>
      <w:r w:rsidRPr="006E0D94">
        <w:rPr>
          <w:rFonts w:ascii="Calibri" w:hAnsi="Calibri" w:cs="Calibri"/>
          <w:sz w:val="22"/>
          <w:szCs w:val="22"/>
        </w:rPr>
        <w:t xml:space="preserve">) An Introduction to Human Resource Management. 4th </w:t>
      </w:r>
      <w:proofErr w:type="spellStart"/>
      <w:r w:rsidRPr="006E0D94">
        <w:rPr>
          <w:rFonts w:ascii="Calibri" w:hAnsi="Calibri" w:cs="Calibri"/>
          <w:sz w:val="22"/>
          <w:szCs w:val="22"/>
        </w:rPr>
        <w:t>edn</w:t>
      </w:r>
      <w:proofErr w:type="spellEnd"/>
      <w:r w:rsidRPr="006E0D94">
        <w:rPr>
          <w:rFonts w:ascii="Calibri" w:hAnsi="Calibri" w:cs="Calibri"/>
          <w:sz w:val="22"/>
          <w:szCs w:val="22"/>
        </w:rPr>
        <w:t xml:space="preserve">. London, UK: SAGE, pp. </w:t>
      </w:r>
      <w:r>
        <w:rPr>
          <w:rFonts w:ascii="Calibri" w:hAnsi="Calibri" w:cs="Calibri"/>
          <w:sz w:val="22"/>
          <w:szCs w:val="22"/>
        </w:rPr>
        <w:t>2</w:t>
      </w:r>
      <w:r>
        <w:rPr>
          <w:rFonts w:ascii="Calibri" w:hAnsi="Calibri" w:cs="Calibri"/>
          <w:sz w:val="22"/>
          <w:szCs w:val="22"/>
        </w:rPr>
        <w:t>62-270</w:t>
      </w:r>
      <w:r w:rsidRPr="006E0D94">
        <w:rPr>
          <w:rFonts w:ascii="Calibri" w:hAnsi="Calibri" w:cs="Calibri"/>
          <w:sz w:val="22"/>
          <w:szCs w:val="22"/>
        </w:rPr>
        <w:t>.</w:t>
      </w:r>
    </w:p>
    <w:p w14:paraId="2FC77212" w14:textId="77777777" w:rsidR="004764E0" w:rsidRDefault="004764E0" w:rsidP="00327BEE">
      <w:pPr>
        <w:rPr>
          <w:rFonts w:ascii="Calibri" w:hAnsi="Calibri" w:cs="Calibri"/>
          <w:sz w:val="22"/>
          <w:szCs w:val="22"/>
        </w:rPr>
      </w:pPr>
      <w:r w:rsidRPr="006E0D94">
        <w:rPr>
          <w:rFonts w:ascii="Calibri" w:hAnsi="Calibri" w:cs="Calibri"/>
          <w:sz w:val="22"/>
          <w:szCs w:val="22"/>
        </w:rPr>
        <w:t>Wilton, N. (2019</w:t>
      </w:r>
      <w:r>
        <w:rPr>
          <w:rFonts w:ascii="Calibri" w:hAnsi="Calibri" w:cs="Calibri"/>
          <w:sz w:val="22"/>
          <w:szCs w:val="22"/>
        </w:rPr>
        <w:t>e</w:t>
      </w:r>
      <w:r w:rsidRPr="006E0D94">
        <w:rPr>
          <w:rFonts w:ascii="Calibri" w:hAnsi="Calibri" w:cs="Calibri"/>
          <w:sz w:val="22"/>
          <w:szCs w:val="22"/>
        </w:rPr>
        <w:t xml:space="preserve">) An Introduction to Human Resource Management. 4th </w:t>
      </w:r>
      <w:proofErr w:type="spellStart"/>
      <w:r w:rsidRPr="006E0D94">
        <w:rPr>
          <w:rFonts w:ascii="Calibri" w:hAnsi="Calibri" w:cs="Calibri"/>
          <w:sz w:val="22"/>
          <w:szCs w:val="22"/>
        </w:rPr>
        <w:t>edn</w:t>
      </w:r>
      <w:proofErr w:type="spellEnd"/>
      <w:r w:rsidRPr="006E0D94">
        <w:rPr>
          <w:rFonts w:ascii="Calibri" w:hAnsi="Calibri" w:cs="Calibri"/>
          <w:sz w:val="22"/>
          <w:szCs w:val="22"/>
        </w:rPr>
        <w:t xml:space="preserve">. London, UK: SAGE, pp. </w:t>
      </w:r>
      <w:r>
        <w:rPr>
          <w:rFonts w:ascii="Calibri" w:hAnsi="Calibri" w:cs="Calibri"/>
          <w:sz w:val="22"/>
          <w:szCs w:val="22"/>
        </w:rPr>
        <w:t>2</w:t>
      </w:r>
      <w:r>
        <w:rPr>
          <w:rFonts w:ascii="Calibri" w:hAnsi="Calibri" w:cs="Calibri"/>
          <w:sz w:val="22"/>
          <w:szCs w:val="22"/>
        </w:rPr>
        <w:t>43</w:t>
      </w:r>
      <w:r>
        <w:rPr>
          <w:rFonts w:ascii="Calibri" w:hAnsi="Calibri" w:cs="Calibri"/>
          <w:sz w:val="22"/>
          <w:szCs w:val="22"/>
        </w:rPr>
        <w:t>-</w:t>
      </w:r>
      <w:r>
        <w:rPr>
          <w:rFonts w:ascii="Calibri" w:hAnsi="Calibri" w:cs="Calibri"/>
          <w:sz w:val="22"/>
          <w:szCs w:val="22"/>
        </w:rPr>
        <w:t>253</w:t>
      </w:r>
      <w:r w:rsidRPr="006E0D94">
        <w:rPr>
          <w:rFonts w:ascii="Calibri" w:hAnsi="Calibri" w:cs="Calibri"/>
          <w:sz w:val="22"/>
          <w:szCs w:val="22"/>
        </w:rPr>
        <w:t>.</w:t>
      </w:r>
    </w:p>
    <w:p w14:paraId="116FF2DC" w14:textId="77777777" w:rsidR="004764E0" w:rsidRDefault="004764E0" w:rsidP="00327BEE">
      <w:pPr>
        <w:rPr>
          <w:rFonts w:ascii="Calibri" w:hAnsi="Calibri" w:cs="Calibri"/>
          <w:sz w:val="22"/>
          <w:szCs w:val="22"/>
        </w:rPr>
      </w:pPr>
      <w:r w:rsidRPr="006E0D94">
        <w:rPr>
          <w:rFonts w:ascii="Calibri" w:hAnsi="Calibri" w:cs="Calibri"/>
          <w:sz w:val="22"/>
          <w:szCs w:val="22"/>
        </w:rPr>
        <w:t>Wilton, N. (2019</w:t>
      </w:r>
      <w:r>
        <w:rPr>
          <w:rFonts w:ascii="Calibri" w:hAnsi="Calibri" w:cs="Calibri"/>
          <w:sz w:val="22"/>
          <w:szCs w:val="22"/>
        </w:rPr>
        <w:t>f</w:t>
      </w:r>
      <w:r w:rsidRPr="006E0D94">
        <w:rPr>
          <w:rFonts w:ascii="Calibri" w:hAnsi="Calibri" w:cs="Calibri"/>
          <w:sz w:val="22"/>
          <w:szCs w:val="22"/>
        </w:rPr>
        <w:t xml:space="preserve">) An Introduction to Human Resource Management. 4th </w:t>
      </w:r>
      <w:proofErr w:type="spellStart"/>
      <w:r w:rsidRPr="006E0D94">
        <w:rPr>
          <w:rFonts w:ascii="Calibri" w:hAnsi="Calibri" w:cs="Calibri"/>
          <w:sz w:val="22"/>
          <w:szCs w:val="22"/>
        </w:rPr>
        <w:t>edn</w:t>
      </w:r>
      <w:proofErr w:type="spellEnd"/>
      <w:r w:rsidRPr="006E0D94">
        <w:rPr>
          <w:rFonts w:ascii="Calibri" w:hAnsi="Calibri" w:cs="Calibri"/>
          <w:sz w:val="22"/>
          <w:szCs w:val="22"/>
        </w:rPr>
        <w:t xml:space="preserve">. London, UK: SAGE, pp. </w:t>
      </w:r>
      <w:r>
        <w:rPr>
          <w:rFonts w:ascii="Calibri" w:hAnsi="Calibri" w:cs="Calibri"/>
          <w:sz w:val="22"/>
          <w:szCs w:val="22"/>
        </w:rPr>
        <w:t>178-186</w:t>
      </w:r>
      <w:r w:rsidRPr="006E0D94">
        <w:rPr>
          <w:rFonts w:ascii="Calibri" w:hAnsi="Calibri" w:cs="Calibri"/>
          <w:sz w:val="22"/>
          <w:szCs w:val="22"/>
        </w:rPr>
        <w:t>.</w:t>
      </w:r>
    </w:p>
    <w:p w14:paraId="0EC49EFE" w14:textId="77777777" w:rsidR="004764E0" w:rsidRDefault="004764E0" w:rsidP="006811A3">
      <w:pPr>
        <w:rPr>
          <w:rFonts w:ascii="Calibri" w:hAnsi="Calibri" w:cs="Calibri"/>
          <w:sz w:val="22"/>
          <w:szCs w:val="22"/>
        </w:rPr>
      </w:pPr>
      <w:r w:rsidRPr="006F34F8">
        <w:rPr>
          <w:rFonts w:ascii="Calibri" w:hAnsi="Calibri" w:cs="Calibri"/>
          <w:sz w:val="22"/>
          <w:szCs w:val="22"/>
        </w:rPr>
        <w:t>Witman, P. (2019). ‘What Gets Measured, Gets Managed’ The Wells Fargo Account Opening Scandal. Journal of Information Systems Education, [online] 29(3). Available at: https://aisel.aisnet.org/jise/vol29/iss3/2/ [Accessed 11 Aug. 2024].</w:t>
      </w:r>
    </w:p>
    <w:sectPr w:rsidR="004764E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093"/>
    <w:rsid w:val="000033D2"/>
    <w:rsid w:val="0001389A"/>
    <w:rsid w:val="0003061C"/>
    <w:rsid w:val="00076700"/>
    <w:rsid w:val="000A4258"/>
    <w:rsid w:val="000D33B1"/>
    <w:rsid w:val="000F1681"/>
    <w:rsid w:val="000F1BC6"/>
    <w:rsid w:val="0011442A"/>
    <w:rsid w:val="001160AB"/>
    <w:rsid w:val="001161AD"/>
    <w:rsid w:val="00120DEA"/>
    <w:rsid w:val="001267ED"/>
    <w:rsid w:val="00133245"/>
    <w:rsid w:val="001532CC"/>
    <w:rsid w:val="0017714A"/>
    <w:rsid w:val="00181581"/>
    <w:rsid w:val="00181CF0"/>
    <w:rsid w:val="001864B5"/>
    <w:rsid w:val="00190B86"/>
    <w:rsid w:val="001972B3"/>
    <w:rsid w:val="0019744D"/>
    <w:rsid w:val="001C16BC"/>
    <w:rsid w:val="001E1C6D"/>
    <w:rsid w:val="0021494F"/>
    <w:rsid w:val="00216836"/>
    <w:rsid w:val="00222D19"/>
    <w:rsid w:val="00225153"/>
    <w:rsid w:val="00262BE9"/>
    <w:rsid w:val="002662BA"/>
    <w:rsid w:val="00274A48"/>
    <w:rsid w:val="00285D48"/>
    <w:rsid w:val="0029289C"/>
    <w:rsid w:val="002B0673"/>
    <w:rsid w:val="002B4BD6"/>
    <w:rsid w:val="002C6EB0"/>
    <w:rsid w:val="002E160B"/>
    <w:rsid w:val="003013DF"/>
    <w:rsid w:val="00314F0B"/>
    <w:rsid w:val="003161AA"/>
    <w:rsid w:val="00326093"/>
    <w:rsid w:val="00327BEE"/>
    <w:rsid w:val="00363BCF"/>
    <w:rsid w:val="00371209"/>
    <w:rsid w:val="00380175"/>
    <w:rsid w:val="00394D74"/>
    <w:rsid w:val="003A427E"/>
    <w:rsid w:val="003A48C7"/>
    <w:rsid w:val="003A792E"/>
    <w:rsid w:val="003D14EB"/>
    <w:rsid w:val="003E7CEC"/>
    <w:rsid w:val="004133DC"/>
    <w:rsid w:val="004169A5"/>
    <w:rsid w:val="00422B71"/>
    <w:rsid w:val="00431D07"/>
    <w:rsid w:val="00433955"/>
    <w:rsid w:val="00444E18"/>
    <w:rsid w:val="00452BDD"/>
    <w:rsid w:val="00456A02"/>
    <w:rsid w:val="00460CE4"/>
    <w:rsid w:val="00471203"/>
    <w:rsid w:val="0047406C"/>
    <w:rsid w:val="004764E0"/>
    <w:rsid w:val="00481CD1"/>
    <w:rsid w:val="004878B9"/>
    <w:rsid w:val="00487E24"/>
    <w:rsid w:val="004A0643"/>
    <w:rsid w:val="004B7145"/>
    <w:rsid w:val="004D356C"/>
    <w:rsid w:val="005008A1"/>
    <w:rsid w:val="00511D52"/>
    <w:rsid w:val="00513D79"/>
    <w:rsid w:val="00543AED"/>
    <w:rsid w:val="00544976"/>
    <w:rsid w:val="00552C31"/>
    <w:rsid w:val="0057231B"/>
    <w:rsid w:val="0058445C"/>
    <w:rsid w:val="00585FBC"/>
    <w:rsid w:val="00586F27"/>
    <w:rsid w:val="005A09BC"/>
    <w:rsid w:val="005B0C1E"/>
    <w:rsid w:val="005C4C11"/>
    <w:rsid w:val="005D059B"/>
    <w:rsid w:val="005E46D4"/>
    <w:rsid w:val="005E76A0"/>
    <w:rsid w:val="005F050B"/>
    <w:rsid w:val="005F504C"/>
    <w:rsid w:val="00614C26"/>
    <w:rsid w:val="00674D92"/>
    <w:rsid w:val="006811A3"/>
    <w:rsid w:val="006933F5"/>
    <w:rsid w:val="00693698"/>
    <w:rsid w:val="00693B15"/>
    <w:rsid w:val="006958AD"/>
    <w:rsid w:val="006B5DBE"/>
    <w:rsid w:val="006D2585"/>
    <w:rsid w:val="006E0D94"/>
    <w:rsid w:val="006E4C20"/>
    <w:rsid w:val="006F34F8"/>
    <w:rsid w:val="0070666B"/>
    <w:rsid w:val="00715414"/>
    <w:rsid w:val="007203CD"/>
    <w:rsid w:val="00740FBE"/>
    <w:rsid w:val="0074563E"/>
    <w:rsid w:val="00755BE7"/>
    <w:rsid w:val="00766CA0"/>
    <w:rsid w:val="007770DF"/>
    <w:rsid w:val="007858CF"/>
    <w:rsid w:val="00792F28"/>
    <w:rsid w:val="00794175"/>
    <w:rsid w:val="00794AA3"/>
    <w:rsid w:val="007953D6"/>
    <w:rsid w:val="007A2BC6"/>
    <w:rsid w:val="007D3DFD"/>
    <w:rsid w:val="007E5E3A"/>
    <w:rsid w:val="00831875"/>
    <w:rsid w:val="008331E7"/>
    <w:rsid w:val="00841B32"/>
    <w:rsid w:val="00846ECC"/>
    <w:rsid w:val="00852ECE"/>
    <w:rsid w:val="00861D8D"/>
    <w:rsid w:val="008645DA"/>
    <w:rsid w:val="00883C2B"/>
    <w:rsid w:val="00890EB0"/>
    <w:rsid w:val="008A2B63"/>
    <w:rsid w:val="008A6A7A"/>
    <w:rsid w:val="008B7D6D"/>
    <w:rsid w:val="008C4147"/>
    <w:rsid w:val="008D1B74"/>
    <w:rsid w:val="008D1E04"/>
    <w:rsid w:val="008D359F"/>
    <w:rsid w:val="008F3CB0"/>
    <w:rsid w:val="00912135"/>
    <w:rsid w:val="00922F2E"/>
    <w:rsid w:val="0093578D"/>
    <w:rsid w:val="009509D5"/>
    <w:rsid w:val="0095737B"/>
    <w:rsid w:val="00967546"/>
    <w:rsid w:val="0097090B"/>
    <w:rsid w:val="009768AE"/>
    <w:rsid w:val="009A6EEC"/>
    <w:rsid w:val="009C29A1"/>
    <w:rsid w:val="009E72AA"/>
    <w:rsid w:val="009E7480"/>
    <w:rsid w:val="009F27A6"/>
    <w:rsid w:val="00A019EF"/>
    <w:rsid w:val="00A01EBF"/>
    <w:rsid w:val="00A20878"/>
    <w:rsid w:val="00A25E7F"/>
    <w:rsid w:val="00A261C1"/>
    <w:rsid w:val="00A2736E"/>
    <w:rsid w:val="00A30A4B"/>
    <w:rsid w:val="00A32E99"/>
    <w:rsid w:val="00A3369B"/>
    <w:rsid w:val="00A41F73"/>
    <w:rsid w:val="00A4776C"/>
    <w:rsid w:val="00A56C36"/>
    <w:rsid w:val="00AA15AC"/>
    <w:rsid w:val="00AA1BFA"/>
    <w:rsid w:val="00AC25B2"/>
    <w:rsid w:val="00AC646F"/>
    <w:rsid w:val="00AC7158"/>
    <w:rsid w:val="00AD59D1"/>
    <w:rsid w:val="00AD79BE"/>
    <w:rsid w:val="00AE1F5A"/>
    <w:rsid w:val="00AE70A3"/>
    <w:rsid w:val="00B00DE2"/>
    <w:rsid w:val="00B04CA4"/>
    <w:rsid w:val="00B26189"/>
    <w:rsid w:val="00B263F4"/>
    <w:rsid w:val="00B43089"/>
    <w:rsid w:val="00B53B94"/>
    <w:rsid w:val="00B6361F"/>
    <w:rsid w:val="00B7200C"/>
    <w:rsid w:val="00B74AD7"/>
    <w:rsid w:val="00B81253"/>
    <w:rsid w:val="00B92182"/>
    <w:rsid w:val="00B95097"/>
    <w:rsid w:val="00B95B60"/>
    <w:rsid w:val="00BA70AA"/>
    <w:rsid w:val="00BB4A08"/>
    <w:rsid w:val="00BB56BC"/>
    <w:rsid w:val="00BC2A99"/>
    <w:rsid w:val="00BD0802"/>
    <w:rsid w:val="00BD1EE7"/>
    <w:rsid w:val="00BD35EE"/>
    <w:rsid w:val="00BD50EA"/>
    <w:rsid w:val="00BE389F"/>
    <w:rsid w:val="00BF4D78"/>
    <w:rsid w:val="00C121B2"/>
    <w:rsid w:val="00C43245"/>
    <w:rsid w:val="00C622B5"/>
    <w:rsid w:val="00C70ADD"/>
    <w:rsid w:val="00C732B3"/>
    <w:rsid w:val="00CA2394"/>
    <w:rsid w:val="00CA4ED0"/>
    <w:rsid w:val="00CB2FED"/>
    <w:rsid w:val="00CC1AD7"/>
    <w:rsid w:val="00CD0270"/>
    <w:rsid w:val="00CD06AA"/>
    <w:rsid w:val="00CD2B87"/>
    <w:rsid w:val="00CD69E0"/>
    <w:rsid w:val="00CE46E6"/>
    <w:rsid w:val="00D0099D"/>
    <w:rsid w:val="00D00FFE"/>
    <w:rsid w:val="00D04E06"/>
    <w:rsid w:val="00D11F57"/>
    <w:rsid w:val="00D12082"/>
    <w:rsid w:val="00D170B0"/>
    <w:rsid w:val="00D21E81"/>
    <w:rsid w:val="00D37799"/>
    <w:rsid w:val="00D42629"/>
    <w:rsid w:val="00D45BCB"/>
    <w:rsid w:val="00D53D9E"/>
    <w:rsid w:val="00D55847"/>
    <w:rsid w:val="00D63CDB"/>
    <w:rsid w:val="00D701AD"/>
    <w:rsid w:val="00D86F43"/>
    <w:rsid w:val="00D8795B"/>
    <w:rsid w:val="00DB6141"/>
    <w:rsid w:val="00DB7513"/>
    <w:rsid w:val="00DC03CB"/>
    <w:rsid w:val="00DD40A0"/>
    <w:rsid w:val="00DE1882"/>
    <w:rsid w:val="00E02F9D"/>
    <w:rsid w:val="00E43BCD"/>
    <w:rsid w:val="00E43EF7"/>
    <w:rsid w:val="00E52698"/>
    <w:rsid w:val="00E6494C"/>
    <w:rsid w:val="00E649D2"/>
    <w:rsid w:val="00E92819"/>
    <w:rsid w:val="00EA20B1"/>
    <w:rsid w:val="00EB226A"/>
    <w:rsid w:val="00EB69FF"/>
    <w:rsid w:val="00EC0DF6"/>
    <w:rsid w:val="00EC32F1"/>
    <w:rsid w:val="00EC3BC6"/>
    <w:rsid w:val="00EC5D6D"/>
    <w:rsid w:val="00EC795F"/>
    <w:rsid w:val="00ED2D06"/>
    <w:rsid w:val="00ED7E18"/>
    <w:rsid w:val="00EE3DED"/>
    <w:rsid w:val="00EF6D15"/>
    <w:rsid w:val="00EF7DB6"/>
    <w:rsid w:val="00F0247C"/>
    <w:rsid w:val="00F05362"/>
    <w:rsid w:val="00F1242A"/>
    <w:rsid w:val="00F239FC"/>
    <w:rsid w:val="00F502DC"/>
    <w:rsid w:val="00F668CA"/>
    <w:rsid w:val="00F71EAA"/>
    <w:rsid w:val="00F75A28"/>
    <w:rsid w:val="00F81F91"/>
    <w:rsid w:val="00F94D27"/>
    <w:rsid w:val="00FA5D9F"/>
    <w:rsid w:val="00FB0852"/>
    <w:rsid w:val="00FB27E9"/>
    <w:rsid w:val="00FB2940"/>
    <w:rsid w:val="00FB4C44"/>
    <w:rsid w:val="00FD4209"/>
    <w:rsid w:val="00FE4B17"/>
    <w:rsid w:val="00FE622A"/>
    <w:rsid w:val="00FE78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94283"/>
  <w15:chartTrackingRefBased/>
  <w15:docId w15:val="{F6CF290A-DE83-456E-843F-533A57F9F2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260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260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2609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2609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2609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2609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2609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2609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2609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609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2609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2609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2609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2609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260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60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60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6093"/>
    <w:rPr>
      <w:rFonts w:eastAsiaTheme="majorEastAsia" w:cstheme="majorBidi"/>
      <w:color w:val="272727" w:themeColor="text1" w:themeTint="D8"/>
    </w:rPr>
  </w:style>
  <w:style w:type="paragraph" w:styleId="Title">
    <w:name w:val="Title"/>
    <w:basedOn w:val="Normal"/>
    <w:next w:val="Normal"/>
    <w:link w:val="TitleChar"/>
    <w:uiPriority w:val="10"/>
    <w:qFormat/>
    <w:rsid w:val="003260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60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609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260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6093"/>
    <w:pPr>
      <w:spacing w:before="160"/>
      <w:jc w:val="center"/>
    </w:pPr>
    <w:rPr>
      <w:i/>
      <w:iCs/>
      <w:color w:val="404040" w:themeColor="text1" w:themeTint="BF"/>
    </w:rPr>
  </w:style>
  <w:style w:type="character" w:customStyle="1" w:styleId="QuoteChar">
    <w:name w:val="Quote Char"/>
    <w:basedOn w:val="DefaultParagraphFont"/>
    <w:link w:val="Quote"/>
    <w:uiPriority w:val="29"/>
    <w:rsid w:val="00326093"/>
    <w:rPr>
      <w:i/>
      <w:iCs/>
      <w:color w:val="404040" w:themeColor="text1" w:themeTint="BF"/>
    </w:rPr>
  </w:style>
  <w:style w:type="paragraph" w:styleId="ListParagraph">
    <w:name w:val="List Paragraph"/>
    <w:basedOn w:val="Normal"/>
    <w:uiPriority w:val="34"/>
    <w:qFormat/>
    <w:rsid w:val="00326093"/>
    <w:pPr>
      <w:ind w:left="720"/>
      <w:contextualSpacing/>
    </w:pPr>
  </w:style>
  <w:style w:type="character" w:styleId="IntenseEmphasis">
    <w:name w:val="Intense Emphasis"/>
    <w:basedOn w:val="DefaultParagraphFont"/>
    <w:uiPriority w:val="21"/>
    <w:qFormat/>
    <w:rsid w:val="00326093"/>
    <w:rPr>
      <w:i/>
      <w:iCs/>
      <w:color w:val="0F4761" w:themeColor="accent1" w:themeShade="BF"/>
    </w:rPr>
  </w:style>
  <w:style w:type="paragraph" w:styleId="IntenseQuote">
    <w:name w:val="Intense Quote"/>
    <w:basedOn w:val="Normal"/>
    <w:next w:val="Normal"/>
    <w:link w:val="IntenseQuoteChar"/>
    <w:uiPriority w:val="30"/>
    <w:qFormat/>
    <w:rsid w:val="003260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26093"/>
    <w:rPr>
      <w:i/>
      <w:iCs/>
      <w:color w:val="0F4761" w:themeColor="accent1" w:themeShade="BF"/>
    </w:rPr>
  </w:style>
  <w:style w:type="character" w:styleId="IntenseReference">
    <w:name w:val="Intense Reference"/>
    <w:basedOn w:val="DefaultParagraphFont"/>
    <w:uiPriority w:val="32"/>
    <w:qFormat/>
    <w:rsid w:val="0032609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763552">
      <w:bodyDiv w:val="1"/>
      <w:marLeft w:val="0"/>
      <w:marRight w:val="0"/>
      <w:marTop w:val="0"/>
      <w:marBottom w:val="0"/>
      <w:divBdr>
        <w:top w:val="none" w:sz="0" w:space="0" w:color="auto"/>
        <w:left w:val="none" w:sz="0" w:space="0" w:color="auto"/>
        <w:bottom w:val="none" w:sz="0" w:space="0" w:color="auto"/>
        <w:right w:val="none" w:sz="0" w:space="0" w:color="auto"/>
      </w:divBdr>
    </w:div>
    <w:div w:id="100419220">
      <w:bodyDiv w:val="1"/>
      <w:marLeft w:val="0"/>
      <w:marRight w:val="0"/>
      <w:marTop w:val="0"/>
      <w:marBottom w:val="0"/>
      <w:divBdr>
        <w:top w:val="none" w:sz="0" w:space="0" w:color="auto"/>
        <w:left w:val="none" w:sz="0" w:space="0" w:color="auto"/>
        <w:bottom w:val="none" w:sz="0" w:space="0" w:color="auto"/>
        <w:right w:val="none" w:sz="0" w:space="0" w:color="auto"/>
      </w:divBdr>
      <w:divsChild>
        <w:div w:id="1892810792">
          <w:marLeft w:val="0"/>
          <w:marRight w:val="0"/>
          <w:marTop w:val="0"/>
          <w:marBottom w:val="0"/>
          <w:divBdr>
            <w:top w:val="none" w:sz="0" w:space="0" w:color="auto"/>
            <w:left w:val="none" w:sz="0" w:space="0" w:color="auto"/>
            <w:bottom w:val="none" w:sz="0" w:space="0" w:color="auto"/>
            <w:right w:val="none" w:sz="0" w:space="0" w:color="auto"/>
          </w:divBdr>
        </w:div>
      </w:divsChild>
    </w:div>
    <w:div w:id="113182798">
      <w:bodyDiv w:val="1"/>
      <w:marLeft w:val="0"/>
      <w:marRight w:val="0"/>
      <w:marTop w:val="0"/>
      <w:marBottom w:val="0"/>
      <w:divBdr>
        <w:top w:val="none" w:sz="0" w:space="0" w:color="auto"/>
        <w:left w:val="none" w:sz="0" w:space="0" w:color="auto"/>
        <w:bottom w:val="none" w:sz="0" w:space="0" w:color="auto"/>
        <w:right w:val="none" w:sz="0" w:space="0" w:color="auto"/>
      </w:divBdr>
      <w:divsChild>
        <w:div w:id="12584584">
          <w:marLeft w:val="0"/>
          <w:marRight w:val="0"/>
          <w:marTop w:val="0"/>
          <w:marBottom w:val="0"/>
          <w:divBdr>
            <w:top w:val="none" w:sz="0" w:space="0" w:color="auto"/>
            <w:left w:val="none" w:sz="0" w:space="0" w:color="auto"/>
            <w:bottom w:val="none" w:sz="0" w:space="0" w:color="auto"/>
            <w:right w:val="none" w:sz="0" w:space="0" w:color="auto"/>
          </w:divBdr>
          <w:divsChild>
            <w:div w:id="1131166490">
              <w:marLeft w:val="0"/>
              <w:marRight w:val="0"/>
              <w:marTop w:val="0"/>
              <w:marBottom w:val="0"/>
              <w:divBdr>
                <w:top w:val="none" w:sz="0" w:space="0" w:color="auto"/>
                <w:left w:val="none" w:sz="0" w:space="0" w:color="auto"/>
                <w:bottom w:val="none" w:sz="0" w:space="0" w:color="auto"/>
                <w:right w:val="none" w:sz="0" w:space="0" w:color="auto"/>
              </w:divBdr>
              <w:divsChild>
                <w:div w:id="374891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022534">
      <w:bodyDiv w:val="1"/>
      <w:marLeft w:val="0"/>
      <w:marRight w:val="0"/>
      <w:marTop w:val="0"/>
      <w:marBottom w:val="0"/>
      <w:divBdr>
        <w:top w:val="none" w:sz="0" w:space="0" w:color="auto"/>
        <w:left w:val="none" w:sz="0" w:space="0" w:color="auto"/>
        <w:bottom w:val="none" w:sz="0" w:space="0" w:color="auto"/>
        <w:right w:val="none" w:sz="0" w:space="0" w:color="auto"/>
      </w:divBdr>
    </w:div>
    <w:div w:id="207306322">
      <w:bodyDiv w:val="1"/>
      <w:marLeft w:val="0"/>
      <w:marRight w:val="0"/>
      <w:marTop w:val="0"/>
      <w:marBottom w:val="0"/>
      <w:divBdr>
        <w:top w:val="none" w:sz="0" w:space="0" w:color="auto"/>
        <w:left w:val="none" w:sz="0" w:space="0" w:color="auto"/>
        <w:bottom w:val="none" w:sz="0" w:space="0" w:color="auto"/>
        <w:right w:val="none" w:sz="0" w:space="0" w:color="auto"/>
      </w:divBdr>
      <w:divsChild>
        <w:div w:id="433866540">
          <w:marLeft w:val="0"/>
          <w:marRight w:val="0"/>
          <w:marTop w:val="0"/>
          <w:marBottom w:val="0"/>
          <w:divBdr>
            <w:top w:val="none" w:sz="0" w:space="0" w:color="auto"/>
            <w:left w:val="none" w:sz="0" w:space="0" w:color="auto"/>
            <w:bottom w:val="none" w:sz="0" w:space="0" w:color="auto"/>
            <w:right w:val="none" w:sz="0" w:space="0" w:color="auto"/>
          </w:divBdr>
        </w:div>
      </w:divsChild>
    </w:div>
    <w:div w:id="235601983">
      <w:bodyDiv w:val="1"/>
      <w:marLeft w:val="0"/>
      <w:marRight w:val="0"/>
      <w:marTop w:val="0"/>
      <w:marBottom w:val="0"/>
      <w:divBdr>
        <w:top w:val="none" w:sz="0" w:space="0" w:color="auto"/>
        <w:left w:val="none" w:sz="0" w:space="0" w:color="auto"/>
        <w:bottom w:val="none" w:sz="0" w:space="0" w:color="auto"/>
        <w:right w:val="none" w:sz="0" w:space="0" w:color="auto"/>
      </w:divBdr>
      <w:divsChild>
        <w:div w:id="814302937">
          <w:marLeft w:val="0"/>
          <w:marRight w:val="0"/>
          <w:marTop w:val="0"/>
          <w:marBottom w:val="0"/>
          <w:divBdr>
            <w:top w:val="none" w:sz="0" w:space="0" w:color="auto"/>
            <w:left w:val="none" w:sz="0" w:space="0" w:color="auto"/>
            <w:bottom w:val="none" w:sz="0" w:space="0" w:color="auto"/>
            <w:right w:val="none" w:sz="0" w:space="0" w:color="auto"/>
          </w:divBdr>
        </w:div>
      </w:divsChild>
    </w:div>
    <w:div w:id="278949628">
      <w:bodyDiv w:val="1"/>
      <w:marLeft w:val="0"/>
      <w:marRight w:val="0"/>
      <w:marTop w:val="0"/>
      <w:marBottom w:val="0"/>
      <w:divBdr>
        <w:top w:val="none" w:sz="0" w:space="0" w:color="auto"/>
        <w:left w:val="none" w:sz="0" w:space="0" w:color="auto"/>
        <w:bottom w:val="none" w:sz="0" w:space="0" w:color="auto"/>
        <w:right w:val="none" w:sz="0" w:space="0" w:color="auto"/>
      </w:divBdr>
      <w:divsChild>
        <w:div w:id="1483740442">
          <w:marLeft w:val="0"/>
          <w:marRight w:val="0"/>
          <w:marTop w:val="0"/>
          <w:marBottom w:val="0"/>
          <w:divBdr>
            <w:top w:val="none" w:sz="0" w:space="0" w:color="auto"/>
            <w:left w:val="none" w:sz="0" w:space="0" w:color="auto"/>
            <w:bottom w:val="none" w:sz="0" w:space="0" w:color="auto"/>
            <w:right w:val="none" w:sz="0" w:space="0" w:color="auto"/>
          </w:divBdr>
        </w:div>
      </w:divsChild>
    </w:div>
    <w:div w:id="289677202">
      <w:bodyDiv w:val="1"/>
      <w:marLeft w:val="0"/>
      <w:marRight w:val="0"/>
      <w:marTop w:val="0"/>
      <w:marBottom w:val="0"/>
      <w:divBdr>
        <w:top w:val="none" w:sz="0" w:space="0" w:color="auto"/>
        <w:left w:val="none" w:sz="0" w:space="0" w:color="auto"/>
        <w:bottom w:val="none" w:sz="0" w:space="0" w:color="auto"/>
        <w:right w:val="none" w:sz="0" w:space="0" w:color="auto"/>
      </w:divBdr>
      <w:divsChild>
        <w:div w:id="1043943603">
          <w:marLeft w:val="0"/>
          <w:marRight w:val="0"/>
          <w:marTop w:val="0"/>
          <w:marBottom w:val="0"/>
          <w:divBdr>
            <w:top w:val="none" w:sz="0" w:space="0" w:color="auto"/>
            <w:left w:val="none" w:sz="0" w:space="0" w:color="auto"/>
            <w:bottom w:val="none" w:sz="0" w:space="0" w:color="auto"/>
            <w:right w:val="none" w:sz="0" w:space="0" w:color="auto"/>
          </w:divBdr>
        </w:div>
      </w:divsChild>
    </w:div>
    <w:div w:id="308704837">
      <w:bodyDiv w:val="1"/>
      <w:marLeft w:val="0"/>
      <w:marRight w:val="0"/>
      <w:marTop w:val="0"/>
      <w:marBottom w:val="0"/>
      <w:divBdr>
        <w:top w:val="none" w:sz="0" w:space="0" w:color="auto"/>
        <w:left w:val="none" w:sz="0" w:space="0" w:color="auto"/>
        <w:bottom w:val="none" w:sz="0" w:space="0" w:color="auto"/>
        <w:right w:val="none" w:sz="0" w:space="0" w:color="auto"/>
      </w:divBdr>
      <w:divsChild>
        <w:div w:id="544947511">
          <w:marLeft w:val="0"/>
          <w:marRight w:val="0"/>
          <w:marTop w:val="0"/>
          <w:marBottom w:val="0"/>
          <w:divBdr>
            <w:top w:val="none" w:sz="0" w:space="0" w:color="auto"/>
            <w:left w:val="none" w:sz="0" w:space="0" w:color="auto"/>
            <w:bottom w:val="none" w:sz="0" w:space="0" w:color="auto"/>
            <w:right w:val="none" w:sz="0" w:space="0" w:color="auto"/>
          </w:divBdr>
        </w:div>
      </w:divsChild>
    </w:div>
    <w:div w:id="320550533">
      <w:bodyDiv w:val="1"/>
      <w:marLeft w:val="0"/>
      <w:marRight w:val="0"/>
      <w:marTop w:val="0"/>
      <w:marBottom w:val="0"/>
      <w:divBdr>
        <w:top w:val="none" w:sz="0" w:space="0" w:color="auto"/>
        <w:left w:val="none" w:sz="0" w:space="0" w:color="auto"/>
        <w:bottom w:val="none" w:sz="0" w:space="0" w:color="auto"/>
        <w:right w:val="none" w:sz="0" w:space="0" w:color="auto"/>
      </w:divBdr>
    </w:div>
    <w:div w:id="380253083">
      <w:bodyDiv w:val="1"/>
      <w:marLeft w:val="0"/>
      <w:marRight w:val="0"/>
      <w:marTop w:val="0"/>
      <w:marBottom w:val="0"/>
      <w:divBdr>
        <w:top w:val="none" w:sz="0" w:space="0" w:color="auto"/>
        <w:left w:val="none" w:sz="0" w:space="0" w:color="auto"/>
        <w:bottom w:val="none" w:sz="0" w:space="0" w:color="auto"/>
        <w:right w:val="none" w:sz="0" w:space="0" w:color="auto"/>
      </w:divBdr>
      <w:divsChild>
        <w:div w:id="855535961">
          <w:marLeft w:val="0"/>
          <w:marRight w:val="0"/>
          <w:marTop w:val="0"/>
          <w:marBottom w:val="0"/>
          <w:divBdr>
            <w:top w:val="none" w:sz="0" w:space="0" w:color="auto"/>
            <w:left w:val="none" w:sz="0" w:space="0" w:color="auto"/>
            <w:bottom w:val="none" w:sz="0" w:space="0" w:color="auto"/>
            <w:right w:val="none" w:sz="0" w:space="0" w:color="auto"/>
          </w:divBdr>
        </w:div>
      </w:divsChild>
    </w:div>
    <w:div w:id="395011269">
      <w:bodyDiv w:val="1"/>
      <w:marLeft w:val="0"/>
      <w:marRight w:val="0"/>
      <w:marTop w:val="0"/>
      <w:marBottom w:val="0"/>
      <w:divBdr>
        <w:top w:val="none" w:sz="0" w:space="0" w:color="auto"/>
        <w:left w:val="none" w:sz="0" w:space="0" w:color="auto"/>
        <w:bottom w:val="none" w:sz="0" w:space="0" w:color="auto"/>
        <w:right w:val="none" w:sz="0" w:space="0" w:color="auto"/>
      </w:divBdr>
      <w:divsChild>
        <w:div w:id="621881250">
          <w:marLeft w:val="0"/>
          <w:marRight w:val="0"/>
          <w:marTop w:val="0"/>
          <w:marBottom w:val="0"/>
          <w:divBdr>
            <w:top w:val="none" w:sz="0" w:space="0" w:color="auto"/>
            <w:left w:val="none" w:sz="0" w:space="0" w:color="auto"/>
            <w:bottom w:val="none" w:sz="0" w:space="0" w:color="auto"/>
            <w:right w:val="none" w:sz="0" w:space="0" w:color="auto"/>
          </w:divBdr>
        </w:div>
      </w:divsChild>
    </w:div>
    <w:div w:id="461583187">
      <w:bodyDiv w:val="1"/>
      <w:marLeft w:val="0"/>
      <w:marRight w:val="0"/>
      <w:marTop w:val="0"/>
      <w:marBottom w:val="0"/>
      <w:divBdr>
        <w:top w:val="none" w:sz="0" w:space="0" w:color="auto"/>
        <w:left w:val="none" w:sz="0" w:space="0" w:color="auto"/>
        <w:bottom w:val="none" w:sz="0" w:space="0" w:color="auto"/>
        <w:right w:val="none" w:sz="0" w:space="0" w:color="auto"/>
      </w:divBdr>
    </w:div>
    <w:div w:id="466509731">
      <w:bodyDiv w:val="1"/>
      <w:marLeft w:val="0"/>
      <w:marRight w:val="0"/>
      <w:marTop w:val="0"/>
      <w:marBottom w:val="0"/>
      <w:divBdr>
        <w:top w:val="none" w:sz="0" w:space="0" w:color="auto"/>
        <w:left w:val="none" w:sz="0" w:space="0" w:color="auto"/>
        <w:bottom w:val="none" w:sz="0" w:space="0" w:color="auto"/>
        <w:right w:val="none" w:sz="0" w:space="0" w:color="auto"/>
      </w:divBdr>
    </w:div>
    <w:div w:id="535508788">
      <w:bodyDiv w:val="1"/>
      <w:marLeft w:val="0"/>
      <w:marRight w:val="0"/>
      <w:marTop w:val="0"/>
      <w:marBottom w:val="0"/>
      <w:divBdr>
        <w:top w:val="none" w:sz="0" w:space="0" w:color="auto"/>
        <w:left w:val="none" w:sz="0" w:space="0" w:color="auto"/>
        <w:bottom w:val="none" w:sz="0" w:space="0" w:color="auto"/>
        <w:right w:val="none" w:sz="0" w:space="0" w:color="auto"/>
      </w:divBdr>
      <w:divsChild>
        <w:div w:id="1257522729">
          <w:marLeft w:val="0"/>
          <w:marRight w:val="0"/>
          <w:marTop w:val="0"/>
          <w:marBottom w:val="0"/>
          <w:divBdr>
            <w:top w:val="none" w:sz="0" w:space="0" w:color="auto"/>
            <w:left w:val="none" w:sz="0" w:space="0" w:color="auto"/>
            <w:bottom w:val="none" w:sz="0" w:space="0" w:color="auto"/>
            <w:right w:val="none" w:sz="0" w:space="0" w:color="auto"/>
          </w:divBdr>
        </w:div>
      </w:divsChild>
    </w:div>
    <w:div w:id="561864126">
      <w:bodyDiv w:val="1"/>
      <w:marLeft w:val="0"/>
      <w:marRight w:val="0"/>
      <w:marTop w:val="0"/>
      <w:marBottom w:val="0"/>
      <w:divBdr>
        <w:top w:val="none" w:sz="0" w:space="0" w:color="auto"/>
        <w:left w:val="none" w:sz="0" w:space="0" w:color="auto"/>
        <w:bottom w:val="none" w:sz="0" w:space="0" w:color="auto"/>
        <w:right w:val="none" w:sz="0" w:space="0" w:color="auto"/>
      </w:divBdr>
    </w:div>
    <w:div w:id="580792289">
      <w:bodyDiv w:val="1"/>
      <w:marLeft w:val="0"/>
      <w:marRight w:val="0"/>
      <w:marTop w:val="0"/>
      <w:marBottom w:val="0"/>
      <w:divBdr>
        <w:top w:val="none" w:sz="0" w:space="0" w:color="auto"/>
        <w:left w:val="none" w:sz="0" w:space="0" w:color="auto"/>
        <w:bottom w:val="none" w:sz="0" w:space="0" w:color="auto"/>
        <w:right w:val="none" w:sz="0" w:space="0" w:color="auto"/>
      </w:divBdr>
    </w:div>
    <w:div w:id="604383106">
      <w:bodyDiv w:val="1"/>
      <w:marLeft w:val="0"/>
      <w:marRight w:val="0"/>
      <w:marTop w:val="0"/>
      <w:marBottom w:val="0"/>
      <w:divBdr>
        <w:top w:val="none" w:sz="0" w:space="0" w:color="auto"/>
        <w:left w:val="none" w:sz="0" w:space="0" w:color="auto"/>
        <w:bottom w:val="none" w:sz="0" w:space="0" w:color="auto"/>
        <w:right w:val="none" w:sz="0" w:space="0" w:color="auto"/>
      </w:divBdr>
      <w:divsChild>
        <w:div w:id="1659075520">
          <w:marLeft w:val="0"/>
          <w:marRight w:val="0"/>
          <w:marTop w:val="0"/>
          <w:marBottom w:val="0"/>
          <w:divBdr>
            <w:top w:val="none" w:sz="0" w:space="0" w:color="auto"/>
            <w:left w:val="none" w:sz="0" w:space="0" w:color="auto"/>
            <w:bottom w:val="none" w:sz="0" w:space="0" w:color="auto"/>
            <w:right w:val="none" w:sz="0" w:space="0" w:color="auto"/>
          </w:divBdr>
        </w:div>
      </w:divsChild>
    </w:div>
    <w:div w:id="609244585">
      <w:bodyDiv w:val="1"/>
      <w:marLeft w:val="0"/>
      <w:marRight w:val="0"/>
      <w:marTop w:val="0"/>
      <w:marBottom w:val="0"/>
      <w:divBdr>
        <w:top w:val="none" w:sz="0" w:space="0" w:color="auto"/>
        <w:left w:val="none" w:sz="0" w:space="0" w:color="auto"/>
        <w:bottom w:val="none" w:sz="0" w:space="0" w:color="auto"/>
        <w:right w:val="none" w:sz="0" w:space="0" w:color="auto"/>
      </w:divBdr>
      <w:divsChild>
        <w:div w:id="985283085">
          <w:marLeft w:val="0"/>
          <w:marRight w:val="0"/>
          <w:marTop w:val="0"/>
          <w:marBottom w:val="0"/>
          <w:divBdr>
            <w:top w:val="none" w:sz="0" w:space="0" w:color="auto"/>
            <w:left w:val="none" w:sz="0" w:space="0" w:color="auto"/>
            <w:bottom w:val="none" w:sz="0" w:space="0" w:color="auto"/>
            <w:right w:val="none" w:sz="0" w:space="0" w:color="auto"/>
          </w:divBdr>
          <w:divsChild>
            <w:div w:id="1319268595">
              <w:marLeft w:val="0"/>
              <w:marRight w:val="0"/>
              <w:marTop w:val="0"/>
              <w:marBottom w:val="0"/>
              <w:divBdr>
                <w:top w:val="none" w:sz="0" w:space="0" w:color="auto"/>
                <w:left w:val="none" w:sz="0" w:space="0" w:color="auto"/>
                <w:bottom w:val="none" w:sz="0" w:space="0" w:color="auto"/>
                <w:right w:val="none" w:sz="0" w:space="0" w:color="auto"/>
              </w:divBdr>
              <w:divsChild>
                <w:div w:id="921135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5327598">
      <w:bodyDiv w:val="1"/>
      <w:marLeft w:val="0"/>
      <w:marRight w:val="0"/>
      <w:marTop w:val="0"/>
      <w:marBottom w:val="0"/>
      <w:divBdr>
        <w:top w:val="none" w:sz="0" w:space="0" w:color="auto"/>
        <w:left w:val="none" w:sz="0" w:space="0" w:color="auto"/>
        <w:bottom w:val="none" w:sz="0" w:space="0" w:color="auto"/>
        <w:right w:val="none" w:sz="0" w:space="0" w:color="auto"/>
      </w:divBdr>
    </w:div>
    <w:div w:id="622228153">
      <w:bodyDiv w:val="1"/>
      <w:marLeft w:val="0"/>
      <w:marRight w:val="0"/>
      <w:marTop w:val="0"/>
      <w:marBottom w:val="0"/>
      <w:divBdr>
        <w:top w:val="none" w:sz="0" w:space="0" w:color="auto"/>
        <w:left w:val="none" w:sz="0" w:space="0" w:color="auto"/>
        <w:bottom w:val="none" w:sz="0" w:space="0" w:color="auto"/>
        <w:right w:val="none" w:sz="0" w:space="0" w:color="auto"/>
      </w:divBdr>
      <w:divsChild>
        <w:div w:id="323166835">
          <w:marLeft w:val="0"/>
          <w:marRight w:val="0"/>
          <w:marTop w:val="0"/>
          <w:marBottom w:val="0"/>
          <w:divBdr>
            <w:top w:val="none" w:sz="0" w:space="0" w:color="auto"/>
            <w:left w:val="none" w:sz="0" w:space="0" w:color="auto"/>
            <w:bottom w:val="none" w:sz="0" w:space="0" w:color="auto"/>
            <w:right w:val="none" w:sz="0" w:space="0" w:color="auto"/>
          </w:divBdr>
        </w:div>
      </w:divsChild>
    </w:div>
    <w:div w:id="626007942">
      <w:bodyDiv w:val="1"/>
      <w:marLeft w:val="0"/>
      <w:marRight w:val="0"/>
      <w:marTop w:val="0"/>
      <w:marBottom w:val="0"/>
      <w:divBdr>
        <w:top w:val="none" w:sz="0" w:space="0" w:color="auto"/>
        <w:left w:val="none" w:sz="0" w:space="0" w:color="auto"/>
        <w:bottom w:val="none" w:sz="0" w:space="0" w:color="auto"/>
        <w:right w:val="none" w:sz="0" w:space="0" w:color="auto"/>
      </w:divBdr>
      <w:divsChild>
        <w:div w:id="1498498224">
          <w:marLeft w:val="0"/>
          <w:marRight w:val="0"/>
          <w:marTop w:val="0"/>
          <w:marBottom w:val="0"/>
          <w:divBdr>
            <w:top w:val="none" w:sz="0" w:space="0" w:color="auto"/>
            <w:left w:val="none" w:sz="0" w:space="0" w:color="auto"/>
            <w:bottom w:val="none" w:sz="0" w:space="0" w:color="auto"/>
            <w:right w:val="none" w:sz="0" w:space="0" w:color="auto"/>
          </w:divBdr>
        </w:div>
      </w:divsChild>
    </w:div>
    <w:div w:id="631794029">
      <w:bodyDiv w:val="1"/>
      <w:marLeft w:val="0"/>
      <w:marRight w:val="0"/>
      <w:marTop w:val="0"/>
      <w:marBottom w:val="0"/>
      <w:divBdr>
        <w:top w:val="none" w:sz="0" w:space="0" w:color="auto"/>
        <w:left w:val="none" w:sz="0" w:space="0" w:color="auto"/>
        <w:bottom w:val="none" w:sz="0" w:space="0" w:color="auto"/>
        <w:right w:val="none" w:sz="0" w:space="0" w:color="auto"/>
      </w:divBdr>
    </w:div>
    <w:div w:id="647050041">
      <w:bodyDiv w:val="1"/>
      <w:marLeft w:val="0"/>
      <w:marRight w:val="0"/>
      <w:marTop w:val="0"/>
      <w:marBottom w:val="0"/>
      <w:divBdr>
        <w:top w:val="none" w:sz="0" w:space="0" w:color="auto"/>
        <w:left w:val="none" w:sz="0" w:space="0" w:color="auto"/>
        <w:bottom w:val="none" w:sz="0" w:space="0" w:color="auto"/>
        <w:right w:val="none" w:sz="0" w:space="0" w:color="auto"/>
      </w:divBdr>
      <w:divsChild>
        <w:div w:id="1081558282">
          <w:marLeft w:val="0"/>
          <w:marRight w:val="0"/>
          <w:marTop w:val="0"/>
          <w:marBottom w:val="0"/>
          <w:divBdr>
            <w:top w:val="none" w:sz="0" w:space="0" w:color="auto"/>
            <w:left w:val="none" w:sz="0" w:space="0" w:color="auto"/>
            <w:bottom w:val="none" w:sz="0" w:space="0" w:color="auto"/>
            <w:right w:val="none" w:sz="0" w:space="0" w:color="auto"/>
          </w:divBdr>
        </w:div>
      </w:divsChild>
    </w:div>
    <w:div w:id="701983004">
      <w:bodyDiv w:val="1"/>
      <w:marLeft w:val="0"/>
      <w:marRight w:val="0"/>
      <w:marTop w:val="0"/>
      <w:marBottom w:val="0"/>
      <w:divBdr>
        <w:top w:val="none" w:sz="0" w:space="0" w:color="auto"/>
        <w:left w:val="none" w:sz="0" w:space="0" w:color="auto"/>
        <w:bottom w:val="none" w:sz="0" w:space="0" w:color="auto"/>
        <w:right w:val="none" w:sz="0" w:space="0" w:color="auto"/>
      </w:divBdr>
    </w:div>
    <w:div w:id="714698019">
      <w:bodyDiv w:val="1"/>
      <w:marLeft w:val="0"/>
      <w:marRight w:val="0"/>
      <w:marTop w:val="0"/>
      <w:marBottom w:val="0"/>
      <w:divBdr>
        <w:top w:val="none" w:sz="0" w:space="0" w:color="auto"/>
        <w:left w:val="none" w:sz="0" w:space="0" w:color="auto"/>
        <w:bottom w:val="none" w:sz="0" w:space="0" w:color="auto"/>
        <w:right w:val="none" w:sz="0" w:space="0" w:color="auto"/>
      </w:divBdr>
      <w:divsChild>
        <w:div w:id="382602996">
          <w:marLeft w:val="0"/>
          <w:marRight w:val="0"/>
          <w:marTop w:val="0"/>
          <w:marBottom w:val="0"/>
          <w:divBdr>
            <w:top w:val="none" w:sz="0" w:space="0" w:color="auto"/>
            <w:left w:val="none" w:sz="0" w:space="0" w:color="auto"/>
            <w:bottom w:val="none" w:sz="0" w:space="0" w:color="auto"/>
            <w:right w:val="none" w:sz="0" w:space="0" w:color="auto"/>
          </w:divBdr>
        </w:div>
      </w:divsChild>
    </w:div>
    <w:div w:id="767118428">
      <w:bodyDiv w:val="1"/>
      <w:marLeft w:val="0"/>
      <w:marRight w:val="0"/>
      <w:marTop w:val="0"/>
      <w:marBottom w:val="0"/>
      <w:divBdr>
        <w:top w:val="none" w:sz="0" w:space="0" w:color="auto"/>
        <w:left w:val="none" w:sz="0" w:space="0" w:color="auto"/>
        <w:bottom w:val="none" w:sz="0" w:space="0" w:color="auto"/>
        <w:right w:val="none" w:sz="0" w:space="0" w:color="auto"/>
      </w:divBdr>
    </w:div>
    <w:div w:id="768158259">
      <w:bodyDiv w:val="1"/>
      <w:marLeft w:val="0"/>
      <w:marRight w:val="0"/>
      <w:marTop w:val="0"/>
      <w:marBottom w:val="0"/>
      <w:divBdr>
        <w:top w:val="none" w:sz="0" w:space="0" w:color="auto"/>
        <w:left w:val="none" w:sz="0" w:space="0" w:color="auto"/>
        <w:bottom w:val="none" w:sz="0" w:space="0" w:color="auto"/>
        <w:right w:val="none" w:sz="0" w:space="0" w:color="auto"/>
      </w:divBdr>
    </w:div>
    <w:div w:id="810634489">
      <w:bodyDiv w:val="1"/>
      <w:marLeft w:val="0"/>
      <w:marRight w:val="0"/>
      <w:marTop w:val="0"/>
      <w:marBottom w:val="0"/>
      <w:divBdr>
        <w:top w:val="none" w:sz="0" w:space="0" w:color="auto"/>
        <w:left w:val="none" w:sz="0" w:space="0" w:color="auto"/>
        <w:bottom w:val="none" w:sz="0" w:space="0" w:color="auto"/>
        <w:right w:val="none" w:sz="0" w:space="0" w:color="auto"/>
      </w:divBdr>
      <w:divsChild>
        <w:div w:id="2004040489">
          <w:marLeft w:val="0"/>
          <w:marRight w:val="0"/>
          <w:marTop w:val="0"/>
          <w:marBottom w:val="0"/>
          <w:divBdr>
            <w:top w:val="none" w:sz="0" w:space="0" w:color="auto"/>
            <w:left w:val="none" w:sz="0" w:space="0" w:color="auto"/>
            <w:bottom w:val="none" w:sz="0" w:space="0" w:color="auto"/>
            <w:right w:val="none" w:sz="0" w:space="0" w:color="auto"/>
          </w:divBdr>
        </w:div>
      </w:divsChild>
    </w:div>
    <w:div w:id="836924417">
      <w:bodyDiv w:val="1"/>
      <w:marLeft w:val="0"/>
      <w:marRight w:val="0"/>
      <w:marTop w:val="0"/>
      <w:marBottom w:val="0"/>
      <w:divBdr>
        <w:top w:val="none" w:sz="0" w:space="0" w:color="auto"/>
        <w:left w:val="none" w:sz="0" w:space="0" w:color="auto"/>
        <w:bottom w:val="none" w:sz="0" w:space="0" w:color="auto"/>
        <w:right w:val="none" w:sz="0" w:space="0" w:color="auto"/>
      </w:divBdr>
    </w:div>
    <w:div w:id="869150650">
      <w:bodyDiv w:val="1"/>
      <w:marLeft w:val="0"/>
      <w:marRight w:val="0"/>
      <w:marTop w:val="0"/>
      <w:marBottom w:val="0"/>
      <w:divBdr>
        <w:top w:val="none" w:sz="0" w:space="0" w:color="auto"/>
        <w:left w:val="none" w:sz="0" w:space="0" w:color="auto"/>
        <w:bottom w:val="none" w:sz="0" w:space="0" w:color="auto"/>
        <w:right w:val="none" w:sz="0" w:space="0" w:color="auto"/>
      </w:divBdr>
      <w:divsChild>
        <w:div w:id="233516523">
          <w:marLeft w:val="0"/>
          <w:marRight w:val="0"/>
          <w:marTop w:val="0"/>
          <w:marBottom w:val="0"/>
          <w:divBdr>
            <w:top w:val="none" w:sz="0" w:space="0" w:color="auto"/>
            <w:left w:val="none" w:sz="0" w:space="0" w:color="auto"/>
            <w:bottom w:val="none" w:sz="0" w:space="0" w:color="auto"/>
            <w:right w:val="none" w:sz="0" w:space="0" w:color="auto"/>
          </w:divBdr>
        </w:div>
      </w:divsChild>
    </w:div>
    <w:div w:id="883830432">
      <w:bodyDiv w:val="1"/>
      <w:marLeft w:val="0"/>
      <w:marRight w:val="0"/>
      <w:marTop w:val="0"/>
      <w:marBottom w:val="0"/>
      <w:divBdr>
        <w:top w:val="none" w:sz="0" w:space="0" w:color="auto"/>
        <w:left w:val="none" w:sz="0" w:space="0" w:color="auto"/>
        <w:bottom w:val="none" w:sz="0" w:space="0" w:color="auto"/>
        <w:right w:val="none" w:sz="0" w:space="0" w:color="auto"/>
      </w:divBdr>
    </w:div>
    <w:div w:id="887883977">
      <w:bodyDiv w:val="1"/>
      <w:marLeft w:val="0"/>
      <w:marRight w:val="0"/>
      <w:marTop w:val="0"/>
      <w:marBottom w:val="0"/>
      <w:divBdr>
        <w:top w:val="none" w:sz="0" w:space="0" w:color="auto"/>
        <w:left w:val="none" w:sz="0" w:space="0" w:color="auto"/>
        <w:bottom w:val="none" w:sz="0" w:space="0" w:color="auto"/>
        <w:right w:val="none" w:sz="0" w:space="0" w:color="auto"/>
      </w:divBdr>
      <w:divsChild>
        <w:div w:id="1562207434">
          <w:marLeft w:val="0"/>
          <w:marRight w:val="0"/>
          <w:marTop w:val="0"/>
          <w:marBottom w:val="0"/>
          <w:divBdr>
            <w:top w:val="none" w:sz="0" w:space="0" w:color="auto"/>
            <w:left w:val="none" w:sz="0" w:space="0" w:color="auto"/>
            <w:bottom w:val="none" w:sz="0" w:space="0" w:color="auto"/>
            <w:right w:val="none" w:sz="0" w:space="0" w:color="auto"/>
          </w:divBdr>
          <w:divsChild>
            <w:div w:id="1420717113">
              <w:marLeft w:val="0"/>
              <w:marRight w:val="0"/>
              <w:marTop w:val="0"/>
              <w:marBottom w:val="0"/>
              <w:divBdr>
                <w:top w:val="none" w:sz="0" w:space="0" w:color="auto"/>
                <w:left w:val="none" w:sz="0" w:space="0" w:color="auto"/>
                <w:bottom w:val="none" w:sz="0" w:space="0" w:color="auto"/>
                <w:right w:val="none" w:sz="0" w:space="0" w:color="auto"/>
              </w:divBdr>
              <w:divsChild>
                <w:div w:id="611909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1384517">
      <w:bodyDiv w:val="1"/>
      <w:marLeft w:val="0"/>
      <w:marRight w:val="0"/>
      <w:marTop w:val="0"/>
      <w:marBottom w:val="0"/>
      <w:divBdr>
        <w:top w:val="none" w:sz="0" w:space="0" w:color="auto"/>
        <w:left w:val="none" w:sz="0" w:space="0" w:color="auto"/>
        <w:bottom w:val="none" w:sz="0" w:space="0" w:color="auto"/>
        <w:right w:val="none" w:sz="0" w:space="0" w:color="auto"/>
      </w:divBdr>
    </w:div>
    <w:div w:id="899831166">
      <w:bodyDiv w:val="1"/>
      <w:marLeft w:val="0"/>
      <w:marRight w:val="0"/>
      <w:marTop w:val="0"/>
      <w:marBottom w:val="0"/>
      <w:divBdr>
        <w:top w:val="none" w:sz="0" w:space="0" w:color="auto"/>
        <w:left w:val="none" w:sz="0" w:space="0" w:color="auto"/>
        <w:bottom w:val="none" w:sz="0" w:space="0" w:color="auto"/>
        <w:right w:val="none" w:sz="0" w:space="0" w:color="auto"/>
      </w:divBdr>
    </w:div>
    <w:div w:id="965280206">
      <w:bodyDiv w:val="1"/>
      <w:marLeft w:val="0"/>
      <w:marRight w:val="0"/>
      <w:marTop w:val="0"/>
      <w:marBottom w:val="0"/>
      <w:divBdr>
        <w:top w:val="none" w:sz="0" w:space="0" w:color="auto"/>
        <w:left w:val="none" w:sz="0" w:space="0" w:color="auto"/>
        <w:bottom w:val="none" w:sz="0" w:space="0" w:color="auto"/>
        <w:right w:val="none" w:sz="0" w:space="0" w:color="auto"/>
      </w:divBdr>
      <w:divsChild>
        <w:div w:id="1863782813">
          <w:marLeft w:val="0"/>
          <w:marRight w:val="0"/>
          <w:marTop w:val="0"/>
          <w:marBottom w:val="0"/>
          <w:divBdr>
            <w:top w:val="none" w:sz="0" w:space="0" w:color="auto"/>
            <w:left w:val="none" w:sz="0" w:space="0" w:color="auto"/>
            <w:bottom w:val="none" w:sz="0" w:space="0" w:color="auto"/>
            <w:right w:val="none" w:sz="0" w:space="0" w:color="auto"/>
          </w:divBdr>
        </w:div>
      </w:divsChild>
    </w:div>
    <w:div w:id="966396734">
      <w:bodyDiv w:val="1"/>
      <w:marLeft w:val="0"/>
      <w:marRight w:val="0"/>
      <w:marTop w:val="0"/>
      <w:marBottom w:val="0"/>
      <w:divBdr>
        <w:top w:val="none" w:sz="0" w:space="0" w:color="auto"/>
        <w:left w:val="none" w:sz="0" w:space="0" w:color="auto"/>
        <w:bottom w:val="none" w:sz="0" w:space="0" w:color="auto"/>
        <w:right w:val="none" w:sz="0" w:space="0" w:color="auto"/>
      </w:divBdr>
    </w:div>
    <w:div w:id="975139065">
      <w:bodyDiv w:val="1"/>
      <w:marLeft w:val="0"/>
      <w:marRight w:val="0"/>
      <w:marTop w:val="0"/>
      <w:marBottom w:val="0"/>
      <w:divBdr>
        <w:top w:val="none" w:sz="0" w:space="0" w:color="auto"/>
        <w:left w:val="none" w:sz="0" w:space="0" w:color="auto"/>
        <w:bottom w:val="none" w:sz="0" w:space="0" w:color="auto"/>
        <w:right w:val="none" w:sz="0" w:space="0" w:color="auto"/>
      </w:divBdr>
    </w:div>
    <w:div w:id="1014307021">
      <w:bodyDiv w:val="1"/>
      <w:marLeft w:val="0"/>
      <w:marRight w:val="0"/>
      <w:marTop w:val="0"/>
      <w:marBottom w:val="0"/>
      <w:divBdr>
        <w:top w:val="none" w:sz="0" w:space="0" w:color="auto"/>
        <w:left w:val="none" w:sz="0" w:space="0" w:color="auto"/>
        <w:bottom w:val="none" w:sz="0" w:space="0" w:color="auto"/>
        <w:right w:val="none" w:sz="0" w:space="0" w:color="auto"/>
      </w:divBdr>
    </w:div>
    <w:div w:id="1027635120">
      <w:bodyDiv w:val="1"/>
      <w:marLeft w:val="0"/>
      <w:marRight w:val="0"/>
      <w:marTop w:val="0"/>
      <w:marBottom w:val="0"/>
      <w:divBdr>
        <w:top w:val="none" w:sz="0" w:space="0" w:color="auto"/>
        <w:left w:val="none" w:sz="0" w:space="0" w:color="auto"/>
        <w:bottom w:val="none" w:sz="0" w:space="0" w:color="auto"/>
        <w:right w:val="none" w:sz="0" w:space="0" w:color="auto"/>
      </w:divBdr>
      <w:divsChild>
        <w:div w:id="268437753">
          <w:marLeft w:val="0"/>
          <w:marRight w:val="0"/>
          <w:marTop w:val="0"/>
          <w:marBottom w:val="0"/>
          <w:divBdr>
            <w:top w:val="none" w:sz="0" w:space="0" w:color="auto"/>
            <w:left w:val="none" w:sz="0" w:space="0" w:color="auto"/>
            <w:bottom w:val="none" w:sz="0" w:space="0" w:color="auto"/>
            <w:right w:val="none" w:sz="0" w:space="0" w:color="auto"/>
          </w:divBdr>
          <w:divsChild>
            <w:div w:id="246234197">
              <w:marLeft w:val="0"/>
              <w:marRight w:val="0"/>
              <w:marTop w:val="0"/>
              <w:marBottom w:val="0"/>
              <w:divBdr>
                <w:top w:val="none" w:sz="0" w:space="0" w:color="auto"/>
                <w:left w:val="none" w:sz="0" w:space="0" w:color="auto"/>
                <w:bottom w:val="none" w:sz="0" w:space="0" w:color="auto"/>
                <w:right w:val="none" w:sz="0" w:space="0" w:color="auto"/>
              </w:divBdr>
              <w:divsChild>
                <w:div w:id="783422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0983229">
      <w:bodyDiv w:val="1"/>
      <w:marLeft w:val="0"/>
      <w:marRight w:val="0"/>
      <w:marTop w:val="0"/>
      <w:marBottom w:val="0"/>
      <w:divBdr>
        <w:top w:val="none" w:sz="0" w:space="0" w:color="auto"/>
        <w:left w:val="none" w:sz="0" w:space="0" w:color="auto"/>
        <w:bottom w:val="none" w:sz="0" w:space="0" w:color="auto"/>
        <w:right w:val="none" w:sz="0" w:space="0" w:color="auto"/>
      </w:divBdr>
      <w:divsChild>
        <w:div w:id="954599152">
          <w:marLeft w:val="0"/>
          <w:marRight w:val="0"/>
          <w:marTop w:val="0"/>
          <w:marBottom w:val="0"/>
          <w:divBdr>
            <w:top w:val="none" w:sz="0" w:space="0" w:color="auto"/>
            <w:left w:val="none" w:sz="0" w:space="0" w:color="auto"/>
            <w:bottom w:val="none" w:sz="0" w:space="0" w:color="auto"/>
            <w:right w:val="none" w:sz="0" w:space="0" w:color="auto"/>
          </w:divBdr>
        </w:div>
      </w:divsChild>
    </w:div>
    <w:div w:id="1155804544">
      <w:bodyDiv w:val="1"/>
      <w:marLeft w:val="0"/>
      <w:marRight w:val="0"/>
      <w:marTop w:val="0"/>
      <w:marBottom w:val="0"/>
      <w:divBdr>
        <w:top w:val="none" w:sz="0" w:space="0" w:color="auto"/>
        <w:left w:val="none" w:sz="0" w:space="0" w:color="auto"/>
        <w:bottom w:val="none" w:sz="0" w:space="0" w:color="auto"/>
        <w:right w:val="none" w:sz="0" w:space="0" w:color="auto"/>
      </w:divBdr>
      <w:divsChild>
        <w:div w:id="1012219813">
          <w:marLeft w:val="0"/>
          <w:marRight w:val="0"/>
          <w:marTop w:val="0"/>
          <w:marBottom w:val="0"/>
          <w:divBdr>
            <w:top w:val="none" w:sz="0" w:space="0" w:color="auto"/>
            <w:left w:val="none" w:sz="0" w:space="0" w:color="auto"/>
            <w:bottom w:val="none" w:sz="0" w:space="0" w:color="auto"/>
            <w:right w:val="none" w:sz="0" w:space="0" w:color="auto"/>
          </w:divBdr>
        </w:div>
      </w:divsChild>
    </w:div>
    <w:div w:id="1167133749">
      <w:bodyDiv w:val="1"/>
      <w:marLeft w:val="0"/>
      <w:marRight w:val="0"/>
      <w:marTop w:val="0"/>
      <w:marBottom w:val="0"/>
      <w:divBdr>
        <w:top w:val="none" w:sz="0" w:space="0" w:color="auto"/>
        <w:left w:val="none" w:sz="0" w:space="0" w:color="auto"/>
        <w:bottom w:val="none" w:sz="0" w:space="0" w:color="auto"/>
        <w:right w:val="none" w:sz="0" w:space="0" w:color="auto"/>
      </w:divBdr>
      <w:divsChild>
        <w:div w:id="1626693303">
          <w:marLeft w:val="0"/>
          <w:marRight w:val="0"/>
          <w:marTop w:val="0"/>
          <w:marBottom w:val="0"/>
          <w:divBdr>
            <w:top w:val="none" w:sz="0" w:space="0" w:color="auto"/>
            <w:left w:val="none" w:sz="0" w:space="0" w:color="auto"/>
            <w:bottom w:val="none" w:sz="0" w:space="0" w:color="auto"/>
            <w:right w:val="none" w:sz="0" w:space="0" w:color="auto"/>
          </w:divBdr>
        </w:div>
      </w:divsChild>
    </w:div>
    <w:div w:id="1184367023">
      <w:bodyDiv w:val="1"/>
      <w:marLeft w:val="0"/>
      <w:marRight w:val="0"/>
      <w:marTop w:val="0"/>
      <w:marBottom w:val="0"/>
      <w:divBdr>
        <w:top w:val="none" w:sz="0" w:space="0" w:color="auto"/>
        <w:left w:val="none" w:sz="0" w:space="0" w:color="auto"/>
        <w:bottom w:val="none" w:sz="0" w:space="0" w:color="auto"/>
        <w:right w:val="none" w:sz="0" w:space="0" w:color="auto"/>
      </w:divBdr>
    </w:div>
    <w:div w:id="1225334770">
      <w:bodyDiv w:val="1"/>
      <w:marLeft w:val="0"/>
      <w:marRight w:val="0"/>
      <w:marTop w:val="0"/>
      <w:marBottom w:val="0"/>
      <w:divBdr>
        <w:top w:val="none" w:sz="0" w:space="0" w:color="auto"/>
        <w:left w:val="none" w:sz="0" w:space="0" w:color="auto"/>
        <w:bottom w:val="none" w:sz="0" w:space="0" w:color="auto"/>
        <w:right w:val="none" w:sz="0" w:space="0" w:color="auto"/>
      </w:divBdr>
    </w:div>
    <w:div w:id="1231774987">
      <w:bodyDiv w:val="1"/>
      <w:marLeft w:val="0"/>
      <w:marRight w:val="0"/>
      <w:marTop w:val="0"/>
      <w:marBottom w:val="0"/>
      <w:divBdr>
        <w:top w:val="none" w:sz="0" w:space="0" w:color="auto"/>
        <w:left w:val="none" w:sz="0" w:space="0" w:color="auto"/>
        <w:bottom w:val="none" w:sz="0" w:space="0" w:color="auto"/>
        <w:right w:val="none" w:sz="0" w:space="0" w:color="auto"/>
      </w:divBdr>
    </w:div>
    <w:div w:id="1264343748">
      <w:bodyDiv w:val="1"/>
      <w:marLeft w:val="0"/>
      <w:marRight w:val="0"/>
      <w:marTop w:val="0"/>
      <w:marBottom w:val="0"/>
      <w:divBdr>
        <w:top w:val="none" w:sz="0" w:space="0" w:color="auto"/>
        <w:left w:val="none" w:sz="0" w:space="0" w:color="auto"/>
        <w:bottom w:val="none" w:sz="0" w:space="0" w:color="auto"/>
        <w:right w:val="none" w:sz="0" w:space="0" w:color="auto"/>
      </w:divBdr>
    </w:div>
    <w:div w:id="1319268625">
      <w:bodyDiv w:val="1"/>
      <w:marLeft w:val="0"/>
      <w:marRight w:val="0"/>
      <w:marTop w:val="0"/>
      <w:marBottom w:val="0"/>
      <w:divBdr>
        <w:top w:val="none" w:sz="0" w:space="0" w:color="auto"/>
        <w:left w:val="none" w:sz="0" w:space="0" w:color="auto"/>
        <w:bottom w:val="none" w:sz="0" w:space="0" w:color="auto"/>
        <w:right w:val="none" w:sz="0" w:space="0" w:color="auto"/>
      </w:divBdr>
    </w:div>
    <w:div w:id="1406876309">
      <w:bodyDiv w:val="1"/>
      <w:marLeft w:val="0"/>
      <w:marRight w:val="0"/>
      <w:marTop w:val="0"/>
      <w:marBottom w:val="0"/>
      <w:divBdr>
        <w:top w:val="none" w:sz="0" w:space="0" w:color="auto"/>
        <w:left w:val="none" w:sz="0" w:space="0" w:color="auto"/>
        <w:bottom w:val="none" w:sz="0" w:space="0" w:color="auto"/>
        <w:right w:val="none" w:sz="0" w:space="0" w:color="auto"/>
      </w:divBdr>
    </w:div>
    <w:div w:id="1447650868">
      <w:bodyDiv w:val="1"/>
      <w:marLeft w:val="0"/>
      <w:marRight w:val="0"/>
      <w:marTop w:val="0"/>
      <w:marBottom w:val="0"/>
      <w:divBdr>
        <w:top w:val="none" w:sz="0" w:space="0" w:color="auto"/>
        <w:left w:val="none" w:sz="0" w:space="0" w:color="auto"/>
        <w:bottom w:val="none" w:sz="0" w:space="0" w:color="auto"/>
        <w:right w:val="none" w:sz="0" w:space="0" w:color="auto"/>
      </w:divBdr>
    </w:div>
    <w:div w:id="1451361695">
      <w:bodyDiv w:val="1"/>
      <w:marLeft w:val="0"/>
      <w:marRight w:val="0"/>
      <w:marTop w:val="0"/>
      <w:marBottom w:val="0"/>
      <w:divBdr>
        <w:top w:val="none" w:sz="0" w:space="0" w:color="auto"/>
        <w:left w:val="none" w:sz="0" w:space="0" w:color="auto"/>
        <w:bottom w:val="none" w:sz="0" w:space="0" w:color="auto"/>
        <w:right w:val="none" w:sz="0" w:space="0" w:color="auto"/>
      </w:divBdr>
      <w:divsChild>
        <w:div w:id="1496259785">
          <w:marLeft w:val="0"/>
          <w:marRight w:val="0"/>
          <w:marTop w:val="0"/>
          <w:marBottom w:val="0"/>
          <w:divBdr>
            <w:top w:val="none" w:sz="0" w:space="0" w:color="auto"/>
            <w:left w:val="none" w:sz="0" w:space="0" w:color="auto"/>
            <w:bottom w:val="none" w:sz="0" w:space="0" w:color="auto"/>
            <w:right w:val="none" w:sz="0" w:space="0" w:color="auto"/>
          </w:divBdr>
        </w:div>
      </w:divsChild>
    </w:div>
    <w:div w:id="1461261996">
      <w:bodyDiv w:val="1"/>
      <w:marLeft w:val="0"/>
      <w:marRight w:val="0"/>
      <w:marTop w:val="0"/>
      <w:marBottom w:val="0"/>
      <w:divBdr>
        <w:top w:val="none" w:sz="0" w:space="0" w:color="auto"/>
        <w:left w:val="none" w:sz="0" w:space="0" w:color="auto"/>
        <w:bottom w:val="none" w:sz="0" w:space="0" w:color="auto"/>
        <w:right w:val="none" w:sz="0" w:space="0" w:color="auto"/>
      </w:divBdr>
      <w:divsChild>
        <w:div w:id="1805584824">
          <w:marLeft w:val="0"/>
          <w:marRight w:val="0"/>
          <w:marTop w:val="0"/>
          <w:marBottom w:val="0"/>
          <w:divBdr>
            <w:top w:val="none" w:sz="0" w:space="0" w:color="auto"/>
            <w:left w:val="none" w:sz="0" w:space="0" w:color="auto"/>
            <w:bottom w:val="none" w:sz="0" w:space="0" w:color="auto"/>
            <w:right w:val="none" w:sz="0" w:space="0" w:color="auto"/>
          </w:divBdr>
        </w:div>
      </w:divsChild>
    </w:div>
    <w:div w:id="1463885847">
      <w:bodyDiv w:val="1"/>
      <w:marLeft w:val="0"/>
      <w:marRight w:val="0"/>
      <w:marTop w:val="0"/>
      <w:marBottom w:val="0"/>
      <w:divBdr>
        <w:top w:val="none" w:sz="0" w:space="0" w:color="auto"/>
        <w:left w:val="none" w:sz="0" w:space="0" w:color="auto"/>
        <w:bottom w:val="none" w:sz="0" w:space="0" w:color="auto"/>
        <w:right w:val="none" w:sz="0" w:space="0" w:color="auto"/>
      </w:divBdr>
    </w:div>
    <w:div w:id="1544512486">
      <w:bodyDiv w:val="1"/>
      <w:marLeft w:val="0"/>
      <w:marRight w:val="0"/>
      <w:marTop w:val="0"/>
      <w:marBottom w:val="0"/>
      <w:divBdr>
        <w:top w:val="none" w:sz="0" w:space="0" w:color="auto"/>
        <w:left w:val="none" w:sz="0" w:space="0" w:color="auto"/>
        <w:bottom w:val="none" w:sz="0" w:space="0" w:color="auto"/>
        <w:right w:val="none" w:sz="0" w:space="0" w:color="auto"/>
      </w:divBdr>
    </w:div>
    <w:div w:id="1579705452">
      <w:bodyDiv w:val="1"/>
      <w:marLeft w:val="0"/>
      <w:marRight w:val="0"/>
      <w:marTop w:val="0"/>
      <w:marBottom w:val="0"/>
      <w:divBdr>
        <w:top w:val="none" w:sz="0" w:space="0" w:color="auto"/>
        <w:left w:val="none" w:sz="0" w:space="0" w:color="auto"/>
        <w:bottom w:val="none" w:sz="0" w:space="0" w:color="auto"/>
        <w:right w:val="none" w:sz="0" w:space="0" w:color="auto"/>
      </w:divBdr>
    </w:div>
    <w:div w:id="1602295553">
      <w:bodyDiv w:val="1"/>
      <w:marLeft w:val="0"/>
      <w:marRight w:val="0"/>
      <w:marTop w:val="0"/>
      <w:marBottom w:val="0"/>
      <w:divBdr>
        <w:top w:val="none" w:sz="0" w:space="0" w:color="auto"/>
        <w:left w:val="none" w:sz="0" w:space="0" w:color="auto"/>
        <w:bottom w:val="none" w:sz="0" w:space="0" w:color="auto"/>
        <w:right w:val="none" w:sz="0" w:space="0" w:color="auto"/>
      </w:divBdr>
      <w:divsChild>
        <w:div w:id="1754203926">
          <w:marLeft w:val="0"/>
          <w:marRight w:val="0"/>
          <w:marTop w:val="0"/>
          <w:marBottom w:val="0"/>
          <w:divBdr>
            <w:top w:val="none" w:sz="0" w:space="0" w:color="auto"/>
            <w:left w:val="none" w:sz="0" w:space="0" w:color="auto"/>
            <w:bottom w:val="none" w:sz="0" w:space="0" w:color="auto"/>
            <w:right w:val="none" w:sz="0" w:space="0" w:color="auto"/>
          </w:divBdr>
        </w:div>
      </w:divsChild>
    </w:div>
    <w:div w:id="1611889566">
      <w:bodyDiv w:val="1"/>
      <w:marLeft w:val="0"/>
      <w:marRight w:val="0"/>
      <w:marTop w:val="0"/>
      <w:marBottom w:val="0"/>
      <w:divBdr>
        <w:top w:val="none" w:sz="0" w:space="0" w:color="auto"/>
        <w:left w:val="none" w:sz="0" w:space="0" w:color="auto"/>
        <w:bottom w:val="none" w:sz="0" w:space="0" w:color="auto"/>
        <w:right w:val="none" w:sz="0" w:space="0" w:color="auto"/>
      </w:divBdr>
      <w:divsChild>
        <w:div w:id="1657413119">
          <w:marLeft w:val="0"/>
          <w:marRight w:val="0"/>
          <w:marTop w:val="0"/>
          <w:marBottom w:val="0"/>
          <w:divBdr>
            <w:top w:val="none" w:sz="0" w:space="0" w:color="auto"/>
            <w:left w:val="none" w:sz="0" w:space="0" w:color="auto"/>
            <w:bottom w:val="none" w:sz="0" w:space="0" w:color="auto"/>
            <w:right w:val="none" w:sz="0" w:space="0" w:color="auto"/>
          </w:divBdr>
        </w:div>
      </w:divsChild>
    </w:div>
    <w:div w:id="1628123332">
      <w:bodyDiv w:val="1"/>
      <w:marLeft w:val="0"/>
      <w:marRight w:val="0"/>
      <w:marTop w:val="0"/>
      <w:marBottom w:val="0"/>
      <w:divBdr>
        <w:top w:val="none" w:sz="0" w:space="0" w:color="auto"/>
        <w:left w:val="none" w:sz="0" w:space="0" w:color="auto"/>
        <w:bottom w:val="none" w:sz="0" w:space="0" w:color="auto"/>
        <w:right w:val="none" w:sz="0" w:space="0" w:color="auto"/>
      </w:divBdr>
    </w:div>
    <w:div w:id="1712726287">
      <w:bodyDiv w:val="1"/>
      <w:marLeft w:val="0"/>
      <w:marRight w:val="0"/>
      <w:marTop w:val="0"/>
      <w:marBottom w:val="0"/>
      <w:divBdr>
        <w:top w:val="none" w:sz="0" w:space="0" w:color="auto"/>
        <w:left w:val="none" w:sz="0" w:space="0" w:color="auto"/>
        <w:bottom w:val="none" w:sz="0" w:space="0" w:color="auto"/>
        <w:right w:val="none" w:sz="0" w:space="0" w:color="auto"/>
      </w:divBdr>
    </w:div>
    <w:div w:id="1733500985">
      <w:bodyDiv w:val="1"/>
      <w:marLeft w:val="0"/>
      <w:marRight w:val="0"/>
      <w:marTop w:val="0"/>
      <w:marBottom w:val="0"/>
      <w:divBdr>
        <w:top w:val="none" w:sz="0" w:space="0" w:color="auto"/>
        <w:left w:val="none" w:sz="0" w:space="0" w:color="auto"/>
        <w:bottom w:val="none" w:sz="0" w:space="0" w:color="auto"/>
        <w:right w:val="none" w:sz="0" w:space="0" w:color="auto"/>
      </w:divBdr>
    </w:div>
    <w:div w:id="1758482778">
      <w:bodyDiv w:val="1"/>
      <w:marLeft w:val="0"/>
      <w:marRight w:val="0"/>
      <w:marTop w:val="0"/>
      <w:marBottom w:val="0"/>
      <w:divBdr>
        <w:top w:val="none" w:sz="0" w:space="0" w:color="auto"/>
        <w:left w:val="none" w:sz="0" w:space="0" w:color="auto"/>
        <w:bottom w:val="none" w:sz="0" w:space="0" w:color="auto"/>
        <w:right w:val="none" w:sz="0" w:space="0" w:color="auto"/>
      </w:divBdr>
      <w:divsChild>
        <w:div w:id="769012055">
          <w:marLeft w:val="0"/>
          <w:marRight w:val="0"/>
          <w:marTop w:val="0"/>
          <w:marBottom w:val="0"/>
          <w:divBdr>
            <w:top w:val="none" w:sz="0" w:space="0" w:color="auto"/>
            <w:left w:val="none" w:sz="0" w:space="0" w:color="auto"/>
            <w:bottom w:val="none" w:sz="0" w:space="0" w:color="auto"/>
            <w:right w:val="none" w:sz="0" w:space="0" w:color="auto"/>
          </w:divBdr>
        </w:div>
      </w:divsChild>
    </w:div>
    <w:div w:id="1784183906">
      <w:bodyDiv w:val="1"/>
      <w:marLeft w:val="0"/>
      <w:marRight w:val="0"/>
      <w:marTop w:val="0"/>
      <w:marBottom w:val="0"/>
      <w:divBdr>
        <w:top w:val="none" w:sz="0" w:space="0" w:color="auto"/>
        <w:left w:val="none" w:sz="0" w:space="0" w:color="auto"/>
        <w:bottom w:val="none" w:sz="0" w:space="0" w:color="auto"/>
        <w:right w:val="none" w:sz="0" w:space="0" w:color="auto"/>
      </w:divBdr>
      <w:divsChild>
        <w:div w:id="1606814400">
          <w:marLeft w:val="0"/>
          <w:marRight w:val="0"/>
          <w:marTop w:val="0"/>
          <w:marBottom w:val="0"/>
          <w:divBdr>
            <w:top w:val="none" w:sz="0" w:space="0" w:color="auto"/>
            <w:left w:val="none" w:sz="0" w:space="0" w:color="auto"/>
            <w:bottom w:val="none" w:sz="0" w:space="0" w:color="auto"/>
            <w:right w:val="none" w:sz="0" w:space="0" w:color="auto"/>
          </w:divBdr>
          <w:divsChild>
            <w:div w:id="1422753300">
              <w:marLeft w:val="0"/>
              <w:marRight w:val="0"/>
              <w:marTop w:val="0"/>
              <w:marBottom w:val="0"/>
              <w:divBdr>
                <w:top w:val="none" w:sz="0" w:space="0" w:color="auto"/>
                <w:left w:val="none" w:sz="0" w:space="0" w:color="auto"/>
                <w:bottom w:val="none" w:sz="0" w:space="0" w:color="auto"/>
                <w:right w:val="none" w:sz="0" w:space="0" w:color="auto"/>
              </w:divBdr>
              <w:divsChild>
                <w:div w:id="441805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459367">
      <w:bodyDiv w:val="1"/>
      <w:marLeft w:val="0"/>
      <w:marRight w:val="0"/>
      <w:marTop w:val="0"/>
      <w:marBottom w:val="0"/>
      <w:divBdr>
        <w:top w:val="none" w:sz="0" w:space="0" w:color="auto"/>
        <w:left w:val="none" w:sz="0" w:space="0" w:color="auto"/>
        <w:bottom w:val="none" w:sz="0" w:space="0" w:color="auto"/>
        <w:right w:val="none" w:sz="0" w:space="0" w:color="auto"/>
      </w:divBdr>
      <w:divsChild>
        <w:div w:id="1162964592">
          <w:marLeft w:val="0"/>
          <w:marRight w:val="0"/>
          <w:marTop w:val="0"/>
          <w:marBottom w:val="0"/>
          <w:divBdr>
            <w:top w:val="none" w:sz="0" w:space="0" w:color="auto"/>
            <w:left w:val="none" w:sz="0" w:space="0" w:color="auto"/>
            <w:bottom w:val="none" w:sz="0" w:space="0" w:color="auto"/>
            <w:right w:val="none" w:sz="0" w:space="0" w:color="auto"/>
          </w:divBdr>
        </w:div>
      </w:divsChild>
    </w:div>
    <w:div w:id="1870725716">
      <w:bodyDiv w:val="1"/>
      <w:marLeft w:val="0"/>
      <w:marRight w:val="0"/>
      <w:marTop w:val="0"/>
      <w:marBottom w:val="0"/>
      <w:divBdr>
        <w:top w:val="none" w:sz="0" w:space="0" w:color="auto"/>
        <w:left w:val="none" w:sz="0" w:space="0" w:color="auto"/>
        <w:bottom w:val="none" w:sz="0" w:space="0" w:color="auto"/>
        <w:right w:val="none" w:sz="0" w:space="0" w:color="auto"/>
      </w:divBdr>
      <w:divsChild>
        <w:div w:id="892935103">
          <w:marLeft w:val="0"/>
          <w:marRight w:val="0"/>
          <w:marTop w:val="0"/>
          <w:marBottom w:val="0"/>
          <w:divBdr>
            <w:top w:val="none" w:sz="0" w:space="0" w:color="auto"/>
            <w:left w:val="none" w:sz="0" w:space="0" w:color="auto"/>
            <w:bottom w:val="none" w:sz="0" w:space="0" w:color="auto"/>
            <w:right w:val="none" w:sz="0" w:space="0" w:color="auto"/>
          </w:divBdr>
        </w:div>
      </w:divsChild>
    </w:div>
    <w:div w:id="1877816896">
      <w:bodyDiv w:val="1"/>
      <w:marLeft w:val="0"/>
      <w:marRight w:val="0"/>
      <w:marTop w:val="0"/>
      <w:marBottom w:val="0"/>
      <w:divBdr>
        <w:top w:val="none" w:sz="0" w:space="0" w:color="auto"/>
        <w:left w:val="none" w:sz="0" w:space="0" w:color="auto"/>
        <w:bottom w:val="none" w:sz="0" w:space="0" w:color="auto"/>
        <w:right w:val="none" w:sz="0" w:space="0" w:color="auto"/>
      </w:divBdr>
    </w:div>
    <w:div w:id="1940945634">
      <w:bodyDiv w:val="1"/>
      <w:marLeft w:val="0"/>
      <w:marRight w:val="0"/>
      <w:marTop w:val="0"/>
      <w:marBottom w:val="0"/>
      <w:divBdr>
        <w:top w:val="none" w:sz="0" w:space="0" w:color="auto"/>
        <w:left w:val="none" w:sz="0" w:space="0" w:color="auto"/>
        <w:bottom w:val="none" w:sz="0" w:space="0" w:color="auto"/>
        <w:right w:val="none" w:sz="0" w:space="0" w:color="auto"/>
      </w:divBdr>
    </w:div>
    <w:div w:id="2009750954">
      <w:bodyDiv w:val="1"/>
      <w:marLeft w:val="0"/>
      <w:marRight w:val="0"/>
      <w:marTop w:val="0"/>
      <w:marBottom w:val="0"/>
      <w:divBdr>
        <w:top w:val="none" w:sz="0" w:space="0" w:color="auto"/>
        <w:left w:val="none" w:sz="0" w:space="0" w:color="auto"/>
        <w:bottom w:val="none" w:sz="0" w:space="0" w:color="auto"/>
        <w:right w:val="none" w:sz="0" w:space="0" w:color="auto"/>
      </w:divBdr>
      <w:divsChild>
        <w:div w:id="1599408358">
          <w:marLeft w:val="0"/>
          <w:marRight w:val="0"/>
          <w:marTop w:val="0"/>
          <w:marBottom w:val="0"/>
          <w:divBdr>
            <w:top w:val="none" w:sz="0" w:space="0" w:color="auto"/>
            <w:left w:val="none" w:sz="0" w:space="0" w:color="auto"/>
            <w:bottom w:val="none" w:sz="0" w:space="0" w:color="auto"/>
            <w:right w:val="none" w:sz="0" w:space="0" w:color="auto"/>
          </w:divBdr>
        </w:div>
      </w:divsChild>
    </w:div>
    <w:div w:id="2030402720">
      <w:bodyDiv w:val="1"/>
      <w:marLeft w:val="0"/>
      <w:marRight w:val="0"/>
      <w:marTop w:val="0"/>
      <w:marBottom w:val="0"/>
      <w:divBdr>
        <w:top w:val="none" w:sz="0" w:space="0" w:color="auto"/>
        <w:left w:val="none" w:sz="0" w:space="0" w:color="auto"/>
        <w:bottom w:val="none" w:sz="0" w:space="0" w:color="auto"/>
        <w:right w:val="none" w:sz="0" w:space="0" w:color="auto"/>
      </w:divBdr>
    </w:div>
    <w:div w:id="2068259588">
      <w:bodyDiv w:val="1"/>
      <w:marLeft w:val="0"/>
      <w:marRight w:val="0"/>
      <w:marTop w:val="0"/>
      <w:marBottom w:val="0"/>
      <w:divBdr>
        <w:top w:val="none" w:sz="0" w:space="0" w:color="auto"/>
        <w:left w:val="none" w:sz="0" w:space="0" w:color="auto"/>
        <w:bottom w:val="none" w:sz="0" w:space="0" w:color="auto"/>
        <w:right w:val="none" w:sz="0" w:space="0" w:color="auto"/>
      </w:divBdr>
    </w:div>
    <w:div w:id="2120876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5588</Words>
  <Characters>31854</Characters>
  <Application>Microsoft Office Word</Application>
  <DocSecurity>0</DocSecurity>
  <Lines>265</Lines>
  <Paragraphs>74</Paragraphs>
  <ScaleCrop>false</ScaleCrop>
  <Company/>
  <LinksUpToDate>false</LinksUpToDate>
  <CharactersWithSpaces>37368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Mitchell</dc:creator>
  <cp:keywords/>
  <dc:description/>
  <cp:lastModifiedBy>Jordan Mitchell</cp:lastModifiedBy>
  <cp:revision>260</cp:revision>
  <dcterms:created xsi:type="dcterms:W3CDTF">2024-07-23T17:28:00Z</dcterms:created>
  <dcterms:modified xsi:type="dcterms:W3CDTF">2024-08-19T09:46:00Z</dcterms:modified>
</cp:coreProperties>
</file>