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sz="12" w:space="0"/>
        </w:tblBorders>
        <w:tblLayout w:type="autofit"/>
        <w:tblCellMar>
          <w:top w:w="1296" w:type="dxa"/>
          <w:left w:w="360" w:type="dxa"/>
          <w:bottom w:w="1296" w:type="dxa"/>
          <w:right w:w="360" w:type="dxa"/>
        </w:tblCellMar>
      </w:tblPr>
      <w:tblGrid>
        <w:gridCol w:w="6132"/>
        <w:gridCol w:w="2894"/>
      </w:tblGrid>
      <w:tr>
        <w:tblPrEx>
          <w:tblBorders>
            <w:top w:val="none" w:color="auto" w:sz="0" w:space="0"/>
            <w:left w:val="none" w:color="auto" w:sz="0" w:space="0"/>
            <w:bottom w:val="none" w:color="auto" w:sz="0" w:space="0"/>
            <w:right w:val="none" w:color="auto" w:sz="0" w:space="0"/>
            <w:insideH w:val="none" w:color="auto" w:sz="0" w:space="0"/>
            <w:insideV w:val="single" w:color="ED7D31" w:sz="12" w:space="0"/>
          </w:tblBorders>
          <w:tblCellMar>
            <w:top w:w="1296" w:type="dxa"/>
            <w:left w:w="360" w:type="dxa"/>
            <w:bottom w:w="1296" w:type="dxa"/>
            <w:right w:w="360" w:type="dxa"/>
          </w:tblCellMar>
        </w:tblPrEx>
        <w:trPr>
          <w:jc w:val="center"/>
        </w:trPr>
        <w:tc>
          <w:tcPr>
            <w:tcW w:w="2568" w:type="pct"/>
            <w:vAlign w:val="center"/>
          </w:tcPr>
          <w:p>
            <w:pPr>
              <w:widowControl/>
              <w:spacing w:after="160" w:line="259" w:lineRule="auto"/>
              <w:jc w:val="right"/>
              <w:rPr>
                <w:rFonts w:ascii="Calibri" w:hAnsi="Calibri" w:eastAsia="等线" w:cs="Times New Roman"/>
                <w:kern w:val="0"/>
                <w:sz w:val="22"/>
                <w:szCs w:val="22"/>
                <w:lang w:val="en-GB"/>
              </w:rPr>
            </w:pPr>
            <w:r>
              <w:rPr>
                <w:rFonts w:ascii="Calibri" w:hAnsi="Calibri" w:eastAsia="等线" w:cs="Times New Roman"/>
                <w:kern w:val="0"/>
                <w:sz w:val="22"/>
                <w:szCs w:val="22"/>
                <w:lang w:val="en-GB"/>
              </w:rPr>
              <w:drawing>
                <wp:inline distT="0" distB="0" distL="0" distR="0">
                  <wp:extent cx="3064510" cy="3830955"/>
                  <wp:effectExtent l="0" t="0" r="2540" b="762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spacing w:after="0" w:line="312" w:lineRule="auto"/>
              <w:jc w:val="right"/>
              <w:rPr>
                <w:rFonts w:ascii="Calibri" w:hAnsi="Calibri" w:eastAsia="等线" w:cs="Times New Roman"/>
                <w:caps/>
                <w:color w:val="000000"/>
                <w:sz w:val="72"/>
                <w:szCs w:val="72"/>
                <w:lang w:val="en-US" w:eastAsia="en-US" w:bidi="ar-SA"/>
                <w14:textFill>
                  <w14:solidFill>
                    <w14:srgbClr w14:val="000000">
                      <w14:lumMod w14:val="90000"/>
                      <w14:lumOff w14:val="10000"/>
                    </w14:srgbClr>
                  </w14:solidFill>
                </w14:textFill>
              </w:rPr>
            </w:pPr>
            <w:r>
              <w:rPr>
                <w:rFonts w:hint="eastAsia" w:ascii="Calibri" w:hAnsi="Calibri" w:eastAsia="等线" w:cs="Times New Roman"/>
                <w:caps/>
                <w:color w:val="000000"/>
                <w:sz w:val="72"/>
                <w:szCs w:val="72"/>
                <w:lang w:val="en-GB" w:eastAsia="zh-CN" w:bidi="ar-SA"/>
                <w14:textFill>
                  <w14:solidFill>
                    <w14:srgbClr w14:val="000000">
                      <w14:lumMod w14:val="90000"/>
                      <w14:lumOff w14:val="10000"/>
                    </w14:srgbClr>
                  </w14:solidFill>
                </w14:textFill>
              </w:rPr>
              <w:t>International Business Communication</w:t>
            </w:r>
            <w:sdt>
              <w:sdtPr>
                <w:rPr>
                  <w:rFonts w:ascii="Calibri" w:hAnsi="Calibri" w:eastAsia="等线" w:cs="Times New Roman"/>
                  <w:caps/>
                  <w:color w:val="000000"/>
                  <w:sz w:val="72"/>
                  <w:szCs w:val="72"/>
                  <w:lang w:val="en-GB" w:eastAsia="zh-CN" w:bidi="ar-SA"/>
                  <w14:textFill>
                    <w14:solidFill>
                      <w14:srgbClr w14:val="000000">
                        <w14:lumMod w14:val="90000"/>
                        <w14:lumOff w14:val="10000"/>
                      </w14:srgb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ascii="Calibri" w:hAnsi="Calibri" w:eastAsia="等线" w:cs="Times New Roman"/>
                  <w:caps/>
                  <w:color w:val="000000"/>
                  <w:sz w:val="72"/>
                  <w:szCs w:val="72"/>
                  <w:lang w:val="en-US" w:eastAsia="en-US" w:bidi="ar-SA"/>
                  <w14:textFill>
                    <w14:solidFill>
                      <w14:srgbClr w14:val="000000">
                        <w14:lumMod w14:val="90000"/>
                        <w14:lumOff w14:val="10000"/>
                      </w14:srgbClr>
                    </w14:solidFill>
                  </w14:textFill>
                </w:rPr>
              </w:sdtEndPr>
              <w:sdtContent/>
            </w:sdt>
          </w:p>
          <w:p>
            <w:pPr>
              <w:widowControl/>
              <w:spacing w:after="160" w:line="259" w:lineRule="auto"/>
              <w:jc w:val="right"/>
              <w:rPr>
                <w:rFonts w:hint="eastAsia" w:ascii="Calibri" w:hAnsi="Calibri" w:eastAsia="等线" w:cs="Times New Roman"/>
                <w:color w:val="000000"/>
                <w:kern w:val="0"/>
                <w:sz w:val="24"/>
                <w:szCs w:val="24"/>
                <w:lang w:val="en-GB" w:eastAsia="zh-CN" w:bidi="ar-SA"/>
              </w:rPr>
            </w:pPr>
            <w:sdt>
              <w:sdtPr>
                <w:rPr>
                  <w:rFonts w:ascii="Calibri" w:hAnsi="Calibri" w:eastAsia="等线" w:cs="Times New Roman"/>
                  <w:color w:val="000000"/>
                  <w:sz w:val="24"/>
                  <w:szCs w:val="24"/>
                  <w:lang w:val="en-GB" w:eastAsia="zh-CN" w:bidi="ar-SA"/>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rFonts w:ascii="Calibri" w:hAnsi="Calibri" w:eastAsia="等线" w:cs="Times New Roman"/>
                  <w:color w:val="000000"/>
                  <w:kern w:val="0"/>
                  <w:sz w:val="24"/>
                  <w:szCs w:val="24"/>
                  <w:lang w:val="en-GB" w:eastAsia="zh-CN" w:bidi="ar-SA"/>
                </w:rPr>
              </w:sdtEndPr>
              <w:sdtContent>
                <w:bookmarkStart w:id="14" w:name="_GoBack"/>
                <w:bookmarkEnd w:id="14"/>
              </w:sdtContent>
            </w:sdt>
          </w:p>
          <w:p>
            <w:pPr>
              <w:widowControl/>
              <w:wordWrap w:val="0"/>
              <w:spacing w:after="160" w:line="259" w:lineRule="auto"/>
              <w:jc w:val="right"/>
              <w:rPr>
                <w:rFonts w:hint="default" w:ascii="Calibri" w:hAnsi="Calibri" w:eastAsia="等线" w:cs="Times New Roman"/>
                <w:color w:val="000000"/>
                <w:kern w:val="0"/>
                <w:sz w:val="24"/>
                <w:szCs w:val="24"/>
                <w:lang w:val="en-US" w:eastAsia="zh-CN" w:bidi="ar-SA"/>
              </w:rPr>
            </w:pPr>
            <w:r>
              <w:rPr>
                <w:rFonts w:hint="eastAsia" w:ascii="Calibri" w:hAnsi="Calibri" w:eastAsia="等线" w:cs="Times New Roman"/>
                <w:color w:val="000000"/>
                <w:kern w:val="0"/>
                <w:sz w:val="24"/>
                <w:szCs w:val="24"/>
                <w:lang w:val="en-US" w:eastAsia="zh-CN" w:bidi="ar-SA"/>
              </w:rPr>
              <w:t>Junyan Lan</w:t>
            </w:r>
          </w:p>
        </w:tc>
        <w:tc>
          <w:tcPr>
            <w:tcW w:w="2432" w:type="pct"/>
            <w:vAlign w:val="center"/>
          </w:tcPr>
          <w:p>
            <w:pPr>
              <w:spacing w:after="0" w:line="240" w:lineRule="auto"/>
              <w:rPr>
                <w:rFonts w:ascii="Calibri" w:hAnsi="Calibri" w:eastAsia="等线" w:cs="Times New Roman"/>
                <w:caps/>
                <w:color w:val="ED7D31"/>
                <w:sz w:val="26"/>
                <w:szCs w:val="26"/>
                <w:lang w:val="en-US" w:eastAsia="en-US" w:bidi="ar-SA"/>
              </w:rPr>
            </w:pPr>
            <w:r>
              <w:rPr>
                <w:rFonts w:ascii="Calibri" w:hAnsi="Calibri" w:eastAsia="等线" w:cs="Times New Roman"/>
                <w:caps/>
                <w:color w:val="ED7D31"/>
                <w:sz w:val="26"/>
                <w:szCs w:val="26"/>
                <w:lang w:val="en-US" w:eastAsia="en-US" w:bidi="ar-SA"/>
              </w:rPr>
              <w:t>Abstract</w:t>
            </w:r>
          </w:p>
          <w:p>
            <w:pPr>
              <w:widowControl/>
              <w:spacing w:after="160" w:line="259" w:lineRule="auto"/>
              <w:jc w:val="left"/>
              <w:rPr>
                <w:rFonts w:ascii="Calibri" w:hAnsi="Calibri" w:eastAsia="等线" w:cs="Times New Roman"/>
                <w:color w:val="000000"/>
                <w:kern w:val="0"/>
                <w:sz w:val="22"/>
                <w:szCs w:val="22"/>
                <w:lang w:val="en-GB"/>
              </w:rPr>
            </w:pPr>
            <w:sdt>
              <w:sdtPr>
                <w:rPr>
                  <w:rFonts w:ascii="Calibri" w:hAnsi="Calibri" w:eastAsia="等线" w:cs="Times New Roman"/>
                  <w:color w:val="000000"/>
                  <w:sz w:val="22"/>
                  <w:szCs w:val="22"/>
                  <w:lang w:val="en-GB" w:eastAsia="zh-CN" w:bidi="ar-SA"/>
                </w:rPr>
                <w:alias w:val="Abstract"/>
                <w:id w:val="-2036181933"/>
                <w:dataBinding w:prefixMappings="xmlns:ns0='http://schemas.microsoft.com/office/2006/coverPageProps' " w:xpath="/ns0:CoverPageProperties[1]/ns0:Abstract[1]" w:storeItemID="{55AF091B-3C7A-41E3-B477-F2FDAA23CFDA}"/>
                <w:text/>
              </w:sdtPr>
              <w:sdtEndPr>
                <w:rPr>
                  <w:rFonts w:ascii="Calibri" w:hAnsi="Calibri" w:eastAsia="等线" w:cs="Times New Roman"/>
                  <w:color w:val="000000"/>
                  <w:kern w:val="0"/>
                  <w:sz w:val="22"/>
                  <w:szCs w:val="22"/>
                  <w:lang w:val="en-GB" w:eastAsia="zh-CN" w:bidi="ar-SA"/>
                </w:rPr>
              </w:sdtEndPr>
              <w:sdtContent/>
            </w:sdt>
            <w:r>
              <w:rPr>
                <w:rFonts w:hint="eastAsia" w:ascii="Calibri" w:hAnsi="Calibri" w:eastAsia="等线" w:cs="Times New Roman"/>
                <w:color w:val="000000"/>
                <w:kern w:val="0"/>
                <w:sz w:val="22"/>
                <w:szCs w:val="22"/>
                <w:lang w:val="en-GB" w:eastAsia="zh-CN" w:bidi="ar-SA"/>
              </w:rPr>
              <w:t>Reflexive analysis of international business exchanges: challenges and strategies for UK firms engaging with Japan</w:t>
            </w:r>
          </w:p>
          <w:p>
            <w:pPr>
              <w:spacing w:after="0" w:line="240" w:lineRule="auto"/>
              <w:rPr>
                <w:color w:val="EE822F" w:themeColor="accent2"/>
                <w:sz w:val="26"/>
                <w:szCs w:val="26"/>
                <w:lang w:val="en-US" w:eastAsia="en-US"/>
                <w14:textFill>
                  <w14:solidFill>
                    <w14:schemeClr w14:val="accent2"/>
                  </w14:solidFill>
                </w14:textFill>
              </w:rPr>
            </w:pPr>
            <w:sdt>
              <w:sdtPr>
                <w:rPr>
                  <w:rFonts w:ascii="Calibri" w:hAnsi="Calibri" w:eastAsia="等线" w:cs="Times New Roman"/>
                  <w:color w:val="ED7D31"/>
                  <w:sz w:val="26"/>
                  <w:szCs w:val="26"/>
                  <w:lang w:val="en-GB" w:eastAsia="zh-CN" w:bidi="ar-SA"/>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ascii="Calibri" w:hAnsi="Calibri" w:eastAsia="等线" w:cs="Times New Roman"/>
                  <w:color w:val="ED7D31"/>
                  <w:sz w:val="26"/>
                  <w:szCs w:val="26"/>
                  <w:lang w:val="en-US" w:eastAsia="en-US" w:bidi="ar-SA"/>
                </w:rPr>
              </w:sdtEndPr>
              <w:sdtContent/>
            </w:sdt>
          </w:p>
          <w:p>
            <w:pPr>
              <w:spacing w:after="0" w:line="240" w:lineRule="auto"/>
              <w:rPr>
                <w:rFonts w:ascii="Calibri" w:hAnsi="Calibri" w:eastAsia="等线" w:cs="Times New Roman"/>
                <w:sz w:val="22"/>
                <w:szCs w:val="22"/>
                <w:lang w:val="en-US" w:eastAsia="en-US" w:bidi="ar-SA"/>
              </w:rPr>
            </w:pPr>
            <w:sdt>
              <w:sdtPr>
                <w:rPr>
                  <w:rFonts w:ascii="Calibri" w:hAnsi="Calibri" w:eastAsia="等线" w:cs="Times New Roman"/>
                  <w:color w:val="44546A"/>
                  <w:sz w:val="22"/>
                  <w:szCs w:val="22"/>
                  <w:lang w:val="en-US" w:eastAsia="en-US" w:bidi="ar-SA"/>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ascii="Calibri" w:hAnsi="Calibri" w:eastAsia="等线" w:cs="Times New Roman"/>
                  <w:color w:val="44546A"/>
                  <w:sz w:val="22"/>
                  <w:szCs w:val="22"/>
                  <w:lang w:val="en-US" w:eastAsia="en-US" w:bidi="ar-SA"/>
                </w:rPr>
              </w:sdtEndPr>
              <w:sdtContent/>
            </w:sdt>
            <w:r>
              <w:rPr>
                <w:rFonts w:hint="eastAsia" w:ascii="Calibri" w:hAnsi="Calibri" w:eastAsia="等线" w:cs="Times New Roman"/>
                <w:color w:val="44546A"/>
                <w:sz w:val="22"/>
                <w:szCs w:val="22"/>
                <w:lang w:val="en-US" w:eastAsia="en-US" w:bidi="ar-SA"/>
              </w:rPr>
              <w:t>International Business Communication</w:t>
            </w:r>
          </w:p>
        </w:tc>
      </w:tr>
    </w:tbl>
    <w:p>
      <w:pPr>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68346"/>
        <w15:color w:val="DBDBDB"/>
        <w:docPartObj>
          <w:docPartGallery w:val="Table of Contents"/>
          <w:docPartUnique/>
        </w:docPartObj>
      </w:sdtPr>
      <w:sdtEndPr>
        <w:rPr>
          <w:rFonts w:hint="default" w:ascii="Times New Roman" w:hAnsi="Times New Roman" w:cs="Times New Roman" w:eastAsiaTheme="minorEastAsia"/>
          <w:b/>
          <w:bCs/>
          <w:kern w:val="2"/>
          <w:sz w:val="21"/>
          <w:szCs w:val="28"/>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w:t>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"1-2" \h \u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_Toc25029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rPr>
            <w:t>1.0 Introduction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_Toc25029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3</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_Toc24876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rPr>
            <w:t>2.0 International Business Communication Situation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_Toc24876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3</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_Toc2371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1Language barriers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_Toc17293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Business etiquette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_Toc17293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_Toc19629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2.3</w:t>
          </w:r>
          <w:r>
            <w:rPr>
              <w:rFonts w:hint="default" w:ascii="Times New Roman" w:hAnsi="Times New Roman" w:cs="Times New Roman"/>
              <w:sz w:val="24"/>
              <w:szCs w:val="24"/>
            </w:rPr>
            <w:t>Cultural differences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_Toc19629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_Toc23104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2.4</w:t>
          </w:r>
          <w:r>
            <w:rPr>
              <w:rFonts w:hint="default" w:ascii="Times New Roman" w:hAnsi="Times New Roman" w:cs="Times New Roman"/>
              <w:sz w:val="24"/>
              <w:szCs w:val="24"/>
            </w:rPr>
            <w:t xml:space="preserve"> Regulations and systems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_Toc23104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_Toc995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2.5</w:t>
          </w:r>
          <w:r>
            <w:rPr>
              <w:rFonts w:hint="default" w:ascii="Times New Roman" w:hAnsi="Times New Roman" w:cs="Times New Roman"/>
              <w:sz w:val="24"/>
              <w:szCs w:val="24"/>
            </w:rPr>
            <w:t xml:space="preserve"> Selection of partners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_Toc26712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rPr>
            <w:t>3.0 Challenge Response Strategy Options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_Toc26712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5</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_Toc19855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3.1 Cross-cultural communication training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_Toc534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3.2 Use of translation services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_Toc9259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3.3 Technical support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_Toc31330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lang w:val="en-US" w:eastAsia="zh-CN"/>
            </w:rPr>
            <w:t>4.0</w:t>
          </w:r>
          <w:r>
            <w:rPr>
              <w:rFonts w:hint="default" w:ascii="Times New Roman" w:hAnsi="Times New Roman" w:cs="Times New Roman"/>
              <w:b/>
              <w:sz w:val="24"/>
              <w:szCs w:val="24"/>
            </w:rPr>
            <w:t>Conclusion: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_Toc31330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7</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_Toc4102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lang w:val="en-US" w:eastAsia="zh-CN"/>
            </w:rPr>
            <w:t>5.0</w:t>
          </w:r>
          <w:r>
            <w:rPr>
              <w:rFonts w:hint="default" w:ascii="Times New Roman" w:hAnsi="Times New Roman" w:cs="Times New Roman"/>
              <w:b/>
              <w:sz w:val="24"/>
              <w:szCs w:val="24"/>
            </w:rPr>
            <w:t>Recommendations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_Toc4102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8</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b/>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_Toc23856 </w:instrText>
          </w:r>
          <w:r>
            <w:rPr>
              <w:rFonts w:hint="default" w:ascii="Times New Roman" w:hAnsi="Times New Roman" w:cs="Times New Roman"/>
              <w:b/>
              <w:bCs/>
              <w:sz w:val="24"/>
              <w:szCs w:val="24"/>
            </w:rPr>
            <w:fldChar w:fldCharType="separate"/>
          </w:r>
          <w:r>
            <w:rPr>
              <w:rFonts w:hint="default" w:ascii="Times New Roman" w:hAnsi="Times New Roman" w:cs="Times New Roman"/>
              <w:b/>
              <w:sz w:val="24"/>
              <w:szCs w:val="24"/>
            </w:rPr>
            <w:t>References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_Toc23856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9</w:t>
          </w:r>
          <w:r>
            <w:rPr>
              <w:rFonts w:hint="default" w:ascii="Times New Roman" w:hAnsi="Times New Roman" w:cs="Times New Roman"/>
              <w:b/>
              <w:sz w:val="24"/>
              <w:szCs w:val="24"/>
            </w:rPr>
            <w:fldChar w:fldCharType="end"/>
          </w:r>
          <w:r>
            <w:rPr>
              <w:rFonts w:hint="default" w:ascii="Times New Roman" w:hAnsi="Times New Roman" w:cs="Times New Roman"/>
              <w:b/>
              <w:bCs/>
              <w:sz w:val="24"/>
              <w:szCs w:val="24"/>
            </w:rPr>
            <w:fldChar w:fldCharType="end"/>
          </w:r>
        </w:p>
        <w:p>
          <w:pPr>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bCs/>
              <w:sz w:val="24"/>
              <w:szCs w:val="24"/>
            </w:rPr>
            <w:fldChar w:fldCharType="end"/>
          </w:r>
        </w:p>
      </w:sdtContent>
    </w:sdt>
    <w:p>
      <w:pPr>
        <w:pStyle w:val="2"/>
        <w:bidi w:val="0"/>
        <w:rPr>
          <w:rFonts w:hint="default" w:ascii="Times New Roman" w:hAnsi="Times New Roman" w:cs="Times New Roman"/>
          <w:sz w:val="28"/>
          <w:szCs w:val="28"/>
        </w:rPr>
      </w:pPr>
      <w:bookmarkStart w:id="0" w:name="_Toc25029"/>
      <w:r>
        <w:rPr>
          <w:rFonts w:hint="default" w:ascii="Times New Roman" w:hAnsi="Times New Roman" w:cs="Times New Roman"/>
          <w:sz w:val="28"/>
          <w:szCs w:val="28"/>
        </w:rPr>
        <w:t>1.0 Introduction</w:t>
      </w:r>
      <w:bookmarkEnd w:id="0"/>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today's globalized world, international business communication has become one of the key factors for business success. Especially for UK companies, understanding and adapting to the business communication environments of different countries is crucial. In this thesis, Japan is chosen as the object of study with the aim of analyzing various business communication situations that UK companies may face when conducting business activities in Japan and suggesting corresponding strategies to deal with them.</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Japan is the world's third largest economy with a highly developed economy and a strong consumer market, making it highly attractive to UK companies. However, the business culture and communication styles in Japan are significantly different from those in the UK, which poses challenges for UK companies doing business in Japan.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This essay will use the Gibbs Reflective Cycle Model to reflect and analyze the business communication situation of UK companies in Japan in depth, with a view to proposing effective coping strategies to help UK companies better conduct business in the Japanese market.</w:t>
      </w:r>
    </w:p>
    <w:p>
      <w:pPr>
        <w:rPr>
          <w:rFonts w:hint="default" w:ascii="Times New Roman" w:hAnsi="Times New Roman" w:cs="Times New Roman"/>
          <w:sz w:val="24"/>
          <w:szCs w:val="24"/>
        </w:rPr>
      </w:pPr>
    </w:p>
    <w:p>
      <w:pPr>
        <w:pStyle w:val="2"/>
        <w:bidi w:val="0"/>
        <w:rPr>
          <w:rFonts w:hint="default" w:ascii="Times New Roman" w:hAnsi="Times New Roman" w:cs="Times New Roman"/>
          <w:sz w:val="28"/>
          <w:szCs w:val="28"/>
        </w:rPr>
      </w:pPr>
      <w:bookmarkStart w:id="1" w:name="_Toc24876"/>
      <w:r>
        <w:rPr>
          <w:rFonts w:hint="default" w:ascii="Times New Roman" w:hAnsi="Times New Roman" w:cs="Times New Roman"/>
          <w:sz w:val="28"/>
          <w:szCs w:val="28"/>
        </w:rPr>
        <w:t>2.0 International Business Communication Situation</w:t>
      </w:r>
      <w:bookmarkEnd w:id="1"/>
    </w:p>
    <w:p>
      <w:pPr>
        <w:pStyle w:val="3"/>
        <w:bidi w:val="0"/>
        <w:outlineLvl w:val="0"/>
        <w:rPr>
          <w:rFonts w:hint="default" w:ascii="Times New Roman" w:hAnsi="Times New Roman" w:cs="Times New Roman"/>
          <w:sz w:val="24"/>
          <w:szCs w:val="24"/>
        </w:rPr>
      </w:pPr>
      <w:bookmarkStart w:id="2" w:name="_Toc2371"/>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1Language barriers</w:t>
      </w:r>
      <w:bookmarkEnd w:id="2"/>
    </w:p>
    <w:p>
      <w:pPr>
        <w:rPr>
          <w:rFonts w:hint="default" w:ascii="Times New Roman" w:hAnsi="Times New Roman" w:cs="Times New Roman"/>
          <w:sz w:val="24"/>
          <w:szCs w:val="24"/>
        </w:rPr>
      </w:pPr>
      <w:r>
        <w:rPr>
          <w:rFonts w:hint="default" w:ascii="Times New Roman" w:hAnsi="Times New Roman" w:cs="Times New Roman"/>
          <w:sz w:val="24"/>
          <w:szCs w:val="24"/>
        </w:rPr>
        <w:t>Although English is widely used in global business, employees in Japan, especially in some traditional companies, may not be proficient in English. This can lead to communication difficulties, misunderstandings and confusion. For example, Microsoft Software Development in the UK found language to be a major barrier when working with a Japanese games company. Although some of their Japanese partner's staff could speak English, the majority of the staff did not specialize in English.</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Rustamov, I. T., &amp; Mamaziyayev, Z. X.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2022)</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3" w:name="_Toc17293"/>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Business etiquette</w:t>
      </w:r>
      <w:bookmarkEnd w:id="3"/>
    </w:p>
    <w:p>
      <w:pPr>
        <w:rPr>
          <w:rFonts w:hint="default" w:ascii="Times New Roman" w:hAnsi="Times New Roman" w:cs="Times New Roman"/>
          <w:sz w:val="24"/>
          <w:szCs w:val="24"/>
        </w:rPr>
      </w:pPr>
      <w:r>
        <w:rPr>
          <w:rFonts w:hint="default" w:ascii="Times New Roman" w:hAnsi="Times New Roman" w:cs="Times New Roman"/>
          <w:sz w:val="24"/>
          <w:szCs w:val="24"/>
        </w:rPr>
        <w:t xml:space="preserve">Japan has strict business etiquette, including the way business cards are exchanged, behavioral norms in meetings, and email formats. If you are not familiar with these manners, you may leave a bad impression on your Japanese business partners. When the British automaker Jaguar conducted business in Japan, they found that they needed to follow strict business etiquette. For example, they needed to learn how to exchange business cards properly and how to behave appropriately in meetings.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T. Menichini and F. Rosati,2020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If they did not follow these etiquettes, this would leave a bad impression on their Japanese business partners.</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4" w:name="_Toc19629"/>
      <w:r>
        <w:rPr>
          <w:rFonts w:hint="default" w:ascii="Times New Roman" w:hAnsi="Times New Roman" w:cs="Times New Roman"/>
          <w:sz w:val="24"/>
          <w:szCs w:val="24"/>
          <w:lang w:val="en-US" w:eastAsia="zh-CN"/>
        </w:rPr>
        <w:t>2.3</w:t>
      </w:r>
      <w:r>
        <w:rPr>
          <w:rFonts w:hint="default" w:ascii="Times New Roman" w:hAnsi="Times New Roman" w:cs="Times New Roman"/>
          <w:sz w:val="24"/>
          <w:szCs w:val="24"/>
        </w:rPr>
        <w:t>Cultural differences</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Japanese business culture is very different from the UK. For example, Japanese people value teamwork and harmony, whereas British people may place more value on individual achievement and directness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Peter singer.202</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 These cultural differences may affect business communication and decision-making. When Barclays Bank in the UK set up a branch in Japan, they found that they needed to adapt to the Japanese business culture. For example, Japanese people value teamwork and harmony, whereas British people may value individual achievement and directness more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C.D.Broad</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2020</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It was later found that the business did not value these cultural differences in Japan, which resulted in affecting business communication and decision-making.</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5" w:name="_Toc23104"/>
      <w:r>
        <w:rPr>
          <w:rFonts w:hint="default" w:ascii="Times New Roman" w:hAnsi="Times New Roman" w:cs="Times New Roman"/>
          <w:sz w:val="24"/>
          <w:szCs w:val="24"/>
          <w:lang w:val="en-US" w:eastAsia="zh-CN"/>
        </w:rPr>
        <w:t>2.4</w:t>
      </w:r>
      <w:r>
        <w:rPr>
          <w:rFonts w:hint="default" w:ascii="Times New Roman" w:hAnsi="Times New Roman" w:cs="Times New Roman"/>
          <w:sz w:val="24"/>
          <w:szCs w:val="24"/>
        </w:rPr>
        <w:t xml:space="preserve"> Regulations and systems</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 xml:space="preserve">Japan's import and export regulations are very complicated, with many and detailed restrictions and strict requirements on product specifications and packaging, so it is important to understand them in detail in order to avoid any mistakes and losses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Puck</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J</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2017). British GlaxoSmithKline medical device company in the Japanese market to promote its products, found that Japan's import and export of goods management regulations are very complicated, a variety of restrictions are also many very fine, the product specifications, packaging requirements are also very strict, so the company promptly adjusted the marketing policy, pay more attention to the product packaging upgrade to meet the needs of the Japanese regulations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Menke, H. 2019).</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6" w:name="_Toc995"/>
      <w:r>
        <w:rPr>
          <w:rFonts w:hint="default" w:ascii="Times New Roman" w:hAnsi="Times New Roman" w:cs="Times New Roman"/>
          <w:sz w:val="24"/>
          <w:szCs w:val="24"/>
          <w:lang w:val="en-US" w:eastAsia="zh-CN"/>
        </w:rPr>
        <w:t>2.5</w:t>
      </w:r>
      <w:r>
        <w:rPr>
          <w:rFonts w:hint="default" w:ascii="Times New Roman" w:hAnsi="Times New Roman" w:cs="Times New Roman"/>
          <w:sz w:val="24"/>
          <w:szCs w:val="24"/>
        </w:rPr>
        <w:t xml:space="preserve"> Selection of partners</w:t>
      </w:r>
      <w:bookmarkEnd w:id="6"/>
    </w:p>
    <w:p>
      <w:pPr>
        <w:rPr>
          <w:rFonts w:hint="default" w:ascii="Times New Roman" w:hAnsi="Times New Roman" w:cs="Times New Roman"/>
          <w:sz w:val="24"/>
          <w:szCs w:val="24"/>
        </w:rPr>
      </w:pPr>
      <w:r>
        <w:rPr>
          <w:rFonts w:hint="default" w:ascii="Times New Roman" w:hAnsi="Times New Roman" w:cs="Times New Roman"/>
          <w:sz w:val="24"/>
          <w:szCs w:val="24"/>
        </w:rPr>
        <w:t>British Foster Construction Company in Japan to find partners in Japan to choose the ideal partner should pay attention to understand the business partner's background (whether it belongs to a famous enterprise group), the ability to sell products and experience (whether it occupies a certain market) and creditworthiness (whether it has sufficient financial strength and economic credibility).</w:t>
      </w:r>
    </w:p>
    <w:p>
      <w:pPr>
        <w:rPr>
          <w:rFonts w:hint="default" w:ascii="Times New Roman" w:hAnsi="Times New Roman" w:cs="Times New Roman"/>
          <w:sz w:val="24"/>
          <w:szCs w:val="24"/>
        </w:rPr>
      </w:pPr>
    </w:p>
    <w:p>
      <w:pPr>
        <w:pStyle w:val="2"/>
        <w:bidi w:val="0"/>
        <w:rPr>
          <w:rFonts w:hint="default" w:ascii="Times New Roman" w:hAnsi="Times New Roman" w:cs="Times New Roman"/>
          <w:sz w:val="28"/>
          <w:szCs w:val="28"/>
        </w:rPr>
      </w:pPr>
      <w:bookmarkStart w:id="7" w:name="_Toc26712"/>
      <w:r>
        <w:rPr>
          <w:rFonts w:hint="default" w:ascii="Times New Roman" w:hAnsi="Times New Roman" w:cs="Times New Roman"/>
          <w:sz w:val="28"/>
          <w:szCs w:val="28"/>
        </w:rPr>
        <w:t>3.0 Challenge Response Strategy Options</w:t>
      </w:r>
      <w:bookmarkEnd w:id="7"/>
    </w:p>
    <w:p>
      <w:pPr>
        <w:pStyle w:val="3"/>
        <w:bidi w:val="0"/>
        <w:rPr>
          <w:rFonts w:hint="default" w:ascii="Times New Roman" w:hAnsi="Times New Roman" w:cs="Times New Roman"/>
          <w:sz w:val="24"/>
          <w:szCs w:val="24"/>
        </w:rPr>
      </w:pPr>
      <w:bookmarkStart w:id="8" w:name="_Toc19855"/>
      <w:r>
        <w:rPr>
          <w:rFonts w:hint="default" w:ascii="Times New Roman" w:hAnsi="Times New Roman" w:cs="Times New Roman"/>
          <w:sz w:val="24"/>
          <w:szCs w:val="24"/>
        </w:rPr>
        <w:t>3.1 Cross-cultural communication training</w:t>
      </w:r>
      <w:bookmarkEnd w:id="8"/>
    </w:p>
    <w:p>
      <w:pPr>
        <w:rPr>
          <w:rFonts w:hint="default" w:ascii="Times New Roman" w:hAnsi="Times New Roman" w:cs="Times New Roman"/>
          <w:sz w:val="24"/>
          <w:szCs w:val="24"/>
        </w:rPr>
      </w:pPr>
      <w:r>
        <w:rPr>
          <w:rFonts w:hint="default" w:ascii="Times New Roman" w:hAnsi="Times New Roman" w:cs="Times New Roman"/>
          <w:sz w:val="24"/>
          <w:szCs w:val="24"/>
        </w:rPr>
        <w:t>In order to overcome the challenges posed by cultural differences, we have chosen cross-cultural communication training as our primary strategy. This training will help our employees to understand and respect the Japanese culture so that they can communicate more effectively. We will conduct the training through a professional training organization to ensure that our employees have access to the most up-to-date and accurate information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Becker, S. 2018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Training may include cultural sensitivity training, language courses, and education on Japanese business customs and etiquette.</w:t>
      </w:r>
    </w:p>
    <w:p>
      <w:pPr>
        <w:rPr>
          <w:rFonts w:hint="default" w:ascii="Times New Roman" w:hAnsi="Times New Roman" w:cs="Times New Roman"/>
          <w:sz w:val="24"/>
          <w:szCs w:val="24"/>
        </w:rPr>
      </w:pPr>
      <w:r>
        <w:rPr>
          <w:rFonts w:hint="default" w:ascii="Times New Roman" w:hAnsi="Times New Roman" w:cs="Times New Roman"/>
          <w:sz w:val="24"/>
          <w:szCs w:val="24"/>
        </w:rPr>
        <w:t>This strategic choice is based on Hofstede's theory of cultural dimensions, which provides a framework that can help us understand and compare differences between cultures. For example, if our target market, Japan, is a country with a large power distance, our training would need to include how to respect and respond to authority. At the same time Japan is an individualistic country and our training may need to emphasize the importance of personal achievement and independence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Ethicsunwrapped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J</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2023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r>
        <w:rPr>
          <w:rFonts w:hint="default" w:ascii="Times New Roman" w:hAnsi="Times New Roman" w:cs="Times New Roman"/>
          <w:sz w:val="24"/>
          <w:szCs w:val="24"/>
        </w:rPr>
        <w:t>By understanding these cultural dimensions we can better understand and compare the differences between different British and Japanese cultures and therefore communicate and manage more effectively across cultures. This theory plays an important role in promoting a better understanding of cultural differences in different countries, thereby crossing cultural barriers and improving cross-cultural management in organizations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Robbins, R.2022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r>
        <w:rPr>
          <w:rFonts w:hint="default" w:ascii="Times New Roman" w:hAnsi="Times New Roman" w:cs="Times New Roman"/>
          <w:sz w:val="24"/>
          <w:szCs w:val="24"/>
        </w:rPr>
        <w:t>Assessment: The advantage of this strategy is that it can increase the cultural sensitivity of employees and thus improve communication effectiveness. However, it may also require a significant investment of time and resources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R.E. Freeman and D.R., Jr. Gilbert.2023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In addition, while this strategy can improve employees' cross-cultural understanding, it does not guarantee that all employees will achieve the same level of understanding, which may lead to inconsistent communication results.</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9" w:name="_Toc534"/>
      <w:r>
        <w:rPr>
          <w:rFonts w:hint="default" w:ascii="Times New Roman" w:hAnsi="Times New Roman" w:cs="Times New Roman"/>
          <w:sz w:val="24"/>
          <w:szCs w:val="24"/>
        </w:rPr>
        <w:t>3.2 Use of translation services</w:t>
      </w:r>
      <w:bookmarkEnd w:id="9"/>
    </w:p>
    <w:p>
      <w:pPr>
        <w:pStyle w:val="3"/>
        <w:bidi w:val="0"/>
        <w:outlineLvl w:val="9"/>
        <w:rPr>
          <w:rFonts w:hint="default"/>
        </w:rPr>
      </w:pPr>
    </w:p>
    <w:p>
      <w:pPr>
        <w:rPr>
          <w:rFonts w:hint="default" w:ascii="Times New Roman" w:hAnsi="Times New Roman" w:cs="Times New Roman"/>
          <w:sz w:val="24"/>
          <w:szCs w:val="24"/>
        </w:rPr>
      </w:pPr>
      <w:r>
        <w:rPr>
          <w:rFonts w:hint="default" w:ascii="Times New Roman" w:hAnsi="Times New Roman" w:cs="Times New Roman"/>
          <w:sz w:val="24"/>
          <w:szCs w:val="24"/>
        </w:rPr>
        <w:t>Hall's theory of high- and low-context cultures is an important tool for understanding and comparing communication styles between different cultures. In high-context cultures, most of the information exists in the material context or is internalized in the deep memory of the communicator's mind, and the transmission and encoding of the information depends on the socio-cultural environment and the specific scenario in which the communicator lives</w:t>
      </w:r>
      <w:r>
        <w:rPr>
          <w:rFonts w:hint="eastAsia" w:ascii="Times New Roman" w:hAnsi="Times New Roman" w:cs="Times New Roman"/>
          <w:sz w:val="24"/>
          <w:szCs w:val="24"/>
          <w:lang w:val="en-US" w:eastAsia="zh-CN"/>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Falck, O. and S. Heblich</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.2020)</w:t>
      </w:r>
      <w:r>
        <w:rPr>
          <w:rFonts w:hint="default" w:ascii="Times New Roman" w:hAnsi="Times New Roman" w:cs="Times New Roman"/>
          <w:sz w:val="24"/>
          <w:szCs w:val="24"/>
        </w:rPr>
        <w:t>. In low-context cultures, on the other hand, when people communicate, a large amount of information is carried through explicit and straightforward coding, and the implicit environment conveys the corresponding information and situation, with less implied information.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translation services can be used for cross-cultural communication, and Hall's theory can help us understand and deal with the challenges in cross-cultural communication. For example, our target market, Japan, is a country with a high-context culture, and we may need to find translation services that can understand and interpret the messages implicit in that culture. This may include understanding the specific social and cultural context of Japan, as well as interpreting non-verbal messages such as body language, facial expressions and intonation</w:t>
      </w:r>
      <w:r>
        <w:rPr>
          <w:rFonts w:hint="eastAsia" w:ascii="Times New Roman" w:hAnsi="Times New Roman" w:cs="Times New Roman"/>
          <w:sz w:val="24"/>
          <w:szCs w:val="24"/>
          <w:lang w:val="en-US" w:eastAsia="zh-CN"/>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Teng, D.</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2022)</w:t>
      </w:r>
      <w:r>
        <w:rPr>
          <w:rFonts w:hint="default" w:ascii="Times New Roman" w:hAnsi="Times New Roman" w:cs="Times New Roman"/>
          <w:sz w:val="24"/>
          <w:szCs w:val="24"/>
        </w:rPr>
        <w:t>.</w:t>
      </w:r>
    </w:p>
    <w:p>
      <w:pPr>
        <w:rPr>
          <w:rFonts w:hint="default" w:ascii="Times New Roman" w:hAnsi="Times New Roman" w:cs="Times New Roman"/>
          <w:sz w:val="24"/>
          <w:szCs w:val="24"/>
        </w:rPr>
      </w:pPr>
      <w:r>
        <w:rPr>
          <w:rFonts w:hint="default" w:ascii="Times New Roman" w:hAnsi="Times New Roman" w:cs="Times New Roman"/>
          <w:sz w:val="24"/>
          <w:szCs w:val="24"/>
        </w:rPr>
        <w:t>While many Japanese business professionals can speak English, it is still a good idea to provide professional translation services for important business meetings or negotiations. This will ensure that all information is conveyed accurately. This can also help UK companies to better understand Japanese business documents and contracts. Therefore, when entering the Japanese market, UK companies can recruit the right number of translators who are fluent in both Japanese and English and have them with them when the team interacts with Japanese representatives, which facilitates better business communication and improves business efficiency.</w:t>
      </w:r>
    </w:p>
    <w:p>
      <w:pPr>
        <w:rPr>
          <w:rFonts w:hint="default" w:ascii="Times New Roman" w:hAnsi="Times New Roman" w:cs="Times New Roman"/>
          <w:sz w:val="24"/>
          <w:szCs w:val="24"/>
        </w:rPr>
      </w:pPr>
      <w:r>
        <w:rPr>
          <w:rFonts w:hint="default" w:ascii="Times New Roman" w:hAnsi="Times New Roman" w:cs="Times New Roman"/>
          <w:sz w:val="24"/>
          <w:szCs w:val="24"/>
        </w:rPr>
        <w:t>In conclusion, understanding Hall's theory of high-context and low-context cultures can help us to better select and use translation services to more effectively meet the challenges in intercultural communication.</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10" w:name="_Toc9259"/>
      <w:r>
        <w:rPr>
          <w:rFonts w:hint="default" w:ascii="Times New Roman" w:hAnsi="Times New Roman" w:cs="Times New Roman"/>
          <w:sz w:val="24"/>
          <w:szCs w:val="24"/>
        </w:rPr>
        <w:t>3.3 Technical support</w:t>
      </w:r>
      <w:bookmarkEnd w:id="10"/>
    </w:p>
    <w:p>
      <w:pPr>
        <w:rPr>
          <w:rFonts w:hint="default" w:ascii="Times New Roman" w:hAnsi="Times New Roman" w:cs="Times New Roman"/>
          <w:sz w:val="24"/>
          <w:szCs w:val="24"/>
        </w:rPr>
      </w:pPr>
      <w:r>
        <w:rPr>
          <w:rFonts w:hint="default" w:ascii="Times New Roman" w:hAnsi="Times New Roman" w:cs="Times New Roman"/>
          <w:sz w:val="24"/>
          <w:szCs w:val="24"/>
        </w:rPr>
        <w:t>Videoconferencing software</w:t>
      </w:r>
    </w:p>
    <w:p>
      <w:pPr>
        <w:rPr>
          <w:rFonts w:hint="default" w:ascii="Times New Roman" w:hAnsi="Times New Roman" w:cs="Times New Roman"/>
          <w:sz w:val="24"/>
          <w:szCs w:val="24"/>
        </w:rPr>
      </w:pPr>
      <w:r>
        <w:rPr>
          <w:rFonts w:hint="default" w:ascii="Times New Roman" w:hAnsi="Times New Roman" w:cs="Times New Roman"/>
          <w:sz w:val="24"/>
          <w:szCs w:val="24"/>
        </w:rPr>
        <w:t>For UK companies video conferencing software such as Zoom or Teams can be utilized, which can help UK company employees to communicate face-to-face with their Japanese business partners, even if they are in different geographical locations. These software programs often offer real-time captioning and translation features that can help overcome language barriers. In addition, video conferencing can provide opportunities for non-verbal communication, such as body language and facial expressions, which are often important in business communication</w:t>
      </w:r>
      <w:r>
        <w:rPr>
          <w:rFonts w:hint="eastAsia" w:ascii="Times New Roman" w:hAnsi="Times New Roman" w:cs="Times New Roman"/>
          <w:sz w:val="24"/>
          <w:szCs w:val="24"/>
          <w:lang w:eastAsia="zh-CN"/>
        </w:rPr>
        <w:t>（</w:t>
      </w:r>
      <w:r>
        <w:rPr>
          <w:rFonts w:hint="default" w:ascii="Times New Roman" w:hAnsi="Times New Roman" w:cs="Times New Roman"/>
          <w:sz w:val="24"/>
          <w:szCs w:val="24"/>
        </w:rPr>
        <w:t>Hawkins，G .</w:t>
      </w:r>
      <w:r>
        <w:rPr>
          <w:rFonts w:hint="eastAsia" w:ascii="Times New Roman" w:hAnsi="Times New Roman" w:cs="Times New Roman"/>
          <w:sz w:val="24"/>
          <w:szCs w:val="24"/>
          <w:lang w:val="en-US" w:eastAsia="zh-CN"/>
        </w:rPr>
        <w:t>2023）</w:t>
      </w:r>
      <w:r>
        <w:rPr>
          <w:rFonts w:hint="default" w:ascii="Times New Roman" w:hAnsi="Times New Roman" w:cs="Times New Roman"/>
          <w:sz w:val="24"/>
          <w:szCs w:val="24"/>
        </w:rPr>
        <w:t xml:space="preserve"> Using video conferencing software, UK companies can more effectively conduct business meetings, product demonstrations or training sessions with Japanese partners.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Social Media and Instant Messengers</w:t>
      </w: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A number of social media and instant messaging tools, such as LINE, are widely used for business communication in Japan. UK companies can use these tools to stay in touch with their Japanese business partners and understand their needs and feedback. These tools can provide real-time communication channels, making the exchange of information more timely and effective. In addition, these tools can be used to promote products or services, collect market feedback, and perform customer service</w:t>
      </w:r>
      <w:r>
        <w:rPr>
          <w:rFonts w:hint="eastAsia" w:ascii="Times New Roman" w:hAnsi="Times New Roman" w:cs="Times New Roman"/>
          <w:sz w:val="24"/>
          <w:szCs w:val="24"/>
          <w:lang w:eastAsia="zh-CN"/>
        </w:rPr>
        <w:t>（</w:t>
      </w:r>
      <w:r>
        <w:rPr>
          <w:rFonts w:hint="default" w:ascii="Times New Roman" w:hAnsi="Times New Roman" w:cs="Times New Roman"/>
          <w:sz w:val="24"/>
          <w:szCs w:val="24"/>
        </w:rPr>
        <w:t>Dressler, R., Becker, S., Kawalilak, C., &amp; Arthur, N.</w:t>
      </w:r>
      <w:r>
        <w:rPr>
          <w:rFonts w:hint="eastAsia" w:ascii="Times New Roman" w:hAnsi="Times New Roman" w:cs="Times New Roman"/>
          <w:sz w:val="24"/>
          <w:szCs w:val="24"/>
          <w:lang w:val="en-US" w:eastAsia="zh-CN"/>
        </w:rPr>
        <w:t>2018）</w:t>
      </w:r>
    </w:p>
    <w:p>
      <w:pPr>
        <w:rPr>
          <w:rFonts w:hint="default" w:ascii="Times New Roman" w:hAnsi="Times New Roman" w:cs="Times New Roman"/>
          <w:sz w:val="24"/>
          <w:szCs w:val="24"/>
        </w:rPr>
      </w:pPr>
    </w:p>
    <w:p>
      <w:pPr>
        <w:rPr>
          <w:rFonts w:hint="eastAsia" w:ascii="Times New Roman" w:hAnsi="Times New Roman" w:cs="Times New Roman" w:eastAsiaTheme="minorEastAsia"/>
          <w:sz w:val="24"/>
          <w:szCs w:val="24"/>
          <w:lang w:eastAsia="zh-CN"/>
        </w:rPr>
      </w:pPr>
      <w:r>
        <w:rPr>
          <w:rFonts w:hint="default" w:ascii="Times New Roman" w:hAnsi="Times New Roman" w:cs="Times New Roman"/>
          <w:sz w:val="24"/>
          <w:szCs w:val="24"/>
        </w:rPr>
        <w:t>Assessment: This strategy can improve the efficiency and effectiveness of communication, but the possibility of technical failures needs to be taken into account. In addition, different technology platforms may require different skills and knowledge, which may require additional training and support.</w:t>
      </w:r>
      <w:r>
        <w:rPr>
          <w:rFonts w:hint="eastAsia" w:ascii="Times New Roman" w:hAnsi="Times New Roman" w:cs="Times New Roman"/>
          <w:sz w:val="24"/>
          <w:szCs w:val="24"/>
          <w:lang w:eastAsia="zh-CN"/>
        </w:rPr>
        <w:t>（</w:t>
      </w:r>
      <w:r>
        <w:rPr>
          <w:rFonts w:hint="default" w:ascii="Times New Roman" w:hAnsi="Times New Roman" w:cs="Times New Roman"/>
          <w:sz w:val="24"/>
          <w:szCs w:val="24"/>
        </w:rPr>
        <w:t>Loewy, D. 2019</w:t>
      </w:r>
      <w:r>
        <w:rPr>
          <w:rFonts w:hint="eastAsia" w:ascii="Times New Roman" w:hAnsi="Times New Roman" w:cs="Times New Roman"/>
          <w:sz w:val="24"/>
          <w:szCs w:val="24"/>
          <w:lang w:eastAsia="zh-CN"/>
        </w:rPr>
        <w:t>）</w:t>
      </w:r>
    </w:p>
    <w:p>
      <w:pPr>
        <w:rPr>
          <w:rFonts w:hint="default" w:ascii="Times New Roman" w:hAnsi="Times New Roman" w:cs="Times New Roman"/>
          <w:sz w:val="24"/>
          <w:szCs w:val="24"/>
        </w:rPr>
      </w:pP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28"/>
          <w:szCs w:val="28"/>
        </w:rPr>
      </w:pPr>
      <w:bookmarkStart w:id="11" w:name="_Toc31330"/>
      <w:r>
        <w:rPr>
          <w:rFonts w:hint="default" w:ascii="Times New Roman" w:hAnsi="Times New Roman" w:cs="Times New Roman"/>
          <w:sz w:val="28"/>
          <w:szCs w:val="28"/>
          <w:lang w:val="en-US" w:eastAsia="zh-CN"/>
        </w:rPr>
        <w:t>4.0</w:t>
      </w:r>
      <w:r>
        <w:rPr>
          <w:rFonts w:hint="default" w:ascii="Times New Roman" w:hAnsi="Times New Roman" w:cs="Times New Roman"/>
          <w:sz w:val="28"/>
          <w:szCs w:val="28"/>
        </w:rPr>
        <w:t>Conclusion:</w:t>
      </w:r>
      <w:bookmarkEnd w:id="11"/>
    </w:p>
    <w:p>
      <w:pPr>
        <w:rPr>
          <w:rFonts w:hint="default" w:ascii="Times New Roman" w:hAnsi="Times New Roman" w:cs="Times New Roman"/>
          <w:b/>
          <w:bCs/>
          <w:sz w:val="28"/>
          <w:szCs w:val="28"/>
        </w:rPr>
      </w:pPr>
    </w:p>
    <w:p>
      <w:pPr>
        <w:rPr>
          <w:rFonts w:hint="default" w:ascii="Times New Roman" w:hAnsi="Times New Roman" w:cs="Times New Roman"/>
          <w:sz w:val="24"/>
          <w:szCs w:val="24"/>
        </w:rPr>
      </w:pPr>
      <w:r>
        <w:rPr>
          <w:rFonts w:hint="default" w:ascii="Times New Roman" w:hAnsi="Times New Roman" w:cs="Times New Roman"/>
          <w:sz w:val="24"/>
          <w:szCs w:val="24"/>
        </w:rPr>
        <w:t>To summarize: in this report, we have taken an in-depth look at the challenges that UK companies may face when doing business with Japan. We found that language and cultural differences, time differences, and technology issues are the main challenges. To overcome these challenges, we propose strategies such as providing cross-cultural communication training, adjusting working hours, and using reliable technology platforms for remote communication. For example, we utilized Hofstede's theory of cultural dimensions, which provides a framework that can help us understand and compare differences between cultures. Thus, it allows both the UK and Japan to avoid the trouble caused by cultural differences in business communication. We have also increased the efficiency of communication by utilizing Hall's high and low context cultural theory, which allows UK companies to add local translators when doing business with Japan.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evaluating these strategies, we found that while each has its merits, each also has the potential to create problems. For example, providing cross-cultural communication training can increase employees' cultural sensitivity, but may also require a significant investment of time and resources. Adjusting working hours can ensure timely communication, but it may also have an impact on employees' work-life balance. Remote communication using a reliable technological platform can increase the efficiency and effectiveness of communication, but the possibility of technological failures also needs to be considered.</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Through writing this report, I have gained a deeper understanding of international business communication. I realize that effective international business communication requires not only understanding the differences between different cultures, but also flexibility in adapting strategies to meet various challenges. In addition, I also recognize that although some strategies may seem promising, they may encounter some unexpected problems when implemented. Therefore, continuous evaluation and adjustment of strategies is very important.</w:t>
      </w:r>
    </w:p>
    <w:p>
      <w:pPr>
        <w:rPr>
          <w:rFonts w:hint="default" w:ascii="Times New Roman" w:hAnsi="Times New Roman" w:cs="Times New Roman"/>
          <w:sz w:val="24"/>
          <w:szCs w:val="24"/>
        </w:rPr>
      </w:pPr>
      <w:r>
        <w:rPr>
          <w:rFonts w:hint="default" w:ascii="Times New Roman" w:hAnsi="Times New Roman" w:cs="Times New Roman"/>
          <w:sz w:val="24"/>
          <w:szCs w:val="24"/>
        </w:rPr>
        <w:t>The following recommendations will distill the insights gained from the reflective essay into actionable steps that provide a clear roadmap for a successful and enduring business relationship between UK companies UK companies and Japanese companies.</w:t>
      </w:r>
    </w:p>
    <w:p>
      <w:pPr>
        <w:rPr>
          <w:rFonts w:hint="default" w:ascii="Times New Roman" w:hAnsi="Times New Roman" w:cs="Times New Roman"/>
          <w:sz w:val="24"/>
          <w:szCs w:val="24"/>
        </w:rPr>
      </w:pPr>
    </w:p>
    <w:p>
      <w:pPr>
        <w:pStyle w:val="2"/>
        <w:bidi w:val="0"/>
        <w:rPr>
          <w:rFonts w:hint="default" w:ascii="Times New Roman" w:hAnsi="Times New Roman" w:cs="Times New Roman"/>
          <w:sz w:val="28"/>
          <w:szCs w:val="28"/>
        </w:rPr>
      </w:pPr>
      <w:bookmarkStart w:id="12" w:name="_Toc4102"/>
      <w:r>
        <w:rPr>
          <w:rFonts w:hint="default" w:ascii="Times New Roman" w:hAnsi="Times New Roman" w:cs="Times New Roman"/>
          <w:sz w:val="28"/>
          <w:szCs w:val="28"/>
          <w:lang w:val="en-US" w:eastAsia="zh-CN"/>
        </w:rPr>
        <w:t>5.0</w:t>
      </w:r>
      <w:r>
        <w:rPr>
          <w:rFonts w:hint="default" w:ascii="Times New Roman" w:hAnsi="Times New Roman" w:cs="Times New Roman"/>
          <w:sz w:val="28"/>
          <w:szCs w:val="28"/>
        </w:rPr>
        <w:t>Recommendations</w:t>
      </w:r>
      <w:bookmarkEnd w:id="12"/>
      <w:r>
        <w:rPr>
          <w:rFonts w:hint="default" w:ascii="Times New Roman" w:hAnsi="Times New Roman" w:cs="Times New Roman"/>
          <w:sz w:val="28"/>
          <w:szCs w:val="28"/>
        </w:rPr>
        <w:t xml:space="preserve">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Based on the findings in the report, I strongly recommend that UK companies adopt a strategy of providing cross-cultural communication training. This strategy will not only help employees better understand and adapt to the Japanese business environment, but also improve communication effectiveness. For example, employees can improve their cross-cultural communication skills by learning Japanese, understanding Japanese business etiquette, and understanding the core values of Japanese culture.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To implement such strategies, companies may need to invest in training resources, for example, by hiring trainers with a background in Japanese culture or using online training platforms. In addition, the company will need to develop a detailed training plan that includes the timing, content, and evaluation methods of the training. During the training process, the company should encourage employees to actively participate and provide feedback in order to continuously improve the training content. For example, a company can set up a feedback system that allows employees to provide their thoughts and suggestions after the training is completed.</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Japanese culture can be trained to UK employees on a regular basis. This will help to understand Japanese work habits, social relationships and ways of having in-depth conversations. A good understanding of their culture will help you to build a connection and trust with the Japanese mindset. This makes it easy to talk smoothly through shared values. </w:t>
      </w:r>
    </w:p>
    <w:p>
      <w:pPr>
        <w:rPr>
          <w:rFonts w:hint="default" w:ascii="Times New Roman" w:hAnsi="Times New Roman" w:cs="Times New Roman"/>
          <w:sz w:val="24"/>
          <w:szCs w:val="24"/>
        </w:rPr>
      </w:pPr>
      <w:r>
        <w:rPr>
          <w:rFonts w:hint="default" w:ascii="Times New Roman" w:hAnsi="Times New Roman" w:cs="Times New Roman"/>
          <w:sz w:val="24"/>
          <w:szCs w:val="24"/>
        </w:rPr>
        <w:t>Ongoing initiatives to invest in teaching language skills will help to ensure that UK employees have the necessary Japanese language skills to effectively deal with the different and varied communication situations in Japan. This approach directly addresses the language barrier and thus promotes a kind of inclusive exchange of information between the two countries.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Finally, I would recommend that companies regularly evaluate the effectiveness of their strategies. This can be done by collecting feedback from employees and monitoring key performance indicators (KPIs) such as communication efficiency and employee satisfaction. You will then need to collect relevant data to measure these KPIs. this could include employee feedback, customer satisfaction surveys, sales data, etc. Once you have collected the data, you can analyze it to see if your strategy is working.</w:t>
      </w:r>
    </w:p>
    <w:p>
      <w:pPr>
        <w:rPr>
          <w:rFonts w:hint="default" w:ascii="Times New Roman" w:hAnsi="Times New Roman" w:cs="Times New Roman"/>
          <w:sz w:val="24"/>
          <w:szCs w:val="24"/>
        </w:rPr>
      </w:pPr>
      <w:r>
        <w:rPr>
          <w:rFonts w:hint="default" w:ascii="Times New Roman" w:hAnsi="Times New Roman" w:cs="Times New Roman"/>
          <w:sz w:val="24"/>
          <w:szCs w:val="24"/>
        </w:rPr>
        <w:t>Based on the results of your analysis, you may need to make adjustments to your strategy. If you find that the strategy is not working as expected, then you may want to consider changing the strategy or improving the existing one. If the strategy is found to be ineffective, the company should make timely adjustments to ensure its effectiveness. For example, a company can conduct a quarterly strategy assessment and if a strategy is found to be ineffective, then the company can consider adjusting or replacing it.</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spacing w:before="70" w:line="192" w:lineRule="auto"/>
        <w:ind w:left="34"/>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2"/>
        <w:bidi w:val="0"/>
        <w:rPr>
          <w:rFonts w:hint="default" w:ascii="Times New Roman" w:hAnsi="Times New Roman" w:cs="Times New Roman"/>
          <w:sz w:val="28"/>
          <w:szCs w:val="28"/>
        </w:rPr>
      </w:pPr>
      <w:bookmarkStart w:id="13" w:name="_Toc23856"/>
      <w:r>
        <w:rPr>
          <w:rFonts w:hint="default" w:ascii="Times New Roman" w:hAnsi="Times New Roman" w:cs="Times New Roman"/>
          <w:sz w:val="28"/>
          <w:szCs w:val="28"/>
        </w:rPr>
        <w:t>References</w:t>
      </w:r>
      <w:bookmarkEnd w:id="13"/>
      <w:r>
        <w:rPr>
          <w:rFonts w:hint="default" w:ascii="Times New Roman" w:hAnsi="Times New Roman" w:cs="Times New Roman"/>
          <w:sz w:val="28"/>
          <w:szCs w:val="28"/>
        </w:rPr>
        <w:t xml:space="preserve"> </w:t>
      </w:r>
    </w:p>
    <w:p>
      <w:pPr>
        <w:spacing w:before="70" w:line="192" w:lineRule="auto"/>
        <w:ind w:left="34"/>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spacing w:before="70" w:line="192" w:lineRule="auto"/>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Rustamov, I. T., &amp; Mamaziyayev, Z. X. 2022. Development of speaking comprehension in teaching foreign language for professional purposes. Asian Journal of Research in Social Sciences and Humanities, 12(2), 227-233.</w:t>
      </w:r>
    </w:p>
    <w:p>
      <w:p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spacing w:before="70" w:line="192" w:lineRule="auto"/>
        <w:ind w:left="34"/>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T. Menichini and F. Rosati,</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2020.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"Intercultural Business Communication", ProcediaBehavior and Sciences, 109 (2014) 360 - 364,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p>
    <w:p>
      <w:p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Journal of Business Research, 59 (1) (2006), pp. 4</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7</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- 53.</w:t>
      </w:r>
    </w:p>
    <w:p>
      <w:p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numPr>
          <w:ilvl w:val="0"/>
          <w:numId w:val="1"/>
        </w:num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Tahoma" w:cs="Times New Roman"/>
          <w:i/>
          <w:iCs/>
          <w:caps w:val="0"/>
          <w:color w:val="000000" w:themeColor="text1"/>
          <w:spacing w:val="0"/>
          <w:sz w:val="24"/>
          <w:szCs w:val="24"/>
          <w:shd w:val="clear" w:fill="FFFFFF"/>
          <w:lang w:val="en-US" w:eastAsia="zh-CN"/>
          <w14:textFill>
            <w14:solidFill>
              <w14:schemeClr w14:val="tx1"/>
            </w14:solidFill>
          </w14:textFill>
        </w:rPr>
        <w:t>.P</w:t>
      </w:r>
      <w:r>
        <w:rPr>
          <w:rFonts w:hint="default" w:ascii="Times New Roman" w:hAnsi="Times New Roman" w:cs="Times New Roman"/>
          <w:i/>
          <w:iCs/>
          <w:color w:val="000000" w:themeColor="text1"/>
          <w:sz w:val="24"/>
          <w:szCs w:val="24"/>
          <w:lang w:val="en-US" w:eastAsia="zh-CN"/>
          <w14:textFill>
            <w14:solidFill>
              <w14:schemeClr w14:val="tx1"/>
            </w14:solidFill>
          </w14:textFill>
        </w:rPr>
        <w:t>eter singer.2022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"business negotiation", ProcediaBehavior and Sciences, 109 (2014) 360 - 364,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Journal of Business Research, 59 (1) (2006), pp. 46 - 78.</w:t>
      </w:r>
    </w:p>
    <w:p>
      <w:pPr>
        <w:numPr>
          <w:ilvl w:val="0"/>
          <w:numId w:val="0"/>
        </w:numPr>
        <w:spacing w:before="70" w:line="192" w:lineRule="auto"/>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numPr>
          <w:ilvl w:val="0"/>
          <w:numId w:val="1"/>
        </w:numPr>
        <w:spacing w:before="70" w:line="192" w:lineRule="auto"/>
        <w:ind w:left="34" w:leftChars="0" w:firstLine="0" w:firstLineChars="0"/>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default" w:ascii="Arial" w:hAnsi="Arial" w:eastAsia="sans-serif" w:cs="Arial"/>
          <w:b w:val="0"/>
          <w:bCs w:val="0"/>
          <w:i/>
          <w:iCs/>
          <w:caps w:val="0"/>
          <w:color w:val="000000" w:themeColor="text1"/>
          <w:spacing w:val="0"/>
          <w:sz w:val="24"/>
          <w:szCs w:val="24"/>
          <w:shd w:val="clear" w:fill="FFFFFF"/>
          <w14:textFill>
            <w14:solidFill>
              <w14:schemeClr w14:val="tx1"/>
            </w14:solidFill>
          </w14:textFill>
        </w:rPr>
        <w:t>C.D.Broad</w:t>
      </w:r>
      <w:r>
        <w:rPr>
          <w:rFonts w:hint="eastAsia" w:ascii="Arial" w:hAnsi="Arial" w:eastAsia="宋体" w:cs="Arial"/>
          <w:b w:val="0"/>
          <w:bCs w:val="0"/>
          <w:i/>
          <w:iCs/>
          <w:caps w:val="0"/>
          <w:color w:val="000000" w:themeColor="text1"/>
          <w:spacing w:val="0"/>
          <w:sz w:val="24"/>
          <w:szCs w:val="24"/>
          <w:shd w:val="clear" w:fill="FFFFFF"/>
          <w:lang w:val="en-US" w:eastAsia="zh-CN"/>
          <w14:textFill>
            <w14:solidFill>
              <w14:schemeClr w14:val="tx1"/>
            </w14:solidFill>
          </w14:textFill>
        </w:rPr>
        <w:t>.2020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"A Cross-Cultural Comparative Study of British and Asian Business Negotiation Styles", ProcediaBehavior and Sciences, 109 (2014) 3</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4</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0 - 3</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8</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4,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Business Research, 59 (1) (2006), pp.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6 -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3.</w:t>
      </w:r>
    </w:p>
    <w:p>
      <w:pPr>
        <w:numPr>
          <w:ilvl w:val="0"/>
          <w:numId w:val="0"/>
        </w:numPr>
        <w:spacing w:before="70" w:line="192" w:lineRule="auto"/>
        <w:ind w:left="34" w:leftChars="0"/>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spacing w:before="93" w:line="192" w:lineRule="auto"/>
        <w:ind w:left="46"/>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5. Puck, J. (2017). “I just don’t feel comfortable speaking English”: Foreign language anxiety as a catalyst for spoken-language barriers in MNCs. International Business Review, 26(4), 749-763. </w:t>
      </w:r>
    </w:p>
    <w:p>
      <w:pPr>
        <w:rPr>
          <w:rFonts w:hint="default" w:ascii="Times New Roman" w:hAnsi="Times New Roman" w:cs="Times New Roman"/>
          <w:i w:val="0"/>
          <w:iCs w:val="0"/>
          <w:sz w:val="24"/>
          <w:szCs w:val="24"/>
        </w:rPr>
      </w:pPr>
    </w:p>
    <w:p>
      <w:pPr>
        <w:rPr>
          <w:rFonts w:hint="default" w:ascii="Times New Roman" w:hAnsi="Times New Roman" w:cs="Times New Roman" w:eastAsiaTheme="minorEastAsia"/>
          <w:i w:val="0"/>
          <w:iCs w:val="0"/>
          <w:sz w:val="24"/>
          <w:szCs w:val="24"/>
          <w:lang w:val="en-US" w:eastAsia="zh-CN"/>
        </w:rPr>
      </w:pPr>
      <w:r>
        <w:rPr>
          <w:rFonts w:hint="eastAsia" w:ascii="Times New Roman" w:hAnsi="Times New Roman" w:cs="Times New Roman"/>
          <w:i w:val="0"/>
          <w:iCs w:val="0"/>
          <w:sz w:val="24"/>
          <w:szCs w:val="24"/>
          <w:lang w:val="en-US" w:eastAsia="zh-CN"/>
        </w:rPr>
        <w:t>6.Menke, H. (2019). The relationship between cultural values and business negotiation styles. Journal of Business Research, 99, 23-36.</w:t>
      </w:r>
    </w:p>
    <w:p>
      <w:pPr>
        <w:spacing w:before="70" w:line="192" w:lineRule="auto"/>
        <w:ind w:left="34"/>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rPr>
          <w:rFonts w:hint="default" w:ascii="Times New Roman" w:hAnsi="Times New Roman" w:cs="Times New Roman"/>
          <w:i w:val="0"/>
          <w:iCs w:val="0"/>
          <w:sz w:val="24"/>
          <w:szCs w:val="24"/>
        </w:rPr>
      </w:pPr>
      <w:r>
        <w:rPr>
          <w:rFonts w:hint="eastAsia" w:ascii="Times New Roman" w:hAnsi="Times New Roman" w:cs="Times New Roman"/>
          <w:i w:val="0"/>
          <w:iCs w:val="0"/>
          <w:sz w:val="24"/>
          <w:szCs w:val="24"/>
          <w:lang w:val="en-US" w:eastAsia="zh-CN"/>
        </w:rPr>
        <w:t>7.</w:t>
      </w:r>
      <w:r>
        <w:rPr>
          <w:rFonts w:hint="default" w:ascii="Times New Roman" w:hAnsi="Times New Roman" w:cs="Times New Roman"/>
          <w:i w:val="0"/>
          <w:iCs w:val="0"/>
          <w:sz w:val="24"/>
          <w:szCs w:val="24"/>
        </w:rPr>
        <w:t xml:space="preserve">Becker, S. 2018. on examining cross-cultural reflective models of debriefing after East Asia.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cs="Times New Roman"/>
          <w:i/>
          <w:iCs/>
          <w:sz w:val="24"/>
          <w:szCs w:val="24"/>
        </w:rPr>
        <w:t>Reflective Practice</w:t>
      </w:r>
      <w:r>
        <w:rPr>
          <w:rFonts w:hint="default" w:ascii="Times New Roman" w:hAnsi="Times New Roman" w:cs="Times New Roman"/>
          <w:i w:val="0"/>
          <w:iCs w:val="0"/>
          <w:sz w:val="24"/>
          <w:szCs w:val="24"/>
        </w:rPr>
        <w:t>, 19(4), 490-504.</w:t>
      </w:r>
    </w:p>
    <w:p>
      <w:pPr>
        <w:rPr>
          <w:rFonts w:hint="default" w:ascii="Times New Roman" w:hAnsi="Times New Roman" w:cs="Times New Roman"/>
          <w:i w:val="0"/>
          <w:iCs w:val="0"/>
          <w:sz w:val="24"/>
          <w:szCs w:val="24"/>
        </w:rPr>
      </w:pPr>
    </w:p>
    <w:p>
      <w:pPr>
        <w:spacing w:before="70" w:line="192" w:lineRule="auto"/>
        <w:ind w:left="34"/>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8.Ethicsunwrapped，J2023, "</w:t>
      </w:r>
      <w:r>
        <w:rPr>
          <w:rFonts w:hint="default" w:ascii="Times New Roman" w:hAnsi="Times New Roman" w:cs="Times New Roman"/>
          <w:i/>
          <w:iCs/>
          <w:sz w:val="24"/>
          <w:szCs w:val="24"/>
        </w:rPr>
        <w:t>Essentials of business communication</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ProcediaBehavior and Sciences, 109 (2014) 360 - 364,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Journal of Business Research, 59 (1) (2006), pp. 68 - 77.</w:t>
      </w:r>
    </w:p>
    <w:p>
      <w:pPr>
        <w:rPr>
          <w:rFonts w:hint="default" w:ascii="Times New Roman" w:hAnsi="Times New Roman" w:cs="Times New Roman"/>
          <w:i w:val="0"/>
          <w:iCs w:val="0"/>
          <w:sz w:val="24"/>
          <w:szCs w:val="24"/>
        </w:rPr>
      </w:pPr>
    </w:p>
    <w:p>
      <w:p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9.Robbins, R.2022, "</w:t>
      </w:r>
      <w:r>
        <w:rPr>
          <w:rFonts w:hint="default" w:ascii="Times New Roman" w:hAnsi="Times New Roman" w:cs="Times New Roman"/>
          <w:sz w:val="24"/>
          <w:szCs w:val="24"/>
        </w:rPr>
        <w:t>Intercultural communication competence in business</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cs="Times New Roman"/>
          <w:sz w:val="24"/>
          <w:szCs w:val="24"/>
        </w:rPr>
        <w:t>Communication between Japanese and Americans. </w:t>
      </w:r>
      <w:r>
        <w:rPr>
          <w:rFonts w:hint="default" w:ascii="Times New Roman" w:hAnsi="Times New Roman" w:cs="Times New Roman"/>
          <w:i/>
          <w:iCs/>
          <w:sz w:val="24"/>
          <w:szCs w:val="24"/>
        </w:rPr>
        <w:t xml:space="preserve">Journal of Intercultural </w:t>
      </w:r>
      <w:r>
        <w:rPr>
          <w:rFonts w:hint="eastAsia" w:ascii="Times New Roman" w:hAnsi="Times New Roman" w:cs="Times New Roman"/>
          <w:i/>
          <w:iCs/>
          <w:sz w:val="24"/>
          <w:szCs w:val="24"/>
          <w:lang w:val="en-US" w:eastAsia="zh-CN"/>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59 (1) (2006), pp. 4</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8</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- 5</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spacing w:before="70" w:line="192" w:lineRule="auto"/>
        <w:ind w:left="34"/>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pPr>
    </w:p>
    <w:p>
      <w:pPr>
        <w:spacing w:before="70" w:line="192" w:lineRule="auto"/>
        <w:ind w:left="34"/>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cs="Arial"/>
          <w:i/>
          <w:iCs/>
          <w:color w:val="000000" w:themeColor="text1"/>
          <w:sz w:val="24"/>
          <w:szCs w:val="24"/>
          <w:lang w:val="en-US" w:eastAsia="zh-CN"/>
          <w14:textFill>
            <w14:solidFill>
              <w14:schemeClr w14:val="tx1"/>
            </w14:solidFill>
          </w14:textFill>
        </w:rPr>
        <w:t>R.E. Freeman and D.R., Jr. Gilbert</w:t>
      </w:r>
      <w:r>
        <w:rPr>
          <w:rFonts w:hint="eastAsia" w:ascii="Arial" w:hAnsi="Arial" w:cs="Arial"/>
          <w:i/>
          <w:iCs/>
          <w:color w:val="000000" w:themeColor="text1"/>
          <w:sz w:val="24"/>
          <w:szCs w:val="24"/>
          <w:lang w:val="en-US" w:eastAsia="zh-CN"/>
          <w14:textFill>
            <w14:solidFill>
              <w14:schemeClr w14:val="tx1"/>
            </w14:solidFill>
          </w14:textFill>
        </w:rPr>
        <w:t>.2023,</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"Cultural influences on international negotiation:",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cs="Times New Roman"/>
          <w:i/>
          <w:iCs/>
          <w:sz w:val="24"/>
          <w:szCs w:val="24"/>
        </w:rPr>
        <w:t>The significance factors of business negotiations in Japan</w:t>
      </w:r>
      <w:r>
        <w:rPr>
          <w:rFonts w:hint="default" w:ascii="Times New Roman" w:hAnsi="Times New Roman" w:cs="Times New Roman"/>
          <w:sz w:val="24"/>
          <w:szCs w:val="24"/>
        </w:rPr>
        <w:t> </w:t>
      </w:r>
    </w:p>
    <w:p>
      <w:pPr>
        <w:spacing w:before="93" w:line="192" w:lineRule="auto"/>
        <w:ind w:left="46"/>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59 (1) , pp.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3.</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(Accessed:October 1</w:t>
      </w:r>
      <w:r>
        <w:rPr>
          <w:rFonts w:hint="default" w:ascii="Times New Roman" w:hAnsi="Times New Roman" w:eastAsia="宋体" w:cs="Times New Roman"/>
          <w:i w:val="0"/>
          <w:iCs w:val="0"/>
          <w:color w:val="000000" w:themeColor="text1"/>
          <w:sz w:val="24"/>
          <w:szCs w:val="24"/>
          <w:lang w:val="en-US" w:eastAsia="zh-CN"/>
          <w14:textFill>
            <w14:solidFill>
              <w14:schemeClr w14:val="tx1"/>
            </w14:solidFill>
          </w14:textFill>
        </w:rPr>
        <w:t>4</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 2023 ).</w:t>
      </w:r>
    </w:p>
    <w:p>
      <w:pPr>
        <w:rPr>
          <w:rFonts w:hint="default" w:ascii="Times New Roman" w:hAnsi="Times New Roman" w:cs="Times New Roman"/>
          <w:i w:val="0"/>
          <w:iCs w:val="0"/>
          <w:sz w:val="24"/>
          <w:szCs w:val="24"/>
        </w:rPr>
      </w:pPr>
    </w:p>
    <w:p>
      <w:pPr>
        <w:spacing w:before="70" w:line="192" w:lineRule="auto"/>
        <w:ind w:left="34"/>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11.</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Falck, O. and S. Heblich</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.2020,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"Developing Japanese Oral Comprehension in East Asian Foreign Language Teaching",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Asian Journal of Research in Social Sciences and Humanities</w:t>
      </w:r>
      <w:r>
        <w:rPr>
          <w:rFonts w:hint="eastAsia" w:ascii="Times New Roman" w:hAnsi="Times New Roman" w:eastAsia="宋体" w:cs="Times New Roman"/>
          <w:i w:val="0"/>
          <w:iCs w:val="0"/>
          <w:color w:val="000000" w:themeColor="text1"/>
          <w:spacing w:val="4"/>
          <w:sz w:val="24"/>
          <w:szCs w:val="24"/>
          <w:lang w:val="en-US" w:eastAsia="zh-CN"/>
          <w14:textFill>
            <w14:solidFill>
              <w14:schemeClr w14:val="tx1"/>
            </w14:solidFill>
          </w14:textFill>
        </w:rPr>
        <w:t>,14</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(1) (2006), pp.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70</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88</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rPr>
          <w:rFonts w:hint="default" w:ascii="Times New Roman" w:hAnsi="Times New Roman" w:cs="Times New Roman"/>
          <w:i w:val="0"/>
          <w:iCs w:val="0"/>
          <w:sz w:val="24"/>
          <w:szCs w:val="24"/>
        </w:rPr>
      </w:pPr>
    </w:p>
    <w:p>
      <w:pPr>
        <w:spacing w:before="70" w:line="192" w:lineRule="auto"/>
        <w:ind w:left="34"/>
        <w:rPr>
          <w:rFonts w:hint="default" w:ascii="Times New Roman" w:hAnsi="Times New Roman" w:eastAsia="Times New Roman" w:cs="Times New Roman"/>
          <w:i w:val="0"/>
          <w:iCs w:val="0"/>
          <w:color w:val="000000" w:themeColor="text1"/>
          <w:sz w:val="24"/>
          <w:szCs w:val="24"/>
          <w14:textFill>
            <w14:solidFill>
              <w14:schemeClr w14:val="tx1"/>
            </w14:solidFill>
          </w14:textFill>
        </w:rPr>
      </w:pP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Teng, D.</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2022,</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"Active Intercultural Scholarship",</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:Journal of International Business Studies</w:t>
      </w:r>
      <w:r>
        <w:rPr>
          <w:rFonts w:hint="eastAsia" w:ascii="Times New Roman" w:hAnsi="Times New Roman" w:eastAsia="宋体" w:cs="Times New Roman"/>
          <w:i w:val="0"/>
          <w:iCs w:val="0"/>
          <w:color w:val="000000" w:themeColor="text1"/>
          <w:spacing w:val="4"/>
          <w:sz w:val="24"/>
          <w:szCs w:val="24"/>
          <w:lang w:val="en-US" w:eastAsia="zh-CN"/>
          <w14:textFill>
            <w14:solidFill>
              <w14:schemeClr w14:val="tx1"/>
            </w14:solidFill>
          </w14:textFill>
        </w:rPr>
        <w:t>,</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56</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(1) , pp.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11</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 </w:t>
      </w:r>
      <w:r>
        <w:rPr>
          <w:rFonts w:hint="eastAsia"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1</w:t>
      </w:r>
      <w:r>
        <w:rPr>
          <w:rFonts w:hint="default" w:ascii="Times New Roman" w:hAnsi="Times New Roman" w:eastAsia="Tahoma" w:cs="Times New Roman"/>
          <w:i w:val="0"/>
          <w:iCs w:val="0"/>
          <w:caps w:val="0"/>
          <w:color w:val="000000" w:themeColor="text1"/>
          <w:spacing w:val="0"/>
          <w:sz w:val="24"/>
          <w:szCs w:val="24"/>
          <w:shd w:val="clear" w:fill="FFFFFF"/>
          <w:lang w:val="en-US" w:eastAsia="zh-CN"/>
          <w14:textFill>
            <w14:solidFill>
              <w14:schemeClr w14:val="tx1"/>
            </w14:solidFill>
          </w14:textFill>
        </w:rPr>
        <w:t>3.</w:t>
      </w:r>
    </w:p>
    <w:p>
      <w:pPr>
        <w:rPr>
          <w:rFonts w:hint="default" w:ascii="Times New Roman" w:hAnsi="Times New Roman" w:cs="Times New Roman"/>
          <w:sz w:val="24"/>
          <w:szCs w:val="24"/>
        </w:rPr>
      </w:pPr>
    </w:p>
    <w:p>
      <w:pPr>
        <w:numPr>
          <w:ilvl w:val="0"/>
          <w:numId w:val="2"/>
        </w:numPr>
        <w:rPr>
          <w:rFonts w:hint="default" w:ascii="Times New Roman" w:hAnsi="Times New Roman" w:cs="Times New Roman"/>
          <w:sz w:val="24"/>
          <w:szCs w:val="24"/>
        </w:rPr>
      </w:pPr>
      <w:r>
        <w:rPr>
          <w:rFonts w:hint="eastAsia" w:ascii="Times New Roman" w:hAnsi="Times New Roman" w:cs="Times New Roman"/>
          <w:sz w:val="24"/>
          <w:szCs w:val="24"/>
          <w:lang w:val="en-US" w:eastAsia="zh-CN"/>
        </w:rPr>
        <w:t>Hawkins，G</w:t>
      </w:r>
      <w:r>
        <w:rPr>
          <w:rFonts w:hint="default" w:ascii="Times New Roman" w:hAnsi="Times New Roman" w:cs="Times New Roman"/>
          <w:sz w:val="24"/>
          <w:szCs w:val="24"/>
        </w:rPr>
        <w:t xml:space="preserve"> World Factbook. (2023). Japan.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w:t>
      </w:r>
      <w:r>
        <w:rPr>
          <w:rFonts w:hint="default" w:ascii="Times New Roman" w:hAnsi="Times New Roman" w:cs="Times New Roman"/>
          <w:sz w:val="24"/>
          <w:szCs w:val="24"/>
        </w:rPr>
        <w:t xml:space="preserve">https://www.cia.gov/the-world-factbook/countries/japan/#economy </w:t>
      </w:r>
    </w:p>
    <w:p>
      <w:pPr>
        <w:widowControl w:val="0"/>
        <w:numPr>
          <w:ilvl w:val="0"/>
          <w:numId w:val="0"/>
        </w:numPr>
        <w:jc w:val="both"/>
        <w:rPr>
          <w:rFonts w:hint="default" w:ascii="Times New Roman" w:hAnsi="Times New Roman" w:cs="Times New Roman"/>
          <w:sz w:val="24"/>
          <w:szCs w:val="24"/>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Dressler, R., Becker, S., Kawalilak, C., &amp; Arthur, N. (2018). The cross-cultural reflective model for post-sojourn debriefing. Reflective Practice, 19(4), 490-504.</w:t>
      </w:r>
    </w:p>
    <w:p>
      <w:pPr>
        <w:widowControl w:val="0"/>
        <w:numPr>
          <w:ilvl w:val="0"/>
          <w:numId w:val="0"/>
        </w:numPr>
        <w:jc w:val="both"/>
        <w:rPr>
          <w:rFonts w:hint="eastAsia" w:ascii="Times New Roman" w:hAnsi="Times New Roman" w:cs="Times New Roman"/>
          <w:sz w:val="24"/>
          <w:szCs w:val="24"/>
          <w:lang w:val="en-US" w:eastAsia="zh-CN"/>
        </w:rPr>
      </w:pPr>
    </w:p>
    <w:p>
      <w:pPr>
        <w:widowControl w:val="0"/>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15.Loewy, D. 2019. Essentials of business communication. Cengage Learning.</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Available</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 xml:space="preserve"> </w:t>
      </w:r>
      <w:r>
        <w:rPr>
          <w:rFonts w:hint="default" w:ascii="Times New Roman" w:hAnsi="Times New Roman" w:eastAsia="Times New Roman" w:cs="Times New Roman"/>
          <w:i w:val="0"/>
          <w:iCs w:val="0"/>
          <w:color w:val="000000" w:themeColor="text1"/>
          <w:sz w:val="24"/>
          <w:szCs w:val="24"/>
          <w14:textFill>
            <w14:solidFill>
              <w14:schemeClr w14:val="tx1"/>
            </w14:solidFill>
          </w14:textFill>
        </w:rPr>
        <w:t>at</w:t>
      </w:r>
      <w:r>
        <w:rPr>
          <w:rFonts w:hint="default" w:ascii="Times New Roman" w:hAnsi="Times New Roman" w:eastAsia="Times New Roman" w:cs="Times New Roman"/>
          <w:i w:val="0"/>
          <w:iCs w:val="0"/>
          <w:color w:val="000000" w:themeColor="text1"/>
          <w:spacing w:val="4"/>
          <w:sz w:val="24"/>
          <w:szCs w:val="24"/>
          <w14:textFill>
            <w14:solidFill>
              <w14:schemeClr w14:val="tx1"/>
            </w14:solidFill>
          </w14:textFill>
        </w:rPr>
        <w:t>:journal</w:t>
      </w:r>
      <w:r>
        <w:rPr>
          <w:rFonts w:hint="eastAsia" w:ascii="Times New Roman" w:hAnsi="Times New Roman" w:eastAsia="宋体" w:cs="Times New Roman"/>
          <w:i w:val="0"/>
          <w:iCs w:val="0"/>
          <w:color w:val="000000" w:themeColor="text1"/>
          <w:spacing w:val="4"/>
          <w:sz w:val="24"/>
          <w:szCs w:val="24"/>
          <w:lang w:eastAsia="zh-CN"/>
          <w14:textFill>
            <w14:solidFill>
              <w14:schemeClr w14:val="tx1"/>
            </w14:solidFill>
          </w14:textFill>
        </w:rPr>
        <w:t>，Gibbs’ Reflective Cycle.5</w:t>
      </w:r>
      <w:r>
        <w:rPr>
          <w:rFonts w:hint="eastAsia" w:ascii="Times New Roman" w:hAnsi="Times New Roman" w:eastAsia="宋体" w:cs="Times New Roman"/>
          <w:i w:val="0"/>
          <w:iCs w:val="0"/>
          <w:color w:val="000000" w:themeColor="text1"/>
          <w:spacing w:val="4"/>
          <w:sz w:val="24"/>
          <w:szCs w:val="24"/>
          <w:lang w:val="en-US" w:eastAsia="zh-CN"/>
          <w14:textFill>
            <w14:solidFill>
              <w14:schemeClr w14:val="tx1"/>
            </w14:solidFill>
          </w14:textFill>
        </w:rPr>
        <w:t>2</w:t>
      </w:r>
      <w:r>
        <w:rPr>
          <w:rFonts w:hint="eastAsia" w:ascii="Times New Roman" w:hAnsi="Times New Roman" w:eastAsia="宋体" w:cs="Times New Roman"/>
          <w:i w:val="0"/>
          <w:iCs w:val="0"/>
          <w:color w:val="000000" w:themeColor="text1"/>
          <w:spacing w:val="4"/>
          <w:sz w:val="24"/>
          <w:szCs w:val="24"/>
          <w:lang w:eastAsia="zh-CN"/>
          <w14:textFill>
            <w14:solidFill>
              <w14:schemeClr w14:val="tx1"/>
            </w14:solidFill>
          </w14:textFill>
        </w:rPr>
        <w:t>(1) , pp. 1</w:t>
      </w:r>
      <w:r>
        <w:rPr>
          <w:rFonts w:hint="eastAsia" w:ascii="Times New Roman" w:hAnsi="Times New Roman" w:eastAsia="宋体" w:cs="Times New Roman"/>
          <w:i w:val="0"/>
          <w:iCs w:val="0"/>
          <w:color w:val="000000" w:themeColor="text1"/>
          <w:spacing w:val="4"/>
          <w:sz w:val="24"/>
          <w:szCs w:val="24"/>
          <w:lang w:val="en-US" w:eastAsia="zh-CN"/>
          <w14:textFill>
            <w14:solidFill>
              <w14:schemeClr w14:val="tx1"/>
            </w14:solidFill>
          </w14:textFill>
        </w:rPr>
        <w:t>6</w:t>
      </w:r>
      <w:r>
        <w:rPr>
          <w:rFonts w:hint="eastAsia" w:ascii="Times New Roman" w:hAnsi="Times New Roman" w:eastAsia="宋体" w:cs="Times New Roman"/>
          <w:i w:val="0"/>
          <w:iCs w:val="0"/>
          <w:color w:val="000000" w:themeColor="text1"/>
          <w:spacing w:val="4"/>
          <w:sz w:val="24"/>
          <w:szCs w:val="24"/>
          <w:lang w:eastAsia="zh-CN"/>
          <w14:textFill>
            <w14:solidFill>
              <w14:schemeClr w14:val="tx1"/>
            </w14:solidFill>
          </w14:textFill>
        </w:rPr>
        <w:t xml:space="preserve"> - 1</w:t>
      </w:r>
      <w:r>
        <w:rPr>
          <w:rFonts w:hint="eastAsia" w:ascii="Times New Roman" w:hAnsi="Times New Roman" w:eastAsia="宋体" w:cs="Times New Roman"/>
          <w:i w:val="0"/>
          <w:iCs w:val="0"/>
          <w:color w:val="000000" w:themeColor="text1"/>
          <w:spacing w:val="4"/>
          <w:sz w:val="24"/>
          <w:szCs w:val="24"/>
          <w:lang w:val="en-US" w:eastAsia="zh-CN"/>
          <w14:textFill>
            <w14:solidFill>
              <w14:schemeClr w14:val="tx1"/>
            </w14:solidFill>
          </w14:textFill>
        </w:rPr>
        <w:t>9</w:t>
      </w:r>
      <w:r>
        <w:rPr>
          <w:rFonts w:hint="eastAsia" w:ascii="Times New Roman" w:hAnsi="Times New Roman" w:eastAsia="宋体" w:cs="Times New Roman"/>
          <w:i w:val="0"/>
          <w:iCs w:val="0"/>
          <w:color w:val="000000" w:themeColor="text1"/>
          <w:spacing w:val="4"/>
          <w:sz w:val="24"/>
          <w:szCs w:val="24"/>
          <w:lang w:eastAsia="zh-CN"/>
          <w14:textFill>
            <w14:solidFill>
              <w14:schemeClr w14:val="tx1"/>
            </w14:solidFill>
          </w14:textFill>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759EE"/>
    <w:multiLevelType w:val="singleLevel"/>
    <w:tmpl w:val="EEF759EE"/>
    <w:lvl w:ilvl="0" w:tentative="0">
      <w:start w:val="3"/>
      <w:numFmt w:val="decimal"/>
      <w:lvlText w:val="%1."/>
      <w:lvlJc w:val="left"/>
      <w:pPr>
        <w:tabs>
          <w:tab w:val="left" w:pos="312"/>
        </w:tabs>
      </w:pPr>
    </w:lvl>
  </w:abstractNum>
  <w:abstractNum w:abstractNumId="1">
    <w:nsid w:val="7CDBB518"/>
    <w:multiLevelType w:val="singleLevel"/>
    <w:tmpl w:val="7CDBB518"/>
    <w:lvl w:ilvl="0" w:tentative="0">
      <w:start w:val="1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iYzRjZDg4ODIxMmZkMzVjYzYxNzIzMDEwYjJjY2IifQ=="/>
  </w:docVars>
  <w:rsids>
    <w:rsidRoot w:val="37AD6E33"/>
    <w:rsid w:val="033B0560"/>
    <w:rsid w:val="182C42EF"/>
    <w:rsid w:val="1A825826"/>
    <w:rsid w:val="21E64000"/>
    <w:rsid w:val="356361BF"/>
    <w:rsid w:val="37AD6E33"/>
    <w:rsid w:val="44354C47"/>
    <w:rsid w:val="46412C68"/>
    <w:rsid w:val="48192719"/>
    <w:rsid w:val="4A844D20"/>
    <w:rsid w:val="5E1169F4"/>
    <w:rsid w:val="64CB2AB7"/>
    <w:rsid w:val="64F9259A"/>
    <w:rsid w:val="6DE70412"/>
    <w:rsid w:val="6EFA44E9"/>
    <w:rsid w:val="702C18EC"/>
    <w:rsid w:val="7AED1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6">
    <w:name w:val="Default Paragraph Font"/>
    <w:semiHidden/>
    <w:qFormat/>
    <w:uiPriority w:val="0"/>
  </w:style>
  <w:style w:type="table" w:default="1" w:styleId="5">
    <w:name w:val="Normal Table"/>
    <w:autoRedefine/>
    <w:semiHidden/>
    <w:uiPriority w:val="0"/>
    <w:tblPr>
      <w:tblCellMar>
        <w:top w:w="0" w:type="dxa"/>
        <w:left w:w="108" w:type="dxa"/>
        <w:bottom w:w="0" w:type="dxa"/>
        <w:right w:w="108" w:type="dxa"/>
      </w:tblCellMar>
    </w:tblPr>
  </w:style>
  <w:style w:type="paragraph" w:customStyle="1" w:styleId="7">
    <w:name w:val="WPSOffice手动目录 1"/>
    <w:uiPriority w:val="0"/>
    <w:pPr>
      <w:ind w:leftChars="0"/>
    </w:pPr>
    <w:rPr>
      <w:sz w:val="20"/>
      <w:szCs w:val="20"/>
    </w:rPr>
  </w:style>
  <w:style w:type="paragraph" w:customStyle="1" w:styleId="8">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2024-01-06T15:21:00Z</dcterms:created>
  <dc:creator>L.</dc:creator>
  <cp:lastModifiedBy>L.</cp:lastModifiedBy>
  <dcterms:modified xsi:type="dcterms:W3CDTF">2024-01-17T18:28:32Z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B4FD0DEB9AC044DBB21E2208950CB0F0_11</vt:lpwstr>
  </property>
</Properties>
</file>