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F9E56" w14:textId="14FC5AD3" w:rsidR="004D606F" w:rsidRPr="001C457B" w:rsidRDefault="004D606F" w:rsidP="001E4DD0">
      <w:pPr>
        <w:spacing w:line="259" w:lineRule="auto"/>
        <w:jc w:val="center"/>
        <w:rPr>
          <w:b/>
          <w:bCs/>
          <w:sz w:val="40"/>
          <w:szCs w:val="40"/>
        </w:rPr>
      </w:pPr>
      <w:r w:rsidRPr="001C457B">
        <w:rPr>
          <w:b/>
          <w:bCs/>
          <w:sz w:val="40"/>
          <w:szCs w:val="40"/>
        </w:rPr>
        <w:t xml:space="preserve">BMIH6007 International </w:t>
      </w:r>
      <w:r w:rsidR="001C457B" w:rsidRPr="001C457B">
        <w:rPr>
          <w:b/>
          <w:bCs/>
          <w:sz w:val="40"/>
          <w:szCs w:val="40"/>
        </w:rPr>
        <w:t>Meetings Management for the Hotel Industry</w:t>
      </w:r>
    </w:p>
    <w:p w14:paraId="75B9CB54" w14:textId="5775AD8B" w:rsidR="00335409" w:rsidRPr="001C457B" w:rsidRDefault="00472705" w:rsidP="001E4DD0">
      <w:pPr>
        <w:spacing w:line="259" w:lineRule="auto"/>
        <w:jc w:val="center"/>
        <w:rPr>
          <w:b/>
          <w:bCs/>
          <w:sz w:val="40"/>
          <w:szCs w:val="40"/>
        </w:rPr>
      </w:pPr>
      <w:r w:rsidRPr="001C457B">
        <w:rPr>
          <w:b/>
          <w:bCs/>
          <w:sz w:val="40"/>
          <w:szCs w:val="40"/>
        </w:rPr>
        <w:t>Tech</w:t>
      </w:r>
      <w:r w:rsidR="00BB34F9" w:rsidRPr="001C457B">
        <w:rPr>
          <w:b/>
          <w:bCs/>
          <w:sz w:val="40"/>
          <w:szCs w:val="40"/>
        </w:rPr>
        <w:t xml:space="preserve">nology and Innovation </w:t>
      </w:r>
    </w:p>
    <w:p w14:paraId="4F51BBC3" w14:textId="77777777" w:rsidR="00335409" w:rsidRDefault="00335409" w:rsidP="001E4DD0">
      <w:pPr>
        <w:spacing w:line="259" w:lineRule="auto"/>
        <w:jc w:val="center"/>
        <w:rPr>
          <w:b/>
          <w:bCs/>
          <w:sz w:val="28"/>
          <w:szCs w:val="24"/>
        </w:rPr>
      </w:pPr>
    </w:p>
    <w:p w14:paraId="5B61C15D" w14:textId="77777777" w:rsidR="00335409" w:rsidRDefault="00335409" w:rsidP="001E4DD0">
      <w:pPr>
        <w:spacing w:line="259" w:lineRule="auto"/>
        <w:jc w:val="center"/>
        <w:rPr>
          <w:b/>
          <w:bCs/>
          <w:sz w:val="28"/>
          <w:szCs w:val="24"/>
        </w:rPr>
      </w:pPr>
    </w:p>
    <w:p w14:paraId="5B2974CF" w14:textId="77777777" w:rsidR="00335409" w:rsidRDefault="00335409" w:rsidP="001E4DD0">
      <w:pPr>
        <w:spacing w:line="259" w:lineRule="auto"/>
        <w:jc w:val="center"/>
        <w:rPr>
          <w:b/>
          <w:bCs/>
          <w:sz w:val="28"/>
          <w:szCs w:val="24"/>
        </w:rPr>
      </w:pPr>
    </w:p>
    <w:p w14:paraId="38CF56B8" w14:textId="77777777" w:rsidR="00335409" w:rsidRDefault="00335409" w:rsidP="001E4DD0">
      <w:pPr>
        <w:spacing w:line="259" w:lineRule="auto"/>
        <w:jc w:val="center"/>
        <w:rPr>
          <w:b/>
          <w:bCs/>
          <w:sz w:val="28"/>
          <w:szCs w:val="24"/>
        </w:rPr>
      </w:pPr>
    </w:p>
    <w:p w14:paraId="4C94B65F" w14:textId="77777777" w:rsidR="00335409" w:rsidRDefault="00335409" w:rsidP="001E4DD0">
      <w:pPr>
        <w:spacing w:line="259" w:lineRule="auto"/>
        <w:jc w:val="center"/>
        <w:rPr>
          <w:b/>
          <w:bCs/>
          <w:sz w:val="28"/>
          <w:szCs w:val="24"/>
        </w:rPr>
      </w:pPr>
    </w:p>
    <w:p w14:paraId="2F30A88A" w14:textId="77777777" w:rsidR="00335409" w:rsidRDefault="00335409" w:rsidP="001E4DD0">
      <w:pPr>
        <w:spacing w:line="259" w:lineRule="auto"/>
        <w:jc w:val="center"/>
        <w:rPr>
          <w:b/>
          <w:bCs/>
          <w:sz w:val="28"/>
          <w:szCs w:val="24"/>
        </w:rPr>
      </w:pPr>
    </w:p>
    <w:p w14:paraId="40A36F28" w14:textId="77777777" w:rsidR="00335409" w:rsidRDefault="00335409" w:rsidP="001E4DD0">
      <w:pPr>
        <w:spacing w:line="259" w:lineRule="auto"/>
        <w:jc w:val="center"/>
        <w:rPr>
          <w:b/>
          <w:bCs/>
          <w:sz w:val="28"/>
          <w:szCs w:val="24"/>
        </w:rPr>
      </w:pPr>
    </w:p>
    <w:p w14:paraId="7496CC38" w14:textId="77777777" w:rsidR="00335409" w:rsidRDefault="00335409" w:rsidP="001E4DD0">
      <w:pPr>
        <w:spacing w:line="259" w:lineRule="auto"/>
        <w:jc w:val="center"/>
        <w:rPr>
          <w:b/>
          <w:bCs/>
          <w:sz w:val="28"/>
          <w:szCs w:val="24"/>
        </w:rPr>
      </w:pPr>
    </w:p>
    <w:p w14:paraId="306E1BDE" w14:textId="77777777" w:rsidR="00335409" w:rsidRDefault="00335409" w:rsidP="001E4DD0">
      <w:pPr>
        <w:spacing w:line="259" w:lineRule="auto"/>
        <w:jc w:val="center"/>
        <w:rPr>
          <w:b/>
          <w:bCs/>
          <w:sz w:val="28"/>
          <w:szCs w:val="24"/>
        </w:rPr>
      </w:pPr>
    </w:p>
    <w:p w14:paraId="0B2FE792" w14:textId="77777777" w:rsidR="00335409" w:rsidRPr="0046341B" w:rsidRDefault="00335409" w:rsidP="00335409">
      <w:pPr>
        <w:rPr>
          <w:b/>
          <w:bCs/>
          <w:sz w:val="28"/>
          <w:szCs w:val="28"/>
        </w:rPr>
      </w:pPr>
    </w:p>
    <w:p w14:paraId="47D3904C" w14:textId="77777777" w:rsidR="00335409" w:rsidRPr="0046341B" w:rsidRDefault="00335409" w:rsidP="00335409">
      <w:pPr>
        <w:rPr>
          <w:b/>
          <w:bCs/>
          <w:sz w:val="28"/>
          <w:szCs w:val="28"/>
        </w:rPr>
      </w:pPr>
      <w:r w:rsidRPr="0046341B">
        <w:rPr>
          <w:b/>
          <w:bCs/>
          <w:sz w:val="28"/>
          <w:szCs w:val="28"/>
        </w:rPr>
        <w:t>Name: Natalia Tucan</w:t>
      </w:r>
    </w:p>
    <w:p w14:paraId="1A539FA9" w14:textId="77777777" w:rsidR="00335409" w:rsidRPr="0046341B" w:rsidRDefault="00335409" w:rsidP="00335409">
      <w:pPr>
        <w:rPr>
          <w:b/>
          <w:bCs/>
          <w:sz w:val="28"/>
          <w:szCs w:val="28"/>
        </w:rPr>
      </w:pPr>
      <w:r w:rsidRPr="0046341B">
        <w:rPr>
          <w:b/>
          <w:bCs/>
          <w:sz w:val="28"/>
          <w:szCs w:val="28"/>
        </w:rPr>
        <w:t>Student ID number: 2133016</w:t>
      </w:r>
    </w:p>
    <w:p w14:paraId="3C738048" w14:textId="0F552BBF" w:rsidR="001E4DD0" w:rsidRPr="00335409" w:rsidRDefault="00335409" w:rsidP="00335409">
      <w:pPr>
        <w:rPr>
          <w:b/>
          <w:bCs/>
        </w:rPr>
      </w:pPr>
      <w:r w:rsidRPr="0046341B">
        <w:rPr>
          <w:b/>
          <w:bCs/>
          <w:sz w:val="28"/>
          <w:szCs w:val="28"/>
        </w:rPr>
        <w:t xml:space="preserve">Lecturer: </w:t>
      </w:r>
      <w:r w:rsidR="0046341B" w:rsidRPr="0046341B">
        <w:rPr>
          <w:b/>
          <w:bCs/>
          <w:sz w:val="28"/>
          <w:szCs w:val="28"/>
        </w:rPr>
        <w:t>Jemma Smith</w:t>
      </w:r>
      <w:r w:rsidR="001E4DD0" w:rsidRPr="001E4DD0">
        <w:rPr>
          <w:b/>
          <w:bCs/>
        </w:rPr>
        <w:br w:type="page"/>
      </w:r>
    </w:p>
    <w:p w14:paraId="1D21F0CA" w14:textId="14AC98ED" w:rsidR="001E4DD0" w:rsidRDefault="001E4DD0" w:rsidP="001E4DD0">
      <w:pPr>
        <w:pStyle w:val="Heading1"/>
      </w:pPr>
      <w:r>
        <w:lastRenderedPageBreak/>
        <w:t>Slide 1: Title</w:t>
      </w:r>
    </w:p>
    <w:p w14:paraId="5BF025D8" w14:textId="3CA3E2B8" w:rsidR="001E4DD0" w:rsidRPr="001E4DD0" w:rsidRDefault="007A6839" w:rsidP="001E4DD0">
      <w:r w:rsidRPr="007A6839">
        <w:rPr>
          <w:noProof/>
        </w:rPr>
        <w:drawing>
          <wp:inline distT="0" distB="0" distL="0" distR="0" wp14:anchorId="763D937E" wp14:editId="5FAB911D">
            <wp:extent cx="5943600" cy="3343275"/>
            <wp:effectExtent l="0" t="0" r="0" b="9525"/>
            <wp:docPr id="20811233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123357"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6988D5CB" w14:textId="3E13EAC2" w:rsidR="00BC6803" w:rsidRDefault="00BC6803" w:rsidP="001E4DD0">
      <w:pPr>
        <w:pStyle w:val="Heading1"/>
      </w:pPr>
      <w:r>
        <w:t xml:space="preserve">Slide </w:t>
      </w:r>
      <w:r w:rsidR="001E4DD0">
        <w:t>2</w:t>
      </w:r>
      <w:r>
        <w:t>: Introduction</w:t>
      </w:r>
    </w:p>
    <w:p w14:paraId="46C26CB9" w14:textId="28A1670A" w:rsidR="001E4DD0" w:rsidRPr="001E4DD0" w:rsidRDefault="007A6839" w:rsidP="001E4DD0">
      <w:r>
        <w:rPr>
          <w:noProof/>
        </w:rPr>
        <w:drawing>
          <wp:inline distT="0" distB="0" distL="0" distR="0" wp14:anchorId="52FAB197" wp14:editId="3B2DA6F1">
            <wp:extent cx="5943600" cy="2808605"/>
            <wp:effectExtent l="0" t="0" r="0" b="0"/>
            <wp:docPr id="504943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43614" name="Picture 504943614"/>
                    <pic:cNvPicPr/>
                  </pic:nvPicPr>
                  <pic:blipFill>
                    <a:blip r:embed="rId8">
                      <a:extLst>
                        <a:ext uri="{28A0092B-C50C-407E-A947-70E740481C1C}">
                          <a14:useLocalDpi xmlns:a14="http://schemas.microsoft.com/office/drawing/2010/main" val="0"/>
                        </a:ext>
                      </a:extLst>
                    </a:blip>
                    <a:stretch>
                      <a:fillRect/>
                    </a:stretch>
                  </pic:blipFill>
                  <pic:spPr>
                    <a:xfrm>
                      <a:off x="0" y="0"/>
                      <a:ext cx="5943600" cy="2808605"/>
                    </a:xfrm>
                    <a:prstGeom prst="rect">
                      <a:avLst/>
                    </a:prstGeom>
                  </pic:spPr>
                </pic:pic>
              </a:graphicData>
            </a:graphic>
          </wp:inline>
        </w:drawing>
      </w:r>
    </w:p>
    <w:p w14:paraId="0D766E36" w14:textId="5D168440" w:rsidR="00BC6803" w:rsidRDefault="007A6839" w:rsidP="00BC6803">
      <w:r w:rsidRPr="007A6839">
        <w:t xml:space="preserve">The </w:t>
      </w:r>
      <w:proofErr w:type="spellStart"/>
      <w:r w:rsidRPr="007A6839">
        <w:t>Sunblow</w:t>
      </w:r>
      <w:proofErr w:type="spellEnd"/>
      <w:r w:rsidRPr="007A6839">
        <w:t xml:space="preserve"> is a music festival which powers a dynamic four-day experience by pulling the most recent and innovative RFID and NFC technologies. We plan to incorporate such technology system to shorten the ticketing processes, uplift security measures and facilitate easier connection </w:t>
      </w:r>
      <w:r w:rsidRPr="007A6839">
        <w:lastRenderedPageBreak/>
        <w:t xml:space="preserve">between vendors and attendees </w:t>
      </w:r>
      <w:proofErr w:type="gramStart"/>
      <w:r w:rsidRPr="007A6839">
        <w:t>so as to</w:t>
      </w:r>
      <w:proofErr w:type="gramEnd"/>
      <w:r w:rsidRPr="007A6839">
        <w:t xml:space="preserve"> guarantee the best experience for everyone</w:t>
      </w:r>
      <w:r>
        <w:t xml:space="preserve"> (Clarke, 2021)</w:t>
      </w:r>
      <w:r w:rsidRPr="007A6839">
        <w:t>. By the end of this presentation attendees will get information about using RFID and NFC techniques in the organization of big format events in terms of optimizing operations and providing a high-level of visitor experience.</w:t>
      </w:r>
    </w:p>
    <w:p w14:paraId="136EC691" w14:textId="6AFC4F44" w:rsidR="00BC6803" w:rsidRDefault="00BC6803" w:rsidP="001E4DD0">
      <w:pPr>
        <w:pStyle w:val="Heading1"/>
      </w:pPr>
      <w:r>
        <w:t xml:space="preserve">Slide </w:t>
      </w:r>
      <w:r w:rsidR="001E4DD0">
        <w:t>3</w:t>
      </w:r>
      <w:r>
        <w:t xml:space="preserve">: </w:t>
      </w:r>
      <w:r w:rsidRPr="00BC6803">
        <w:t>Situational Analysis and Research</w:t>
      </w:r>
    </w:p>
    <w:p w14:paraId="2D98D329" w14:textId="6111CE2A" w:rsidR="001E4DD0" w:rsidRPr="001E4DD0" w:rsidRDefault="007A6839" w:rsidP="001E4DD0">
      <w:r w:rsidRPr="007A6839">
        <w:rPr>
          <w:noProof/>
        </w:rPr>
        <w:drawing>
          <wp:inline distT="0" distB="0" distL="0" distR="0" wp14:anchorId="031F1D91" wp14:editId="23A852FD">
            <wp:extent cx="5943600" cy="3343275"/>
            <wp:effectExtent l="0" t="0" r="0" b="9525"/>
            <wp:docPr id="11298117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1170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575512BC" w14:textId="32AAA146" w:rsidR="00BC6803" w:rsidRDefault="007A6839" w:rsidP="00BC6803">
      <w:r w:rsidRPr="007A6839">
        <w:t xml:space="preserve">The introduction of RFID and NFC technology into festival environments is as among as digital wristbands allow faster entrance and enhanced security features in comparison with class wristbands. Apart from ticket chipping and the introduction of </w:t>
      </w:r>
      <w:r w:rsidR="0027218D" w:rsidRPr="007A6839">
        <w:t>a</w:t>
      </w:r>
      <w:r w:rsidRPr="007A6839">
        <w:t xml:space="preserve"> wristband, event organizers also ensure convenience by adopting the e-wallet/ bar code system during transactions at the event. Our target audience is young music lovers who </w:t>
      </w:r>
      <w:r w:rsidR="008A5AD2" w:rsidRPr="007A6839">
        <w:t>possess</w:t>
      </w:r>
      <w:r w:rsidRPr="007A6839">
        <w:t xml:space="preserve"> amplified taste for tech and that blend seamlessly with their everyday life</w:t>
      </w:r>
      <w:r>
        <w:t xml:space="preserve"> (Zhu et al., 2022)</w:t>
      </w:r>
      <w:r w:rsidRPr="007A6839">
        <w:t>. They are aged 18-40 and know what to go for 100%. Technology here will be the natural choice to fill the gap created by people themselves that syncs with their desires and expectations.</w:t>
      </w:r>
    </w:p>
    <w:p w14:paraId="2C2B6C65" w14:textId="180CD0EE" w:rsidR="00BC6803" w:rsidRDefault="00BC6803" w:rsidP="001E4DD0">
      <w:pPr>
        <w:pStyle w:val="Heading1"/>
      </w:pPr>
      <w:r>
        <w:lastRenderedPageBreak/>
        <w:t xml:space="preserve">Slide </w:t>
      </w:r>
      <w:r w:rsidR="001E4DD0">
        <w:t>4</w:t>
      </w:r>
      <w:r>
        <w:t>: Market Factors</w:t>
      </w:r>
    </w:p>
    <w:p w14:paraId="4BC805AC" w14:textId="4155041F" w:rsidR="001E4DD0" w:rsidRPr="001E4DD0" w:rsidRDefault="007A6839" w:rsidP="001E4DD0">
      <w:r w:rsidRPr="007A6839">
        <w:rPr>
          <w:noProof/>
        </w:rPr>
        <w:drawing>
          <wp:inline distT="0" distB="0" distL="0" distR="0" wp14:anchorId="758BF5F2" wp14:editId="09C3CF9F">
            <wp:extent cx="5943600" cy="3343275"/>
            <wp:effectExtent l="0" t="0" r="0" b="9525"/>
            <wp:docPr id="13278703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7036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CB92EC2" w14:textId="28EADD3A" w:rsidR="00BC6803" w:rsidRDefault="007A6839" w:rsidP="00BC6803">
      <w:r w:rsidRPr="007A6839">
        <w:t xml:space="preserve">It is evident that a festival with technology </w:t>
      </w:r>
      <w:proofErr w:type="gramStart"/>
      <w:r w:rsidRPr="007A6839">
        <w:t xml:space="preserve">is in need </w:t>
      </w:r>
      <w:r w:rsidR="00542E97" w:rsidRPr="007A6839">
        <w:t>of</w:t>
      </w:r>
      <w:proofErr w:type="gramEnd"/>
      <w:r w:rsidRPr="007A6839">
        <w:t xml:space="preserve"> music festival goers which derives more exposure and a flowing experience. Although most festivals are taking RFID and NFC systems, </w:t>
      </w:r>
      <w:proofErr w:type="spellStart"/>
      <w:r w:rsidRPr="007A6839">
        <w:t>Sunblow</w:t>
      </w:r>
      <w:proofErr w:type="spellEnd"/>
      <w:r w:rsidRPr="007A6839">
        <w:t xml:space="preserve"> Festival offers a new innovative approach of attaining the perks associated with the mentioned tech solutions while at the same time being distinct such that it has one of the best music </w:t>
      </w:r>
      <w:proofErr w:type="gramStart"/>
      <w:r w:rsidRPr="007A6839">
        <w:t>lineup</w:t>
      </w:r>
      <w:proofErr w:type="gramEnd"/>
      <w:r w:rsidRPr="007A6839">
        <w:t xml:space="preserve"> among other music festivals, promising fast operations and unique entertainment value. Through the presence of many tech vendors and partners, we can make it possible to achieve a successful and technically sound implementation of these systems and, therefore, to provide an outstanding technological festival experience</w:t>
      </w:r>
      <w:r>
        <w:t xml:space="preserve"> (Vogel, 2020)</w:t>
      </w:r>
      <w:r w:rsidRPr="007A6839">
        <w:t>.</w:t>
      </w:r>
    </w:p>
    <w:p w14:paraId="5AD472DE" w14:textId="5E2FE6A0" w:rsidR="00BC6803" w:rsidRDefault="00BC6803" w:rsidP="001E4DD0">
      <w:pPr>
        <w:pStyle w:val="Heading1"/>
      </w:pPr>
      <w:r>
        <w:lastRenderedPageBreak/>
        <w:t xml:space="preserve">Slide </w:t>
      </w:r>
      <w:r w:rsidR="001E4DD0">
        <w:t>5</w:t>
      </w:r>
      <w:r>
        <w:t xml:space="preserve">: </w:t>
      </w:r>
      <w:r w:rsidRPr="00BC6803">
        <w:t xml:space="preserve">Operational Factors </w:t>
      </w:r>
      <w:r w:rsidR="001E4DD0">
        <w:t>–</w:t>
      </w:r>
      <w:r w:rsidRPr="00BC6803">
        <w:t xml:space="preserve"> Venue</w:t>
      </w:r>
    </w:p>
    <w:p w14:paraId="1D13D281" w14:textId="1B0E4CB4" w:rsidR="001E4DD0" w:rsidRPr="001E4DD0" w:rsidRDefault="001E4DD0" w:rsidP="001E4DD0">
      <w:r w:rsidRPr="001E4DD0">
        <w:rPr>
          <w:noProof/>
        </w:rPr>
        <w:drawing>
          <wp:inline distT="0" distB="0" distL="0" distR="0" wp14:anchorId="0EA15947" wp14:editId="2E918EE9">
            <wp:extent cx="5943600" cy="3343275"/>
            <wp:effectExtent l="0" t="0" r="0" b="9525"/>
            <wp:docPr id="5137669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6691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23479F1E" w14:textId="0AE4DC21" w:rsidR="00BC6803" w:rsidRDefault="00BC6803" w:rsidP="00BC6803">
      <w:r>
        <w:t xml:space="preserve">Our attendees come from all over the </w:t>
      </w:r>
      <w:proofErr w:type="gramStart"/>
      <w:r>
        <w:t>country</w:t>
      </w:r>
      <w:proofErr w:type="gramEnd"/>
      <w:r>
        <w:t xml:space="preserve"> and we chose the "Riverside Conference Center" in Birmingham as it is in the middle of the city, the room is flexible, and it can accommodate 1,500 guests. The venue is occupied and has all the necessary halls for the </w:t>
      </w:r>
      <w:r w:rsidR="001E4DD0">
        <w:t>keynotes</w:t>
      </w:r>
      <w:r>
        <w:t xml:space="preserve">, the exhibition spaces, the networking </w:t>
      </w:r>
      <w:proofErr w:type="gramStart"/>
      <w:r>
        <w:t>rooms</w:t>
      </w:r>
      <w:proofErr w:type="gramEnd"/>
      <w:r>
        <w:t xml:space="preserve"> and the multiple meeting rooms. It offers ample parking, </w:t>
      </w:r>
      <w:r w:rsidR="001E4DD0">
        <w:t xml:space="preserve">and </w:t>
      </w:r>
      <w:r>
        <w:t>event catering services and has the latest equipment in terms of sound and audio video systems. The venue's high-speed Wi-Fi and tech support team will replace the worries of blender connection or a disconnected phone or a power point presentation freeze with ease of networking</w:t>
      </w:r>
      <w:r w:rsidR="001E4DD0">
        <w:t xml:space="preserve"> (Jain et al., 2022)</w:t>
      </w:r>
      <w:r>
        <w:t xml:space="preserve">. With that in mind, we shall subject staff to training and a tech rehearsal in advance, just to make sure that everything goes as planned appropriately, putting to </w:t>
      </w:r>
      <w:proofErr w:type="gramStart"/>
      <w:r>
        <w:t>experience</w:t>
      </w:r>
      <w:proofErr w:type="gramEnd"/>
      <w:r>
        <w:t xml:space="preserve"> guests. This way they will have a memorable and a hassle-free experience.</w:t>
      </w:r>
    </w:p>
    <w:p w14:paraId="0D831930" w14:textId="7FDE1EF3" w:rsidR="00BC6803" w:rsidRDefault="00BC6803" w:rsidP="001E4DD0">
      <w:pPr>
        <w:pStyle w:val="Heading1"/>
      </w:pPr>
      <w:r>
        <w:lastRenderedPageBreak/>
        <w:t xml:space="preserve">Slide </w:t>
      </w:r>
      <w:r w:rsidR="001E4DD0">
        <w:t>6</w:t>
      </w:r>
      <w:r>
        <w:t xml:space="preserve">: </w:t>
      </w:r>
      <w:r w:rsidRPr="00BC6803">
        <w:t>Operational Factors - Resources and Skills</w:t>
      </w:r>
    </w:p>
    <w:p w14:paraId="5C590F5B" w14:textId="0F572FDB" w:rsidR="001E4DD0" w:rsidRPr="001E4DD0" w:rsidRDefault="001E4DD0" w:rsidP="001E4DD0">
      <w:r w:rsidRPr="001E4DD0">
        <w:rPr>
          <w:noProof/>
        </w:rPr>
        <w:drawing>
          <wp:inline distT="0" distB="0" distL="0" distR="0" wp14:anchorId="1ED3B09D" wp14:editId="2D0A0AA7">
            <wp:extent cx="5943600" cy="3343275"/>
            <wp:effectExtent l="0" t="0" r="0" b="9525"/>
            <wp:docPr id="1692404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0466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96A0A78" w14:textId="7C8FE3E6" w:rsidR="00BC6803" w:rsidRDefault="00BC6803" w:rsidP="00BC6803">
      <w:r>
        <w:t xml:space="preserve">For our reverse event our staff will carry out the technical support, managing the schedule as well as organizing catering services. Computer tech staff will be responsible for both A/V and equipment, whereas event coordinators will ensure a smooth flow of the event </w:t>
      </w:r>
      <w:proofErr w:type="gramStart"/>
      <w:r>
        <w:t>in regards to</w:t>
      </w:r>
      <w:proofErr w:type="gramEnd"/>
      <w:r>
        <w:t xml:space="preserve"> logistics, scheduling and speakers management. The catering staff will </w:t>
      </w:r>
      <w:proofErr w:type="gramStart"/>
      <w:r>
        <w:t>be in charge of</w:t>
      </w:r>
      <w:proofErr w:type="gramEnd"/>
      <w:r>
        <w:t xml:space="preserve"> </w:t>
      </w:r>
      <w:proofErr w:type="gramStart"/>
      <w:r>
        <w:t>examination</w:t>
      </w:r>
      <w:proofErr w:type="gramEnd"/>
      <w:r>
        <w:t xml:space="preserve"> that their service is timely and food in higher quality. Regarding technological necessities, we'll have an ultra-HD A/V system, uninterruptible internet and, accordingly, event app to create networking and agenda management for visitors</w:t>
      </w:r>
      <w:r w:rsidR="001E4DD0">
        <w:t xml:space="preserve"> (Palepu et al., 2020)</w:t>
      </w:r>
      <w:r>
        <w:t>. Logistical support involves registration team for reconciling issues easily, a security group for people’s safety, and ushers to orient folks to where they need to go. In combination, these resources are going to make the happening one of high engagement level and have high quality management.</w:t>
      </w:r>
    </w:p>
    <w:p w14:paraId="2832F7F7" w14:textId="5FAEEB40" w:rsidR="00BC6803" w:rsidRDefault="00BC6803" w:rsidP="001E4DD0">
      <w:pPr>
        <w:pStyle w:val="Heading1"/>
      </w:pPr>
      <w:r>
        <w:lastRenderedPageBreak/>
        <w:t xml:space="preserve">Slide </w:t>
      </w:r>
      <w:r w:rsidR="001E4DD0">
        <w:t>7</w:t>
      </w:r>
      <w:r>
        <w:t>: Financial Factors - Income and Dispute</w:t>
      </w:r>
    </w:p>
    <w:p w14:paraId="62D8113D" w14:textId="32C3E97B" w:rsidR="001E4DD0" w:rsidRPr="001E4DD0" w:rsidRDefault="001E4DD0" w:rsidP="001E4DD0">
      <w:r w:rsidRPr="001E4DD0">
        <w:rPr>
          <w:noProof/>
        </w:rPr>
        <w:drawing>
          <wp:inline distT="0" distB="0" distL="0" distR="0" wp14:anchorId="20E0D59F" wp14:editId="1839B6B0">
            <wp:extent cx="5943600" cy="3343275"/>
            <wp:effectExtent l="0" t="0" r="0" b="9525"/>
            <wp:docPr id="16011819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8196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58483A6E" w14:textId="4EFB912A" w:rsidR="00BC6803" w:rsidRDefault="00BC6803" w:rsidP="00BC6803">
      <w:r>
        <w:t xml:space="preserve">This slide represents the complete financial content involving the event’s income and budget plan. Summer </w:t>
      </w:r>
      <w:proofErr w:type="spellStart"/>
      <w:r>
        <w:t>S</w:t>
      </w:r>
      <w:r w:rsidR="005C574F">
        <w:t>unblow</w:t>
      </w:r>
      <w:r>
        <w:t>Festival</w:t>
      </w:r>
      <w:proofErr w:type="spellEnd"/>
      <w:r>
        <w:t xml:space="preserve"> main income ways consist of ticket sales, sponsorship, exhibitors fee and branded stuff, which in total will generate 180.000 pounds. Where it comes to the spending side, venue hiring, the equipment, staffing, marketing, and miscellaneous costs represent £55500 worth of expenses in total. Based on such projections, the event is anticipated to be at </w:t>
      </w:r>
      <w:proofErr w:type="gramStart"/>
      <w:r>
        <w:t>break</w:t>
      </w:r>
      <w:proofErr w:type="gramEnd"/>
      <w:r>
        <w:t xml:space="preserve">-even point at a level of £125,000 thereby making </w:t>
      </w:r>
      <w:r w:rsidR="001E4DD0">
        <w:t xml:space="preserve">a </w:t>
      </w:r>
      <w:r>
        <w:t>profit. This propitious financial outlook therefore indicates that the occurrence isn't at all rosy and is going to bring about substantial returns on investments</w:t>
      </w:r>
      <w:r w:rsidR="001E4DD0">
        <w:t xml:space="preserve"> (Vogel, 2020)</w:t>
      </w:r>
      <w:r>
        <w:t>.</w:t>
      </w:r>
    </w:p>
    <w:p w14:paraId="082C2CBD" w14:textId="424ACC21" w:rsidR="00BC6803" w:rsidRDefault="00BC6803" w:rsidP="001E4DD0">
      <w:pPr>
        <w:pStyle w:val="Heading1"/>
      </w:pPr>
      <w:r>
        <w:lastRenderedPageBreak/>
        <w:t xml:space="preserve">Slide </w:t>
      </w:r>
      <w:r w:rsidR="001E4DD0">
        <w:t>8</w:t>
      </w:r>
      <w:r>
        <w:t xml:space="preserve">: </w:t>
      </w:r>
      <w:r w:rsidR="001E4DD0" w:rsidRPr="001E4DD0">
        <w:t xml:space="preserve">Financial Factors </w:t>
      </w:r>
      <w:r w:rsidR="001E4DD0">
        <w:t>–</w:t>
      </w:r>
      <w:r w:rsidR="001E4DD0" w:rsidRPr="001E4DD0">
        <w:t xml:space="preserve"> Analysis</w:t>
      </w:r>
    </w:p>
    <w:p w14:paraId="05778A99" w14:textId="03A9AE63" w:rsidR="001E4DD0" w:rsidRPr="001E4DD0" w:rsidRDefault="001E4DD0" w:rsidP="001E4DD0">
      <w:r w:rsidRPr="001E4DD0">
        <w:rPr>
          <w:noProof/>
        </w:rPr>
        <w:drawing>
          <wp:inline distT="0" distB="0" distL="0" distR="0" wp14:anchorId="1F93B494" wp14:editId="69551365">
            <wp:extent cx="5943600" cy="3343275"/>
            <wp:effectExtent l="0" t="0" r="0" b="9525"/>
            <wp:docPr id="11255550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5501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6A109582" w14:textId="161FC490" w:rsidR="00BC6803" w:rsidRDefault="00BC6803" w:rsidP="00BC6803">
      <w:r>
        <w:t xml:space="preserve">Behold the financial model of the event projected </w:t>
      </w:r>
      <w:r w:rsidR="001E4DD0">
        <w:t>in</w:t>
      </w:r>
      <w:r>
        <w:t xml:space="preserve"> </w:t>
      </w:r>
      <w:r w:rsidR="001E4DD0">
        <w:t>the</w:t>
      </w:r>
      <w:r>
        <w:t xml:space="preserve"> table below where we keep track of the income and expenditure in a summarized manner. The projected net profit is £125 125 thousand pounds that </w:t>
      </w:r>
      <w:proofErr w:type="gramStart"/>
      <w:r>
        <w:t>are</w:t>
      </w:r>
      <w:proofErr w:type="gramEnd"/>
      <w:r>
        <w:t xml:space="preserve"> above the market trend, this confirms the success probability of </w:t>
      </w:r>
      <w:r w:rsidR="001E4DD0">
        <w:t xml:space="preserve">the </w:t>
      </w:r>
      <w:r>
        <w:t xml:space="preserve">event given the current market demand and strategies. The array of ticketing sales, sponsorships, exhibitor fees, and stand sales will give you the chance to earn various income sources. At a second venue we would seek out economical venues, cut equipment costs and </w:t>
      </w:r>
      <w:proofErr w:type="spellStart"/>
      <w:r w:rsidR="001E4DD0">
        <w:t>minimise</w:t>
      </w:r>
      <w:proofErr w:type="spellEnd"/>
      <w:r>
        <w:t xml:space="preserve"> the staffing to keep expenditures under check</w:t>
      </w:r>
      <w:r w:rsidR="001E4DD0">
        <w:t xml:space="preserve"> (Zhu et al., 2022)</w:t>
      </w:r>
      <w:r>
        <w:t>. Overall, this whole process has demonstrated that the event is an excellent deal from the strategic and financial points of view.</w:t>
      </w:r>
    </w:p>
    <w:p w14:paraId="1B56C88A" w14:textId="309F2DFD" w:rsidR="00BC6803" w:rsidRDefault="00BC6803" w:rsidP="001E4DD0">
      <w:pPr>
        <w:pStyle w:val="Heading1"/>
      </w:pPr>
      <w:r>
        <w:lastRenderedPageBreak/>
        <w:t xml:space="preserve">Slide </w:t>
      </w:r>
      <w:r w:rsidR="001E4DD0">
        <w:t>9</w:t>
      </w:r>
      <w:r>
        <w:t xml:space="preserve">: </w:t>
      </w:r>
      <w:r w:rsidR="001E4DD0" w:rsidRPr="001E4DD0">
        <w:t>Strategic Planning and Risk Management</w:t>
      </w:r>
    </w:p>
    <w:p w14:paraId="0FF00C9C" w14:textId="763810EA" w:rsidR="001E4DD0" w:rsidRPr="001E4DD0" w:rsidRDefault="001E4DD0" w:rsidP="001E4DD0">
      <w:r w:rsidRPr="001E4DD0">
        <w:rPr>
          <w:noProof/>
        </w:rPr>
        <w:drawing>
          <wp:inline distT="0" distB="0" distL="0" distR="0" wp14:anchorId="5FEDE3E8" wp14:editId="5BAF5BFF">
            <wp:extent cx="5943600" cy="3343275"/>
            <wp:effectExtent l="0" t="0" r="0" b="9525"/>
            <wp:docPr id="1127563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631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4209B19" w14:textId="78740EBF" w:rsidR="00BC6803" w:rsidRDefault="00BC6803" w:rsidP="00BC6803">
      <w:r>
        <w:t xml:space="preserve">With </w:t>
      </w:r>
      <w:r w:rsidR="001E4DD0">
        <w:t xml:space="preserve">the </w:t>
      </w:r>
      <w:r>
        <w:t xml:space="preserve">strategic calendar, we start the planning process three months out of the event </w:t>
      </w:r>
      <w:r w:rsidR="001E4DD0">
        <w:t>by</w:t>
      </w:r>
      <w:r>
        <w:t xml:space="preserve"> booking </w:t>
      </w:r>
      <w:r w:rsidR="001E4DD0">
        <w:t xml:space="preserve">the </w:t>
      </w:r>
      <w:r>
        <w:t xml:space="preserve">venue, locking sponsors, and throwing marketing campaigns. As days go by, we'll consider </w:t>
      </w:r>
      <w:r w:rsidR="001E4DD0">
        <w:t>ticket</w:t>
      </w:r>
      <w:r>
        <w:t xml:space="preserve"> sales, further agenda refinement, training the staff, and finalize all logistics. Risk management entails risk minimization such as selling discounted tickets (for example, early bird tickets), and through strong marketing. In case of a technical issue</w:t>
      </w:r>
      <w:r w:rsidR="001E4DD0">
        <w:t>,</w:t>
      </w:r>
      <w:r>
        <w:t xml:space="preserve"> we will have backup A/V set up and a tech team on duty</w:t>
      </w:r>
      <w:r w:rsidR="001E4DD0">
        <w:t xml:space="preserve"> (Vogel, 2020)</w:t>
      </w:r>
      <w:r>
        <w:t xml:space="preserve">. Reputational risk will be mitigated through onsite surveys and addressed in </w:t>
      </w:r>
      <w:r w:rsidR="001E4DD0">
        <w:t xml:space="preserve">the </w:t>
      </w:r>
      <w:r>
        <w:t>fix of issues. Further in this plan, we will introduce alternative sites to neutralize the risk of venue unavailability, travel limitations, and force majeure events.</w:t>
      </w:r>
    </w:p>
    <w:p w14:paraId="739651B3" w14:textId="3B89EECA" w:rsidR="001E4DD0" w:rsidRDefault="001E4DD0" w:rsidP="001E4DD0">
      <w:pPr>
        <w:pStyle w:val="Heading1"/>
      </w:pPr>
      <w:r>
        <w:lastRenderedPageBreak/>
        <w:t>Slide 10: Conclusion</w:t>
      </w:r>
    </w:p>
    <w:p w14:paraId="053B73CC" w14:textId="2B4F758A" w:rsidR="001E4DD0" w:rsidRPr="001E4DD0" w:rsidRDefault="001E4DD0" w:rsidP="001E4DD0">
      <w:r w:rsidRPr="001E4DD0">
        <w:rPr>
          <w:noProof/>
        </w:rPr>
        <w:drawing>
          <wp:inline distT="0" distB="0" distL="0" distR="0" wp14:anchorId="225CFBDD" wp14:editId="546A62E6">
            <wp:extent cx="5943600" cy="3343275"/>
            <wp:effectExtent l="0" t="0" r="0" b="9525"/>
            <wp:docPr id="238204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0431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0A3C87D" w14:textId="4AC4D4C6" w:rsidR="00BC6803" w:rsidRDefault="001E4DD0" w:rsidP="001E4DD0">
      <w:pPr>
        <w:rPr>
          <w:rFonts w:eastAsiaTheme="majorEastAsia" w:cstheme="majorBidi"/>
          <w:b/>
          <w:color w:val="000000" w:themeColor="text1"/>
          <w:sz w:val="32"/>
          <w:szCs w:val="32"/>
        </w:rPr>
      </w:pPr>
      <w:r>
        <w:t xml:space="preserve">Our analysis has led us to believe that this event is a feasible and sound business proposition upon considering the situation, market trends, and operational factors, as well as financial projections. As for the alignment with our idea of conducts of tech, it is natural since the interest in technological solutions from the </w:t>
      </w:r>
      <w:r w:rsidR="007A6839">
        <w:t>music</w:t>
      </w:r>
      <w:r>
        <w:t xml:space="preserve"> industry is growing nowadays. We advise on marketing early as </w:t>
      </w:r>
      <w:proofErr w:type="spellStart"/>
      <w:r>
        <w:t>as</w:t>
      </w:r>
      <w:proofErr w:type="spellEnd"/>
      <w:r>
        <w:t xml:space="preserve"> possible to exhaust sponsorship- and ticket-selling opportunities stay in touch with the key stakeholders and take their ideas into account to support partnerships that would work; after the event, the feedback from the participants would come in so that the future iterations of the event might be perfected (Clarke, 2021). A functionality that could be seamlessly used by both virtual and physical guests will be in place to achieve that effect. Both participants will have a fun occasion.</w:t>
      </w:r>
      <w:r w:rsidR="00BC6803">
        <w:br w:type="page"/>
      </w:r>
    </w:p>
    <w:p w14:paraId="1051E332" w14:textId="6F963608" w:rsidR="00CD46F5" w:rsidRDefault="00BC6803" w:rsidP="00BC6803">
      <w:pPr>
        <w:pStyle w:val="Heading1"/>
      </w:pPr>
      <w:r>
        <w:lastRenderedPageBreak/>
        <w:t>References</w:t>
      </w:r>
    </w:p>
    <w:p w14:paraId="02DC56CE" w14:textId="2983EA90" w:rsidR="001E4DD0" w:rsidRPr="001E4DD0" w:rsidRDefault="001E4DD0" w:rsidP="001E4DD0">
      <w:r w:rsidRPr="001E4DD0">
        <w:rPr>
          <w:noProof/>
        </w:rPr>
        <w:drawing>
          <wp:inline distT="0" distB="0" distL="0" distR="0" wp14:anchorId="44CA522E" wp14:editId="38DBE29C">
            <wp:extent cx="5943600" cy="3343275"/>
            <wp:effectExtent l="0" t="0" r="0" b="9525"/>
            <wp:docPr id="741809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0965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510F7055" w14:textId="77777777" w:rsidR="00BC6803" w:rsidRDefault="00BC6803" w:rsidP="00BC6803">
      <w:pPr>
        <w:rPr>
          <w:shd w:val="clear" w:color="auto" w:fill="FFFFFF"/>
        </w:rPr>
      </w:pPr>
      <w:r>
        <w:rPr>
          <w:shd w:val="clear" w:color="auto" w:fill="FFFFFF"/>
        </w:rPr>
        <w:t xml:space="preserve">Clarke, A.E., 2021. From grounded theory to situational analysis: What’s new? Why? </w:t>
      </w:r>
      <w:proofErr w:type="gramStart"/>
      <w:r>
        <w:rPr>
          <w:shd w:val="clear" w:color="auto" w:fill="FFFFFF"/>
        </w:rPr>
        <w:t>How?.</w:t>
      </w:r>
      <w:proofErr w:type="gramEnd"/>
      <w:r>
        <w:rPr>
          <w:shd w:val="clear" w:color="auto" w:fill="FFFFFF"/>
        </w:rPr>
        <w:t xml:space="preserve"> In </w:t>
      </w:r>
      <w:r>
        <w:rPr>
          <w:i/>
          <w:iCs/>
          <w:shd w:val="clear" w:color="auto" w:fill="FFFFFF"/>
        </w:rPr>
        <w:t>Developing grounded theory</w:t>
      </w:r>
      <w:r>
        <w:rPr>
          <w:shd w:val="clear" w:color="auto" w:fill="FFFFFF"/>
        </w:rPr>
        <w:t> (pp. 223-266). Routledge.</w:t>
      </w:r>
    </w:p>
    <w:p w14:paraId="58554B36" w14:textId="77777777" w:rsidR="00BC6803" w:rsidRDefault="00BC6803" w:rsidP="00BC6803">
      <w:pPr>
        <w:rPr>
          <w:shd w:val="clear" w:color="auto" w:fill="FFFFFF"/>
        </w:rPr>
      </w:pPr>
      <w:r>
        <w:rPr>
          <w:shd w:val="clear" w:color="auto" w:fill="FFFFFF"/>
        </w:rPr>
        <w:t xml:space="preserve">Gallego, J.S., Ortiz-Marcos, </w:t>
      </w:r>
      <w:proofErr w:type="gramStart"/>
      <w:r>
        <w:rPr>
          <w:shd w:val="clear" w:color="auto" w:fill="FFFFFF"/>
        </w:rPr>
        <w:t>I.</w:t>
      </w:r>
      <w:proofErr w:type="gramEnd"/>
      <w:r>
        <w:rPr>
          <w:shd w:val="clear" w:color="auto" w:fill="FFFFFF"/>
        </w:rPr>
        <w:t xml:space="preserve"> and Ruiz, J.R., 2021. Main challenges during project planning when working with virtual teams. </w:t>
      </w:r>
      <w:r>
        <w:rPr>
          <w:i/>
          <w:iCs/>
          <w:shd w:val="clear" w:color="auto" w:fill="FFFFFF"/>
        </w:rPr>
        <w:t>Technological Forecasting and Social Change</w:t>
      </w:r>
      <w:r>
        <w:rPr>
          <w:shd w:val="clear" w:color="auto" w:fill="FFFFFF"/>
        </w:rPr>
        <w:t>, </w:t>
      </w:r>
      <w:r>
        <w:rPr>
          <w:i/>
          <w:iCs/>
          <w:shd w:val="clear" w:color="auto" w:fill="FFFFFF"/>
        </w:rPr>
        <w:t>162</w:t>
      </w:r>
      <w:r>
        <w:rPr>
          <w:shd w:val="clear" w:color="auto" w:fill="FFFFFF"/>
        </w:rPr>
        <w:t>, p.120353.</w:t>
      </w:r>
    </w:p>
    <w:p w14:paraId="5B334AC1" w14:textId="77777777" w:rsidR="00BC6803" w:rsidRDefault="00BC6803" w:rsidP="00BC6803">
      <w:pPr>
        <w:rPr>
          <w:shd w:val="clear" w:color="auto" w:fill="FFFFFF"/>
        </w:rPr>
      </w:pPr>
      <w:proofErr w:type="spellStart"/>
      <w:r>
        <w:rPr>
          <w:shd w:val="clear" w:color="auto" w:fill="FFFFFF"/>
        </w:rPr>
        <w:t>Ivina</w:t>
      </w:r>
      <w:proofErr w:type="spellEnd"/>
      <w:r>
        <w:rPr>
          <w:shd w:val="clear" w:color="auto" w:fill="FFFFFF"/>
        </w:rPr>
        <w:t xml:space="preserve">, D., Olsson, N.O. and </w:t>
      </w:r>
      <w:proofErr w:type="spellStart"/>
      <w:r>
        <w:rPr>
          <w:shd w:val="clear" w:color="auto" w:fill="FFFFFF"/>
        </w:rPr>
        <w:t>Hiselius</w:t>
      </w:r>
      <w:proofErr w:type="spellEnd"/>
      <w:r>
        <w:rPr>
          <w:shd w:val="clear" w:color="auto" w:fill="FFFFFF"/>
        </w:rPr>
        <w:t>, L.W., 2022. Significance of the contractual relationship for the efficient railway maintenance project planning. </w:t>
      </w:r>
      <w:r>
        <w:rPr>
          <w:i/>
          <w:iCs/>
          <w:shd w:val="clear" w:color="auto" w:fill="FFFFFF"/>
        </w:rPr>
        <w:t>Procedia Computer Science</w:t>
      </w:r>
      <w:r>
        <w:rPr>
          <w:shd w:val="clear" w:color="auto" w:fill="FFFFFF"/>
        </w:rPr>
        <w:t>, </w:t>
      </w:r>
      <w:r>
        <w:rPr>
          <w:i/>
          <w:iCs/>
          <w:shd w:val="clear" w:color="auto" w:fill="FFFFFF"/>
        </w:rPr>
        <w:t>196</w:t>
      </w:r>
      <w:r>
        <w:rPr>
          <w:shd w:val="clear" w:color="auto" w:fill="FFFFFF"/>
        </w:rPr>
        <w:t>, pp.920-926.</w:t>
      </w:r>
    </w:p>
    <w:p w14:paraId="59C7BCC8" w14:textId="77777777" w:rsidR="00BC6803" w:rsidRDefault="00BC6803" w:rsidP="00BC6803">
      <w:pPr>
        <w:rPr>
          <w:shd w:val="clear" w:color="auto" w:fill="FFFFFF"/>
        </w:rPr>
      </w:pPr>
      <w:r>
        <w:rPr>
          <w:shd w:val="clear" w:color="auto" w:fill="FFFFFF"/>
        </w:rPr>
        <w:t xml:space="preserve">Jain, S., Sharma, </w:t>
      </w:r>
      <w:proofErr w:type="gramStart"/>
      <w:r>
        <w:rPr>
          <w:shd w:val="clear" w:color="auto" w:fill="FFFFFF"/>
        </w:rPr>
        <w:t>T.</w:t>
      </w:r>
      <w:proofErr w:type="gramEnd"/>
      <w:r>
        <w:rPr>
          <w:shd w:val="clear" w:color="auto" w:fill="FFFFFF"/>
        </w:rPr>
        <w:t xml:space="preserve"> and Gupta, A.K., 2022. End-of-life management of solar PV waste in India: Situation analysis and proposed policy framework. </w:t>
      </w:r>
      <w:r>
        <w:rPr>
          <w:i/>
          <w:iCs/>
          <w:shd w:val="clear" w:color="auto" w:fill="FFFFFF"/>
        </w:rPr>
        <w:t>Renewable and Sustainable Energy Reviews</w:t>
      </w:r>
      <w:r>
        <w:rPr>
          <w:shd w:val="clear" w:color="auto" w:fill="FFFFFF"/>
        </w:rPr>
        <w:t>, </w:t>
      </w:r>
      <w:r>
        <w:rPr>
          <w:i/>
          <w:iCs/>
          <w:shd w:val="clear" w:color="auto" w:fill="FFFFFF"/>
        </w:rPr>
        <w:t>153</w:t>
      </w:r>
      <w:r>
        <w:rPr>
          <w:shd w:val="clear" w:color="auto" w:fill="FFFFFF"/>
        </w:rPr>
        <w:t>, p.111774.</w:t>
      </w:r>
    </w:p>
    <w:p w14:paraId="5EA2295C" w14:textId="77777777" w:rsidR="00BC6803" w:rsidRDefault="00BC6803" w:rsidP="00BC6803">
      <w:pPr>
        <w:rPr>
          <w:shd w:val="clear" w:color="auto" w:fill="FFFFFF"/>
        </w:rPr>
      </w:pPr>
      <w:r>
        <w:rPr>
          <w:shd w:val="clear" w:color="auto" w:fill="FFFFFF"/>
        </w:rPr>
        <w:t>Palepu, K.G., Healy, P.M., Wright, S., Bradbury, M. and Coulton, J., 2020. </w:t>
      </w:r>
      <w:r>
        <w:rPr>
          <w:i/>
          <w:iCs/>
          <w:shd w:val="clear" w:color="auto" w:fill="FFFFFF"/>
        </w:rPr>
        <w:t>Business analysis and valuation: Using financial statements</w:t>
      </w:r>
      <w:r>
        <w:rPr>
          <w:shd w:val="clear" w:color="auto" w:fill="FFFFFF"/>
        </w:rPr>
        <w:t>. Cengage AU.</w:t>
      </w:r>
    </w:p>
    <w:p w14:paraId="0E198D0F" w14:textId="77777777" w:rsidR="00BC6803" w:rsidRDefault="00BC6803" w:rsidP="00BC6803">
      <w:pPr>
        <w:rPr>
          <w:shd w:val="clear" w:color="auto" w:fill="FFFFFF"/>
        </w:rPr>
      </w:pPr>
      <w:r>
        <w:rPr>
          <w:shd w:val="clear" w:color="auto" w:fill="FFFFFF"/>
        </w:rPr>
        <w:t>Vogel, H.L., 2020. </w:t>
      </w:r>
      <w:r>
        <w:rPr>
          <w:i/>
          <w:iCs/>
          <w:shd w:val="clear" w:color="auto" w:fill="FFFFFF"/>
        </w:rPr>
        <w:t>Entertainment industry economics: A guide for financial analysis</w:t>
      </w:r>
      <w:r>
        <w:rPr>
          <w:shd w:val="clear" w:color="auto" w:fill="FFFFFF"/>
        </w:rPr>
        <w:t>. Cambridge University Press.</w:t>
      </w:r>
    </w:p>
    <w:p w14:paraId="05453BBD" w14:textId="77777777" w:rsidR="00BC6803" w:rsidRDefault="00BC6803" w:rsidP="00BC6803">
      <w:pPr>
        <w:rPr>
          <w:shd w:val="clear" w:color="auto" w:fill="FFFFFF"/>
        </w:rPr>
      </w:pPr>
      <w:r>
        <w:rPr>
          <w:shd w:val="clear" w:color="auto" w:fill="FFFFFF"/>
        </w:rPr>
        <w:lastRenderedPageBreak/>
        <w:t>Zhu, S., van Jaarsveld, W. and Dekker, R., 2022. Critical project planning and spare parts inventory management in shutdown maintenance. </w:t>
      </w:r>
      <w:r>
        <w:rPr>
          <w:i/>
          <w:iCs/>
          <w:shd w:val="clear" w:color="auto" w:fill="FFFFFF"/>
        </w:rPr>
        <w:t>Reliability Engineering &amp; System Safety</w:t>
      </w:r>
      <w:r>
        <w:rPr>
          <w:shd w:val="clear" w:color="auto" w:fill="FFFFFF"/>
        </w:rPr>
        <w:t>, </w:t>
      </w:r>
      <w:r>
        <w:rPr>
          <w:i/>
          <w:iCs/>
          <w:shd w:val="clear" w:color="auto" w:fill="FFFFFF"/>
        </w:rPr>
        <w:t>219</w:t>
      </w:r>
      <w:r>
        <w:rPr>
          <w:shd w:val="clear" w:color="auto" w:fill="FFFFFF"/>
        </w:rPr>
        <w:t>, p.108197.</w:t>
      </w:r>
    </w:p>
    <w:p w14:paraId="17CA0E50" w14:textId="4752B736" w:rsidR="00BC6803" w:rsidRPr="00BC6803" w:rsidRDefault="00BC6803" w:rsidP="001E4DD0"/>
    <w:sectPr w:rsidR="00BC6803" w:rsidRPr="00BC68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973D55" w14:textId="77777777" w:rsidR="00550383" w:rsidRDefault="00550383" w:rsidP="009667AD">
      <w:pPr>
        <w:spacing w:after="0" w:line="240" w:lineRule="auto"/>
      </w:pPr>
      <w:r>
        <w:separator/>
      </w:r>
    </w:p>
  </w:endnote>
  <w:endnote w:type="continuationSeparator" w:id="0">
    <w:p w14:paraId="0BD2CCC0" w14:textId="77777777" w:rsidR="00550383" w:rsidRDefault="00550383" w:rsidP="00966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F74677" w14:textId="77777777" w:rsidR="00550383" w:rsidRDefault="00550383" w:rsidP="009667AD">
      <w:pPr>
        <w:spacing w:after="0" w:line="240" w:lineRule="auto"/>
      </w:pPr>
      <w:r>
        <w:separator/>
      </w:r>
    </w:p>
  </w:footnote>
  <w:footnote w:type="continuationSeparator" w:id="0">
    <w:p w14:paraId="6E056AA0" w14:textId="77777777" w:rsidR="00550383" w:rsidRDefault="00550383" w:rsidP="009667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803"/>
    <w:rsid w:val="001C457B"/>
    <w:rsid w:val="001E4DD0"/>
    <w:rsid w:val="0027218D"/>
    <w:rsid w:val="00335409"/>
    <w:rsid w:val="0046341B"/>
    <w:rsid w:val="00472705"/>
    <w:rsid w:val="004D606F"/>
    <w:rsid w:val="00524696"/>
    <w:rsid w:val="00542E97"/>
    <w:rsid w:val="00550383"/>
    <w:rsid w:val="005C574F"/>
    <w:rsid w:val="005D54BC"/>
    <w:rsid w:val="005D7D2A"/>
    <w:rsid w:val="005E03C1"/>
    <w:rsid w:val="007A6839"/>
    <w:rsid w:val="008A5AD2"/>
    <w:rsid w:val="009667AD"/>
    <w:rsid w:val="009C24D0"/>
    <w:rsid w:val="00AA66D3"/>
    <w:rsid w:val="00BB34F9"/>
    <w:rsid w:val="00BC6803"/>
    <w:rsid w:val="00C060BD"/>
    <w:rsid w:val="00CD46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426C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4D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E03C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524696"/>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C6803"/>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C6803"/>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C6803"/>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BC68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C68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C680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C680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3C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524696"/>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C680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C6803"/>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BC6803"/>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BC680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C680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C680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C680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C68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8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80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8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803"/>
    <w:pPr>
      <w:spacing w:before="160"/>
      <w:jc w:val="center"/>
    </w:pPr>
    <w:rPr>
      <w:i/>
      <w:iCs/>
      <w:color w:val="404040" w:themeColor="text1" w:themeTint="BF"/>
    </w:rPr>
  </w:style>
  <w:style w:type="character" w:customStyle="1" w:styleId="QuoteChar">
    <w:name w:val="Quote Char"/>
    <w:basedOn w:val="DefaultParagraphFont"/>
    <w:link w:val="Quote"/>
    <w:uiPriority w:val="29"/>
    <w:rsid w:val="00BC6803"/>
    <w:rPr>
      <w:rFonts w:ascii="Times New Roman" w:hAnsi="Times New Roman"/>
      <w:i/>
      <w:iCs/>
      <w:color w:val="404040" w:themeColor="text1" w:themeTint="BF"/>
      <w:sz w:val="24"/>
    </w:rPr>
  </w:style>
  <w:style w:type="paragraph" w:styleId="ListParagraph">
    <w:name w:val="List Paragraph"/>
    <w:basedOn w:val="Normal"/>
    <w:uiPriority w:val="34"/>
    <w:qFormat/>
    <w:rsid w:val="00BC6803"/>
    <w:pPr>
      <w:ind w:left="720"/>
      <w:contextualSpacing/>
    </w:pPr>
  </w:style>
  <w:style w:type="character" w:styleId="IntenseEmphasis">
    <w:name w:val="Intense Emphasis"/>
    <w:basedOn w:val="DefaultParagraphFont"/>
    <w:uiPriority w:val="21"/>
    <w:qFormat/>
    <w:rsid w:val="00BC6803"/>
    <w:rPr>
      <w:i/>
      <w:iCs/>
      <w:color w:val="2E74B5" w:themeColor="accent1" w:themeShade="BF"/>
    </w:rPr>
  </w:style>
  <w:style w:type="paragraph" w:styleId="IntenseQuote">
    <w:name w:val="Intense Quote"/>
    <w:basedOn w:val="Normal"/>
    <w:next w:val="Normal"/>
    <w:link w:val="IntenseQuoteChar"/>
    <w:uiPriority w:val="30"/>
    <w:qFormat/>
    <w:rsid w:val="00BC680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C6803"/>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BC6803"/>
    <w:rPr>
      <w:b/>
      <w:bCs/>
      <w:smallCaps/>
      <w:color w:val="2E74B5" w:themeColor="accent1" w:themeShade="BF"/>
      <w:spacing w:val="5"/>
    </w:rPr>
  </w:style>
  <w:style w:type="paragraph" w:styleId="Header">
    <w:name w:val="header"/>
    <w:basedOn w:val="Normal"/>
    <w:link w:val="HeaderChar"/>
    <w:uiPriority w:val="99"/>
    <w:unhideWhenUsed/>
    <w:rsid w:val="009667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7AD"/>
    <w:rPr>
      <w:rFonts w:ascii="Times New Roman" w:hAnsi="Times New Roman"/>
      <w:sz w:val="24"/>
    </w:rPr>
  </w:style>
  <w:style w:type="paragraph" w:styleId="Footer">
    <w:name w:val="footer"/>
    <w:basedOn w:val="Normal"/>
    <w:link w:val="FooterChar"/>
    <w:uiPriority w:val="99"/>
    <w:unhideWhenUsed/>
    <w:rsid w:val="009667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7A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sv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1307</Words>
  <Characters>7456</Characters>
  <Application>Microsoft Office Word</Application>
  <DocSecurity>0</DocSecurity>
  <Lines>62</Lines>
  <Paragraphs>17</Paragraphs>
  <ScaleCrop>false</ScaleCrop>
  <Company/>
  <LinksUpToDate>false</LinksUpToDate>
  <CharactersWithSpaces>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2024-05-06T15:07:00Z</dcterms:created>
  <dcterms:modified xsi:type="dcterms:W3CDTF">2024-05-09T08:51:00Z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d0a88c222d9925b24c20b0be326acabb0e6c1872a75798a237d7375128c331e0</vt:lpwstr>
  </property>
</Properties>
</file>