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D1ADD" w14:textId="77777777" w:rsidR="00613840" w:rsidRDefault="00613840">
      <w:r>
        <w:rPr>
          <w:noProof/>
        </w:rPr>
        <mc:AlternateContent>
          <mc:Choice Requires="wps">
            <w:drawing>
              <wp:anchor distT="0" distB="0" distL="114300" distR="114300" simplePos="0" relativeHeight="251666432" behindDoc="0" locked="0" layoutInCell="1" allowOverlap="1" wp14:anchorId="261236C1" wp14:editId="23E6484A">
                <wp:simplePos x="0" y="0"/>
                <wp:positionH relativeFrom="page">
                  <wp:posOffset>3472271</wp:posOffset>
                </wp:positionH>
                <wp:positionV relativeFrom="page">
                  <wp:posOffset>402409</wp:posOffset>
                </wp:positionV>
                <wp:extent cx="2797810" cy="2475230"/>
                <wp:effectExtent l="0" t="0" r="0" b="0"/>
                <wp:wrapSquare wrapText="bothSides"/>
                <wp:docPr id="1829905378"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1652742744"/>
                              <w:dataBinding w:prefixMappings="xmlns:ns0='http://schemas.openxmlformats.org/package/2006/metadata/core-properties' xmlns:ns1='http://purl.org/dc/elements/1.1/'" w:xpath="/ns0:coreProperties[1]/ns1:title[1]" w:storeItemID="{6C3C8BC8-F283-45AE-878A-BAB7291924A1}"/>
                              <w:text/>
                            </w:sdtPr>
                            <w:sdtContent>
                              <w:p w14:paraId="101A6401" w14:textId="47198601" w:rsidR="00613840" w:rsidRDefault="00613840" w:rsidP="00613840">
                                <w:pPr>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Lace House – Development report</w:t>
                                </w:r>
                              </w:p>
                            </w:sdtContent>
                          </w:sdt>
                          <w:sdt>
                            <w:sdtPr>
                              <w:rPr>
                                <w:rFonts w:asciiTheme="majorHAnsi" w:eastAsiaTheme="majorEastAsia" w:hAnsiTheme="majorHAnsi" w:cstheme="majorBidi"/>
                                <w:noProof/>
                                <w:color w:val="0E2841" w:themeColor="text2"/>
                                <w:sz w:val="32"/>
                                <w:szCs w:val="32"/>
                              </w:rPr>
                              <w:alias w:val="Subtitle"/>
                              <w:id w:val="-528720620"/>
                              <w:dataBinding w:prefixMappings="xmlns:ns0='http://schemas.openxmlformats.org/package/2006/metadata/core-properties' xmlns:ns1='http://purl.org/dc/elements/1.1/'" w:xpath="/ns0:coreProperties[1]/ns1:subject[1]" w:storeItemID="{6C3C8BC8-F283-45AE-878A-BAB7291924A1}"/>
                              <w:text/>
                            </w:sdtPr>
                            <w:sdtContent>
                              <w:p w14:paraId="5F7B272B" w14:textId="7AC64CE6" w:rsidR="00613840" w:rsidRDefault="00613840" w:rsidP="00521B7E">
                                <w:pPr>
                                  <w:jc w:val="cente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ACBA 6010</w:t>
                                </w:r>
                                <w:r w:rsidR="00521B7E">
                                  <w:rPr>
                                    <w:rFonts w:asciiTheme="majorHAnsi" w:eastAsiaTheme="majorEastAsia" w:hAnsiTheme="majorHAnsi" w:cstheme="majorBidi"/>
                                    <w:noProof/>
                                    <w:color w:val="0E2841" w:themeColor="text2"/>
                                    <w:sz w:val="32"/>
                                    <w:szCs w:val="32"/>
                                  </w:rPr>
                                  <w:t xml:space="preserve"> – Ian Brown Advanced Project Management Level 6</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261236C1" id="_x0000_t202" coordsize="21600,21600" o:spt="202" path="m,l,21600r21600,l21600,xe">
                <v:stroke joinstyle="miter"/>
                <v:path gradientshapeok="t" o:connecttype="rect"/>
              </v:shapetype>
              <v:shape id="Text Box 84" o:spid="_x0000_s1026" type="#_x0000_t202" style="position:absolute;margin-left:273.4pt;margin-top:31.7pt;width:220.3pt;height:194.9pt;z-index:25166643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9cSJA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1652742744"/>
                        <w:dataBinding w:prefixMappings="xmlns:ns0='http://schemas.openxmlformats.org/package/2006/metadata/core-properties' xmlns:ns1='http://purl.org/dc/elements/1.1/'" w:xpath="/ns0:coreProperties[1]/ns1:title[1]" w:storeItemID="{6C3C8BC8-F283-45AE-878A-BAB7291924A1}"/>
                        <w:text/>
                      </w:sdtPr>
                      <w:sdtContent>
                        <w:p w14:paraId="101A6401" w14:textId="47198601" w:rsidR="00613840" w:rsidRDefault="00613840" w:rsidP="00613840">
                          <w:pPr>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Lace House – Development report</w:t>
                          </w:r>
                        </w:p>
                      </w:sdtContent>
                    </w:sdt>
                    <w:sdt>
                      <w:sdtPr>
                        <w:rPr>
                          <w:rFonts w:asciiTheme="majorHAnsi" w:eastAsiaTheme="majorEastAsia" w:hAnsiTheme="majorHAnsi" w:cstheme="majorBidi"/>
                          <w:noProof/>
                          <w:color w:val="0E2841" w:themeColor="text2"/>
                          <w:sz w:val="32"/>
                          <w:szCs w:val="32"/>
                        </w:rPr>
                        <w:alias w:val="Subtitle"/>
                        <w:id w:val="-528720620"/>
                        <w:dataBinding w:prefixMappings="xmlns:ns0='http://schemas.openxmlformats.org/package/2006/metadata/core-properties' xmlns:ns1='http://purl.org/dc/elements/1.1/'" w:xpath="/ns0:coreProperties[1]/ns1:subject[1]" w:storeItemID="{6C3C8BC8-F283-45AE-878A-BAB7291924A1}"/>
                        <w:text/>
                      </w:sdtPr>
                      <w:sdtContent>
                        <w:p w14:paraId="5F7B272B" w14:textId="7AC64CE6" w:rsidR="00613840" w:rsidRDefault="00613840" w:rsidP="00521B7E">
                          <w:pPr>
                            <w:jc w:val="cente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ACBA 6010</w:t>
                          </w:r>
                          <w:r w:rsidR="00521B7E">
                            <w:rPr>
                              <w:rFonts w:asciiTheme="majorHAnsi" w:eastAsiaTheme="majorEastAsia" w:hAnsiTheme="majorHAnsi" w:cstheme="majorBidi"/>
                              <w:noProof/>
                              <w:color w:val="0E2841" w:themeColor="text2"/>
                              <w:sz w:val="32"/>
                              <w:szCs w:val="32"/>
                            </w:rPr>
                            <w:t xml:space="preserve"> – Ian Brown Advanced Project Management Level 6</w:t>
                          </w:r>
                        </w:p>
                      </w:sdtContent>
                    </w:sdt>
                  </w:txbxContent>
                </v:textbox>
                <w10:wrap type="square" anchorx="page" anchory="page"/>
              </v:shape>
            </w:pict>
          </mc:Fallback>
        </mc:AlternateContent>
      </w:r>
    </w:p>
    <w:sdt>
      <w:sdtPr>
        <w:id w:val="1996296700"/>
        <w:docPartObj>
          <w:docPartGallery w:val="Cover Pages"/>
          <w:docPartUnique/>
        </w:docPartObj>
      </w:sdtPr>
      <w:sdtContent>
        <w:p w14:paraId="62D567D8" w14:textId="1632766D" w:rsidR="008A2836" w:rsidRDefault="008A2836">
          <w:r>
            <w:rPr>
              <w:noProof/>
            </w:rPr>
            <mc:AlternateContent>
              <mc:Choice Requires="wps">
                <w:drawing>
                  <wp:anchor distT="0" distB="0" distL="114300" distR="114300" simplePos="0" relativeHeight="251664384" behindDoc="0" locked="0" layoutInCell="1" allowOverlap="1" wp14:anchorId="2FFDAB54" wp14:editId="31A2718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4195644" w14:textId="7EB6EB4A" w:rsidR="008A2836" w:rsidRPr="00613840" w:rsidRDefault="008A2836">
                                <w:pPr>
                                  <w:pStyle w:val="NoSpacing"/>
                                  <w:rPr>
                                    <w:noProof/>
                                    <w:color w:val="00B0F0"/>
                                    <w:sz w:val="28"/>
                                    <w:szCs w:val="28"/>
                                  </w:rPr>
                                </w:pPr>
                                <w:sdt>
                                  <w:sdtPr>
                                    <w:rPr>
                                      <w:noProof/>
                                      <w:color w:val="00B0F0"/>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613840">
                                      <w:rPr>
                                        <w:noProof/>
                                        <w:color w:val="00B0F0"/>
                                        <w:sz w:val="28"/>
                                        <w:szCs w:val="28"/>
                                      </w:rPr>
                                      <w:t>Cris Davies</w:t>
                                    </w:r>
                                  </w:sdtContent>
                                </w:sdt>
                                <w:r w:rsidR="00613840" w:rsidRPr="00613840">
                                  <w:rPr>
                                    <w:noProof/>
                                    <w:color w:val="00B0F0"/>
                                    <w:sz w:val="28"/>
                                    <w:szCs w:val="28"/>
                                  </w:rPr>
                                  <w:t xml:space="preserve"> - 1705493</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2FFDAB54" id="Text Box 79"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14195644" w14:textId="7EB6EB4A" w:rsidR="008A2836" w:rsidRPr="00613840" w:rsidRDefault="008A2836">
                          <w:pPr>
                            <w:pStyle w:val="NoSpacing"/>
                            <w:rPr>
                              <w:noProof/>
                              <w:color w:val="00B0F0"/>
                              <w:sz w:val="28"/>
                              <w:szCs w:val="28"/>
                            </w:rPr>
                          </w:pPr>
                          <w:sdt>
                            <w:sdtPr>
                              <w:rPr>
                                <w:noProof/>
                                <w:color w:val="00B0F0"/>
                                <w:sz w:val="28"/>
                                <w:szCs w:val="2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613840">
                                <w:rPr>
                                  <w:noProof/>
                                  <w:color w:val="00B0F0"/>
                                  <w:sz w:val="28"/>
                                  <w:szCs w:val="28"/>
                                </w:rPr>
                                <w:t>Cris Davies</w:t>
                              </w:r>
                            </w:sdtContent>
                          </w:sdt>
                          <w:r w:rsidR="00613840" w:rsidRPr="00613840">
                            <w:rPr>
                              <w:noProof/>
                              <w:color w:val="00B0F0"/>
                              <w:sz w:val="28"/>
                              <w:szCs w:val="28"/>
                            </w:rPr>
                            <w:t xml:space="preserve"> - 1705493</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FEA5B34" wp14:editId="1CB9A9D7">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24DE5F8" w14:textId="07F4759D" w:rsidR="008A2836" w:rsidRDefault="008A283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FEA5B34" id="Rectangle 80"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" fillcolor="#c1e4f5 [660]" stroked="f" strokeweight="1.5pt">
                    <v:fill color2="#45b0e1 [1940]" rotate="t" focus="100%" type="gradient">
                      <o:fill v:ext="view" type="gradientUnscaled"/>
                    </v:fill>
                    <v:textbox inset="21.6pt,,21.6pt">
                      <w:txbxContent>
                        <w:p w14:paraId="024DE5F8" w14:textId="07F4759D" w:rsidR="008A2836" w:rsidRDefault="008A2836"/>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9B56FAE" wp14:editId="608A202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DD9903" w14:textId="68B90CFB" w:rsidR="008A2836" w:rsidRDefault="008A2836">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9B56FAE" id="Rectangle 81" o:spid="_x0000_s1029"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" fillcolor="#0e2841 [3215]" stroked="f" strokeweight="1.5pt">
                    <v:textbox inset="14.4pt,14.4pt,14.4pt,28.8pt">
                      <w:txbxContent>
                        <w:p w14:paraId="0DDD9903" w14:textId="68B90CFB" w:rsidR="008A2836" w:rsidRDefault="008A2836">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DFF7B7D" wp14:editId="3D313AA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4313BF7" id="Rectangle 8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4A42D7A" wp14:editId="4971711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9F23B9B" id="Rectangle 8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" fillcolor="#156082 [3204]" stroked="f" strokeweight="1.5pt">
                    <w10:wrap anchorx="page" anchory="page"/>
                  </v:rect>
                </w:pict>
              </mc:Fallback>
            </mc:AlternateContent>
          </w:r>
        </w:p>
        <w:p w14:paraId="450C59DF" w14:textId="28F5F397" w:rsidR="008A2836" w:rsidRDefault="00613840">
          <w:pPr>
            <w:spacing w:after="160" w:line="278" w:lineRule="auto"/>
            <w:rPr>
              <w:rFonts w:asciiTheme="majorHAnsi" w:eastAsiaTheme="majorEastAsia" w:hAnsiTheme="majorHAnsi" w:cstheme="majorBidi"/>
              <w:color w:val="0F4761" w:themeColor="accent1" w:themeShade="BF"/>
              <w:sz w:val="40"/>
              <w:szCs w:val="40"/>
            </w:rPr>
          </w:pPr>
          <w:r>
            <w:rPr>
              <w:noProof/>
            </w:rPr>
            <mc:AlternateContent>
              <mc:Choice Requires="wps">
                <w:drawing>
                  <wp:anchor distT="0" distB="0" distL="114300" distR="114300" simplePos="0" relativeHeight="251661312" behindDoc="0" locked="0" layoutInCell="1" allowOverlap="1" wp14:anchorId="200D76E6" wp14:editId="1519C1E7">
                    <wp:simplePos x="0" y="0"/>
                    <wp:positionH relativeFrom="page">
                      <wp:posOffset>3494224</wp:posOffset>
                    </wp:positionH>
                    <wp:positionV relativeFrom="page">
                      <wp:posOffset>3752941</wp:posOffset>
                    </wp:positionV>
                    <wp:extent cx="2797810" cy="276479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764790"/>
                            </a:xfrm>
                            <a:prstGeom prst="rect">
                              <a:avLst/>
                            </a:prstGeom>
                            <a:noFill/>
                            <a:ln w="6350">
                              <a:noFill/>
                            </a:ln>
                            <a:effectLst/>
                          </wps:spPr>
                          <wps:txbx>
                            <w:txbxContent>
                              <w:p w14:paraId="7E62790E" w14:textId="4850C986" w:rsidR="008A2836" w:rsidRDefault="00521B7E">
                                <w:pPr>
                                  <w:rPr>
                                    <w:rFonts w:asciiTheme="majorHAnsi" w:eastAsiaTheme="majorEastAsia" w:hAnsiTheme="majorHAnsi" w:cstheme="majorBidi"/>
                                    <w:noProof/>
                                    <w:color w:val="0E2841" w:themeColor="text2"/>
                                    <w:sz w:val="32"/>
                                    <w:szCs w:val="40"/>
                                  </w:rPr>
                                </w:pPr>
                                <w:r>
                                  <w:rPr>
                                    <w:noProof/>
                                    <w14:ligatures w14:val="standardContextual"/>
                                  </w:rPr>
                                  <w:drawing>
                                    <wp:inline distT="0" distB="0" distL="0" distR="0" wp14:anchorId="5E4FEA14" wp14:editId="3AD3D749">
                                      <wp:extent cx="2488466" cy="1850572"/>
                                      <wp:effectExtent l="0" t="0" r="7620" b="0"/>
                                      <wp:docPr id="9726594" name="Picture 1" descr="A white building with cars parked on the side of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6594" name="Picture 1" descr="A white building with cars parked on the side of it&#10;&#10;AI-generated content may be incorrect."/>
                                              <pic:cNvPicPr/>
                                            </pic:nvPicPr>
                                            <pic:blipFill>
                                              <a:blip r:embed="rId8"/>
                                              <a:stretch>
                                                <a:fillRect/>
                                              </a:stretch>
                                            </pic:blipFill>
                                            <pic:spPr>
                                              <a:xfrm>
                                                <a:off x="0" y="0"/>
                                                <a:ext cx="2495575" cy="185585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200D76E6" id="_x0000_s1030" type="#_x0000_t202" style="position:absolute;margin-left:275.15pt;margin-top:295.5pt;width:220.3pt;height:217.7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" filled="f" stroked="f" strokeweight=".5pt">
                    <v:textbox>
                      <w:txbxContent>
                        <w:p w14:paraId="7E62790E" w14:textId="4850C986" w:rsidR="008A2836" w:rsidRDefault="00521B7E">
                          <w:pPr>
                            <w:rPr>
                              <w:rFonts w:asciiTheme="majorHAnsi" w:eastAsiaTheme="majorEastAsia" w:hAnsiTheme="majorHAnsi" w:cstheme="majorBidi"/>
                              <w:noProof/>
                              <w:color w:val="0E2841" w:themeColor="text2"/>
                              <w:sz w:val="32"/>
                              <w:szCs w:val="40"/>
                            </w:rPr>
                          </w:pPr>
                          <w:r>
                            <w:rPr>
                              <w:noProof/>
                              <w14:ligatures w14:val="standardContextual"/>
                            </w:rPr>
                            <w:drawing>
                              <wp:inline distT="0" distB="0" distL="0" distR="0" wp14:anchorId="5E4FEA14" wp14:editId="3AD3D749">
                                <wp:extent cx="2488466" cy="1850572"/>
                                <wp:effectExtent l="0" t="0" r="7620" b="0"/>
                                <wp:docPr id="9726594" name="Picture 1" descr="A white building with cars parked on the side of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6594" name="Picture 1" descr="A white building with cars parked on the side of it&#10;&#10;AI-generated content may be incorrect."/>
                                        <pic:cNvPicPr/>
                                      </pic:nvPicPr>
                                      <pic:blipFill>
                                        <a:blip r:embed="rId8"/>
                                        <a:stretch>
                                          <a:fillRect/>
                                        </a:stretch>
                                      </pic:blipFill>
                                      <pic:spPr>
                                        <a:xfrm>
                                          <a:off x="0" y="0"/>
                                          <a:ext cx="2495575" cy="1855858"/>
                                        </a:xfrm>
                                        <a:prstGeom prst="rect">
                                          <a:avLst/>
                                        </a:prstGeom>
                                      </pic:spPr>
                                    </pic:pic>
                                  </a:graphicData>
                                </a:graphic>
                              </wp:inline>
                            </w:drawing>
                          </w:r>
                        </w:p>
                      </w:txbxContent>
                    </v:textbox>
                    <w10:wrap type="square" anchorx="page" anchory="page"/>
                  </v:shape>
                </w:pict>
              </mc:Fallback>
            </mc:AlternateContent>
          </w:r>
          <w:r w:rsidR="008A2836">
            <w:br w:type="page"/>
          </w:r>
        </w:p>
      </w:sdtContent>
    </w:sdt>
    <w:sdt>
      <w:sdtPr>
        <w:id w:val="-848636530"/>
        <w:docPartObj>
          <w:docPartGallery w:val="Table of Contents"/>
          <w:docPartUnique/>
        </w:docPartObj>
      </w:sdtPr>
      <w:sdtEndPr>
        <w:rPr>
          <w:rFonts w:ascii="Aptos" w:eastAsiaTheme="minorHAnsi" w:hAnsi="Aptos" w:cs="Aptos"/>
          <w:b/>
          <w:bCs/>
          <w:noProof/>
          <w:color w:val="auto"/>
          <w:sz w:val="24"/>
          <w:szCs w:val="24"/>
          <w:lang w:val="en-GB" w:eastAsia="en-GB"/>
        </w:rPr>
      </w:sdtEndPr>
      <w:sdtContent>
        <w:p w14:paraId="7485F519" w14:textId="06CFA33C" w:rsidR="008A2836" w:rsidRDefault="008A2836">
          <w:pPr>
            <w:pStyle w:val="TOCHeading"/>
          </w:pPr>
          <w:r>
            <w:t>Contents</w:t>
          </w:r>
        </w:p>
        <w:p w14:paraId="3C938A07" w14:textId="574DFE88" w:rsidR="00521B7E" w:rsidRDefault="008A2836">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198295898" w:history="1">
            <w:r w:rsidR="00521B7E" w:rsidRPr="00A57409">
              <w:rPr>
                <w:rStyle w:val="Hyperlink"/>
                <w:noProof/>
              </w:rPr>
              <w:t>Executive Summary</w:t>
            </w:r>
            <w:r w:rsidR="00521B7E">
              <w:rPr>
                <w:noProof/>
                <w:webHidden/>
              </w:rPr>
              <w:tab/>
            </w:r>
            <w:r w:rsidR="00521B7E">
              <w:rPr>
                <w:noProof/>
                <w:webHidden/>
              </w:rPr>
              <w:fldChar w:fldCharType="begin"/>
            </w:r>
            <w:r w:rsidR="00521B7E">
              <w:rPr>
                <w:noProof/>
                <w:webHidden/>
              </w:rPr>
              <w:instrText xml:space="preserve"> PAGEREF _Toc198295898 \h </w:instrText>
            </w:r>
            <w:r w:rsidR="00521B7E">
              <w:rPr>
                <w:noProof/>
                <w:webHidden/>
              </w:rPr>
            </w:r>
            <w:r w:rsidR="00521B7E">
              <w:rPr>
                <w:noProof/>
                <w:webHidden/>
              </w:rPr>
              <w:fldChar w:fldCharType="separate"/>
            </w:r>
            <w:r w:rsidR="00521B7E">
              <w:rPr>
                <w:noProof/>
                <w:webHidden/>
              </w:rPr>
              <w:t>2</w:t>
            </w:r>
            <w:r w:rsidR="00521B7E">
              <w:rPr>
                <w:noProof/>
                <w:webHidden/>
              </w:rPr>
              <w:fldChar w:fldCharType="end"/>
            </w:r>
          </w:hyperlink>
        </w:p>
        <w:p w14:paraId="03230DC8" w14:textId="408A2889" w:rsidR="00521B7E" w:rsidRDefault="00521B7E">
          <w:pPr>
            <w:pStyle w:val="TOC1"/>
            <w:tabs>
              <w:tab w:val="right" w:leader="dot" w:pos="9016"/>
            </w:tabs>
            <w:rPr>
              <w:rFonts w:asciiTheme="minorHAnsi" w:eastAsiaTheme="minorEastAsia" w:hAnsiTheme="minorHAnsi" w:cstheme="minorBidi"/>
              <w:noProof/>
              <w:kern w:val="2"/>
              <w14:ligatures w14:val="standardContextual"/>
            </w:rPr>
          </w:pPr>
          <w:hyperlink w:anchor="_Toc198295899" w:history="1">
            <w:r w:rsidRPr="00A57409">
              <w:rPr>
                <w:rStyle w:val="Hyperlink"/>
                <w:noProof/>
              </w:rPr>
              <w:t>Introduction</w:t>
            </w:r>
            <w:r>
              <w:rPr>
                <w:noProof/>
                <w:webHidden/>
              </w:rPr>
              <w:tab/>
            </w:r>
            <w:r>
              <w:rPr>
                <w:noProof/>
                <w:webHidden/>
              </w:rPr>
              <w:fldChar w:fldCharType="begin"/>
            </w:r>
            <w:r>
              <w:rPr>
                <w:noProof/>
                <w:webHidden/>
              </w:rPr>
              <w:instrText xml:space="preserve"> PAGEREF _Toc198295899 \h </w:instrText>
            </w:r>
            <w:r>
              <w:rPr>
                <w:noProof/>
                <w:webHidden/>
              </w:rPr>
            </w:r>
            <w:r>
              <w:rPr>
                <w:noProof/>
                <w:webHidden/>
              </w:rPr>
              <w:fldChar w:fldCharType="separate"/>
            </w:r>
            <w:r>
              <w:rPr>
                <w:noProof/>
                <w:webHidden/>
              </w:rPr>
              <w:t>2</w:t>
            </w:r>
            <w:r>
              <w:rPr>
                <w:noProof/>
                <w:webHidden/>
              </w:rPr>
              <w:fldChar w:fldCharType="end"/>
            </w:r>
          </w:hyperlink>
        </w:p>
        <w:p w14:paraId="72D45FF6" w14:textId="3FB78E40" w:rsidR="00521B7E" w:rsidRDefault="00521B7E">
          <w:pPr>
            <w:pStyle w:val="TOC1"/>
            <w:tabs>
              <w:tab w:val="right" w:leader="dot" w:pos="9016"/>
            </w:tabs>
            <w:rPr>
              <w:rFonts w:asciiTheme="minorHAnsi" w:eastAsiaTheme="minorEastAsia" w:hAnsiTheme="minorHAnsi" w:cstheme="minorBidi"/>
              <w:noProof/>
              <w:kern w:val="2"/>
              <w14:ligatures w14:val="standardContextual"/>
            </w:rPr>
          </w:pPr>
          <w:hyperlink w:anchor="_Toc198295900" w:history="1">
            <w:r w:rsidRPr="00A57409">
              <w:rPr>
                <w:rStyle w:val="Hyperlink"/>
                <w:noProof/>
              </w:rPr>
              <w:t>History of Lace House</w:t>
            </w:r>
            <w:r>
              <w:rPr>
                <w:noProof/>
                <w:webHidden/>
              </w:rPr>
              <w:tab/>
            </w:r>
            <w:r>
              <w:rPr>
                <w:noProof/>
                <w:webHidden/>
              </w:rPr>
              <w:fldChar w:fldCharType="begin"/>
            </w:r>
            <w:r>
              <w:rPr>
                <w:noProof/>
                <w:webHidden/>
              </w:rPr>
              <w:instrText xml:space="preserve"> PAGEREF _Toc198295900 \h </w:instrText>
            </w:r>
            <w:r>
              <w:rPr>
                <w:noProof/>
                <w:webHidden/>
              </w:rPr>
            </w:r>
            <w:r>
              <w:rPr>
                <w:noProof/>
                <w:webHidden/>
              </w:rPr>
              <w:fldChar w:fldCharType="separate"/>
            </w:r>
            <w:r>
              <w:rPr>
                <w:noProof/>
                <w:webHidden/>
              </w:rPr>
              <w:t>2</w:t>
            </w:r>
            <w:r>
              <w:rPr>
                <w:noProof/>
                <w:webHidden/>
              </w:rPr>
              <w:fldChar w:fldCharType="end"/>
            </w:r>
          </w:hyperlink>
        </w:p>
        <w:p w14:paraId="587243F3" w14:textId="6DEAE143" w:rsidR="00521B7E" w:rsidRDefault="00521B7E">
          <w:pPr>
            <w:pStyle w:val="TOC1"/>
            <w:tabs>
              <w:tab w:val="right" w:leader="dot" w:pos="9016"/>
            </w:tabs>
            <w:rPr>
              <w:rFonts w:asciiTheme="minorHAnsi" w:eastAsiaTheme="minorEastAsia" w:hAnsiTheme="minorHAnsi" w:cstheme="minorBidi"/>
              <w:noProof/>
              <w:kern w:val="2"/>
              <w14:ligatures w14:val="standardContextual"/>
            </w:rPr>
          </w:pPr>
          <w:hyperlink w:anchor="_Toc198295901" w:history="1">
            <w:r w:rsidRPr="00A57409">
              <w:rPr>
                <w:rStyle w:val="Hyperlink"/>
                <w:noProof/>
              </w:rPr>
              <w:t>Location Analysis</w:t>
            </w:r>
            <w:r>
              <w:rPr>
                <w:noProof/>
                <w:webHidden/>
              </w:rPr>
              <w:tab/>
            </w:r>
            <w:r>
              <w:rPr>
                <w:noProof/>
                <w:webHidden/>
              </w:rPr>
              <w:fldChar w:fldCharType="begin"/>
            </w:r>
            <w:r>
              <w:rPr>
                <w:noProof/>
                <w:webHidden/>
              </w:rPr>
              <w:instrText xml:space="preserve"> PAGEREF _Toc198295901 \h </w:instrText>
            </w:r>
            <w:r>
              <w:rPr>
                <w:noProof/>
                <w:webHidden/>
              </w:rPr>
            </w:r>
            <w:r>
              <w:rPr>
                <w:noProof/>
                <w:webHidden/>
              </w:rPr>
              <w:fldChar w:fldCharType="separate"/>
            </w:r>
            <w:r>
              <w:rPr>
                <w:noProof/>
                <w:webHidden/>
              </w:rPr>
              <w:t>3</w:t>
            </w:r>
            <w:r>
              <w:rPr>
                <w:noProof/>
                <w:webHidden/>
              </w:rPr>
              <w:fldChar w:fldCharType="end"/>
            </w:r>
          </w:hyperlink>
        </w:p>
        <w:p w14:paraId="32A59B1E" w14:textId="6E9E1B4A" w:rsidR="00521B7E" w:rsidRDefault="00521B7E">
          <w:pPr>
            <w:pStyle w:val="TOC1"/>
            <w:tabs>
              <w:tab w:val="right" w:leader="dot" w:pos="9016"/>
            </w:tabs>
            <w:rPr>
              <w:rFonts w:asciiTheme="minorHAnsi" w:eastAsiaTheme="minorEastAsia" w:hAnsiTheme="minorHAnsi" w:cstheme="minorBidi"/>
              <w:noProof/>
              <w:kern w:val="2"/>
              <w14:ligatures w14:val="standardContextual"/>
            </w:rPr>
          </w:pPr>
          <w:hyperlink w:anchor="_Toc198295902" w:history="1">
            <w:r w:rsidRPr="00A57409">
              <w:rPr>
                <w:rStyle w:val="Hyperlink"/>
                <w:noProof/>
              </w:rPr>
              <w:t>Proposed Development</w:t>
            </w:r>
            <w:r>
              <w:rPr>
                <w:noProof/>
                <w:webHidden/>
              </w:rPr>
              <w:tab/>
            </w:r>
            <w:r>
              <w:rPr>
                <w:noProof/>
                <w:webHidden/>
              </w:rPr>
              <w:fldChar w:fldCharType="begin"/>
            </w:r>
            <w:r>
              <w:rPr>
                <w:noProof/>
                <w:webHidden/>
              </w:rPr>
              <w:instrText xml:space="preserve"> PAGEREF _Toc198295902 \h </w:instrText>
            </w:r>
            <w:r>
              <w:rPr>
                <w:noProof/>
                <w:webHidden/>
              </w:rPr>
            </w:r>
            <w:r>
              <w:rPr>
                <w:noProof/>
                <w:webHidden/>
              </w:rPr>
              <w:fldChar w:fldCharType="separate"/>
            </w:r>
            <w:r>
              <w:rPr>
                <w:noProof/>
                <w:webHidden/>
              </w:rPr>
              <w:t>3</w:t>
            </w:r>
            <w:r>
              <w:rPr>
                <w:noProof/>
                <w:webHidden/>
              </w:rPr>
              <w:fldChar w:fldCharType="end"/>
            </w:r>
          </w:hyperlink>
        </w:p>
        <w:p w14:paraId="163C9F93" w14:textId="7DC8AA82" w:rsidR="00521B7E" w:rsidRDefault="00521B7E">
          <w:pPr>
            <w:pStyle w:val="TOC1"/>
            <w:tabs>
              <w:tab w:val="right" w:leader="dot" w:pos="9016"/>
            </w:tabs>
            <w:rPr>
              <w:rFonts w:asciiTheme="minorHAnsi" w:eastAsiaTheme="minorEastAsia" w:hAnsiTheme="minorHAnsi" w:cstheme="minorBidi"/>
              <w:noProof/>
              <w:kern w:val="2"/>
              <w14:ligatures w14:val="standardContextual"/>
            </w:rPr>
          </w:pPr>
          <w:hyperlink w:anchor="_Toc198295903" w:history="1">
            <w:r w:rsidRPr="00A57409">
              <w:rPr>
                <w:rStyle w:val="Hyperlink"/>
                <w:noProof/>
              </w:rPr>
              <w:t>Current State of the Property</w:t>
            </w:r>
            <w:r>
              <w:rPr>
                <w:noProof/>
                <w:webHidden/>
              </w:rPr>
              <w:tab/>
            </w:r>
            <w:r>
              <w:rPr>
                <w:noProof/>
                <w:webHidden/>
              </w:rPr>
              <w:fldChar w:fldCharType="begin"/>
            </w:r>
            <w:r>
              <w:rPr>
                <w:noProof/>
                <w:webHidden/>
              </w:rPr>
              <w:instrText xml:space="preserve"> PAGEREF _Toc198295903 \h </w:instrText>
            </w:r>
            <w:r>
              <w:rPr>
                <w:noProof/>
                <w:webHidden/>
              </w:rPr>
            </w:r>
            <w:r>
              <w:rPr>
                <w:noProof/>
                <w:webHidden/>
              </w:rPr>
              <w:fldChar w:fldCharType="separate"/>
            </w:r>
            <w:r>
              <w:rPr>
                <w:noProof/>
                <w:webHidden/>
              </w:rPr>
              <w:t>3</w:t>
            </w:r>
            <w:r>
              <w:rPr>
                <w:noProof/>
                <w:webHidden/>
              </w:rPr>
              <w:fldChar w:fldCharType="end"/>
            </w:r>
          </w:hyperlink>
        </w:p>
        <w:p w14:paraId="2EC27D6E" w14:textId="621B4B91" w:rsidR="00521B7E" w:rsidRDefault="00521B7E">
          <w:pPr>
            <w:pStyle w:val="TOC1"/>
            <w:tabs>
              <w:tab w:val="right" w:leader="dot" w:pos="9016"/>
            </w:tabs>
            <w:rPr>
              <w:rFonts w:asciiTheme="minorHAnsi" w:eastAsiaTheme="minorEastAsia" w:hAnsiTheme="minorHAnsi" w:cstheme="minorBidi"/>
              <w:noProof/>
              <w:kern w:val="2"/>
              <w14:ligatures w14:val="standardContextual"/>
            </w:rPr>
          </w:pPr>
          <w:hyperlink w:anchor="_Toc198295904" w:history="1">
            <w:r w:rsidRPr="00A57409">
              <w:rPr>
                <w:rStyle w:val="Hyperlink"/>
                <w:noProof/>
              </w:rPr>
              <w:t>Market Research and Evidence</w:t>
            </w:r>
            <w:r>
              <w:rPr>
                <w:noProof/>
                <w:webHidden/>
              </w:rPr>
              <w:tab/>
            </w:r>
            <w:r>
              <w:rPr>
                <w:noProof/>
                <w:webHidden/>
              </w:rPr>
              <w:fldChar w:fldCharType="begin"/>
            </w:r>
            <w:r>
              <w:rPr>
                <w:noProof/>
                <w:webHidden/>
              </w:rPr>
              <w:instrText xml:space="preserve"> PAGEREF _Toc198295904 \h </w:instrText>
            </w:r>
            <w:r>
              <w:rPr>
                <w:noProof/>
                <w:webHidden/>
              </w:rPr>
            </w:r>
            <w:r>
              <w:rPr>
                <w:noProof/>
                <w:webHidden/>
              </w:rPr>
              <w:fldChar w:fldCharType="separate"/>
            </w:r>
            <w:r>
              <w:rPr>
                <w:noProof/>
                <w:webHidden/>
              </w:rPr>
              <w:t>4</w:t>
            </w:r>
            <w:r>
              <w:rPr>
                <w:noProof/>
                <w:webHidden/>
              </w:rPr>
              <w:fldChar w:fldCharType="end"/>
            </w:r>
          </w:hyperlink>
        </w:p>
        <w:p w14:paraId="7652B32F" w14:textId="4C66F223" w:rsidR="00521B7E" w:rsidRDefault="00521B7E">
          <w:pPr>
            <w:pStyle w:val="TOC1"/>
            <w:tabs>
              <w:tab w:val="right" w:leader="dot" w:pos="9016"/>
            </w:tabs>
            <w:rPr>
              <w:rFonts w:asciiTheme="minorHAnsi" w:eastAsiaTheme="minorEastAsia" w:hAnsiTheme="minorHAnsi" w:cstheme="minorBidi"/>
              <w:noProof/>
              <w:kern w:val="2"/>
              <w14:ligatures w14:val="standardContextual"/>
            </w:rPr>
          </w:pPr>
          <w:hyperlink w:anchor="_Toc198295905" w:history="1">
            <w:r w:rsidRPr="00A57409">
              <w:rPr>
                <w:rStyle w:val="Hyperlink"/>
                <w:noProof/>
              </w:rPr>
              <w:t>Capital Costs and Development Budget</w:t>
            </w:r>
            <w:r>
              <w:rPr>
                <w:noProof/>
                <w:webHidden/>
              </w:rPr>
              <w:tab/>
            </w:r>
            <w:r>
              <w:rPr>
                <w:noProof/>
                <w:webHidden/>
              </w:rPr>
              <w:fldChar w:fldCharType="begin"/>
            </w:r>
            <w:r>
              <w:rPr>
                <w:noProof/>
                <w:webHidden/>
              </w:rPr>
              <w:instrText xml:space="preserve"> PAGEREF _Toc198295905 \h </w:instrText>
            </w:r>
            <w:r>
              <w:rPr>
                <w:noProof/>
                <w:webHidden/>
              </w:rPr>
            </w:r>
            <w:r>
              <w:rPr>
                <w:noProof/>
                <w:webHidden/>
              </w:rPr>
              <w:fldChar w:fldCharType="separate"/>
            </w:r>
            <w:r>
              <w:rPr>
                <w:noProof/>
                <w:webHidden/>
              </w:rPr>
              <w:t>4</w:t>
            </w:r>
            <w:r>
              <w:rPr>
                <w:noProof/>
                <w:webHidden/>
              </w:rPr>
              <w:fldChar w:fldCharType="end"/>
            </w:r>
          </w:hyperlink>
        </w:p>
        <w:p w14:paraId="5DB10430" w14:textId="1DAD7BAD" w:rsidR="00521B7E" w:rsidRDefault="00521B7E">
          <w:pPr>
            <w:pStyle w:val="TOC1"/>
            <w:tabs>
              <w:tab w:val="right" w:leader="dot" w:pos="9016"/>
            </w:tabs>
            <w:rPr>
              <w:rFonts w:asciiTheme="minorHAnsi" w:eastAsiaTheme="minorEastAsia" w:hAnsiTheme="minorHAnsi" w:cstheme="minorBidi"/>
              <w:noProof/>
              <w:kern w:val="2"/>
              <w14:ligatures w14:val="standardContextual"/>
            </w:rPr>
          </w:pPr>
          <w:hyperlink w:anchor="_Toc198295906" w:history="1">
            <w:r w:rsidRPr="00A57409">
              <w:rPr>
                <w:rStyle w:val="Hyperlink"/>
                <w:noProof/>
              </w:rPr>
              <w:t>Exemplar and Best Practice Developments</w:t>
            </w:r>
            <w:r>
              <w:rPr>
                <w:noProof/>
                <w:webHidden/>
              </w:rPr>
              <w:tab/>
            </w:r>
            <w:r>
              <w:rPr>
                <w:noProof/>
                <w:webHidden/>
              </w:rPr>
              <w:fldChar w:fldCharType="begin"/>
            </w:r>
            <w:r>
              <w:rPr>
                <w:noProof/>
                <w:webHidden/>
              </w:rPr>
              <w:instrText xml:space="preserve"> PAGEREF _Toc198295906 \h </w:instrText>
            </w:r>
            <w:r>
              <w:rPr>
                <w:noProof/>
                <w:webHidden/>
              </w:rPr>
            </w:r>
            <w:r>
              <w:rPr>
                <w:noProof/>
                <w:webHidden/>
              </w:rPr>
              <w:fldChar w:fldCharType="separate"/>
            </w:r>
            <w:r>
              <w:rPr>
                <w:noProof/>
                <w:webHidden/>
              </w:rPr>
              <w:t>5</w:t>
            </w:r>
            <w:r>
              <w:rPr>
                <w:noProof/>
                <w:webHidden/>
              </w:rPr>
              <w:fldChar w:fldCharType="end"/>
            </w:r>
          </w:hyperlink>
        </w:p>
        <w:p w14:paraId="6AFA97DA" w14:textId="326A0391" w:rsidR="00521B7E" w:rsidRDefault="00521B7E">
          <w:pPr>
            <w:pStyle w:val="TOC1"/>
            <w:tabs>
              <w:tab w:val="right" w:leader="dot" w:pos="9016"/>
            </w:tabs>
            <w:rPr>
              <w:rFonts w:asciiTheme="minorHAnsi" w:eastAsiaTheme="minorEastAsia" w:hAnsiTheme="minorHAnsi" w:cstheme="minorBidi"/>
              <w:noProof/>
              <w:kern w:val="2"/>
              <w14:ligatures w14:val="standardContextual"/>
            </w:rPr>
          </w:pPr>
          <w:hyperlink w:anchor="_Toc198295907" w:history="1">
            <w:r w:rsidRPr="00A57409">
              <w:rPr>
                <w:rStyle w:val="Hyperlink"/>
                <w:noProof/>
              </w:rPr>
              <w:t>Risks and Opportunities</w:t>
            </w:r>
            <w:r>
              <w:rPr>
                <w:noProof/>
                <w:webHidden/>
              </w:rPr>
              <w:tab/>
            </w:r>
            <w:r>
              <w:rPr>
                <w:noProof/>
                <w:webHidden/>
              </w:rPr>
              <w:fldChar w:fldCharType="begin"/>
            </w:r>
            <w:r>
              <w:rPr>
                <w:noProof/>
                <w:webHidden/>
              </w:rPr>
              <w:instrText xml:space="preserve"> PAGEREF _Toc198295907 \h </w:instrText>
            </w:r>
            <w:r>
              <w:rPr>
                <w:noProof/>
                <w:webHidden/>
              </w:rPr>
            </w:r>
            <w:r>
              <w:rPr>
                <w:noProof/>
                <w:webHidden/>
              </w:rPr>
              <w:fldChar w:fldCharType="separate"/>
            </w:r>
            <w:r>
              <w:rPr>
                <w:noProof/>
                <w:webHidden/>
              </w:rPr>
              <w:t>5</w:t>
            </w:r>
            <w:r>
              <w:rPr>
                <w:noProof/>
                <w:webHidden/>
              </w:rPr>
              <w:fldChar w:fldCharType="end"/>
            </w:r>
          </w:hyperlink>
        </w:p>
        <w:p w14:paraId="2AA06E0C" w14:textId="75A88408" w:rsidR="00521B7E" w:rsidRDefault="00521B7E">
          <w:pPr>
            <w:pStyle w:val="TOC1"/>
            <w:tabs>
              <w:tab w:val="right" w:leader="dot" w:pos="9016"/>
            </w:tabs>
            <w:rPr>
              <w:rFonts w:asciiTheme="minorHAnsi" w:eastAsiaTheme="minorEastAsia" w:hAnsiTheme="minorHAnsi" w:cstheme="minorBidi"/>
              <w:noProof/>
              <w:kern w:val="2"/>
              <w14:ligatures w14:val="standardContextual"/>
            </w:rPr>
          </w:pPr>
          <w:hyperlink w:anchor="_Toc198295908" w:history="1">
            <w:r w:rsidRPr="00A57409">
              <w:rPr>
                <w:rStyle w:val="Hyperlink"/>
                <w:noProof/>
              </w:rPr>
              <w:t>Return on Investment Calculation (ROI)</w:t>
            </w:r>
            <w:r>
              <w:rPr>
                <w:noProof/>
                <w:webHidden/>
              </w:rPr>
              <w:tab/>
            </w:r>
            <w:r>
              <w:rPr>
                <w:noProof/>
                <w:webHidden/>
              </w:rPr>
              <w:fldChar w:fldCharType="begin"/>
            </w:r>
            <w:r>
              <w:rPr>
                <w:noProof/>
                <w:webHidden/>
              </w:rPr>
              <w:instrText xml:space="preserve"> PAGEREF _Toc198295908 \h </w:instrText>
            </w:r>
            <w:r>
              <w:rPr>
                <w:noProof/>
                <w:webHidden/>
              </w:rPr>
            </w:r>
            <w:r>
              <w:rPr>
                <w:noProof/>
                <w:webHidden/>
              </w:rPr>
              <w:fldChar w:fldCharType="separate"/>
            </w:r>
            <w:r>
              <w:rPr>
                <w:noProof/>
                <w:webHidden/>
              </w:rPr>
              <w:t>6</w:t>
            </w:r>
            <w:r>
              <w:rPr>
                <w:noProof/>
                <w:webHidden/>
              </w:rPr>
              <w:fldChar w:fldCharType="end"/>
            </w:r>
          </w:hyperlink>
        </w:p>
        <w:p w14:paraId="67AA92E8" w14:textId="7F8D2332" w:rsidR="00521B7E" w:rsidRDefault="00521B7E">
          <w:pPr>
            <w:pStyle w:val="TOC1"/>
            <w:tabs>
              <w:tab w:val="right" w:leader="dot" w:pos="9016"/>
            </w:tabs>
            <w:rPr>
              <w:rFonts w:asciiTheme="minorHAnsi" w:eastAsiaTheme="minorEastAsia" w:hAnsiTheme="minorHAnsi" w:cstheme="minorBidi"/>
              <w:noProof/>
              <w:kern w:val="2"/>
              <w14:ligatures w14:val="standardContextual"/>
            </w:rPr>
          </w:pPr>
          <w:hyperlink w:anchor="_Toc198295909" w:history="1">
            <w:r w:rsidRPr="00A57409">
              <w:rPr>
                <w:rStyle w:val="Hyperlink"/>
                <w:noProof/>
              </w:rPr>
              <w:t>Sustainability</w:t>
            </w:r>
            <w:r>
              <w:rPr>
                <w:noProof/>
                <w:webHidden/>
              </w:rPr>
              <w:tab/>
            </w:r>
            <w:r>
              <w:rPr>
                <w:noProof/>
                <w:webHidden/>
              </w:rPr>
              <w:fldChar w:fldCharType="begin"/>
            </w:r>
            <w:r>
              <w:rPr>
                <w:noProof/>
                <w:webHidden/>
              </w:rPr>
              <w:instrText xml:space="preserve"> PAGEREF _Toc198295909 \h </w:instrText>
            </w:r>
            <w:r>
              <w:rPr>
                <w:noProof/>
                <w:webHidden/>
              </w:rPr>
            </w:r>
            <w:r>
              <w:rPr>
                <w:noProof/>
                <w:webHidden/>
              </w:rPr>
              <w:fldChar w:fldCharType="separate"/>
            </w:r>
            <w:r>
              <w:rPr>
                <w:noProof/>
                <w:webHidden/>
              </w:rPr>
              <w:t>7</w:t>
            </w:r>
            <w:r>
              <w:rPr>
                <w:noProof/>
                <w:webHidden/>
              </w:rPr>
              <w:fldChar w:fldCharType="end"/>
            </w:r>
          </w:hyperlink>
        </w:p>
        <w:p w14:paraId="15D2B23D" w14:textId="7E99C092" w:rsidR="00521B7E" w:rsidRDefault="00521B7E">
          <w:pPr>
            <w:pStyle w:val="TOC1"/>
            <w:tabs>
              <w:tab w:val="right" w:leader="dot" w:pos="9016"/>
            </w:tabs>
            <w:rPr>
              <w:rFonts w:asciiTheme="minorHAnsi" w:eastAsiaTheme="minorEastAsia" w:hAnsiTheme="minorHAnsi" w:cstheme="minorBidi"/>
              <w:noProof/>
              <w:kern w:val="2"/>
              <w14:ligatures w14:val="standardContextual"/>
            </w:rPr>
          </w:pPr>
          <w:hyperlink w:anchor="_Toc198295910" w:history="1">
            <w:r w:rsidRPr="00A57409">
              <w:rPr>
                <w:rStyle w:val="Hyperlink"/>
                <w:noProof/>
              </w:rPr>
              <w:t>Summary</w:t>
            </w:r>
            <w:r>
              <w:rPr>
                <w:noProof/>
                <w:webHidden/>
              </w:rPr>
              <w:tab/>
            </w:r>
            <w:r>
              <w:rPr>
                <w:noProof/>
                <w:webHidden/>
              </w:rPr>
              <w:fldChar w:fldCharType="begin"/>
            </w:r>
            <w:r>
              <w:rPr>
                <w:noProof/>
                <w:webHidden/>
              </w:rPr>
              <w:instrText xml:space="preserve"> PAGEREF _Toc198295910 \h </w:instrText>
            </w:r>
            <w:r>
              <w:rPr>
                <w:noProof/>
                <w:webHidden/>
              </w:rPr>
            </w:r>
            <w:r>
              <w:rPr>
                <w:noProof/>
                <w:webHidden/>
              </w:rPr>
              <w:fldChar w:fldCharType="separate"/>
            </w:r>
            <w:r>
              <w:rPr>
                <w:noProof/>
                <w:webHidden/>
              </w:rPr>
              <w:t>8</w:t>
            </w:r>
            <w:r>
              <w:rPr>
                <w:noProof/>
                <w:webHidden/>
              </w:rPr>
              <w:fldChar w:fldCharType="end"/>
            </w:r>
          </w:hyperlink>
        </w:p>
        <w:p w14:paraId="4F0C8D79" w14:textId="5F60A29F" w:rsidR="00521B7E" w:rsidRDefault="00521B7E">
          <w:pPr>
            <w:pStyle w:val="TOC1"/>
            <w:tabs>
              <w:tab w:val="right" w:leader="dot" w:pos="9016"/>
            </w:tabs>
            <w:rPr>
              <w:rFonts w:asciiTheme="minorHAnsi" w:eastAsiaTheme="minorEastAsia" w:hAnsiTheme="minorHAnsi" w:cstheme="minorBidi"/>
              <w:noProof/>
              <w:kern w:val="2"/>
              <w14:ligatures w14:val="standardContextual"/>
            </w:rPr>
          </w:pPr>
          <w:hyperlink w:anchor="_Toc198295911" w:history="1">
            <w:r w:rsidRPr="00A57409">
              <w:rPr>
                <w:rStyle w:val="Hyperlink"/>
                <w:noProof/>
              </w:rPr>
              <w:t>References</w:t>
            </w:r>
            <w:r>
              <w:rPr>
                <w:noProof/>
                <w:webHidden/>
              </w:rPr>
              <w:tab/>
            </w:r>
            <w:r>
              <w:rPr>
                <w:noProof/>
                <w:webHidden/>
              </w:rPr>
              <w:fldChar w:fldCharType="begin"/>
            </w:r>
            <w:r>
              <w:rPr>
                <w:noProof/>
                <w:webHidden/>
              </w:rPr>
              <w:instrText xml:space="preserve"> PAGEREF _Toc198295911 \h </w:instrText>
            </w:r>
            <w:r>
              <w:rPr>
                <w:noProof/>
                <w:webHidden/>
              </w:rPr>
            </w:r>
            <w:r>
              <w:rPr>
                <w:noProof/>
                <w:webHidden/>
              </w:rPr>
              <w:fldChar w:fldCharType="separate"/>
            </w:r>
            <w:r>
              <w:rPr>
                <w:noProof/>
                <w:webHidden/>
              </w:rPr>
              <w:t>9</w:t>
            </w:r>
            <w:r>
              <w:rPr>
                <w:noProof/>
                <w:webHidden/>
              </w:rPr>
              <w:fldChar w:fldCharType="end"/>
            </w:r>
          </w:hyperlink>
        </w:p>
        <w:p w14:paraId="5218BF29" w14:textId="2F9C4774" w:rsidR="008A2836" w:rsidRDefault="008A2836">
          <w:r>
            <w:rPr>
              <w:b/>
              <w:bCs/>
              <w:noProof/>
            </w:rPr>
            <w:fldChar w:fldCharType="end"/>
          </w:r>
        </w:p>
      </w:sdtContent>
    </w:sdt>
    <w:p w14:paraId="41D0DB15" w14:textId="77777777" w:rsidR="008A2836" w:rsidRDefault="008A2836">
      <w:pPr>
        <w:spacing w:after="160" w:line="278" w:lineRule="auto"/>
        <w:rPr>
          <w:rFonts w:ascii="Times New Roman" w:hAnsi="Times New Roman" w:cs="Times New Roman"/>
          <w:sz w:val="18"/>
          <w:szCs w:val="18"/>
        </w:rPr>
      </w:pPr>
      <w:r>
        <w:rPr>
          <w:rFonts w:ascii="Times New Roman" w:hAnsi="Times New Roman" w:cs="Times New Roman"/>
          <w:sz w:val="18"/>
          <w:szCs w:val="18"/>
        </w:rPr>
        <w:br w:type="page"/>
      </w:r>
    </w:p>
    <w:p w14:paraId="2828798D" w14:textId="02883C13" w:rsidR="00001236" w:rsidRPr="008A2836" w:rsidRDefault="008A2836" w:rsidP="008A2836">
      <w:pPr>
        <w:pStyle w:val="Heading1"/>
        <w:rPr>
          <w:rFonts w:ascii="Times New Roman" w:hAnsi="Times New Roman"/>
        </w:rPr>
      </w:pPr>
      <w:bookmarkStart w:id="0" w:name="_Toc198295898"/>
      <w:r>
        <w:lastRenderedPageBreak/>
        <w:t>Executive Summary</w:t>
      </w:r>
      <w:bookmarkEnd w:id="0"/>
    </w:p>
    <w:p w14:paraId="300ABB67" w14:textId="3AFE20B8" w:rsidR="00001236" w:rsidRDefault="00643378" w:rsidP="00001236">
      <w:pPr>
        <w:pStyle w:val="NormalWeb"/>
        <w:spacing w:before="0" w:beforeAutospacing="0" w:after="180" w:afterAutospacing="0"/>
        <w:rPr>
          <w:rFonts w:ascii="Times New Roman" w:hAnsi="Times New Roman" w:cs="Times New Roman"/>
          <w:sz w:val="18"/>
          <w:szCs w:val="18"/>
        </w:rPr>
      </w:pPr>
      <w:r>
        <w:rPr>
          <w:rFonts w:eastAsia="Times New Roman"/>
          <w:sz w:val="27"/>
          <w:szCs w:val="27"/>
        </w:rPr>
        <w:t>This report outlines a comprehensive development assessment for the planned refurbishment and residential conversion of Lace House in Brighton. The building is situated in a sought-after central location, providing both historical significance and excellent investment opportunities. The proposal aims to transform the current commercial space into nine independent residential units, taking advantage of the high demand for centrally situated, energy-efficient apartments. This appraisal evaluates the historical context, site characteristics, proposed scheme, market dynamics, financial viability, risks and opportunities, and sustainability credentials. The project shows potential for success, backed by secured planning permission, positive market conditions, and an anticipated 36.5% return on investment</w:t>
      </w:r>
      <w:r w:rsidR="0038260E">
        <w:rPr>
          <w:rFonts w:eastAsia="Times New Roman"/>
          <w:sz w:val="27"/>
          <w:szCs w:val="27"/>
        </w:rPr>
        <w:t xml:space="preserve"> (RICS,2024), </w:t>
      </w:r>
      <w:r>
        <w:rPr>
          <w:rFonts w:eastAsia="Times New Roman"/>
          <w:sz w:val="27"/>
          <w:szCs w:val="27"/>
        </w:rPr>
        <w:t>It also holds ethical promise, particularly with the inclusion of further sustainability improvements</w:t>
      </w:r>
      <w:r w:rsidR="0038260E">
        <w:rPr>
          <w:rFonts w:eastAsia="Times New Roman"/>
          <w:sz w:val="27"/>
          <w:szCs w:val="27"/>
        </w:rPr>
        <w:t>. (Brighton &amp; Hove City Council, 2015)</w:t>
      </w:r>
    </w:p>
    <w:p w14:paraId="42D0B43A" w14:textId="6E8038FB" w:rsidR="00001236" w:rsidRDefault="00001236" w:rsidP="008A2836">
      <w:pPr>
        <w:pStyle w:val="Heading1"/>
      </w:pPr>
      <w:bookmarkStart w:id="1" w:name="_Toc198295899"/>
      <w:r>
        <w:t>Introduction</w:t>
      </w:r>
      <w:bookmarkEnd w:id="1"/>
    </w:p>
    <w:p w14:paraId="276BD2BC" w14:textId="77777777" w:rsidR="00643378" w:rsidRPr="00643378" w:rsidRDefault="00643378" w:rsidP="00643378"/>
    <w:p w14:paraId="69B30B59" w14:textId="36900F0C" w:rsidR="00001236" w:rsidRDefault="00643378" w:rsidP="00001236">
      <w:pPr>
        <w:pStyle w:val="NormalWeb"/>
        <w:spacing w:before="0" w:beforeAutospacing="0" w:after="180" w:afterAutospacing="0"/>
        <w:rPr>
          <w:rFonts w:ascii="Times New Roman" w:hAnsi="Times New Roman" w:cs="Times New Roman"/>
          <w:sz w:val="18"/>
          <w:szCs w:val="18"/>
        </w:rPr>
      </w:pPr>
      <w:r>
        <w:rPr>
          <w:rFonts w:eastAsia="Times New Roman"/>
          <w:sz w:val="27"/>
          <w:szCs w:val="27"/>
        </w:rPr>
        <w:t xml:space="preserve">This report presents a comprehensive evaluation of the development for Lace House, Brighton. The analysis is presented from the viewpoint of a project manager at a development firm assessing the feasibility of transforming this underused commercial property into residential housing. The report presents an assessment of the site’s location, history, market potential, and financial metrics, along with a thorough analysis of risks and opportunities. Proposals for ethical and sustainable design are also evaluated, focussing on how these aspects can enhance long-term asset value and attract investors. The aim is to </w:t>
      </w:r>
      <w:r w:rsidR="00521B7E">
        <w:rPr>
          <w:rFonts w:eastAsia="Times New Roman"/>
          <w:sz w:val="27"/>
          <w:szCs w:val="27"/>
        </w:rPr>
        <w:t>use a</w:t>
      </w:r>
      <w:r>
        <w:rPr>
          <w:rFonts w:eastAsia="Times New Roman"/>
          <w:sz w:val="27"/>
          <w:szCs w:val="27"/>
        </w:rPr>
        <w:t xml:space="preserve"> development approach that achieves a balance between profitability and societal benefit.</w:t>
      </w:r>
    </w:p>
    <w:p w14:paraId="7FBDB2D3" w14:textId="08E92887" w:rsidR="00001236" w:rsidRPr="00643378" w:rsidRDefault="00001236" w:rsidP="00643378">
      <w:pPr>
        <w:pStyle w:val="Heading1"/>
        <w:rPr>
          <w:rFonts w:ascii="Times New Roman" w:hAnsi="Times New Roman"/>
        </w:rPr>
      </w:pPr>
      <w:bookmarkStart w:id="2" w:name="_Toc198295900"/>
      <w:r>
        <w:t>History of Lace House</w:t>
      </w:r>
      <w:bookmarkEnd w:id="2"/>
    </w:p>
    <w:p w14:paraId="41CF7730" w14:textId="4ED4AE43" w:rsidR="00001236" w:rsidRDefault="00643378" w:rsidP="00001236">
      <w:pPr>
        <w:pStyle w:val="NormalWeb"/>
        <w:spacing w:before="0" w:beforeAutospacing="0" w:after="180" w:afterAutospacing="0"/>
        <w:rPr>
          <w:rFonts w:ascii="Times New Roman" w:hAnsi="Times New Roman" w:cs="Times New Roman"/>
          <w:sz w:val="18"/>
          <w:szCs w:val="18"/>
        </w:rPr>
      </w:pPr>
      <w:r>
        <w:rPr>
          <w:rFonts w:eastAsia="Times New Roman"/>
          <w:sz w:val="27"/>
          <w:szCs w:val="27"/>
        </w:rPr>
        <w:t xml:space="preserve">Lace House is a property from the Victorian era located at 39–40 Old Steine in Brighton. The building, which was originally developed in the late 19th century, has served various commercial purposes, including offices and small businesses. The architectural design features traditional sash windows, decorative cornices, and </w:t>
      </w:r>
      <w:r w:rsidR="0038260E">
        <w:rPr>
          <w:rFonts w:eastAsia="Times New Roman"/>
          <w:sz w:val="27"/>
          <w:szCs w:val="27"/>
        </w:rPr>
        <w:t>decorative stonework</w:t>
      </w:r>
      <w:r>
        <w:rPr>
          <w:rFonts w:eastAsia="Times New Roman"/>
          <w:sz w:val="27"/>
          <w:szCs w:val="27"/>
        </w:rPr>
        <w:t xml:space="preserve"> that aligns with the conservation style of the Old Steine area</w:t>
      </w:r>
      <w:r w:rsidR="0038260E">
        <w:rPr>
          <w:rFonts w:eastAsia="Times New Roman"/>
          <w:sz w:val="27"/>
          <w:szCs w:val="27"/>
        </w:rPr>
        <w:t xml:space="preserve"> (Brighton &amp; Hove City Council, 2015)</w:t>
      </w:r>
      <w:r>
        <w:rPr>
          <w:rFonts w:eastAsia="Times New Roman"/>
          <w:sz w:val="27"/>
          <w:szCs w:val="27"/>
        </w:rPr>
        <w:t xml:space="preserve">. While the building boasts an appealing external heritage charm, its internal structure has undergone significant modifications and neglect, presenting a perfect opportunity for adaptive reuse. The </w:t>
      </w:r>
      <w:r w:rsidR="00521B7E">
        <w:rPr>
          <w:rFonts w:eastAsia="Times New Roman"/>
          <w:sz w:val="27"/>
          <w:szCs w:val="27"/>
        </w:rPr>
        <w:t>opportunity</w:t>
      </w:r>
      <w:r>
        <w:rPr>
          <w:rFonts w:eastAsia="Times New Roman"/>
          <w:sz w:val="27"/>
          <w:szCs w:val="27"/>
        </w:rPr>
        <w:t xml:space="preserve"> is available to preserve and update the historic exterior while providing </w:t>
      </w:r>
      <w:r w:rsidR="00521B7E">
        <w:rPr>
          <w:rFonts w:eastAsia="Times New Roman"/>
          <w:sz w:val="27"/>
          <w:szCs w:val="27"/>
        </w:rPr>
        <w:t xml:space="preserve">modern </w:t>
      </w:r>
      <w:r>
        <w:rPr>
          <w:rFonts w:eastAsia="Times New Roman"/>
          <w:sz w:val="27"/>
          <w:szCs w:val="27"/>
        </w:rPr>
        <w:t>living spaces that meet the current housing demands.</w:t>
      </w:r>
    </w:p>
    <w:p w14:paraId="4F1C3E7C" w14:textId="728833FA" w:rsidR="00001236" w:rsidRDefault="00001236" w:rsidP="00643378">
      <w:pPr>
        <w:pStyle w:val="Heading1"/>
        <w:rPr>
          <w:rFonts w:ascii="Times New Roman" w:hAnsi="Times New Roman"/>
        </w:rPr>
      </w:pPr>
      <w:bookmarkStart w:id="3" w:name="_Toc198295901"/>
      <w:r>
        <w:lastRenderedPageBreak/>
        <w:t>Location Analysis</w:t>
      </w:r>
      <w:bookmarkEnd w:id="3"/>
    </w:p>
    <w:p w14:paraId="0995F0EB" w14:textId="08BDF81F" w:rsidR="00001236" w:rsidRDefault="00643378" w:rsidP="00001236">
      <w:pPr>
        <w:pStyle w:val="NormalWeb"/>
        <w:spacing w:before="0" w:beforeAutospacing="0" w:after="180" w:afterAutospacing="0"/>
        <w:rPr>
          <w:rFonts w:ascii="Times New Roman" w:hAnsi="Times New Roman" w:cs="Times New Roman"/>
          <w:sz w:val="18"/>
          <w:szCs w:val="18"/>
        </w:rPr>
      </w:pPr>
      <w:r>
        <w:rPr>
          <w:rFonts w:eastAsia="Times New Roman"/>
          <w:sz w:val="27"/>
          <w:szCs w:val="27"/>
        </w:rPr>
        <w:t>Brighton stands out as a lively coastal city in the UK, characterised by a bustling housing market influenced by strong demand, restricted land availability, and a thriving local economy. Lace House is situated centrally, just a short distance from Brighton Pier, The Lanes shopping area, and key public transport links. Brighton Station provides straight</w:t>
      </w:r>
      <w:r w:rsidR="00521B7E">
        <w:rPr>
          <w:rFonts w:eastAsia="Times New Roman"/>
          <w:sz w:val="27"/>
          <w:szCs w:val="27"/>
        </w:rPr>
        <w:t xml:space="preserve"> </w:t>
      </w:r>
      <w:r>
        <w:rPr>
          <w:rFonts w:eastAsia="Times New Roman"/>
          <w:sz w:val="27"/>
          <w:szCs w:val="27"/>
        </w:rPr>
        <w:t xml:space="preserve">forward access to London Victoria and Gatwick </w:t>
      </w:r>
      <w:r>
        <w:rPr>
          <w:rFonts w:eastAsia="Times New Roman"/>
          <w:sz w:val="27"/>
          <w:szCs w:val="27"/>
        </w:rPr>
        <w:t>Airport and</w:t>
      </w:r>
      <w:r>
        <w:rPr>
          <w:rFonts w:eastAsia="Times New Roman"/>
          <w:sz w:val="27"/>
          <w:szCs w:val="27"/>
        </w:rPr>
        <w:t xml:space="preserve"> is just a short walk away. The vicinity of Old Steine provides cultural amenities, dining options, job prospects, and access to green spaces—all appealing aspects for professionals, young couples, and retirees. The planning policy in Brighton &amp; Hove encourages the sustainable redevelopment of empty buildings, which is in harmony with the objectives of this proposal.</w:t>
      </w:r>
    </w:p>
    <w:p w14:paraId="1E0BDCD7" w14:textId="1FA9967A" w:rsidR="00001236" w:rsidRDefault="00001236" w:rsidP="00643378">
      <w:pPr>
        <w:pStyle w:val="Heading1"/>
      </w:pPr>
      <w:bookmarkStart w:id="4" w:name="_Toc198295902"/>
      <w:r>
        <w:t>Proposed Development</w:t>
      </w:r>
      <w:bookmarkEnd w:id="4"/>
    </w:p>
    <w:p w14:paraId="17765C79" w14:textId="4F2BA7A7" w:rsidR="00643378" w:rsidRPr="00643378" w:rsidRDefault="00643378" w:rsidP="00643378">
      <w:r>
        <w:rPr>
          <w:rFonts w:eastAsia="Times New Roman"/>
          <w:sz w:val="27"/>
          <w:szCs w:val="27"/>
        </w:rPr>
        <w:t xml:space="preserve">The plan includes </w:t>
      </w:r>
      <w:r w:rsidR="0038260E">
        <w:rPr>
          <w:rFonts w:eastAsia="Times New Roman"/>
          <w:sz w:val="27"/>
          <w:szCs w:val="27"/>
        </w:rPr>
        <w:t>converting</w:t>
      </w:r>
      <w:r>
        <w:rPr>
          <w:rFonts w:eastAsia="Times New Roman"/>
          <w:sz w:val="27"/>
          <w:szCs w:val="27"/>
        </w:rPr>
        <w:t xml:space="preserve"> the current </w:t>
      </w:r>
      <w:r w:rsidR="004D368D">
        <w:rPr>
          <w:rFonts w:eastAsia="Times New Roman"/>
          <w:sz w:val="27"/>
          <w:szCs w:val="27"/>
        </w:rPr>
        <w:t>six</w:t>
      </w:r>
      <w:r>
        <w:rPr>
          <w:rFonts w:eastAsia="Times New Roman"/>
          <w:sz w:val="27"/>
          <w:szCs w:val="27"/>
        </w:rPr>
        <w:t>-storey commercial building into nine self-contained apartments, with sizes ranging from about 35 sqm to 65 sqm. The internal layout will be restructured to enhance natural light, sound insulation, and functional floor area. The building's exterior will remain unchanged. Internally, the tasks involve making structural changes, updating all mechanical and electrical systems, installing new kitchens and bathrooms, and enhancing fire protection and energy efficiency measures. The flats will comply with existing Building Regulations and strive for excellent EPC ratings. Every apartment will showcase open-plan designs, contemporary finishes and marine-grade triple glazing, as highlighted in the latest promotional materials for comparable units in the building.</w:t>
      </w:r>
    </w:p>
    <w:p w14:paraId="111775CB" w14:textId="6A117ADD" w:rsidR="00001236" w:rsidRPr="00643378" w:rsidRDefault="00001236" w:rsidP="00643378">
      <w:pPr>
        <w:pStyle w:val="Heading1"/>
        <w:rPr>
          <w:rFonts w:ascii="Aptos" w:hAnsi="Aptos" w:cs="Aptos"/>
          <w:sz w:val="24"/>
          <w:szCs w:val="24"/>
        </w:rPr>
      </w:pPr>
      <w:bookmarkStart w:id="5" w:name="_Toc198295903"/>
      <w:r>
        <w:t>Current State of the Property</w:t>
      </w:r>
      <w:bookmarkEnd w:id="5"/>
    </w:p>
    <w:p w14:paraId="677A9D18" w14:textId="64A739AA" w:rsidR="00FB7EE6" w:rsidRDefault="00FB7EE6" w:rsidP="00001236">
      <w:pPr>
        <w:pStyle w:val="NormalWeb"/>
        <w:spacing w:before="0" w:beforeAutospacing="0" w:after="180" w:afterAutospacing="0"/>
      </w:pPr>
      <w:r>
        <w:rPr>
          <w:rFonts w:eastAsia="Times New Roman"/>
          <w:sz w:val="27"/>
          <w:szCs w:val="27"/>
        </w:rPr>
        <w:t>The building is empty and not in great condition. The internal finishes are outdated, the mechanical systems are not functioning properly, and the insulation falls short of current standards. The structure is still standing, but there are concerns regarding dampness, old floor layouts, and services that do not meet current standards. Nonetheless, external assessments validate that the building structure is stable, rendering it appropriate for internal renovations only</w:t>
      </w:r>
      <w:r w:rsidR="0038260E">
        <w:rPr>
          <w:rFonts w:eastAsia="Times New Roman"/>
          <w:sz w:val="27"/>
          <w:szCs w:val="27"/>
        </w:rPr>
        <w:t xml:space="preserve"> (Brighton and Hove City Council, 2015)</w:t>
      </w:r>
      <w:r>
        <w:rPr>
          <w:rFonts w:eastAsia="Times New Roman"/>
          <w:sz w:val="27"/>
          <w:szCs w:val="27"/>
        </w:rPr>
        <w:t>. It is worth noting that full planning permission (Ref: BH2015/03656) has already been granted, which greatly reduces the risks associated with the development timeline. No leaseholds or tenants are present, which allows for immediate site access and facilitates early contractor involvement for pre-construction planning.</w:t>
      </w:r>
    </w:p>
    <w:p w14:paraId="5F422B22" w14:textId="6EBBEF07" w:rsidR="00001236" w:rsidRPr="00FB7EE6" w:rsidRDefault="00001236" w:rsidP="00FB7EE6">
      <w:pPr>
        <w:pStyle w:val="Heading1"/>
        <w:rPr>
          <w:rFonts w:ascii="Times New Roman" w:hAnsi="Times New Roman"/>
        </w:rPr>
      </w:pPr>
      <w:bookmarkStart w:id="6" w:name="_Toc198295904"/>
      <w:r>
        <w:lastRenderedPageBreak/>
        <w:t>Market Research and Evidence</w:t>
      </w:r>
      <w:bookmarkEnd w:id="6"/>
    </w:p>
    <w:p w14:paraId="2BA9A284" w14:textId="0DEAADE8" w:rsidR="00001236" w:rsidRDefault="00FB7EE6" w:rsidP="00001236">
      <w:pPr>
        <w:pStyle w:val="NormalWeb"/>
        <w:spacing w:before="0" w:beforeAutospacing="0" w:after="180" w:afterAutospacing="0"/>
        <w:rPr>
          <w:rFonts w:ascii="Times New Roman" w:hAnsi="Times New Roman" w:cs="Times New Roman"/>
          <w:sz w:val="18"/>
          <w:szCs w:val="18"/>
        </w:rPr>
      </w:pPr>
      <w:r>
        <w:rPr>
          <w:rFonts w:eastAsia="Times New Roman"/>
          <w:sz w:val="27"/>
          <w:szCs w:val="27"/>
        </w:rPr>
        <w:t>Brighton’s housing market continues to thrive, driven by strong interest from renters, owner-occupiers, and investors. As reported by Savills (2024), the typical price for newly constructed and nicely renovated city-centre apartments falls within the range of £6,800 to £7,200 per square metre. For instance, Flat 6 in Lace House (39 sqm) is priced at £275,000</w:t>
      </w:r>
      <w:r w:rsidR="0038260E">
        <w:rPr>
          <w:rFonts w:eastAsia="Times New Roman"/>
          <w:sz w:val="27"/>
          <w:szCs w:val="27"/>
        </w:rPr>
        <w:t>-</w:t>
      </w:r>
      <w:r>
        <w:rPr>
          <w:rFonts w:eastAsia="Times New Roman"/>
          <w:sz w:val="27"/>
          <w:szCs w:val="27"/>
        </w:rPr>
        <w:t>£7,050 per sqm</w:t>
      </w:r>
      <w:r w:rsidR="0038260E">
        <w:rPr>
          <w:rFonts w:eastAsia="Times New Roman"/>
          <w:sz w:val="27"/>
          <w:szCs w:val="27"/>
        </w:rPr>
        <w:t xml:space="preserve">, </w:t>
      </w:r>
      <w:r>
        <w:rPr>
          <w:rFonts w:eastAsia="Times New Roman"/>
          <w:sz w:val="27"/>
          <w:szCs w:val="27"/>
        </w:rPr>
        <w:t>showing that well-presented properties in this building already attract a higher value. Rental demand remains strong, with one-bedroom flats renting for between £1,200 and £1,500 per month, influenced by quality and location (Rightmove, 2024). Net rental yields in the city average 5.5%, reflecting solid long-term investor interest. Due to planning restrictions and geographical limitations, the availability of local housing is limited, resulting in high absorption rates for new homes, particularly in easily accessible central locations. Properties that boast impressive EPC ratings and energy-efficient features are increasingly sought after, reinforcing the development's commitment to sustainability.</w:t>
      </w:r>
    </w:p>
    <w:p w14:paraId="1722261D" w14:textId="24B6AABC" w:rsidR="00001236" w:rsidRDefault="00001236" w:rsidP="00FB7EE6">
      <w:pPr>
        <w:pStyle w:val="Heading1"/>
      </w:pPr>
      <w:bookmarkStart w:id="7" w:name="_Toc198295905"/>
      <w:r>
        <w:t>Capital Costs and Development Budget</w:t>
      </w:r>
      <w:bookmarkEnd w:id="7"/>
    </w:p>
    <w:p w14:paraId="2EAE2996" w14:textId="77777777" w:rsidR="000C4724" w:rsidRPr="000C4724" w:rsidRDefault="000C4724" w:rsidP="000C4724"/>
    <w:tbl>
      <w:tblPr>
        <w:tblStyle w:val="TableGrid"/>
        <w:tblW w:w="0" w:type="auto"/>
        <w:tblLook w:val="04A0" w:firstRow="1" w:lastRow="0" w:firstColumn="1" w:lastColumn="0" w:noHBand="0" w:noVBand="1"/>
      </w:tblPr>
      <w:tblGrid>
        <w:gridCol w:w="4390"/>
        <w:gridCol w:w="4626"/>
      </w:tblGrid>
      <w:tr w:rsidR="0006191D" w14:paraId="44FD16FC" w14:textId="77777777" w:rsidTr="0006191D">
        <w:tc>
          <w:tcPr>
            <w:tcW w:w="4390" w:type="dxa"/>
          </w:tcPr>
          <w:p w14:paraId="6DD35A59" w14:textId="0B395DE6" w:rsidR="0006191D" w:rsidRPr="003C685B" w:rsidRDefault="0006191D" w:rsidP="0006191D">
            <w:pPr>
              <w:jc w:val="center"/>
              <w:rPr>
                <w:rFonts w:eastAsia="Times New Roman"/>
                <w:b/>
                <w:bCs/>
              </w:rPr>
            </w:pPr>
            <w:r w:rsidRPr="003C685B">
              <w:rPr>
                <w:rFonts w:eastAsia="Times New Roman"/>
                <w:b/>
                <w:bCs/>
              </w:rPr>
              <w:t>Item</w:t>
            </w:r>
          </w:p>
        </w:tc>
        <w:tc>
          <w:tcPr>
            <w:tcW w:w="4626" w:type="dxa"/>
          </w:tcPr>
          <w:p w14:paraId="603DFC18" w14:textId="48A8E6B7" w:rsidR="0006191D" w:rsidRPr="003C685B" w:rsidRDefault="0006191D" w:rsidP="0006191D">
            <w:pPr>
              <w:jc w:val="center"/>
              <w:rPr>
                <w:rFonts w:eastAsia="Times New Roman"/>
                <w:b/>
                <w:bCs/>
              </w:rPr>
            </w:pPr>
            <w:r w:rsidRPr="003C685B">
              <w:rPr>
                <w:rFonts w:eastAsia="Times New Roman"/>
                <w:b/>
                <w:bCs/>
              </w:rPr>
              <w:t>Estimated Cost £</w:t>
            </w:r>
          </w:p>
        </w:tc>
      </w:tr>
      <w:tr w:rsidR="0006191D" w14:paraId="604CD852" w14:textId="77777777" w:rsidTr="0006191D">
        <w:tc>
          <w:tcPr>
            <w:tcW w:w="4390" w:type="dxa"/>
          </w:tcPr>
          <w:p w14:paraId="3550F23D" w14:textId="768CC603" w:rsidR="0006191D" w:rsidRDefault="000C4724" w:rsidP="0006191D">
            <w:pPr>
              <w:jc w:val="center"/>
              <w:rPr>
                <w:rFonts w:eastAsia="Times New Roman"/>
              </w:rPr>
            </w:pPr>
            <w:r>
              <w:rPr>
                <w:rFonts w:eastAsia="Times New Roman"/>
              </w:rPr>
              <w:t>Property acquisition</w:t>
            </w:r>
          </w:p>
        </w:tc>
        <w:tc>
          <w:tcPr>
            <w:tcW w:w="4626" w:type="dxa"/>
          </w:tcPr>
          <w:p w14:paraId="7D69D63D" w14:textId="65111F28" w:rsidR="0006191D" w:rsidRDefault="000C4724" w:rsidP="0006191D">
            <w:pPr>
              <w:jc w:val="center"/>
              <w:rPr>
                <w:rFonts w:eastAsia="Times New Roman"/>
              </w:rPr>
            </w:pPr>
            <w:r>
              <w:rPr>
                <w:rFonts w:eastAsia="Times New Roman"/>
              </w:rPr>
              <w:t>£1,316,500</w:t>
            </w:r>
          </w:p>
        </w:tc>
      </w:tr>
      <w:tr w:rsidR="0006191D" w14:paraId="07BAD77A" w14:textId="77777777" w:rsidTr="0006191D">
        <w:tc>
          <w:tcPr>
            <w:tcW w:w="4390" w:type="dxa"/>
          </w:tcPr>
          <w:p w14:paraId="24E02882" w14:textId="5F43F3A1" w:rsidR="0006191D" w:rsidRDefault="000C4724" w:rsidP="0006191D">
            <w:pPr>
              <w:jc w:val="center"/>
              <w:rPr>
                <w:rFonts w:eastAsia="Times New Roman"/>
              </w:rPr>
            </w:pPr>
            <w:r>
              <w:rPr>
                <w:rFonts w:eastAsia="Times New Roman"/>
              </w:rPr>
              <w:t>Design and Professional fees</w:t>
            </w:r>
          </w:p>
        </w:tc>
        <w:tc>
          <w:tcPr>
            <w:tcW w:w="4626" w:type="dxa"/>
          </w:tcPr>
          <w:p w14:paraId="467EC0E4" w14:textId="7BBC7EC8" w:rsidR="0006191D" w:rsidRDefault="000C4724" w:rsidP="0006191D">
            <w:pPr>
              <w:jc w:val="center"/>
              <w:rPr>
                <w:rFonts w:eastAsia="Times New Roman"/>
              </w:rPr>
            </w:pPr>
            <w:r>
              <w:rPr>
                <w:rFonts w:eastAsia="Times New Roman"/>
              </w:rPr>
              <w:t>£150,000</w:t>
            </w:r>
          </w:p>
        </w:tc>
      </w:tr>
      <w:tr w:rsidR="0006191D" w14:paraId="72BC4A0C" w14:textId="77777777" w:rsidTr="0006191D">
        <w:tc>
          <w:tcPr>
            <w:tcW w:w="4390" w:type="dxa"/>
          </w:tcPr>
          <w:p w14:paraId="63F21DE9" w14:textId="5CA93630" w:rsidR="0006191D" w:rsidRDefault="000C4724" w:rsidP="0006191D">
            <w:pPr>
              <w:jc w:val="center"/>
              <w:rPr>
                <w:rFonts w:eastAsia="Times New Roman"/>
              </w:rPr>
            </w:pPr>
            <w:r>
              <w:rPr>
                <w:rFonts w:eastAsia="Times New Roman"/>
              </w:rPr>
              <w:t>Refurbishment works (527.2 sqm @ £1,900/sqm</w:t>
            </w:r>
          </w:p>
        </w:tc>
        <w:tc>
          <w:tcPr>
            <w:tcW w:w="4626" w:type="dxa"/>
          </w:tcPr>
          <w:p w14:paraId="5A726C94" w14:textId="19D33F11" w:rsidR="0006191D" w:rsidRDefault="000C4724" w:rsidP="0006191D">
            <w:pPr>
              <w:jc w:val="center"/>
              <w:rPr>
                <w:rFonts w:eastAsia="Times New Roman"/>
              </w:rPr>
            </w:pPr>
            <w:r>
              <w:rPr>
                <w:rFonts w:eastAsia="Times New Roman"/>
              </w:rPr>
              <w:t>£1,001,680</w:t>
            </w:r>
          </w:p>
        </w:tc>
      </w:tr>
      <w:tr w:rsidR="0006191D" w14:paraId="78069931" w14:textId="77777777" w:rsidTr="0006191D">
        <w:tc>
          <w:tcPr>
            <w:tcW w:w="4390" w:type="dxa"/>
          </w:tcPr>
          <w:p w14:paraId="410F9711" w14:textId="3BC963F5" w:rsidR="0006191D" w:rsidRDefault="000C4724" w:rsidP="0006191D">
            <w:pPr>
              <w:jc w:val="center"/>
              <w:rPr>
                <w:rFonts w:eastAsia="Times New Roman"/>
              </w:rPr>
            </w:pPr>
            <w:r>
              <w:rPr>
                <w:rFonts w:eastAsia="Times New Roman"/>
              </w:rPr>
              <w:t>Planning and Building control</w:t>
            </w:r>
          </w:p>
        </w:tc>
        <w:tc>
          <w:tcPr>
            <w:tcW w:w="4626" w:type="dxa"/>
          </w:tcPr>
          <w:p w14:paraId="0E233721" w14:textId="65F78008" w:rsidR="0006191D" w:rsidRDefault="000C4724" w:rsidP="0006191D">
            <w:pPr>
              <w:jc w:val="center"/>
              <w:rPr>
                <w:rFonts w:eastAsia="Times New Roman"/>
              </w:rPr>
            </w:pPr>
            <w:r>
              <w:rPr>
                <w:rFonts w:eastAsia="Times New Roman"/>
              </w:rPr>
              <w:t>£30,000</w:t>
            </w:r>
          </w:p>
        </w:tc>
      </w:tr>
      <w:tr w:rsidR="0006191D" w14:paraId="2C515243" w14:textId="77777777" w:rsidTr="0006191D">
        <w:tc>
          <w:tcPr>
            <w:tcW w:w="4390" w:type="dxa"/>
          </w:tcPr>
          <w:p w14:paraId="3228D860" w14:textId="75BABB87" w:rsidR="0006191D" w:rsidRDefault="000C4724" w:rsidP="0006191D">
            <w:pPr>
              <w:jc w:val="center"/>
              <w:rPr>
                <w:rFonts w:eastAsia="Times New Roman"/>
              </w:rPr>
            </w:pPr>
            <w:r>
              <w:rPr>
                <w:rFonts w:eastAsia="Times New Roman"/>
              </w:rPr>
              <w:t>Sales and Marketing</w:t>
            </w:r>
          </w:p>
        </w:tc>
        <w:tc>
          <w:tcPr>
            <w:tcW w:w="4626" w:type="dxa"/>
          </w:tcPr>
          <w:p w14:paraId="640198D7" w14:textId="51C4750F" w:rsidR="0006191D" w:rsidRDefault="000C4724" w:rsidP="0006191D">
            <w:pPr>
              <w:jc w:val="center"/>
              <w:rPr>
                <w:rFonts w:eastAsia="Times New Roman"/>
              </w:rPr>
            </w:pPr>
            <w:r>
              <w:rPr>
                <w:rFonts w:eastAsia="Times New Roman"/>
              </w:rPr>
              <w:t>£45,000</w:t>
            </w:r>
          </w:p>
        </w:tc>
      </w:tr>
      <w:tr w:rsidR="0006191D" w14:paraId="5C230946" w14:textId="77777777" w:rsidTr="0006191D">
        <w:tc>
          <w:tcPr>
            <w:tcW w:w="4390" w:type="dxa"/>
          </w:tcPr>
          <w:p w14:paraId="3D9407D0" w14:textId="384AE312" w:rsidR="0006191D" w:rsidRDefault="000C4724" w:rsidP="0006191D">
            <w:pPr>
              <w:jc w:val="center"/>
              <w:rPr>
                <w:rFonts w:eastAsia="Times New Roman"/>
              </w:rPr>
            </w:pPr>
            <w:r>
              <w:rPr>
                <w:rFonts w:eastAsia="Times New Roman"/>
              </w:rPr>
              <w:t>Finance and legal fees</w:t>
            </w:r>
          </w:p>
        </w:tc>
        <w:tc>
          <w:tcPr>
            <w:tcW w:w="4626" w:type="dxa"/>
          </w:tcPr>
          <w:p w14:paraId="72FC8263" w14:textId="7897408D" w:rsidR="0006191D" w:rsidRDefault="000C4724" w:rsidP="0006191D">
            <w:pPr>
              <w:jc w:val="center"/>
              <w:rPr>
                <w:rFonts w:eastAsia="Times New Roman"/>
              </w:rPr>
            </w:pPr>
            <w:r>
              <w:rPr>
                <w:rFonts w:eastAsia="Times New Roman"/>
              </w:rPr>
              <w:t>£80,000</w:t>
            </w:r>
          </w:p>
        </w:tc>
      </w:tr>
      <w:tr w:rsidR="0006191D" w14:paraId="7BACB110" w14:textId="77777777" w:rsidTr="0006191D">
        <w:tc>
          <w:tcPr>
            <w:tcW w:w="4390" w:type="dxa"/>
          </w:tcPr>
          <w:p w14:paraId="4A0E7D02" w14:textId="3F157D25" w:rsidR="0006191D" w:rsidRDefault="000C4724" w:rsidP="0006191D">
            <w:pPr>
              <w:jc w:val="center"/>
              <w:rPr>
                <w:rFonts w:eastAsia="Times New Roman"/>
              </w:rPr>
            </w:pPr>
            <w:r>
              <w:rPr>
                <w:rFonts w:eastAsia="Times New Roman"/>
              </w:rPr>
              <w:t>Contingency (5%)</w:t>
            </w:r>
          </w:p>
        </w:tc>
        <w:tc>
          <w:tcPr>
            <w:tcW w:w="4626" w:type="dxa"/>
          </w:tcPr>
          <w:p w14:paraId="28DE854D" w14:textId="5A63D78A" w:rsidR="000C4724" w:rsidRDefault="000C4724" w:rsidP="000C4724">
            <w:pPr>
              <w:jc w:val="center"/>
              <w:rPr>
                <w:rFonts w:eastAsia="Times New Roman"/>
              </w:rPr>
            </w:pPr>
            <w:r>
              <w:rPr>
                <w:rFonts w:eastAsia="Times New Roman"/>
              </w:rPr>
              <w:t>£76,220</w:t>
            </w:r>
          </w:p>
        </w:tc>
      </w:tr>
      <w:tr w:rsidR="0006191D" w14:paraId="36AA1ABE" w14:textId="77777777" w:rsidTr="0006191D">
        <w:tc>
          <w:tcPr>
            <w:tcW w:w="4390" w:type="dxa"/>
          </w:tcPr>
          <w:p w14:paraId="255292D1" w14:textId="43E163E5" w:rsidR="0006191D" w:rsidRDefault="000C4724" w:rsidP="0006191D">
            <w:pPr>
              <w:jc w:val="center"/>
              <w:rPr>
                <w:rFonts w:eastAsia="Times New Roman"/>
              </w:rPr>
            </w:pPr>
            <w:r>
              <w:rPr>
                <w:rFonts w:eastAsia="Times New Roman"/>
              </w:rPr>
              <w:t>Total development cost</w:t>
            </w:r>
          </w:p>
        </w:tc>
        <w:tc>
          <w:tcPr>
            <w:tcW w:w="4626" w:type="dxa"/>
          </w:tcPr>
          <w:p w14:paraId="6BD71E16" w14:textId="0212D42F" w:rsidR="0006191D" w:rsidRDefault="000C4724" w:rsidP="0006191D">
            <w:pPr>
              <w:jc w:val="center"/>
              <w:rPr>
                <w:rFonts w:eastAsia="Times New Roman"/>
              </w:rPr>
            </w:pPr>
            <w:r>
              <w:rPr>
                <w:rFonts w:eastAsia="Times New Roman"/>
              </w:rPr>
              <w:t>£2,699,400</w:t>
            </w:r>
          </w:p>
        </w:tc>
      </w:tr>
    </w:tbl>
    <w:p w14:paraId="72372808" w14:textId="77777777" w:rsidR="00001236" w:rsidRDefault="00001236" w:rsidP="00001236">
      <w:pPr>
        <w:rPr>
          <w:rFonts w:eastAsia="Times New Roman"/>
        </w:rPr>
      </w:pPr>
    </w:p>
    <w:p w14:paraId="4E71EA61" w14:textId="77777777" w:rsidR="008A2836" w:rsidRDefault="008A2836" w:rsidP="00001236">
      <w:pPr>
        <w:pStyle w:val="NormalWeb"/>
        <w:spacing w:before="0" w:beforeAutospacing="0" w:after="180" w:afterAutospacing="0"/>
        <w:rPr>
          <w:rFonts w:eastAsia="Times New Roman"/>
          <w:sz w:val="27"/>
          <w:szCs w:val="27"/>
        </w:rPr>
      </w:pPr>
    </w:p>
    <w:p w14:paraId="2322E629" w14:textId="13951D02" w:rsidR="000C4724" w:rsidRPr="000C4724" w:rsidRDefault="00FB7EE6" w:rsidP="000C4724">
      <w:pPr>
        <w:pStyle w:val="NormalWeb"/>
        <w:spacing w:before="0" w:beforeAutospacing="0" w:after="180" w:afterAutospacing="0"/>
        <w:rPr>
          <w:rFonts w:ascii="Times New Roman" w:hAnsi="Times New Roman" w:cs="Times New Roman"/>
          <w:sz w:val="18"/>
          <w:szCs w:val="18"/>
        </w:rPr>
      </w:pPr>
      <w:r>
        <w:rPr>
          <w:rFonts w:eastAsia="Times New Roman"/>
          <w:sz w:val="27"/>
          <w:szCs w:val="27"/>
        </w:rPr>
        <w:t>Construction costs are compared to SPONS 2024 and modified to reflect Brighton’s elevated regional rates. The contingency is established at 5%, adhering to the guidelines set forth by RICS New Rules of Measurement (NRM) for refurbishment projects. The project will receive funding through a mix of equity and senior debt financing, with interest expected to be capitalised throughout the 24-month programme.</w:t>
      </w:r>
    </w:p>
    <w:p w14:paraId="102960E0" w14:textId="77777777" w:rsidR="000C4724" w:rsidRDefault="000C4724" w:rsidP="008A2836">
      <w:pPr>
        <w:pStyle w:val="NormalWeb"/>
        <w:spacing w:before="0" w:beforeAutospacing="0" w:after="180" w:afterAutospacing="0"/>
        <w:rPr>
          <w:rFonts w:eastAsia="Times New Roman"/>
          <w:sz w:val="27"/>
          <w:szCs w:val="27"/>
        </w:rPr>
      </w:pPr>
    </w:p>
    <w:p w14:paraId="066C7BF7" w14:textId="77777777" w:rsidR="000C4724" w:rsidRDefault="000C4724" w:rsidP="000C4724">
      <w:pPr>
        <w:pStyle w:val="Heading1"/>
        <w:rPr>
          <w:rFonts w:ascii="Times New Roman" w:hAnsi="Times New Roman"/>
        </w:rPr>
      </w:pPr>
      <w:bookmarkStart w:id="8" w:name="_Toc198295906"/>
      <w:r>
        <w:lastRenderedPageBreak/>
        <w:t>Exemplar and Best Practice Developments</w:t>
      </w:r>
      <w:bookmarkEnd w:id="8"/>
    </w:p>
    <w:p w14:paraId="752D5C41" w14:textId="0679D741" w:rsidR="00001236" w:rsidRPr="008A2836" w:rsidRDefault="00FB7EE6" w:rsidP="008A2836">
      <w:pPr>
        <w:pStyle w:val="NormalWeb"/>
        <w:spacing w:before="0" w:beforeAutospacing="0" w:after="180" w:afterAutospacing="0"/>
        <w:rPr>
          <w:rFonts w:ascii="Times New Roman" w:hAnsi="Times New Roman" w:cs="Times New Roman"/>
          <w:sz w:val="18"/>
          <w:szCs w:val="18"/>
        </w:rPr>
      </w:pPr>
      <w:r>
        <w:rPr>
          <w:rFonts w:eastAsia="Times New Roman"/>
          <w:sz w:val="27"/>
          <w:szCs w:val="27"/>
        </w:rPr>
        <w:t>Insights can be gained from effective adaptive reuse initiatives like the City Point development in Brighton, which converted unused office space into residential apartments while maintaining exterior characteristics. In London, the Metropolitan Lofts project preserved the industrial brickwork of a former factory and managed to achieve a 20% profit margin</w:t>
      </w:r>
      <w:r w:rsidR="000A71F6">
        <w:rPr>
          <w:rFonts w:eastAsia="Times New Roman"/>
          <w:sz w:val="27"/>
          <w:szCs w:val="27"/>
        </w:rPr>
        <w:t xml:space="preserve"> (metropolitanlondon.com)</w:t>
      </w:r>
      <w:r>
        <w:rPr>
          <w:rFonts w:eastAsia="Times New Roman"/>
          <w:sz w:val="27"/>
          <w:szCs w:val="27"/>
        </w:rPr>
        <w:t>.</w:t>
      </w:r>
      <w:r w:rsidR="000A71F6">
        <w:rPr>
          <w:rFonts w:eastAsia="Times New Roman"/>
          <w:sz w:val="27"/>
          <w:szCs w:val="27"/>
        </w:rPr>
        <w:t xml:space="preserve"> </w:t>
      </w:r>
      <w:r>
        <w:rPr>
          <w:rFonts w:eastAsia="Times New Roman"/>
          <w:sz w:val="27"/>
          <w:szCs w:val="27"/>
        </w:rPr>
        <w:t>These examples showcase the importance of integrating conservation</w:t>
      </w:r>
      <w:r w:rsidR="00521B7E">
        <w:rPr>
          <w:rFonts w:eastAsia="Times New Roman"/>
          <w:sz w:val="27"/>
          <w:szCs w:val="27"/>
        </w:rPr>
        <w:t xml:space="preserve"> </w:t>
      </w:r>
      <w:r>
        <w:rPr>
          <w:rFonts w:eastAsia="Times New Roman"/>
          <w:sz w:val="27"/>
          <w:szCs w:val="27"/>
        </w:rPr>
        <w:t xml:space="preserve">focused design with top-tier performance standards. Essential practices involve engaging stakeholders early, utilising ECI to address </w:t>
      </w:r>
      <w:r w:rsidR="00521B7E">
        <w:rPr>
          <w:rFonts w:eastAsia="Times New Roman"/>
          <w:sz w:val="27"/>
          <w:szCs w:val="27"/>
        </w:rPr>
        <w:t>construction</w:t>
      </w:r>
      <w:r>
        <w:rPr>
          <w:rFonts w:eastAsia="Times New Roman"/>
          <w:sz w:val="27"/>
          <w:szCs w:val="27"/>
        </w:rPr>
        <w:t xml:space="preserve"> risks, and focusing closely on energy performance after occupancy. These projects show that investments in sustainability</w:t>
      </w:r>
      <w:r w:rsidR="00521B7E">
        <w:rPr>
          <w:rFonts w:eastAsia="Times New Roman"/>
          <w:sz w:val="27"/>
          <w:szCs w:val="27"/>
        </w:rPr>
        <w:t xml:space="preserve">, </w:t>
      </w:r>
      <w:r>
        <w:rPr>
          <w:rFonts w:eastAsia="Times New Roman"/>
          <w:sz w:val="27"/>
          <w:szCs w:val="27"/>
        </w:rPr>
        <w:t>especially in areas like glazing, ventilation, and material choice</w:t>
      </w:r>
      <w:r w:rsidR="00521B7E">
        <w:rPr>
          <w:rFonts w:eastAsia="Times New Roman"/>
          <w:sz w:val="27"/>
          <w:szCs w:val="27"/>
        </w:rPr>
        <w:t xml:space="preserve"> all </w:t>
      </w:r>
      <w:r>
        <w:rPr>
          <w:rFonts w:eastAsia="Times New Roman"/>
          <w:sz w:val="27"/>
          <w:szCs w:val="27"/>
        </w:rPr>
        <w:t>lead</w:t>
      </w:r>
      <w:r w:rsidR="00521B7E">
        <w:rPr>
          <w:rFonts w:eastAsia="Times New Roman"/>
          <w:sz w:val="27"/>
          <w:szCs w:val="27"/>
        </w:rPr>
        <w:t>ing</w:t>
      </w:r>
      <w:r>
        <w:rPr>
          <w:rFonts w:eastAsia="Times New Roman"/>
          <w:sz w:val="27"/>
          <w:szCs w:val="27"/>
        </w:rPr>
        <w:t xml:space="preserve"> to improved sales rates and ongoing operational savings.</w:t>
      </w:r>
    </w:p>
    <w:p w14:paraId="68391163" w14:textId="34D4690C" w:rsidR="00001236" w:rsidRPr="008A2836" w:rsidRDefault="00001236" w:rsidP="008A2836">
      <w:pPr>
        <w:pStyle w:val="Heading1"/>
      </w:pPr>
      <w:bookmarkStart w:id="9" w:name="_Toc198295907"/>
      <w:r w:rsidRPr="008A2836">
        <w:t>Risks and Opportunities</w:t>
      </w:r>
      <w:bookmarkEnd w:id="9"/>
    </w:p>
    <w:tbl>
      <w:tblPr>
        <w:tblStyle w:val="TableGrid"/>
        <w:tblW w:w="8243" w:type="dxa"/>
        <w:tblInd w:w="385" w:type="dxa"/>
        <w:tblLook w:val="04A0" w:firstRow="1" w:lastRow="0" w:firstColumn="1" w:lastColumn="0" w:noHBand="0" w:noVBand="1"/>
      </w:tblPr>
      <w:tblGrid>
        <w:gridCol w:w="2285"/>
        <w:gridCol w:w="1392"/>
        <w:gridCol w:w="1613"/>
        <w:gridCol w:w="2953"/>
      </w:tblGrid>
      <w:tr w:rsidR="003C685B" w14:paraId="667BE146" w14:textId="77777777" w:rsidTr="003C685B">
        <w:trPr>
          <w:trHeight w:val="432"/>
        </w:trPr>
        <w:tc>
          <w:tcPr>
            <w:tcW w:w="2285" w:type="dxa"/>
          </w:tcPr>
          <w:p w14:paraId="6156E209" w14:textId="00493831" w:rsidR="003C685B" w:rsidRPr="003C685B" w:rsidRDefault="003C685B" w:rsidP="003C685B">
            <w:pPr>
              <w:pStyle w:val="NormalWeb"/>
              <w:spacing w:before="0" w:beforeAutospacing="0" w:after="180" w:afterAutospacing="0"/>
              <w:jc w:val="center"/>
              <w:rPr>
                <w:rFonts w:eastAsia="Times New Roman"/>
                <w:b/>
                <w:bCs/>
                <w:sz w:val="27"/>
                <w:szCs w:val="27"/>
              </w:rPr>
            </w:pPr>
            <w:r w:rsidRPr="003C685B">
              <w:rPr>
                <w:rFonts w:eastAsia="Times New Roman"/>
                <w:b/>
                <w:bCs/>
                <w:sz w:val="27"/>
                <w:szCs w:val="27"/>
              </w:rPr>
              <w:t>Risk/opportunity</w:t>
            </w:r>
          </w:p>
        </w:tc>
        <w:tc>
          <w:tcPr>
            <w:tcW w:w="1392" w:type="dxa"/>
          </w:tcPr>
          <w:p w14:paraId="5D2A6648" w14:textId="2831C1A3" w:rsidR="003C685B" w:rsidRPr="003C685B" w:rsidRDefault="003C685B" w:rsidP="003C685B">
            <w:pPr>
              <w:pStyle w:val="NormalWeb"/>
              <w:spacing w:before="0" w:beforeAutospacing="0" w:after="180" w:afterAutospacing="0"/>
              <w:jc w:val="center"/>
              <w:rPr>
                <w:rFonts w:eastAsia="Times New Roman"/>
                <w:b/>
                <w:bCs/>
                <w:sz w:val="27"/>
                <w:szCs w:val="27"/>
              </w:rPr>
            </w:pPr>
            <w:r w:rsidRPr="003C685B">
              <w:rPr>
                <w:rFonts w:eastAsia="Times New Roman"/>
                <w:b/>
                <w:bCs/>
                <w:sz w:val="27"/>
                <w:szCs w:val="27"/>
              </w:rPr>
              <w:t>Impact</w:t>
            </w:r>
          </w:p>
        </w:tc>
        <w:tc>
          <w:tcPr>
            <w:tcW w:w="1613" w:type="dxa"/>
          </w:tcPr>
          <w:p w14:paraId="3EA2D164" w14:textId="51AEB46F" w:rsidR="003C685B" w:rsidRPr="003C685B" w:rsidRDefault="003C685B" w:rsidP="003C685B">
            <w:pPr>
              <w:pStyle w:val="NormalWeb"/>
              <w:spacing w:before="0" w:beforeAutospacing="0" w:after="180" w:afterAutospacing="0"/>
              <w:jc w:val="center"/>
              <w:rPr>
                <w:rFonts w:eastAsia="Times New Roman"/>
                <w:b/>
                <w:bCs/>
                <w:sz w:val="27"/>
                <w:szCs w:val="27"/>
              </w:rPr>
            </w:pPr>
            <w:r w:rsidRPr="003C685B">
              <w:rPr>
                <w:rFonts w:eastAsia="Times New Roman"/>
                <w:b/>
                <w:bCs/>
                <w:sz w:val="27"/>
                <w:szCs w:val="27"/>
              </w:rPr>
              <w:t>Likelihood</w:t>
            </w:r>
          </w:p>
        </w:tc>
        <w:tc>
          <w:tcPr>
            <w:tcW w:w="2953" w:type="dxa"/>
          </w:tcPr>
          <w:p w14:paraId="0747BF20" w14:textId="5C26EB84" w:rsidR="003C685B" w:rsidRPr="003C685B" w:rsidRDefault="003C685B" w:rsidP="003C685B">
            <w:pPr>
              <w:pStyle w:val="NormalWeb"/>
              <w:spacing w:before="0" w:beforeAutospacing="0" w:after="180" w:afterAutospacing="0"/>
              <w:jc w:val="center"/>
              <w:rPr>
                <w:rFonts w:eastAsia="Times New Roman"/>
                <w:b/>
                <w:bCs/>
                <w:sz w:val="27"/>
                <w:szCs w:val="27"/>
              </w:rPr>
            </w:pPr>
            <w:r w:rsidRPr="003C685B">
              <w:rPr>
                <w:rFonts w:eastAsia="Times New Roman"/>
                <w:b/>
                <w:bCs/>
                <w:sz w:val="27"/>
                <w:szCs w:val="27"/>
              </w:rPr>
              <w:t>Strategy</w:t>
            </w:r>
          </w:p>
        </w:tc>
      </w:tr>
      <w:tr w:rsidR="003C685B" w14:paraId="635E7F1A" w14:textId="77777777" w:rsidTr="003C685B">
        <w:trPr>
          <w:trHeight w:val="576"/>
        </w:trPr>
        <w:tc>
          <w:tcPr>
            <w:tcW w:w="2285" w:type="dxa"/>
          </w:tcPr>
          <w:p w14:paraId="397E328A" w14:textId="712EEF6E" w:rsidR="003C685B" w:rsidRDefault="003C685B" w:rsidP="003C685B">
            <w:pPr>
              <w:pStyle w:val="NormalWeb"/>
              <w:spacing w:before="0" w:beforeAutospacing="0" w:after="180" w:afterAutospacing="0"/>
              <w:jc w:val="center"/>
              <w:rPr>
                <w:rFonts w:eastAsia="Times New Roman"/>
                <w:sz w:val="27"/>
                <w:szCs w:val="27"/>
              </w:rPr>
            </w:pPr>
            <w:r>
              <w:rPr>
                <w:rFonts w:eastAsia="Times New Roman"/>
                <w:sz w:val="27"/>
                <w:szCs w:val="27"/>
              </w:rPr>
              <w:t>Planning delays</w:t>
            </w:r>
          </w:p>
        </w:tc>
        <w:tc>
          <w:tcPr>
            <w:tcW w:w="1392" w:type="dxa"/>
          </w:tcPr>
          <w:p w14:paraId="3965B87E" w14:textId="558CF087" w:rsidR="003C685B" w:rsidRDefault="003C685B" w:rsidP="003C685B">
            <w:pPr>
              <w:pStyle w:val="NormalWeb"/>
              <w:spacing w:before="0" w:beforeAutospacing="0" w:after="180" w:afterAutospacing="0"/>
              <w:jc w:val="center"/>
              <w:rPr>
                <w:rFonts w:eastAsia="Times New Roman"/>
                <w:sz w:val="27"/>
                <w:szCs w:val="27"/>
              </w:rPr>
            </w:pPr>
            <w:r>
              <w:rPr>
                <w:rFonts w:eastAsia="Times New Roman"/>
                <w:sz w:val="27"/>
                <w:szCs w:val="27"/>
              </w:rPr>
              <w:t>Low</w:t>
            </w:r>
          </w:p>
        </w:tc>
        <w:tc>
          <w:tcPr>
            <w:tcW w:w="1613" w:type="dxa"/>
          </w:tcPr>
          <w:p w14:paraId="0E6383E2" w14:textId="3C478468" w:rsidR="003C685B" w:rsidRDefault="003C685B" w:rsidP="003C685B">
            <w:pPr>
              <w:pStyle w:val="NormalWeb"/>
              <w:spacing w:before="0" w:beforeAutospacing="0" w:after="180" w:afterAutospacing="0"/>
              <w:jc w:val="center"/>
              <w:rPr>
                <w:rFonts w:eastAsia="Times New Roman"/>
                <w:sz w:val="27"/>
                <w:szCs w:val="27"/>
              </w:rPr>
            </w:pPr>
            <w:r>
              <w:rPr>
                <w:rFonts w:eastAsia="Times New Roman"/>
                <w:sz w:val="27"/>
                <w:szCs w:val="27"/>
              </w:rPr>
              <w:t>Low</w:t>
            </w:r>
          </w:p>
        </w:tc>
        <w:tc>
          <w:tcPr>
            <w:tcW w:w="2953" w:type="dxa"/>
          </w:tcPr>
          <w:p w14:paraId="1AC71ADE" w14:textId="4ADA668C" w:rsidR="003C685B" w:rsidRPr="003C685B" w:rsidRDefault="003C685B" w:rsidP="003C685B">
            <w:pPr>
              <w:pStyle w:val="NormalWeb"/>
              <w:spacing w:before="0" w:beforeAutospacing="0" w:after="180" w:afterAutospacing="0"/>
              <w:jc w:val="center"/>
              <w:rPr>
                <w:rFonts w:eastAsia="Times New Roman"/>
                <w:sz w:val="20"/>
                <w:szCs w:val="20"/>
              </w:rPr>
            </w:pPr>
            <w:r>
              <w:rPr>
                <w:rFonts w:eastAsia="Times New Roman"/>
                <w:sz w:val="20"/>
                <w:szCs w:val="20"/>
              </w:rPr>
              <w:t xml:space="preserve">Consent granted: </w:t>
            </w:r>
            <w:r w:rsidR="00521B7E">
              <w:rPr>
                <w:rFonts w:eastAsia="Times New Roman"/>
                <w:sz w:val="20"/>
                <w:szCs w:val="20"/>
              </w:rPr>
              <w:t>Prestart</w:t>
            </w:r>
            <w:r>
              <w:rPr>
                <w:rFonts w:eastAsia="Times New Roman"/>
                <w:sz w:val="20"/>
                <w:szCs w:val="20"/>
              </w:rPr>
              <w:t xml:space="preserve"> conditions already cleared</w:t>
            </w:r>
          </w:p>
        </w:tc>
      </w:tr>
      <w:tr w:rsidR="003C685B" w14:paraId="234CE26F" w14:textId="77777777" w:rsidTr="003C685B">
        <w:trPr>
          <w:trHeight w:val="566"/>
        </w:trPr>
        <w:tc>
          <w:tcPr>
            <w:tcW w:w="2285" w:type="dxa"/>
          </w:tcPr>
          <w:p w14:paraId="3B3EFB16" w14:textId="7C8C553F" w:rsidR="003C685B" w:rsidRDefault="003C685B" w:rsidP="003C685B">
            <w:pPr>
              <w:pStyle w:val="NormalWeb"/>
              <w:spacing w:before="0" w:beforeAutospacing="0" w:after="180" w:afterAutospacing="0"/>
              <w:jc w:val="center"/>
              <w:rPr>
                <w:rFonts w:eastAsia="Times New Roman"/>
                <w:sz w:val="27"/>
                <w:szCs w:val="27"/>
              </w:rPr>
            </w:pPr>
            <w:r>
              <w:rPr>
                <w:rFonts w:eastAsia="Times New Roman"/>
                <w:sz w:val="27"/>
                <w:szCs w:val="27"/>
              </w:rPr>
              <w:t>Cost Inflation</w:t>
            </w:r>
          </w:p>
        </w:tc>
        <w:tc>
          <w:tcPr>
            <w:tcW w:w="1392" w:type="dxa"/>
          </w:tcPr>
          <w:p w14:paraId="7A335162" w14:textId="3C1B098D" w:rsidR="003C685B" w:rsidRDefault="003C685B" w:rsidP="003C685B">
            <w:pPr>
              <w:pStyle w:val="NormalWeb"/>
              <w:spacing w:before="0" w:beforeAutospacing="0" w:after="180" w:afterAutospacing="0"/>
              <w:jc w:val="center"/>
              <w:rPr>
                <w:rFonts w:eastAsia="Times New Roman"/>
                <w:sz w:val="27"/>
                <w:szCs w:val="27"/>
              </w:rPr>
            </w:pPr>
            <w:r>
              <w:rPr>
                <w:rFonts w:eastAsia="Times New Roman"/>
                <w:sz w:val="27"/>
                <w:szCs w:val="27"/>
              </w:rPr>
              <w:t xml:space="preserve">High </w:t>
            </w:r>
          </w:p>
        </w:tc>
        <w:tc>
          <w:tcPr>
            <w:tcW w:w="1613" w:type="dxa"/>
          </w:tcPr>
          <w:p w14:paraId="1DC60701" w14:textId="2ACFDC59" w:rsidR="003C685B" w:rsidRDefault="003C685B" w:rsidP="003C685B">
            <w:pPr>
              <w:pStyle w:val="NormalWeb"/>
              <w:spacing w:before="0" w:beforeAutospacing="0" w:after="180" w:afterAutospacing="0"/>
              <w:jc w:val="center"/>
              <w:rPr>
                <w:rFonts w:eastAsia="Times New Roman"/>
                <w:sz w:val="27"/>
                <w:szCs w:val="27"/>
              </w:rPr>
            </w:pPr>
            <w:r>
              <w:rPr>
                <w:rFonts w:eastAsia="Times New Roman"/>
                <w:sz w:val="27"/>
                <w:szCs w:val="27"/>
              </w:rPr>
              <w:t>Medium</w:t>
            </w:r>
          </w:p>
        </w:tc>
        <w:tc>
          <w:tcPr>
            <w:tcW w:w="2953" w:type="dxa"/>
          </w:tcPr>
          <w:p w14:paraId="51076224" w14:textId="68F8C8F6" w:rsidR="003C685B" w:rsidRPr="003C685B" w:rsidRDefault="003C685B" w:rsidP="003C685B">
            <w:pPr>
              <w:pStyle w:val="NormalWeb"/>
              <w:spacing w:before="0" w:beforeAutospacing="0" w:after="180" w:afterAutospacing="0"/>
              <w:jc w:val="center"/>
              <w:rPr>
                <w:rFonts w:eastAsia="Times New Roman"/>
                <w:sz w:val="20"/>
                <w:szCs w:val="20"/>
              </w:rPr>
            </w:pPr>
            <w:r>
              <w:rPr>
                <w:rFonts w:eastAsia="Times New Roman"/>
                <w:sz w:val="20"/>
                <w:szCs w:val="20"/>
              </w:rPr>
              <w:t>Early contractor input, negotiate fixed price contract</w:t>
            </w:r>
          </w:p>
        </w:tc>
      </w:tr>
      <w:tr w:rsidR="003C685B" w14:paraId="00456B8F" w14:textId="77777777" w:rsidTr="003C685B">
        <w:trPr>
          <w:trHeight w:val="442"/>
        </w:trPr>
        <w:tc>
          <w:tcPr>
            <w:tcW w:w="2285" w:type="dxa"/>
          </w:tcPr>
          <w:p w14:paraId="5797909E" w14:textId="5DFF3236" w:rsidR="003C685B" w:rsidRDefault="003C685B" w:rsidP="003C685B">
            <w:pPr>
              <w:pStyle w:val="NormalWeb"/>
              <w:spacing w:before="0" w:beforeAutospacing="0" w:after="180" w:afterAutospacing="0"/>
              <w:jc w:val="center"/>
              <w:rPr>
                <w:rFonts w:eastAsia="Times New Roman"/>
                <w:sz w:val="27"/>
                <w:szCs w:val="27"/>
              </w:rPr>
            </w:pPr>
            <w:r>
              <w:rPr>
                <w:rFonts w:eastAsia="Times New Roman"/>
                <w:sz w:val="27"/>
                <w:szCs w:val="27"/>
              </w:rPr>
              <w:t>Market downturn</w:t>
            </w:r>
          </w:p>
        </w:tc>
        <w:tc>
          <w:tcPr>
            <w:tcW w:w="1392" w:type="dxa"/>
          </w:tcPr>
          <w:p w14:paraId="6C93E47F" w14:textId="3AE4CF48" w:rsidR="003C685B" w:rsidRDefault="003C685B" w:rsidP="003C685B">
            <w:pPr>
              <w:pStyle w:val="NormalWeb"/>
              <w:spacing w:before="0" w:beforeAutospacing="0" w:after="180" w:afterAutospacing="0"/>
              <w:jc w:val="center"/>
              <w:rPr>
                <w:rFonts w:eastAsia="Times New Roman"/>
                <w:sz w:val="27"/>
                <w:szCs w:val="27"/>
              </w:rPr>
            </w:pPr>
            <w:r>
              <w:rPr>
                <w:rFonts w:eastAsia="Times New Roman"/>
                <w:sz w:val="27"/>
                <w:szCs w:val="27"/>
              </w:rPr>
              <w:t>Medium</w:t>
            </w:r>
          </w:p>
        </w:tc>
        <w:tc>
          <w:tcPr>
            <w:tcW w:w="1613" w:type="dxa"/>
          </w:tcPr>
          <w:p w14:paraId="00B1D9F2" w14:textId="6ECA309E" w:rsidR="003C685B" w:rsidRDefault="003C685B" w:rsidP="003C685B">
            <w:pPr>
              <w:pStyle w:val="NormalWeb"/>
              <w:spacing w:before="0" w:beforeAutospacing="0" w:after="180" w:afterAutospacing="0"/>
              <w:jc w:val="center"/>
              <w:rPr>
                <w:rFonts w:eastAsia="Times New Roman"/>
                <w:sz w:val="27"/>
                <w:szCs w:val="27"/>
              </w:rPr>
            </w:pPr>
            <w:r>
              <w:rPr>
                <w:rFonts w:eastAsia="Times New Roman"/>
                <w:sz w:val="27"/>
                <w:szCs w:val="27"/>
              </w:rPr>
              <w:t>Medium</w:t>
            </w:r>
          </w:p>
        </w:tc>
        <w:tc>
          <w:tcPr>
            <w:tcW w:w="2953" w:type="dxa"/>
          </w:tcPr>
          <w:p w14:paraId="4202CB7E" w14:textId="16B10599" w:rsidR="003C685B" w:rsidRPr="003C685B" w:rsidRDefault="003C685B" w:rsidP="003C685B">
            <w:pPr>
              <w:pStyle w:val="NormalWeb"/>
              <w:spacing w:before="0" w:beforeAutospacing="0" w:after="180" w:afterAutospacing="0"/>
              <w:jc w:val="center"/>
              <w:rPr>
                <w:rFonts w:eastAsia="Times New Roman"/>
                <w:sz w:val="20"/>
                <w:szCs w:val="20"/>
              </w:rPr>
            </w:pPr>
            <w:r>
              <w:rPr>
                <w:rFonts w:eastAsia="Times New Roman"/>
                <w:sz w:val="20"/>
                <w:szCs w:val="20"/>
              </w:rPr>
              <w:t>Phased sales, retain rental fallback option</w:t>
            </w:r>
          </w:p>
        </w:tc>
      </w:tr>
      <w:tr w:rsidR="003C685B" w14:paraId="18D90524" w14:textId="77777777" w:rsidTr="003C685B">
        <w:trPr>
          <w:trHeight w:val="432"/>
        </w:trPr>
        <w:tc>
          <w:tcPr>
            <w:tcW w:w="2285" w:type="dxa"/>
          </w:tcPr>
          <w:p w14:paraId="023BF02B" w14:textId="73F36D5E" w:rsidR="003C685B" w:rsidRDefault="003C685B" w:rsidP="003C685B">
            <w:pPr>
              <w:pStyle w:val="NormalWeb"/>
              <w:spacing w:before="0" w:beforeAutospacing="0" w:after="180" w:afterAutospacing="0"/>
              <w:jc w:val="center"/>
              <w:rPr>
                <w:rFonts w:eastAsia="Times New Roman"/>
                <w:sz w:val="27"/>
                <w:szCs w:val="27"/>
              </w:rPr>
            </w:pPr>
            <w:r>
              <w:rPr>
                <w:rFonts w:eastAsia="Times New Roman"/>
                <w:sz w:val="27"/>
                <w:szCs w:val="27"/>
              </w:rPr>
              <w:t>Construction delays</w:t>
            </w:r>
          </w:p>
        </w:tc>
        <w:tc>
          <w:tcPr>
            <w:tcW w:w="1392" w:type="dxa"/>
          </w:tcPr>
          <w:p w14:paraId="50796356" w14:textId="7015A845" w:rsidR="003C685B" w:rsidRDefault="003C685B" w:rsidP="003C685B">
            <w:pPr>
              <w:pStyle w:val="NormalWeb"/>
              <w:spacing w:before="0" w:beforeAutospacing="0" w:after="180" w:afterAutospacing="0"/>
              <w:jc w:val="center"/>
              <w:rPr>
                <w:rFonts w:eastAsia="Times New Roman"/>
                <w:sz w:val="27"/>
                <w:szCs w:val="27"/>
              </w:rPr>
            </w:pPr>
            <w:r>
              <w:rPr>
                <w:rFonts w:eastAsia="Times New Roman"/>
                <w:sz w:val="27"/>
                <w:szCs w:val="27"/>
              </w:rPr>
              <w:t>Medium</w:t>
            </w:r>
          </w:p>
        </w:tc>
        <w:tc>
          <w:tcPr>
            <w:tcW w:w="1613" w:type="dxa"/>
          </w:tcPr>
          <w:p w14:paraId="5BE4A78E" w14:textId="73D723DE" w:rsidR="003C685B" w:rsidRDefault="003C685B" w:rsidP="003C685B">
            <w:pPr>
              <w:pStyle w:val="NormalWeb"/>
              <w:spacing w:before="0" w:beforeAutospacing="0" w:after="180" w:afterAutospacing="0"/>
              <w:jc w:val="center"/>
              <w:rPr>
                <w:rFonts w:eastAsia="Times New Roman"/>
                <w:sz w:val="27"/>
                <w:szCs w:val="27"/>
              </w:rPr>
            </w:pPr>
            <w:r>
              <w:rPr>
                <w:rFonts w:eastAsia="Times New Roman"/>
                <w:sz w:val="27"/>
                <w:szCs w:val="27"/>
              </w:rPr>
              <w:t>Medium</w:t>
            </w:r>
          </w:p>
        </w:tc>
        <w:tc>
          <w:tcPr>
            <w:tcW w:w="2953" w:type="dxa"/>
          </w:tcPr>
          <w:p w14:paraId="6DFCDDE1" w14:textId="2CFA3B65" w:rsidR="003C685B" w:rsidRPr="003C685B" w:rsidRDefault="003C685B" w:rsidP="003C685B">
            <w:pPr>
              <w:pStyle w:val="NormalWeb"/>
              <w:spacing w:before="0" w:beforeAutospacing="0" w:after="180" w:afterAutospacing="0"/>
              <w:jc w:val="center"/>
              <w:rPr>
                <w:rFonts w:eastAsia="Times New Roman"/>
                <w:sz w:val="20"/>
                <w:szCs w:val="20"/>
              </w:rPr>
            </w:pPr>
            <w:r>
              <w:rPr>
                <w:rFonts w:eastAsia="Times New Roman"/>
                <w:sz w:val="20"/>
                <w:szCs w:val="20"/>
              </w:rPr>
              <w:t>Robust contract terms: allowance for float</w:t>
            </w:r>
          </w:p>
        </w:tc>
      </w:tr>
      <w:tr w:rsidR="003C685B" w14:paraId="6CC04A3F" w14:textId="77777777" w:rsidTr="003C685B">
        <w:trPr>
          <w:trHeight w:val="998"/>
        </w:trPr>
        <w:tc>
          <w:tcPr>
            <w:tcW w:w="2285" w:type="dxa"/>
          </w:tcPr>
          <w:p w14:paraId="58A6E80E" w14:textId="5DB1D106" w:rsidR="003C685B" w:rsidRDefault="003C685B" w:rsidP="003C685B">
            <w:pPr>
              <w:pStyle w:val="NormalWeb"/>
              <w:spacing w:before="0" w:beforeAutospacing="0" w:after="180" w:afterAutospacing="0"/>
              <w:jc w:val="center"/>
              <w:rPr>
                <w:rFonts w:eastAsia="Times New Roman"/>
                <w:sz w:val="27"/>
                <w:szCs w:val="27"/>
              </w:rPr>
            </w:pPr>
            <w:r>
              <w:rPr>
                <w:rFonts w:eastAsia="Times New Roman"/>
                <w:sz w:val="27"/>
                <w:szCs w:val="27"/>
              </w:rPr>
              <w:t>Demand for sustainable features</w:t>
            </w:r>
          </w:p>
        </w:tc>
        <w:tc>
          <w:tcPr>
            <w:tcW w:w="1392" w:type="dxa"/>
          </w:tcPr>
          <w:p w14:paraId="162140D9" w14:textId="6E0D3574" w:rsidR="003C685B" w:rsidRDefault="003C685B" w:rsidP="003C685B">
            <w:pPr>
              <w:pStyle w:val="NormalWeb"/>
              <w:spacing w:before="0" w:beforeAutospacing="0" w:after="180" w:afterAutospacing="0"/>
              <w:jc w:val="center"/>
              <w:rPr>
                <w:rFonts w:eastAsia="Times New Roman"/>
                <w:sz w:val="27"/>
                <w:szCs w:val="27"/>
              </w:rPr>
            </w:pPr>
            <w:r>
              <w:rPr>
                <w:rFonts w:eastAsia="Times New Roman"/>
                <w:sz w:val="27"/>
                <w:szCs w:val="27"/>
              </w:rPr>
              <w:t>Positive</w:t>
            </w:r>
          </w:p>
        </w:tc>
        <w:tc>
          <w:tcPr>
            <w:tcW w:w="1613" w:type="dxa"/>
          </w:tcPr>
          <w:p w14:paraId="14C17D8E" w14:textId="67015BBF" w:rsidR="003C685B" w:rsidRDefault="003C685B" w:rsidP="003C685B">
            <w:pPr>
              <w:pStyle w:val="NormalWeb"/>
              <w:spacing w:before="0" w:beforeAutospacing="0" w:after="180" w:afterAutospacing="0"/>
              <w:jc w:val="center"/>
              <w:rPr>
                <w:rFonts w:eastAsia="Times New Roman"/>
                <w:sz w:val="27"/>
                <w:szCs w:val="27"/>
              </w:rPr>
            </w:pPr>
            <w:r>
              <w:rPr>
                <w:rFonts w:eastAsia="Times New Roman"/>
                <w:sz w:val="27"/>
                <w:szCs w:val="27"/>
              </w:rPr>
              <w:t>High</w:t>
            </w:r>
          </w:p>
        </w:tc>
        <w:tc>
          <w:tcPr>
            <w:tcW w:w="2953" w:type="dxa"/>
          </w:tcPr>
          <w:p w14:paraId="5DFA7751" w14:textId="5AEAF532" w:rsidR="003C685B" w:rsidRPr="003C685B" w:rsidRDefault="003C685B" w:rsidP="003C685B">
            <w:pPr>
              <w:pStyle w:val="NormalWeb"/>
              <w:spacing w:before="0" w:beforeAutospacing="0" w:after="180" w:afterAutospacing="0"/>
              <w:jc w:val="center"/>
              <w:rPr>
                <w:rFonts w:eastAsia="Times New Roman"/>
                <w:sz w:val="20"/>
                <w:szCs w:val="20"/>
              </w:rPr>
            </w:pPr>
            <w:r>
              <w:rPr>
                <w:rFonts w:eastAsia="Times New Roman"/>
                <w:sz w:val="20"/>
                <w:szCs w:val="20"/>
              </w:rPr>
              <w:t>Exceed minimum EPC requirements, market green credentials</w:t>
            </w:r>
          </w:p>
        </w:tc>
      </w:tr>
    </w:tbl>
    <w:p w14:paraId="0695B8DB" w14:textId="77777777" w:rsidR="008A2836" w:rsidRDefault="008A2836" w:rsidP="00001236">
      <w:pPr>
        <w:pStyle w:val="NormalWeb"/>
        <w:spacing w:before="0" w:beforeAutospacing="0" w:after="180" w:afterAutospacing="0"/>
        <w:rPr>
          <w:rFonts w:eastAsia="Times New Roman"/>
          <w:sz w:val="27"/>
          <w:szCs w:val="27"/>
        </w:rPr>
      </w:pPr>
    </w:p>
    <w:p w14:paraId="465A46FF" w14:textId="0AF11062" w:rsidR="00001236" w:rsidRDefault="00FB7EE6" w:rsidP="00001236">
      <w:pPr>
        <w:pStyle w:val="NormalWeb"/>
        <w:spacing w:before="0" w:beforeAutospacing="0" w:after="180" w:afterAutospacing="0"/>
        <w:rPr>
          <w:rFonts w:ascii="Times New Roman" w:hAnsi="Times New Roman" w:cs="Times New Roman"/>
          <w:sz w:val="18"/>
          <w:szCs w:val="18"/>
        </w:rPr>
      </w:pPr>
      <w:r>
        <w:rPr>
          <w:rFonts w:eastAsia="Times New Roman"/>
          <w:sz w:val="27"/>
          <w:szCs w:val="27"/>
        </w:rPr>
        <w:t>There are chances to take advantage of the growing interest in sustainable living and to benefit from the area's closeness to Brighton's business hub and coastal attractions. Risks can be effectively handled by implementing proactive cost management, maintaining market adaptability, and focusing on sustainability branding.</w:t>
      </w:r>
    </w:p>
    <w:p w14:paraId="10627317" w14:textId="77777777" w:rsidR="00001236" w:rsidRDefault="00001236" w:rsidP="00001236">
      <w:pPr>
        <w:pStyle w:val="NormalWeb"/>
        <w:spacing w:before="0" w:beforeAutospacing="0" w:after="0" w:afterAutospacing="0"/>
        <w:rPr>
          <w:rFonts w:ascii="Times New Roman" w:hAnsi="Times New Roman" w:cs="Times New Roman"/>
          <w:color w:val="808080"/>
          <w:sz w:val="18"/>
          <w:szCs w:val="18"/>
        </w:rPr>
      </w:pPr>
    </w:p>
    <w:p w14:paraId="2BE5F3A7" w14:textId="77777777" w:rsidR="00001236" w:rsidRDefault="00001236" w:rsidP="00001236">
      <w:pPr>
        <w:pStyle w:val="NormalWeb"/>
        <w:spacing w:before="0" w:beforeAutospacing="0" w:after="180" w:afterAutospacing="0"/>
        <w:rPr>
          <w:rFonts w:ascii="Times New Roman" w:hAnsi="Times New Roman" w:cs="Times New Roman"/>
          <w:sz w:val="18"/>
          <w:szCs w:val="18"/>
        </w:rPr>
      </w:pPr>
    </w:p>
    <w:p w14:paraId="268DF5FD" w14:textId="5F5DE6BF" w:rsidR="003C685B" w:rsidRPr="003C685B" w:rsidRDefault="003C685B" w:rsidP="003C685B">
      <w:pPr>
        <w:pStyle w:val="Heading1"/>
        <w:rPr>
          <w:rFonts w:ascii="Times New Roman" w:hAnsi="Times New Roman"/>
        </w:rPr>
      </w:pPr>
      <w:bookmarkStart w:id="10" w:name="_Toc198295908"/>
      <w:r>
        <w:lastRenderedPageBreak/>
        <w:t>Return on Investment Calculation (ROI)</w:t>
      </w:r>
      <w:bookmarkEnd w:id="10"/>
    </w:p>
    <w:p w14:paraId="25446AAF" w14:textId="3014CC21" w:rsidR="00001236" w:rsidRPr="00A5233A" w:rsidRDefault="00001236" w:rsidP="00001236">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Gross Development Value (GDV):</w:t>
      </w:r>
    </w:p>
    <w:p w14:paraId="1DF4CDE2" w14:textId="592C1E47" w:rsidR="00001236" w:rsidRDefault="00001236" w:rsidP="00001236">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526.5 sqm × £7,000/sqm = £3,685,500</w:t>
      </w:r>
    </w:p>
    <w:p w14:paraId="6B605D58" w14:textId="77777777" w:rsidR="003C685B" w:rsidRPr="003C685B" w:rsidRDefault="003C685B" w:rsidP="00001236">
      <w:pPr>
        <w:pStyle w:val="NormalWeb"/>
        <w:spacing w:before="0" w:beforeAutospacing="0" w:after="180" w:afterAutospacing="0"/>
        <w:rPr>
          <w:rFonts w:asciiTheme="minorHAnsi" w:hAnsiTheme="minorHAnsi"/>
          <w:sz w:val="27"/>
          <w:szCs w:val="27"/>
        </w:rPr>
      </w:pPr>
    </w:p>
    <w:p w14:paraId="538B1DFC" w14:textId="77777777" w:rsidR="00001236" w:rsidRPr="00A5233A" w:rsidRDefault="00001236" w:rsidP="00001236">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Total Development Cost:</w:t>
      </w:r>
    </w:p>
    <w:p w14:paraId="1B0A1FF2" w14:textId="77777777" w:rsidR="00001236" w:rsidRPr="00A5233A" w:rsidRDefault="00001236" w:rsidP="00001236">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£2,699,400</w:t>
      </w:r>
    </w:p>
    <w:p w14:paraId="6E7840C2" w14:textId="77777777" w:rsidR="00001236" w:rsidRPr="00A5233A" w:rsidRDefault="00001236" w:rsidP="00001236">
      <w:pPr>
        <w:pStyle w:val="NormalWeb"/>
        <w:spacing w:before="0" w:beforeAutospacing="0" w:after="180" w:afterAutospacing="0"/>
        <w:rPr>
          <w:rFonts w:asciiTheme="minorHAnsi" w:hAnsiTheme="minorHAnsi" w:cs="Times New Roman"/>
          <w:sz w:val="27"/>
          <w:szCs w:val="27"/>
        </w:rPr>
      </w:pPr>
    </w:p>
    <w:p w14:paraId="16593503" w14:textId="77777777" w:rsidR="00001236" w:rsidRPr="00A5233A" w:rsidRDefault="00001236" w:rsidP="00001236">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Gross Profit:</w:t>
      </w:r>
    </w:p>
    <w:p w14:paraId="7753622B" w14:textId="77777777" w:rsidR="00001236" w:rsidRPr="00A5233A" w:rsidRDefault="00001236" w:rsidP="00001236">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£986,100</w:t>
      </w:r>
    </w:p>
    <w:p w14:paraId="54EA00A8" w14:textId="77777777" w:rsidR="00001236" w:rsidRPr="00A5233A" w:rsidRDefault="00001236" w:rsidP="00001236">
      <w:pPr>
        <w:pStyle w:val="NormalWeb"/>
        <w:spacing w:before="0" w:beforeAutospacing="0" w:after="180" w:afterAutospacing="0"/>
        <w:rPr>
          <w:rFonts w:asciiTheme="minorHAnsi" w:hAnsiTheme="minorHAnsi" w:cs="Times New Roman"/>
          <w:sz w:val="27"/>
          <w:szCs w:val="27"/>
        </w:rPr>
      </w:pPr>
    </w:p>
    <w:p w14:paraId="302822BF" w14:textId="77777777" w:rsidR="00001236" w:rsidRPr="00A5233A" w:rsidRDefault="00001236" w:rsidP="00001236">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ROI:</w:t>
      </w:r>
    </w:p>
    <w:p w14:paraId="0EC9BA94" w14:textId="77777777" w:rsidR="00001236" w:rsidRPr="00A5233A" w:rsidRDefault="00001236" w:rsidP="00001236">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(£986,100 ÷ £2,699,400) × 100 = 36.5% over two years</w:t>
      </w:r>
    </w:p>
    <w:p w14:paraId="6C07744A" w14:textId="77777777" w:rsidR="00001236" w:rsidRDefault="00001236" w:rsidP="00001236">
      <w:pPr>
        <w:pStyle w:val="NormalWeb"/>
        <w:spacing w:before="0" w:beforeAutospacing="0" w:after="180" w:afterAutospacing="0"/>
        <w:rPr>
          <w:rFonts w:ascii="Times New Roman" w:hAnsi="Times New Roman" w:cs="Times New Roman"/>
          <w:sz w:val="18"/>
          <w:szCs w:val="18"/>
        </w:rPr>
      </w:pPr>
    </w:p>
    <w:p w14:paraId="0E14D957" w14:textId="1D206E35" w:rsidR="00A5233A" w:rsidRDefault="00A5233A" w:rsidP="00A5233A">
      <w:pPr>
        <w:rPr>
          <w:rFonts w:eastAsia="Times New Roman"/>
          <w:sz w:val="27"/>
          <w:szCs w:val="27"/>
        </w:rPr>
      </w:pPr>
      <w:r>
        <w:rPr>
          <w:rFonts w:eastAsia="Times New Roman"/>
          <w:sz w:val="27"/>
          <w:szCs w:val="27"/>
        </w:rPr>
        <w:t>This anticipated ROI indicates a solid financial return over a two-year development timeframe. It significantly exceeds the common standard of 15–20% employed by numerous small to medium-sized developers and corresponds with the risk profile of refurbishment-led residential projects</w:t>
      </w:r>
      <w:r w:rsidR="000A71F6">
        <w:rPr>
          <w:rFonts w:eastAsia="Times New Roman"/>
          <w:sz w:val="27"/>
          <w:szCs w:val="27"/>
        </w:rPr>
        <w:t xml:space="preserve"> (RICS, 2024)</w:t>
      </w:r>
      <w:r>
        <w:rPr>
          <w:rFonts w:eastAsia="Times New Roman"/>
          <w:sz w:val="27"/>
          <w:szCs w:val="27"/>
        </w:rPr>
        <w:t xml:space="preserve">. The profit margin showcases both the effectiveness of the suggested construction method and the strong demand for prime housing in the heart of Brighton. </w:t>
      </w:r>
      <w:r w:rsidR="000A71F6">
        <w:rPr>
          <w:rFonts w:eastAsia="Times New Roman"/>
          <w:sz w:val="27"/>
          <w:szCs w:val="27"/>
        </w:rPr>
        <w:t>(Rightmove, 2024)</w:t>
      </w:r>
    </w:p>
    <w:p w14:paraId="1E758807" w14:textId="77777777" w:rsidR="00A5233A" w:rsidRDefault="00A5233A" w:rsidP="00A5233A">
      <w:pPr>
        <w:rPr>
          <w:rFonts w:eastAsia="Times New Roman"/>
          <w:sz w:val="27"/>
          <w:szCs w:val="27"/>
        </w:rPr>
      </w:pPr>
    </w:p>
    <w:p w14:paraId="24893378" w14:textId="77777777" w:rsidR="00A5233A" w:rsidRDefault="00A5233A" w:rsidP="00A5233A">
      <w:pPr>
        <w:rPr>
          <w:rFonts w:eastAsia="Times New Roman"/>
          <w:sz w:val="27"/>
          <w:szCs w:val="27"/>
        </w:rPr>
      </w:pPr>
      <w:r>
        <w:rPr>
          <w:rFonts w:eastAsia="Times New Roman"/>
          <w:sz w:val="27"/>
          <w:szCs w:val="27"/>
        </w:rPr>
        <w:t xml:space="preserve">ROI is an essential measure for evaluating the feasibility of development. It indicates the relationship between profit and the necessary investment, guiding decisions on funding, equity needs, and interest from investors. A strong return on investment offers a financial buffer that can handle unexpected challenges like market delays, rising material costs, or slight construction setbacks. In this scenario, a buffer of almost £1 million allows for flexibility in negotiations with buyers, adjustments to exit strategies, or reinvestment in sustainability improvements while maintaining financial stability. Additionally, the adaptability of this scheme enhances its robustness. If the open market experiences a downturn, the developer might shift towards a build-to-rent approach. </w:t>
      </w:r>
    </w:p>
    <w:p w14:paraId="0CE50751" w14:textId="77777777" w:rsidR="00A5233A" w:rsidRDefault="00A5233A" w:rsidP="00A5233A">
      <w:pPr>
        <w:rPr>
          <w:rFonts w:eastAsia="Times New Roman"/>
          <w:sz w:val="27"/>
          <w:szCs w:val="27"/>
        </w:rPr>
      </w:pPr>
    </w:p>
    <w:p w14:paraId="0CBB3A26" w14:textId="3E8845A8" w:rsidR="00A5233A" w:rsidRDefault="00A5233A" w:rsidP="00A5233A">
      <w:pPr>
        <w:rPr>
          <w:rFonts w:eastAsia="Times New Roman"/>
        </w:rPr>
      </w:pPr>
      <w:r>
        <w:rPr>
          <w:rFonts w:eastAsia="Times New Roman"/>
          <w:sz w:val="27"/>
          <w:szCs w:val="27"/>
        </w:rPr>
        <w:t xml:space="preserve">Considering the anticipated rental incomes of £1,300–£1,500 per unit each month, the development is expected to generate roughly £140,000 per year, </w:t>
      </w:r>
      <w:r>
        <w:rPr>
          <w:rFonts w:eastAsia="Times New Roman"/>
          <w:sz w:val="27"/>
          <w:szCs w:val="27"/>
        </w:rPr>
        <w:lastRenderedPageBreak/>
        <w:t>resulting in a gross return of about 5.5%. This flexibility boosts lender assurance and expands the pool of engaged stakeholders. Ultimately, the ROI figure serves not only as a profit indicator but also as a confirmation of the project’s overall feasibility and strategic value. A return of 36.5% indicates that this scheme can achieve both financial success and broader social benefits without sacrificing either goal.</w:t>
      </w:r>
    </w:p>
    <w:p w14:paraId="60DE9905" w14:textId="77777777" w:rsidR="00001236" w:rsidRDefault="00001236" w:rsidP="00001236">
      <w:pPr>
        <w:pStyle w:val="NormalWeb"/>
        <w:spacing w:before="0" w:beforeAutospacing="0" w:after="180" w:afterAutospacing="0"/>
        <w:rPr>
          <w:rFonts w:ascii="Times New Roman" w:hAnsi="Times New Roman" w:cs="Times New Roman"/>
          <w:sz w:val="18"/>
          <w:szCs w:val="18"/>
        </w:rPr>
      </w:pPr>
    </w:p>
    <w:p w14:paraId="4BD47BAA" w14:textId="693E7C6C" w:rsidR="00001236" w:rsidRPr="00A5233A" w:rsidRDefault="00001236" w:rsidP="00FB7EE6">
      <w:pPr>
        <w:pStyle w:val="Heading1"/>
      </w:pPr>
      <w:bookmarkStart w:id="11" w:name="_Toc198295909"/>
      <w:r>
        <w:t>Sustainability</w:t>
      </w:r>
      <w:bookmarkEnd w:id="11"/>
      <w:r>
        <w:t xml:space="preserve"> </w:t>
      </w:r>
    </w:p>
    <w:p w14:paraId="57FF627E" w14:textId="77777777" w:rsidR="00001236" w:rsidRDefault="00001236" w:rsidP="00001236">
      <w:pPr>
        <w:pStyle w:val="NormalWeb"/>
        <w:spacing w:before="0" w:beforeAutospacing="0" w:after="180" w:afterAutospacing="0"/>
        <w:rPr>
          <w:rFonts w:ascii="Times New Roman" w:hAnsi="Times New Roman" w:cs="Times New Roman"/>
          <w:sz w:val="18"/>
          <w:szCs w:val="18"/>
        </w:rPr>
      </w:pPr>
    </w:p>
    <w:p w14:paraId="6CC3F446" w14:textId="6C156C5C" w:rsidR="00001236" w:rsidRPr="008A2836" w:rsidRDefault="00001236" w:rsidP="00001236">
      <w:pPr>
        <w:pStyle w:val="NormalWeb"/>
        <w:spacing w:before="0" w:beforeAutospacing="0" w:after="180" w:afterAutospacing="0"/>
        <w:rPr>
          <w:rFonts w:asciiTheme="minorHAnsi" w:hAnsiTheme="minorHAnsi"/>
          <w:sz w:val="27"/>
          <w:szCs w:val="27"/>
        </w:rPr>
      </w:pPr>
      <w:r w:rsidRPr="00AE3E8A">
        <w:rPr>
          <w:rFonts w:asciiTheme="minorHAnsi" w:hAnsiTheme="minorHAnsi" w:cs="Times New Roman"/>
          <w:sz w:val="27"/>
          <w:szCs w:val="27"/>
        </w:rPr>
        <w:t>Although the original planning documents referenced limited environmental upgrades, the current scheme can be improved substantially. Refurbishment offers an opportunity to enhance energy performance, occupant health, and ethical delivery.</w:t>
      </w:r>
    </w:p>
    <w:p w14:paraId="0937B843" w14:textId="4A25F29A" w:rsidR="00001236" w:rsidRPr="008A2836" w:rsidRDefault="00001236" w:rsidP="00001236">
      <w:pPr>
        <w:pStyle w:val="NormalWeb"/>
        <w:spacing w:before="0" w:beforeAutospacing="0" w:after="180" w:afterAutospacing="0"/>
        <w:rPr>
          <w:rFonts w:asciiTheme="minorHAnsi" w:hAnsiTheme="minorHAnsi"/>
          <w:sz w:val="27"/>
          <w:szCs w:val="27"/>
        </w:rPr>
      </w:pPr>
      <w:r w:rsidRPr="00AE3E8A">
        <w:rPr>
          <w:rFonts w:asciiTheme="minorHAnsi" w:hAnsiTheme="minorHAnsi" w:cs="Times New Roman"/>
          <w:sz w:val="27"/>
          <w:szCs w:val="27"/>
        </w:rPr>
        <w:t>Recommended measures include:</w:t>
      </w:r>
    </w:p>
    <w:p w14:paraId="39A4943E" w14:textId="77777777" w:rsidR="00001236" w:rsidRPr="00AE3E8A" w:rsidRDefault="00001236" w:rsidP="00001236">
      <w:pPr>
        <w:numPr>
          <w:ilvl w:val="0"/>
          <w:numId w:val="1"/>
        </w:numPr>
        <w:spacing w:after="180"/>
        <w:rPr>
          <w:rFonts w:asciiTheme="minorHAnsi" w:hAnsiTheme="minorHAnsi"/>
          <w:sz w:val="27"/>
          <w:szCs w:val="27"/>
        </w:rPr>
      </w:pPr>
      <w:r w:rsidRPr="00AE3E8A">
        <w:rPr>
          <w:rFonts w:asciiTheme="minorHAnsi" w:eastAsia="Times New Roman" w:hAnsiTheme="minorHAnsi" w:cs="Times New Roman"/>
          <w:sz w:val="27"/>
          <w:szCs w:val="27"/>
        </w:rPr>
        <w:t>Fabric-first approach: Enhanced insulation to walls, floors, and roof exceeding Part L standards</w:t>
      </w:r>
    </w:p>
    <w:p w14:paraId="79D7E74F" w14:textId="77777777" w:rsidR="00001236" w:rsidRPr="00AE3E8A" w:rsidRDefault="00001236" w:rsidP="00001236">
      <w:pPr>
        <w:numPr>
          <w:ilvl w:val="0"/>
          <w:numId w:val="1"/>
        </w:numPr>
        <w:spacing w:after="180"/>
        <w:rPr>
          <w:rFonts w:asciiTheme="minorHAnsi" w:hAnsiTheme="minorHAnsi"/>
          <w:sz w:val="27"/>
          <w:szCs w:val="27"/>
        </w:rPr>
      </w:pPr>
      <w:r w:rsidRPr="00AE3E8A">
        <w:rPr>
          <w:rFonts w:asciiTheme="minorHAnsi" w:eastAsia="Times New Roman" w:hAnsiTheme="minorHAnsi" w:cs="Times New Roman"/>
          <w:sz w:val="27"/>
          <w:szCs w:val="27"/>
        </w:rPr>
        <w:t>Triple-glazing: Already specified with marine-grade finishes for soundproofing and thermal efficiency</w:t>
      </w:r>
    </w:p>
    <w:p w14:paraId="6AD1CB44" w14:textId="77777777" w:rsidR="00001236" w:rsidRPr="00AE3E8A" w:rsidRDefault="00001236" w:rsidP="00001236">
      <w:pPr>
        <w:numPr>
          <w:ilvl w:val="0"/>
          <w:numId w:val="1"/>
        </w:numPr>
        <w:spacing w:after="180"/>
        <w:rPr>
          <w:rFonts w:asciiTheme="minorHAnsi" w:hAnsiTheme="minorHAnsi"/>
          <w:sz w:val="27"/>
          <w:szCs w:val="27"/>
        </w:rPr>
      </w:pPr>
      <w:r w:rsidRPr="00AE3E8A">
        <w:rPr>
          <w:rFonts w:asciiTheme="minorHAnsi" w:eastAsia="Times New Roman" w:hAnsiTheme="minorHAnsi" w:cs="Times New Roman"/>
          <w:sz w:val="27"/>
          <w:szCs w:val="27"/>
        </w:rPr>
        <w:t>MVHR (Mechanical Ventilation with Heat Recovery): To minimise heating loads and improve air quality</w:t>
      </w:r>
    </w:p>
    <w:p w14:paraId="0D6FDC6D" w14:textId="77777777" w:rsidR="00001236" w:rsidRPr="00AE3E8A" w:rsidRDefault="00001236" w:rsidP="00001236">
      <w:pPr>
        <w:numPr>
          <w:ilvl w:val="0"/>
          <w:numId w:val="1"/>
        </w:numPr>
        <w:spacing w:after="180"/>
        <w:rPr>
          <w:rFonts w:asciiTheme="minorHAnsi" w:hAnsiTheme="minorHAnsi"/>
          <w:sz w:val="27"/>
          <w:szCs w:val="27"/>
        </w:rPr>
      </w:pPr>
      <w:r w:rsidRPr="00AE3E8A">
        <w:rPr>
          <w:rFonts w:asciiTheme="minorHAnsi" w:eastAsia="Times New Roman" w:hAnsiTheme="minorHAnsi" w:cs="Times New Roman"/>
          <w:sz w:val="27"/>
          <w:szCs w:val="27"/>
        </w:rPr>
        <w:t>Low-carbon materials: Recycled plasterboard, timber from FSC sources</w:t>
      </w:r>
    </w:p>
    <w:p w14:paraId="3DC7204E" w14:textId="6A14FEA1" w:rsidR="00001236" w:rsidRPr="008A2836" w:rsidRDefault="00001236" w:rsidP="00001236">
      <w:pPr>
        <w:numPr>
          <w:ilvl w:val="0"/>
          <w:numId w:val="1"/>
        </w:numPr>
        <w:spacing w:after="180"/>
        <w:rPr>
          <w:rFonts w:asciiTheme="minorHAnsi" w:hAnsiTheme="minorHAnsi"/>
          <w:sz w:val="27"/>
          <w:szCs w:val="27"/>
        </w:rPr>
      </w:pPr>
      <w:r w:rsidRPr="00AE3E8A">
        <w:rPr>
          <w:rFonts w:asciiTheme="minorHAnsi" w:eastAsia="Times New Roman" w:hAnsiTheme="minorHAnsi" w:cs="Times New Roman"/>
          <w:sz w:val="27"/>
          <w:szCs w:val="27"/>
        </w:rPr>
        <w:t>Water-saving measures: Aerated taps, dual-flush toilets, and rainwater harvesting feasibility</w:t>
      </w:r>
    </w:p>
    <w:p w14:paraId="62AC48B7" w14:textId="2DFF8A2D" w:rsidR="008A2836" w:rsidRDefault="00001236" w:rsidP="008A2836">
      <w:pPr>
        <w:pStyle w:val="NormalWeb"/>
        <w:spacing w:before="0" w:beforeAutospacing="0" w:after="180" w:afterAutospacing="0"/>
        <w:rPr>
          <w:rFonts w:asciiTheme="minorHAnsi" w:hAnsiTheme="minorHAnsi" w:cs="Times New Roman"/>
          <w:sz w:val="27"/>
          <w:szCs w:val="27"/>
        </w:rPr>
      </w:pPr>
      <w:r w:rsidRPr="00AE3E8A">
        <w:rPr>
          <w:rFonts w:asciiTheme="minorHAnsi" w:hAnsiTheme="minorHAnsi" w:cs="Times New Roman"/>
          <w:sz w:val="27"/>
          <w:szCs w:val="27"/>
        </w:rPr>
        <w:t>These features align with Brighton &amp; Hove’s Sustainability Checklist (2015) and could support BREEAM “Very Good” or EPC B outcomes. Investors increasingly view sustainability not as an optional extra, but as a requirement to future-proof capital assets.</w:t>
      </w:r>
      <w:r w:rsidR="000A71F6">
        <w:rPr>
          <w:rFonts w:asciiTheme="minorHAnsi" w:hAnsiTheme="minorHAnsi" w:cs="Times New Roman"/>
          <w:sz w:val="27"/>
          <w:szCs w:val="27"/>
        </w:rPr>
        <w:t xml:space="preserve"> (Savills, 2024)</w:t>
      </w:r>
    </w:p>
    <w:p w14:paraId="5ADDC8F2" w14:textId="77777777" w:rsidR="008A2836" w:rsidRDefault="008A2836" w:rsidP="008A2836">
      <w:pPr>
        <w:pStyle w:val="Heading1"/>
      </w:pPr>
    </w:p>
    <w:p w14:paraId="15AB912C" w14:textId="77777777" w:rsidR="008A2836" w:rsidRDefault="008A2836" w:rsidP="008A2836">
      <w:pPr>
        <w:pStyle w:val="Heading1"/>
      </w:pPr>
    </w:p>
    <w:p w14:paraId="2768971F" w14:textId="77777777" w:rsidR="008A2836" w:rsidRDefault="008A2836" w:rsidP="00A5233A">
      <w:pPr>
        <w:pStyle w:val="NormalWeb"/>
        <w:spacing w:before="0" w:beforeAutospacing="0" w:after="180" w:afterAutospacing="0"/>
        <w:rPr>
          <w:rFonts w:asciiTheme="minorHAnsi" w:hAnsiTheme="minorHAnsi" w:cs="Times New Roman"/>
          <w:sz w:val="27"/>
          <w:szCs w:val="27"/>
        </w:rPr>
      </w:pPr>
    </w:p>
    <w:p w14:paraId="06A47138" w14:textId="2DFC4FF7" w:rsidR="008A2836" w:rsidRPr="008A2836" w:rsidRDefault="00DB2C43" w:rsidP="008A2836">
      <w:pPr>
        <w:pStyle w:val="Heading1"/>
        <w:rPr>
          <w:rFonts w:asciiTheme="minorHAnsi" w:hAnsiTheme="minorHAnsi"/>
          <w:sz w:val="27"/>
          <w:szCs w:val="27"/>
        </w:rPr>
      </w:pPr>
      <w:bookmarkStart w:id="12" w:name="_Toc198295910"/>
      <w:r>
        <w:lastRenderedPageBreak/>
        <w:t>Summary</w:t>
      </w:r>
      <w:bookmarkEnd w:id="12"/>
    </w:p>
    <w:p w14:paraId="56C41B3C" w14:textId="3818E057" w:rsidR="00A5233A" w:rsidRPr="00A5233A" w:rsidRDefault="00A5233A" w:rsidP="00A5233A">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 xml:space="preserve">The redevelopment of Lace House presents a strong case for financial viability, architectural renewal, and urban sustainability. This appraisal has demonstrated that the building, though currently in a dilapidated condition, possesses significant </w:t>
      </w:r>
      <w:r w:rsidR="000A71F6">
        <w:rPr>
          <w:rFonts w:asciiTheme="minorHAnsi" w:hAnsiTheme="minorHAnsi" w:cs="Times New Roman"/>
          <w:sz w:val="27"/>
          <w:szCs w:val="27"/>
        </w:rPr>
        <w:t xml:space="preserve">potential </w:t>
      </w:r>
      <w:r w:rsidRPr="00A5233A">
        <w:rPr>
          <w:rFonts w:asciiTheme="minorHAnsi" w:hAnsiTheme="minorHAnsi" w:cs="Times New Roman"/>
          <w:sz w:val="27"/>
          <w:szCs w:val="27"/>
        </w:rPr>
        <w:t>value due to its location, planning status, and architectural character. The central Brighton setting offers a rare opportunity to deliver high-quality, efficient housing in a market with sustained demand and limited supply</w:t>
      </w:r>
      <w:r w:rsidR="000A71F6">
        <w:rPr>
          <w:rFonts w:asciiTheme="minorHAnsi" w:hAnsiTheme="minorHAnsi" w:cs="Times New Roman"/>
          <w:sz w:val="27"/>
          <w:szCs w:val="27"/>
        </w:rPr>
        <w:t xml:space="preserve"> (Zoopla, 2024)</w:t>
      </w:r>
      <w:r w:rsidRPr="00A5233A">
        <w:rPr>
          <w:rFonts w:asciiTheme="minorHAnsi" w:hAnsiTheme="minorHAnsi" w:cs="Times New Roman"/>
          <w:sz w:val="27"/>
          <w:szCs w:val="27"/>
        </w:rPr>
        <w:t>. The proposed refurbishment, which retains the external heritage features while reconfiguring the internal layout, aligns with both conservation priorities and modern residential expectations.</w:t>
      </w:r>
    </w:p>
    <w:p w14:paraId="3F75EF67" w14:textId="7EDA0B97" w:rsidR="00A5233A" w:rsidRPr="00A5233A" w:rsidRDefault="00A5233A" w:rsidP="00A5233A">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Financially, the project is forecast to deliver a return on investment of 36.5% over a two-year development cycle</w:t>
      </w:r>
      <w:r w:rsidR="000A71F6">
        <w:rPr>
          <w:rFonts w:asciiTheme="minorHAnsi" w:hAnsiTheme="minorHAnsi" w:cs="Times New Roman"/>
          <w:sz w:val="27"/>
          <w:szCs w:val="27"/>
        </w:rPr>
        <w:t xml:space="preserve"> (RICS,2024)</w:t>
      </w:r>
      <w:r w:rsidRPr="00A5233A">
        <w:rPr>
          <w:rFonts w:asciiTheme="minorHAnsi" w:hAnsiTheme="minorHAnsi" w:cs="Times New Roman"/>
          <w:sz w:val="27"/>
          <w:szCs w:val="27"/>
        </w:rPr>
        <w:t xml:space="preserve">, significantly exceeding industry thresholds. This provides the developer with a strong financial </w:t>
      </w:r>
      <w:r w:rsidRPr="00A5233A">
        <w:rPr>
          <w:rFonts w:asciiTheme="minorHAnsi" w:hAnsiTheme="minorHAnsi" w:cs="Times New Roman"/>
          <w:sz w:val="27"/>
          <w:szCs w:val="27"/>
        </w:rPr>
        <w:t xml:space="preserve">margin </w:t>
      </w:r>
      <w:r w:rsidR="000A71F6" w:rsidRPr="00A5233A">
        <w:rPr>
          <w:rFonts w:asciiTheme="minorHAnsi" w:hAnsiTheme="minorHAnsi" w:cs="Times New Roman"/>
          <w:sz w:val="27"/>
          <w:szCs w:val="27"/>
        </w:rPr>
        <w:t>and</w:t>
      </w:r>
      <w:r w:rsidRPr="00A5233A">
        <w:rPr>
          <w:rFonts w:asciiTheme="minorHAnsi" w:hAnsiTheme="minorHAnsi" w:cs="Times New Roman"/>
          <w:sz w:val="27"/>
          <w:szCs w:val="27"/>
        </w:rPr>
        <w:t xml:space="preserve"> allows flexibility should market conditions fluctuate. The capital cost estimates are realistic and have been benchmarked using industry-standard sources, with risk allowances and finance charges accounted for. The project has already secured planning consent, which reduces development risk and shortens the timeline to delivery.</w:t>
      </w:r>
    </w:p>
    <w:p w14:paraId="5A594303" w14:textId="77777777" w:rsidR="00A5233A" w:rsidRPr="00A5233A" w:rsidRDefault="00A5233A" w:rsidP="00A5233A">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Beyond profitability, this appraisal highlights the potential for Lace House to serve as a model of sustainable, ethical urban regeneration. The recommendations to include MVHR systems, water-saving devices, and high-performance insulation will not only improve energy performance but also enhance resident wellbeing and future-proof the asset against tightening environmental regulations. These improvements contribute to Brighton &amp; Hove’s broader sustainability goals, offering a meaningful contribution to the local community.</w:t>
      </w:r>
    </w:p>
    <w:p w14:paraId="3FE48493" w14:textId="77777777" w:rsidR="00A5233A" w:rsidRPr="00A5233A" w:rsidRDefault="00A5233A" w:rsidP="00A5233A">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Overall, the scheme combines commercial sense with environmental and social value. With the right project management, contractor involvement, and marketing strategy, the Lace House redevelopment has the potential to be both a profitable venture and a lasting enhancement to Brighton’s cityscape.</w:t>
      </w:r>
    </w:p>
    <w:p w14:paraId="3987A9A1" w14:textId="77777777" w:rsidR="00001236" w:rsidRDefault="00001236" w:rsidP="00001236">
      <w:pPr>
        <w:pStyle w:val="NormalWeb"/>
        <w:spacing w:before="0" w:beforeAutospacing="0" w:after="180" w:afterAutospacing="0"/>
        <w:rPr>
          <w:rFonts w:ascii="Times New Roman" w:hAnsi="Times New Roman" w:cs="Times New Roman"/>
          <w:sz w:val="18"/>
          <w:szCs w:val="18"/>
        </w:rPr>
      </w:pPr>
    </w:p>
    <w:p w14:paraId="2483639A" w14:textId="77777777" w:rsidR="00001236" w:rsidRDefault="00001236" w:rsidP="00001236">
      <w:pPr>
        <w:pStyle w:val="NormalWeb"/>
        <w:spacing w:before="0" w:beforeAutospacing="0" w:after="0" w:afterAutospacing="0"/>
        <w:rPr>
          <w:rFonts w:ascii="Times New Roman" w:hAnsi="Times New Roman" w:cs="Times New Roman"/>
          <w:color w:val="808080"/>
          <w:sz w:val="18"/>
          <w:szCs w:val="18"/>
        </w:rPr>
      </w:pPr>
    </w:p>
    <w:p w14:paraId="3D061D11" w14:textId="77777777" w:rsidR="008A2836" w:rsidRDefault="008A2836" w:rsidP="00A5233A">
      <w:pPr>
        <w:pStyle w:val="Heading1"/>
      </w:pPr>
    </w:p>
    <w:p w14:paraId="47E58ACC" w14:textId="77777777" w:rsidR="008A2836" w:rsidRDefault="008A2836" w:rsidP="008A2836"/>
    <w:p w14:paraId="4EEB52CE" w14:textId="77777777" w:rsidR="008A2836" w:rsidRPr="008A2836" w:rsidRDefault="008A2836" w:rsidP="008A2836"/>
    <w:p w14:paraId="6D7193CC" w14:textId="195DC2C7" w:rsidR="00001236" w:rsidRDefault="00001236" w:rsidP="00A5233A">
      <w:pPr>
        <w:pStyle w:val="Heading1"/>
        <w:rPr>
          <w:rFonts w:ascii="Times New Roman" w:hAnsi="Times New Roman"/>
        </w:rPr>
      </w:pPr>
      <w:bookmarkStart w:id="13" w:name="_Toc198295911"/>
      <w:r>
        <w:lastRenderedPageBreak/>
        <w:t>References</w:t>
      </w:r>
      <w:bookmarkEnd w:id="13"/>
    </w:p>
    <w:p w14:paraId="103AEE70" w14:textId="77777777" w:rsidR="00A5233A" w:rsidRDefault="00A5233A" w:rsidP="00A5233A">
      <w:pPr>
        <w:pStyle w:val="NormalWeb"/>
        <w:spacing w:before="0" w:beforeAutospacing="0" w:after="180" w:afterAutospacing="0"/>
        <w:rPr>
          <w:rFonts w:asciiTheme="minorHAnsi" w:hAnsiTheme="minorHAnsi" w:cs="Times New Roman"/>
          <w:sz w:val="27"/>
          <w:szCs w:val="27"/>
        </w:rPr>
      </w:pPr>
    </w:p>
    <w:p w14:paraId="57528229" w14:textId="5AFED245" w:rsidR="00A5233A" w:rsidRPr="00A5233A" w:rsidRDefault="00A5233A" w:rsidP="00A5233A">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 xml:space="preserve">Brighton &amp; Hove City Council (2015) Planning Application BH2015/03656: Lace House, 39-40 Old Steine. [online] Available at: </w:t>
      </w:r>
      <w:hyperlink r:id="rId9" w:history="1">
        <w:r w:rsidRPr="00A5233A">
          <w:rPr>
            <w:rStyle w:val="Hyperlink"/>
            <w:rFonts w:asciiTheme="minorHAnsi" w:hAnsiTheme="minorHAnsi" w:cs="Times New Roman"/>
            <w:sz w:val="27"/>
            <w:szCs w:val="27"/>
          </w:rPr>
          <w:t>https://planningapps.brighton-hove.gov.uk</w:t>
        </w:r>
      </w:hyperlink>
      <w:r w:rsidRPr="00A5233A">
        <w:rPr>
          <w:rFonts w:asciiTheme="minorHAnsi" w:hAnsiTheme="minorHAnsi" w:cs="Times New Roman"/>
          <w:sz w:val="27"/>
          <w:szCs w:val="27"/>
        </w:rPr>
        <w:t xml:space="preserve"> [Accessed </w:t>
      </w:r>
      <w:r w:rsidR="008A2836">
        <w:rPr>
          <w:rFonts w:asciiTheme="minorHAnsi" w:hAnsiTheme="minorHAnsi" w:cs="Times New Roman"/>
          <w:sz w:val="27"/>
          <w:szCs w:val="27"/>
        </w:rPr>
        <w:t>12</w:t>
      </w:r>
      <w:r w:rsidRPr="00A5233A">
        <w:rPr>
          <w:rFonts w:asciiTheme="minorHAnsi" w:hAnsiTheme="minorHAnsi" w:cs="Times New Roman"/>
          <w:sz w:val="27"/>
          <w:szCs w:val="27"/>
        </w:rPr>
        <w:t xml:space="preserve"> May 2025].</w:t>
      </w:r>
    </w:p>
    <w:p w14:paraId="13584E9E" w14:textId="2546230A" w:rsidR="00A5233A" w:rsidRPr="00A5233A" w:rsidRDefault="00A5233A" w:rsidP="00A5233A">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 xml:space="preserve">Brighton &amp; Hove City Council (2015) Sustainability Checklist for Planning Applications. [pdf] Brighton: BHCC. Available at: </w:t>
      </w:r>
      <w:hyperlink r:id="rId10" w:history="1">
        <w:r w:rsidRPr="00A5233A">
          <w:rPr>
            <w:rStyle w:val="Hyperlink"/>
            <w:rFonts w:asciiTheme="minorHAnsi" w:hAnsiTheme="minorHAnsi" w:cs="Times New Roman"/>
            <w:sz w:val="27"/>
            <w:szCs w:val="27"/>
          </w:rPr>
          <w:t>https://www.brighton-hove.gov.uk</w:t>
        </w:r>
      </w:hyperlink>
      <w:r w:rsidRPr="00A5233A">
        <w:rPr>
          <w:rFonts w:asciiTheme="minorHAnsi" w:hAnsiTheme="minorHAnsi" w:cs="Times New Roman"/>
          <w:sz w:val="27"/>
          <w:szCs w:val="27"/>
        </w:rPr>
        <w:t xml:space="preserve"> [Accessed 1</w:t>
      </w:r>
      <w:r w:rsidR="008A2836">
        <w:rPr>
          <w:rFonts w:asciiTheme="minorHAnsi" w:hAnsiTheme="minorHAnsi" w:cs="Times New Roman"/>
          <w:sz w:val="27"/>
          <w:szCs w:val="27"/>
        </w:rPr>
        <w:t>2</w:t>
      </w:r>
      <w:r w:rsidRPr="00A5233A">
        <w:rPr>
          <w:rFonts w:asciiTheme="minorHAnsi" w:hAnsiTheme="minorHAnsi" w:cs="Times New Roman"/>
          <w:sz w:val="27"/>
          <w:szCs w:val="27"/>
        </w:rPr>
        <w:t xml:space="preserve"> May 2025].</w:t>
      </w:r>
    </w:p>
    <w:p w14:paraId="7090AC8E" w14:textId="77777777" w:rsidR="00A5233A" w:rsidRPr="00A5233A" w:rsidRDefault="00A5233A" w:rsidP="00A5233A">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Oakley Property (2024) Flat 6, Lace House – Marketing Brochure. [pdf] Brighton: Oakley Property.</w:t>
      </w:r>
    </w:p>
    <w:p w14:paraId="0F23EBEF" w14:textId="661F0C3B" w:rsidR="00A5233A" w:rsidRPr="00A5233A" w:rsidRDefault="00A5233A" w:rsidP="00A5233A">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 xml:space="preserve">Rightmove (2024) Rental Market Insights – Brighton BN1. [online] Available at: </w:t>
      </w:r>
      <w:hyperlink r:id="rId11" w:history="1">
        <w:r w:rsidRPr="00A5233A">
          <w:rPr>
            <w:rStyle w:val="Hyperlink"/>
            <w:rFonts w:asciiTheme="minorHAnsi" w:hAnsiTheme="minorHAnsi" w:cs="Times New Roman"/>
            <w:sz w:val="27"/>
            <w:szCs w:val="27"/>
          </w:rPr>
          <w:t>https://www.rightmove.co.uk</w:t>
        </w:r>
      </w:hyperlink>
      <w:r w:rsidRPr="00A5233A">
        <w:rPr>
          <w:rFonts w:asciiTheme="minorHAnsi" w:hAnsiTheme="minorHAnsi" w:cs="Times New Roman"/>
          <w:sz w:val="27"/>
          <w:szCs w:val="27"/>
        </w:rPr>
        <w:t xml:space="preserve"> [Accessed 1</w:t>
      </w:r>
      <w:r w:rsidR="008A2836">
        <w:rPr>
          <w:rFonts w:asciiTheme="minorHAnsi" w:hAnsiTheme="minorHAnsi" w:cs="Times New Roman"/>
          <w:sz w:val="27"/>
          <w:szCs w:val="27"/>
        </w:rPr>
        <w:t xml:space="preserve">3 </w:t>
      </w:r>
      <w:r w:rsidRPr="00A5233A">
        <w:rPr>
          <w:rFonts w:asciiTheme="minorHAnsi" w:hAnsiTheme="minorHAnsi" w:cs="Times New Roman"/>
          <w:sz w:val="27"/>
          <w:szCs w:val="27"/>
        </w:rPr>
        <w:t>May 2025].</w:t>
      </w:r>
    </w:p>
    <w:p w14:paraId="6AE35F93" w14:textId="77777777" w:rsidR="00A5233A" w:rsidRPr="00A5233A" w:rsidRDefault="00A5233A" w:rsidP="00A5233A">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RICS (2024) Development Viability: Guidance Note (3rd Edition). London: Royal Institution of Chartered Surveyors.</w:t>
      </w:r>
    </w:p>
    <w:p w14:paraId="53093FA5" w14:textId="77777777" w:rsidR="00A5233A" w:rsidRPr="00A5233A" w:rsidRDefault="00A5233A" w:rsidP="00A5233A">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 xml:space="preserve">Savills (2024) UK Residential Market Outlook – Brighton Region. [online] Available at: </w:t>
      </w:r>
      <w:hyperlink r:id="rId12" w:history="1">
        <w:r w:rsidRPr="00A5233A">
          <w:rPr>
            <w:rStyle w:val="Hyperlink"/>
            <w:rFonts w:asciiTheme="minorHAnsi" w:hAnsiTheme="minorHAnsi" w:cs="Times New Roman"/>
            <w:sz w:val="27"/>
            <w:szCs w:val="27"/>
          </w:rPr>
          <w:t>https://www.savills.co.uk</w:t>
        </w:r>
      </w:hyperlink>
      <w:r w:rsidRPr="00A5233A">
        <w:rPr>
          <w:rFonts w:asciiTheme="minorHAnsi" w:hAnsiTheme="minorHAnsi" w:cs="Times New Roman"/>
          <w:sz w:val="27"/>
          <w:szCs w:val="27"/>
        </w:rPr>
        <w:t xml:space="preserve"> [Accessed 14 May 2025].</w:t>
      </w:r>
    </w:p>
    <w:p w14:paraId="1123D6F2" w14:textId="77777777" w:rsidR="00A5233A" w:rsidRPr="00A5233A" w:rsidRDefault="00A5233A" w:rsidP="00A5233A">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SPONS (2024) Architects’ and Builders’ Price Book 2024. London: AECOM/CRC Press.</w:t>
      </w:r>
    </w:p>
    <w:p w14:paraId="556B6698" w14:textId="77777777" w:rsidR="00A5233A" w:rsidRPr="00A5233A" w:rsidRDefault="00A5233A" w:rsidP="00A5233A">
      <w:pPr>
        <w:pStyle w:val="NormalWeb"/>
        <w:spacing w:before="0" w:beforeAutospacing="0" w:after="180" w:afterAutospacing="0"/>
        <w:rPr>
          <w:rFonts w:asciiTheme="minorHAnsi" w:hAnsiTheme="minorHAnsi"/>
          <w:sz w:val="27"/>
          <w:szCs w:val="27"/>
        </w:rPr>
      </w:pPr>
      <w:r w:rsidRPr="00A5233A">
        <w:rPr>
          <w:rFonts w:asciiTheme="minorHAnsi" w:hAnsiTheme="minorHAnsi" w:cs="Times New Roman"/>
          <w:sz w:val="27"/>
          <w:szCs w:val="27"/>
        </w:rPr>
        <w:t xml:space="preserve">Zoopla (2024) Average Property Prices in BN1, Brighton. [online] Available at: </w:t>
      </w:r>
      <w:hyperlink r:id="rId13" w:history="1">
        <w:r w:rsidRPr="00A5233A">
          <w:rPr>
            <w:rStyle w:val="Hyperlink"/>
            <w:rFonts w:asciiTheme="minorHAnsi" w:hAnsiTheme="minorHAnsi" w:cs="Times New Roman"/>
            <w:sz w:val="27"/>
            <w:szCs w:val="27"/>
          </w:rPr>
          <w:t>https://www.zoopla.co.uk</w:t>
        </w:r>
      </w:hyperlink>
      <w:r w:rsidRPr="00A5233A">
        <w:rPr>
          <w:rFonts w:asciiTheme="minorHAnsi" w:hAnsiTheme="minorHAnsi" w:cs="Times New Roman"/>
          <w:sz w:val="27"/>
          <w:szCs w:val="27"/>
        </w:rPr>
        <w:t xml:space="preserve"> [Accessed 14 May 2025].</w:t>
      </w:r>
    </w:p>
    <w:p w14:paraId="144BAF49" w14:textId="77777777" w:rsidR="00A5233A" w:rsidRDefault="00A5233A" w:rsidP="00A5233A">
      <w:pPr>
        <w:rPr>
          <w:rFonts w:eastAsia="Times New Roman"/>
        </w:rPr>
      </w:pPr>
      <w:r>
        <w:rPr>
          <w:rFonts w:eastAsia="Times New Roman"/>
        </w:rPr>
        <w:br/>
      </w:r>
    </w:p>
    <w:p w14:paraId="4D149722" w14:textId="77777777" w:rsidR="00001236" w:rsidRDefault="00001236" w:rsidP="00001236">
      <w:pPr>
        <w:pStyle w:val="NormalWeb"/>
        <w:spacing w:before="0" w:beforeAutospacing="0" w:after="180" w:afterAutospacing="0"/>
        <w:rPr>
          <w:rFonts w:ascii="Times New Roman" w:hAnsi="Times New Roman" w:cs="Times New Roman"/>
          <w:sz w:val="18"/>
          <w:szCs w:val="18"/>
        </w:rPr>
      </w:pPr>
    </w:p>
    <w:p w14:paraId="29F6CA6B" w14:textId="77777777" w:rsidR="00001236" w:rsidRDefault="00001236" w:rsidP="00001236">
      <w:pPr>
        <w:pStyle w:val="NormalWeb"/>
        <w:spacing w:before="0" w:beforeAutospacing="0" w:after="180" w:afterAutospacing="0"/>
        <w:rPr>
          <w:rFonts w:ascii="Times New Roman" w:hAnsi="Times New Roman" w:cs="Times New Roman"/>
          <w:sz w:val="18"/>
          <w:szCs w:val="18"/>
        </w:rPr>
      </w:pPr>
    </w:p>
    <w:p w14:paraId="7BC04741" w14:textId="77777777" w:rsidR="00001236" w:rsidRDefault="00001236" w:rsidP="00001236">
      <w:pPr>
        <w:pStyle w:val="NormalWeb"/>
        <w:spacing w:before="0" w:beforeAutospacing="0" w:after="180" w:afterAutospacing="0"/>
        <w:rPr>
          <w:rFonts w:ascii="Times New Roman" w:hAnsi="Times New Roman" w:cs="Times New Roman"/>
          <w:sz w:val="18"/>
          <w:szCs w:val="18"/>
        </w:rPr>
      </w:pPr>
    </w:p>
    <w:p w14:paraId="1F0CFAB5" w14:textId="77777777" w:rsidR="00001236" w:rsidRDefault="00001236"/>
    <w:sectPr w:rsidR="00001236" w:rsidSect="008A2836">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83465" w14:textId="77777777" w:rsidR="008A2836" w:rsidRDefault="008A2836" w:rsidP="008A2836">
      <w:r>
        <w:separator/>
      </w:r>
    </w:p>
  </w:endnote>
  <w:endnote w:type="continuationSeparator" w:id="0">
    <w:p w14:paraId="3C56F0D2" w14:textId="77777777" w:rsidR="008A2836" w:rsidRDefault="008A2836" w:rsidP="008A2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CC7AD" w14:textId="77777777" w:rsidR="008A2836" w:rsidRDefault="008A2836">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29538CCD" w14:textId="77777777" w:rsidR="008A2836" w:rsidRDefault="008A28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D749C" w14:textId="77777777" w:rsidR="008A2836" w:rsidRDefault="008A2836" w:rsidP="008A2836">
      <w:r>
        <w:separator/>
      </w:r>
    </w:p>
  </w:footnote>
  <w:footnote w:type="continuationSeparator" w:id="0">
    <w:p w14:paraId="57E6855B" w14:textId="77777777" w:rsidR="008A2836" w:rsidRDefault="008A2836" w:rsidP="008A2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13510" w14:textId="76FB49DA" w:rsidR="008A2836" w:rsidRDefault="008A2836">
    <w:pPr>
      <w:pStyle w:val="Header"/>
    </w:pPr>
    <w:r>
      <w:t>ACBA 6010</w:t>
    </w:r>
    <w:r>
      <w:ptab w:relativeTo="margin" w:alignment="center" w:leader="none"/>
    </w:r>
    <w:r>
      <w:t>Cris Davies</w:t>
    </w:r>
    <w:r>
      <w:ptab w:relativeTo="margin" w:alignment="right" w:leader="none"/>
    </w:r>
    <w:r>
      <w:t>1705493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72352"/>
    <w:multiLevelType w:val="multilevel"/>
    <w:tmpl w:val="668C7C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A6343D"/>
    <w:multiLevelType w:val="hybridMultilevel"/>
    <w:tmpl w:val="24205FD8"/>
    <w:lvl w:ilvl="0" w:tplc="55982858">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503F0E"/>
    <w:multiLevelType w:val="multilevel"/>
    <w:tmpl w:val="67C43E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565338400">
    <w:abstractNumId w:val="2"/>
  </w:num>
  <w:num w:numId="2" w16cid:durableId="738792113">
    <w:abstractNumId w:val="0"/>
  </w:num>
  <w:num w:numId="3" w16cid:durableId="847062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236"/>
    <w:rsid w:val="00001236"/>
    <w:rsid w:val="0006191D"/>
    <w:rsid w:val="000A71F6"/>
    <w:rsid w:val="000C4724"/>
    <w:rsid w:val="002F7051"/>
    <w:rsid w:val="00381AD6"/>
    <w:rsid w:val="0038260E"/>
    <w:rsid w:val="003C685B"/>
    <w:rsid w:val="004D368D"/>
    <w:rsid w:val="00521B7E"/>
    <w:rsid w:val="00613840"/>
    <w:rsid w:val="00643378"/>
    <w:rsid w:val="008A2836"/>
    <w:rsid w:val="00A5233A"/>
    <w:rsid w:val="00AE3E8A"/>
    <w:rsid w:val="00DB2C43"/>
    <w:rsid w:val="00FB7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93D86"/>
  <w15:chartTrackingRefBased/>
  <w15:docId w15:val="{E7FBCACE-09C2-4446-B2CB-8167A6A7F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236"/>
    <w:pPr>
      <w:spacing w:after="0" w:line="240" w:lineRule="auto"/>
    </w:pPr>
    <w:rPr>
      <w:rFonts w:ascii="Aptos" w:hAnsi="Aptos" w:cs="Aptos"/>
      <w:kern w:val="0"/>
      <w:lang w:eastAsia="en-GB"/>
      <w14:ligatures w14:val="none"/>
    </w:rPr>
  </w:style>
  <w:style w:type="paragraph" w:styleId="Heading1">
    <w:name w:val="heading 1"/>
    <w:basedOn w:val="Normal"/>
    <w:next w:val="Normal"/>
    <w:link w:val="Heading1Char"/>
    <w:uiPriority w:val="9"/>
    <w:qFormat/>
    <w:rsid w:val="000012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12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12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12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12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12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12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12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12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2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12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12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12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12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12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12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12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1236"/>
    <w:rPr>
      <w:rFonts w:eastAsiaTheme="majorEastAsia" w:cstheme="majorBidi"/>
      <w:color w:val="272727" w:themeColor="text1" w:themeTint="D8"/>
    </w:rPr>
  </w:style>
  <w:style w:type="paragraph" w:styleId="Title">
    <w:name w:val="Title"/>
    <w:basedOn w:val="Normal"/>
    <w:next w:val="Normal"/>
    <w:link w:val="TitleChar"/>
    <w:uiPriority w:val="10"/>
    <w:qFormat/>
    <w:rsid w:val="000012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12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12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12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1236"/>
    <w:pPr>
      <w:spacing w:before="160"/>
      <w:jc w:val="center"/>
    </w:pPr>
    <w:rPr>
      <w:i/>
      <w:iCs/>
      <w:color w:val="404040" w:themeColor="text1" w:themeTint="BF"/>
    </w:rPr>
  </w:style>
  <w:style w:type="character" w:customStyle="1" w:styleId="QuoteChar">
    <w:name w:val="Quote Char"/>
    <w:basedOn w:val="DefaultParagraphFont"/>
    <w:link w:val="Quote"/>
    <w:uiPriority w:val="29"/>
    <w:rsid w:val="00001236"/>
    <w:rPr>
      <w:i/>
      <w:iCs/>
      <w:color w:val="404040" w:themeColor="text1" w:themeTint="BF"/>
    </w:rPr>
  </w:style>
  <w:style w:type="paragraph" w:styleId="ListParagraph">
    <w:name w:val="List Paragraph"/>
    <w:basedOn w:val="Normal"/>
    <w:uiPriority w:val="34"/>
    <w:qFormat/>
    <w:rsid w:val="00001236"/>
    <w:pPr>
      <w:ind w:left="720"/>
      <w:contextualSpacing/>
    </w:pPr>
  </w:style>
  <w:style w:type="character" w:styleId="IntenseEmphasis">
    <w:name w:val="Intense Emphasis"/>
    <w:basedOn w:val="DefaultParagraphFont"/>
    <w:uiPriority w:val="21"/>
    <w:qFormat/>
    <w:rsid w:val="00001236"/>
    <w:rPr>
      <w:i/>
      <w:iCs/>
      <w:color w:val="0F4761" w:themeColor="accent1" w:themeShade="BF"/>
    </w:rPr>
  </w:style>
  <w:style w:type="paragraph" w:styleId="IntenseQuote">
    <w:name w:val="Intense Quote"/>
    <w:basedOn w:val="Normal"/>
    <w:next w:val="Normal"/>
    <w:link w:val="IntenseQuoteChar"/>
    <w:uiPriority w:val="30"/>
    <w:qFormat/>
    <w:rsid w:val="000012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1236"/>
    <w:rPr>
      <w:i/>
      <w:iCs/>
      <w:color w:val="0F4761" w:themeColor="accent1" w:themeShade="BF"/>
    </w:rPr>
  </w:style>
  <w:style w:type="character" w:styleId="IntenseReference">
    <w:name w:val="Intense Reference"/>
    <w:basedOn w:val="DefaultParagraphFont"/>
    <w:uiPriority w:val="32"/>
    <w:qFormat/>
    <w:rsid w:val="00001236"/>
    <w:rPr>
      <w:b/>
      <w:bCs/>
      <w:smallCaps/>
      <w:color w:val="0F4761" w:themeColor="accent1" w:themeShade="BF"/>
      <w:spacing w:val="5"/>
    </w:rPr>
  </w:style>
  <w:style w:type="paragraph" w:styleId="NormalWeb">
    <w:name w:val="Normal (Web)"/>
    <w:basedOn w:val="Normal"/>
    <w:uiPriority w:val="99"/>
    <w:unhideWhenUsed/>
    <w:rsid w:val="00001236"/>
    <w:pPr>
      <w:spacing w:before="100" w:beforeAutospacing="1" w:after="100" w:afterAutospacing="1"/>
    </w:pPr>
  </w:style>
  <w:style w:type="character" w:styleId="Hyperlink">
    <w:name w:val="Hyperlink"/>
    <w:basedOn w:val="DefaultParagraphFont"/>
    <w:uiPriority w:val="99"/>
    <w:unhideWhenUsed/>
    <w:rsid w:val="00A5233A"/>
    <w:rPr>
      <w:color w:val="467886" w:themeColor="hyperlink"/>
      <w:u w:val="single"/>
    </w:rPr>
  </w:style>
  <w:style w:type="paragraph" w:styleId="TOCHeading">
    <w:name w:val="TOC Heading"/>
    <w:basedOn w:val="Heading1"/>
    <w:next w:val="Normal"/>
    <w:uiPriority w:val="39"/>
    <w:unhideWhenUsed/>
    <w:qFormat/>
    <w:rsid w:val="008A2836"/>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8A2836"/>
    <w:pPr>
      <w:spacing w:after="100"/>
    </w:pPr>
  </w:style>
  <w:style w:type="paragraph" w:styleId="NoSpacing">
    <w:name w:val="No Spacing"/>
    <w:link w:val="NoSpacingChar"/>
    <w:uiPriority w:val="1"/>
    <w:qFormat/>
    <w:rsid w:val="008A283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A2836"/>
    <w:rPr>
      <w:rFonts w:eastAsiaTheme="minorEastAsia"/>
      <w:kern w:val="0"/>
      <w:sz w:val="22"/>
      <w:szCs w:val="22"/>
      <w:lang w:val="en-US"/>
      <w14:ligatures w14:val="none"/>
    </w:rPr>
  </w:style>
  <w:style w:type="paragraph" w:styleId="Header">
    <w:name w:val="header"/>
    <w:basedOn w:val="Normal"/>
    <w:link w:val="HeaderChar"/>
    <w:uiPriority w:val="99"/>
    <w:unhideWhenUsed/>
    <w:rsid w:val="008A2836"/>
    <w:pPr>
      <w:tabs>
        <w:tab w:val="center" w:pos="4513"/>
        <w:tab w:val="right" w:pos="9026"/>
      </w:tabs>
    </w:pPr>
  </w:style>
  <w:style w:type="character" w:customStyle="1" w:styleId="HeaderChar">
    <w:name w:val="Header Char"/>
    <w:basedOn w:val="DefaultParagraphFont"/>
    <w:link w:val="Header"/>
    <w:uiPriority w:val="99"/>
    <w:rsid w:val="008A2836"/>
    <w:rPr>
      <w:rFonts w:ascii="Aptos" w:hAnsi="Aptos" w:cs="Aptos"/>
      <w:kern w:val="0"/>
      <w:lang w:eastAsia="en-GB"/>
      <w14:ligatures w14:val="none"/>
    </w:rPr>
  </w:style>
  <w:style w:type="paragraph" w:styleId="Footer">
    <w:name w:val="footer"/>
    <w:basedOn w:val="Normal"/>
    <w:link w:val="FooterChar"/>
    <w:uiPriority w:val="99"/>
    <w:unhideWhenUsed/>
    <w:rsid w:val="008A2836"/>
    <w:pPr>
      <w:tabs>
        <w:tab w:val="center" w:pos="4513"/>
        <w:tab w:val="right" w:pos="9026"/>
      </w:tabs>
    </w:pPr>
  </w:style>
  <w:style w:type="character" w:customStyle="1" w:styleId="FooterChar">
    <w:name w:val="Footer Char"/>
    <w:basedOn w:val="DefaultParagraphFont"/>
    <w:link w:val="Footer"/>
    <w:uiPriority w:val="99"/>
    <w:rsid w:val="008A2836"/>
    <w:rPr>
      <w:rFonts w:ascii="Aptos" w:hAnsi="Aptos" w:cs="Aptos"/>
      <w:kern w:val="0"/>
      <w:lang w:eastAsia="en-GB"/>
      <w14:ligatures w14:val="none"/>
    </w:rPr>
  </w:style>
  <w:style w:type="table" w:styleId="TableGrid">
    <w:name w:val="Table Grid"/>
    <w:basedOn w:val="TableNormal"/>
    <w:uiPriority w:val="39"/>
    <w:rsid w:val="00061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2084">
      <w:bodyDiv w:val="1"/>
      <w:marLeft w:val="0"/>
      <w:marRight w:val="0"/>
      <w:marTop w:val="0"/>
      <w:marBottom w:val="0"/>
      <w:divBdr>
        <w:top w:val="none" w:sz="0" w:space="0" w:color="auto"/>
        <w:left w:val="none" w:sz="0" w:space="0" w:color="auto"/>
        <w:bottom w:val="none" w:sz="0" w:space="0" w:color="auto"/>
        <w:right w:val="none" w:sz="0" w:space="0" w:color="auto"/>
      </w:divBdr>
    </w:div>
    <w:div w:id="469984179">
      <w:bodyDiv w:val="1"/>
      <w:marLeft w:val="0"/>
      <w:marRight w:val="0"/>
      <w:marTop w:val="0"/>
      <w:marBottom w:val="0"/>
      <w:divBdr>
        <w:top w:val="none" w:sz="0" w:space="0" w:color="auto"/>
        <w:left w:val="none" w:sz="0" w:space="0" w:color="auto"/>
        <w:bottom w:val="none" w:sz="0" w:space="0" w:color="auto"/>
        <w:right w:val="none" w:sz="0" w:space="0" w:color="auto"/>
      </w:divBdr>
    </w:div>
    <w:div w:id="904879955">
      <w:bodyDiv w:val="1"/>
      <w:marLeft w:val="0"/>
      <w:marRight w:val="0"/>
      <w:marTop w:val="0"/>
      <w:marBottom w:val="0"/>
      <w:divBdr>
        <w:top w:val="none" w:sz="0" w:space="0" w:color="auto"/>
        <w:left w:val="none" w:sz="0" w:space="0" w:color="auto"/>
        <w:bottom w:val="none" w:sz="0" w:space="0" w:color="auto"/>
        <w:right w:val="none" w:sz="0" w:space="0" w:color="auto"/>
      </w:divBdr>
    </w:div>
    <w:div w:id="114832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zoopla.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vills.co.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ghtmove.co.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righton-hove.gov.uk" TargetMode="External"/><Relationship Id="rId4" Type="http://schemas.openxmlformats.org/officeDocument/2006/relationships/settings" Target="settings.xml"/><Relationship Id="rId9" Type="http://schemas.openxmlformats.org/officeDocument/2006/relationships/hyperlink" Target="https://planningapps.brighton-hove.gov.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252B0-3C25-4815-8A5B-85D9C1694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10</Pages>
  <Words>2445</Words>
  <Characters>13940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Lace House – Development report</vt:lpstr>
    </vt:vector>
  </TitlesOfParts>
  <Company>Welsh Water</Company>
  <LinksUpToDate>false</LinksUpToDate>
  <CharactersWithSpaces>16353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Lace House – Development report</dc:title>
  <dc:subject>ACBA 6010 – Ian Brown Advanced Project Management Level 6</dc:subject>
  <dc:creator>Cris Davies</dc:creator>
  <cp:keywords/>
  <dc:description/>
  <cp:lastModifiedBy>Cris Davies</cp:lastModifiedBy>
  <cp:revision>4</cp:revision>
  <dcterms:created xsi:type="dcterms:W3CDTF">2025-05-16T10:28:00Z</dcterms:created>
  <dcterms:modified xsi:type="dcterms:W3CDTF">2025-05-16T13:01:00Z</dcterms:modified>
</cp:coreProperties>
</file>