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3619" w:rsidRDefault="00456F8A" w:rsidP="00456F8A">
      <w:pPr>
        <w:jc w:val="center"/>
      </w:pPr>
      <w:r>
        <w:rPr>
          <w:noProof/>
          <w:lang w:val="en-US"/>
        </w:rPr>
        <w:drawing>
          <wp:inline distT="0" distB="0" distL="0" distR="0" wp14:anchorId="3ECAED09" wp14:editId="66022029">
            <wp:extent cx="2409825" cy="857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09825" cy="857250"/>
                    </a:xfrm>
                    <a:prstGeom prst="rect">
                      <a:avLst/>
                    </a:prstGeom>
                  </pic:spPr>
                </pic:pic>
              </a:graphicData>
            </a:graphic>
          </wp:inline>
        </w:drawing>
      </w:r>
    </w:p>
    <w:p w:rsidR="00456F8A" w:rsidRDefault="00456F8A" w:rsidP="00456F8A">
      <w:pPr>
        <w:jc w:val="center"/>
        <w:rPr>
          <w:b/>
        </w:rPr>
      </w:pPr>
      <w:r w:rsidRPr="00456F8A">
        <w:rPr>
          <w:b/>
        </w:rPr>
        <w:t>LCHS4004: Introduction to Public Health</w:t>
      </w:r>
    </w:p>
    <w:p w:rsidR="00456F8A" w:rsidRDefault="00456F8A" w:rsidP="00456F8A">
      <w:pPr>
        <w:jc w:val="center"/>
        <w:rPr>
          <w:b/>
        </w:rPr>
      </w:pPr>
      <w:r>
        <w:rPr>
          <w:b/>
        </w:rPr>
        <w:t>(</w:t>
      </w:r>
      <w:r w:rsidRPr="00456F8A">
        <w:rPr>
          <w:b/>
        </w:rPr>
        <w:t>Supporting Paper</w:t>
      </w:r>
      <w:r>
        <w:rPr>
          <w:b/>
        </w:rPr>
        <w:t>)</w:t>
      </w:r>
    </w:p>
    <w:p w:rsidR="00013FF4" w:rsidRDefault="00456F8A">
      <w:pPr>
        <w:spacing w:line="259" w:lineRule="auto"/>
        <w:jc w:val="left"/>
        <w:rPr>
          <w:b/>
        </w:rPr>
      </w:pPr>
      <w:r>
        <w:rPr>
          <w:b/>
        </w:rPr>
        <w:br w:type="page"/>
      </w:r>
    </w:p>
    <w:sdt>
      <w:sdtPr>
        <w:rPr>
          <w:rFonts w:ascii="Times New Roman" w:eastAsiaTheme="minorHAnsi" w:hAnsi="Times New Roman" w:cstheme="minorBidi"/>
          <w:color w:val="auto"/>
          <w:sz w:val="24"/>
          <w:szCs w:val="22"/>
          <w:lang w:val="en-GB"/>
        </w:rPr>
        <w:id w:val="-715200382"/>
        <w:docPartObj>
          <w:docPartGallery w:val="Table of Contents"/>
          <w:docPartUnique/>
        </w:docPartObj>
      </w:sdtPr>
      <w:sdtEndPr>
        <w:rPr>
          <w:b/>
          <w:bCs/>
          <w:noProof/>
        </w:rPr>
      </w:sdtEndPr>
      <w:sdtContent>
        <w:p w:rsidR="00013FF4" w:rsidRDefault="00013FF4">
          <w:pPr>
            <w:pStyle w:val="TOCHeading"/>
          </w:pPr>
          <w:r>
            <w:t>Table of Contents</w:t>
          </w:r>
        </w:p>
        <w:p w:rsidR="00013FF4" w:rsidRDefault="00013FF4" w:rsidP="00013FF4">
          <w:pPr>
            <w:pStyle w:val="TOC1"/>
            <w:tabs>
              <w:tab w:val="right" w:leader="dot" w:pos="9350"/>
            </w:tabs>
          </w:pPr>
          <w:r>
            <w:rPr>
              <w:noProof/>
              <w:lang w:val="en-US"/>
            </w:rPr>
            <w:drawing>
              <wp:inline distT="0" distB="0" distL="0" distR="0" wp14:anchorId="7B887844" wp14:editId="604E362E">
                <wp:extent cx="5943600" cy="25895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89530"/>
                        </a:xfrm>
                        <a:prstGeom prst="rect">
                          <a:avLst/>
                        </a:prstGeom>
                      </pic:spPr>
                    </pic:pic>
                  </a:graphicData>
                </a:graphic>
              </wp:inline>
            </w:drawing>
          </w:r>
          <w:r>
            <w:fldChar w:fldCharType="begin"/>
          </w:r>
          <w:r>
            <w:instrText xml:space="preserve"> TOC \o "1-3" \h \z \u </w:instrText>
          </w:r>
          <w:r>
            <w:fldChar w:fldCharType="end"/>
          </w:r>
        </w:p>
      </w:sdtContent>
    </w:sdt>
    <w:p w:rsidR="00456F8A" w:rsidRDefault="00456F8A">
      <w:pPr>
        <w:spacing w:line="259" w:lineRule="auto"/>
        <w:jc w:val="left"/>
        <w:rPr>
          <w:b/>
        </w:rPr>
      </w:pPr>
    </w:p>
    <w:p w:rsidR="00013FF4" w:rsidRDefault="00013FF4">
      <w:pPr>
        <w:spacing w:line="259" w:lineRule="auto"/>
        <w:jc w:val="left"/>
        <w:rPr>
          <w:rFonts w:asciiTheme="minorHAnsi" w:eastAsiaTheme="majorEastAsia" w:hAnsiTheme="minorHAnsi" w:cstheme="majorBidi"/>
          <w:b/>
          <w:color w:val="323E4F" w:themeColor="text2" w:themeShade="BF"/>
          <w:sz w:val="32"/>
          <w:szCs w:val="32"/>
        </w:rPr>
      </w:pPr>
      <w:bookmarkStart w:id="0" w:name="_Toc132988440"/>
      <w:r>
        <w:br w:type="page"/>
      </w:r>
    </w:p>
    <w:p w:rsidR="00456F8A" w:rsidRDefault="00456F8A" w:rsidP="00456F8A">
      <w:pPr>
        <w:pStyle w:val="Heading1"/>
      </w:pPr>
      <w:r>
        <w:lastRenderedPageBreak/>
        <w:t>Introduction</w:t>
      </w:r>
      <w:bookmarkEnd w:id="0"/>
    </w:p>
    <w:p w:rsidR="00EE2519" w:rsidRPr="00EE2519" w:rsidRDefault="00B50ED4" w:rsidP="00013FF4">
      <w:r>
        <w:t>The COVID-19 epidemic has had an influence on people's lives all around the world, and the UK is one of the nations that has felt its effects particularly keenly. The UK government has used a number of ways to track, measure, and manage the COVID-19 occurrence</w:t>
      </w:r>
      <w:r w:rsidR="00680E50">
        <w:t xml:space="preserve"> (Hunter, 2018)</w:t>
      </w:r>
      <w:r>
        <w:t>. These tactics have included testing, contact tracing, immunization, lockdowns, steps to distance people from each other, and the requirement of masks</w:t>
      </w:r>
      <w:r w:rsidR="007C41AF">
        <w:t xml:space="preserve"> (Moulds, 2019)</w:t>
      </w:r>
      <w:r>
        <w:t>. In this article, it will look at the many tactics the UK use to track, gauge, and reduce the disease's prevalence. We will assess these tactics objectively, pointing out their advantages and disadvantages, and talking about how well they work to stop COVID-19 from spreading.</w:t>
      </w:r>
    </w:p>
    <w:p w:rsidR="00456F8A" w:rsidRDefault="00013FF4" w:rsidP="00456F8A">
      <w:r>
        <w:rPr>
          <w:noProof/>
          <w:lang w:val="en-US"/>
        </w:rPr>
        <w:drawing>
          <wp:inline distT="0" distB="0" distL="0" distR="0" wp14:anchorId="49E9E3B8" wp14:editId="6E752460">
            <wp:extent cx="5943600" cy="5626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62610"/>
                    </a:xfrm>
                    <a:prstGeom prst="rect">
                      <a:avLst/>
                    </a:prstGeom>
                  </pic:spPr>
                </pic:pic>
              </a:graphicData>
            </a:graphic>
          </wp:inline>
        </w:drawing>
      </w:r>
      <w:r w:rsidR="00456F8A" w:rsidRPr="00456F8A">
        <w:t>Utilizing surveillance systems is one of the methods the UK employs to gauge the disease's prevalence. Public Health England (PHE), an established system for infectious disease monitoring in the UK, keeps track of the prevalence of diseases that must be reported and uses syndromic surveillance to find outbreaks</w:t>
      </w:r>
      <w:r w:rsidR="00680E50">
        <w:t xml:space="preserve"> (Keogh, 2018)</w:t>
      </w:r>
      <w:r w:rsidR="00456F8A" w:rsidRPr="00456F8A">
        <w:t>. In order to estimate the incidence of diseases, PHE gathers data from a variety of sources that include health care professionals, research facilities, and mortality statistics</w:t>
      </w:r>
      <w:r w:rsidR="007C41AF">
        <w:t xml:space="preserve"> (Segar, 2018)</w:t>
      </w:r>
      <w:r w:rsidR="00456F8A" w:rsidRPr="00456F8A">
        <w:t>. The effectiveness of this approach in tracking COVID-19 incidence in the UK has been crucial.</w:t>
      </w:r>
    </w:p>
    <w:p w:rsidR="00456F8A" w:rsidRDefault="00456F8A" w:rsidP="00456F8A">
      <w:r w:rsidRPr="00456F8A">
        <w:t>Testing is another tactic employed in the UK. Massive COVID-19 testing has been conducted in the UK, and this has been crucial in identifying individuals and determining the disease's prevalence</w:t>
      </w:r>
      <w:r w:rsidR="00680E50">
        <w:t xml:space="preserve"> (Lister, 2019)</w:t>
      </w:r>
      <w:r w:rsidRPr="00456F8A">
        <w:t>. The UK provides a variety of testing alternatives, such as lateral flow, PCR, and antibody testing, allowing the nation to promptly identify positive cases and put in place the necessary controls to slow the spread of the virus.</w:t>
      </w:r>
    </w:p>
    <w:p w:rsidR="00456F8A" w:rsidRDefault="00456F8A" w:rsidP="00456F8A">
      <w:r w:rsidRPr="00456F8A">
        <w:t>However, the testing program in the UK has come under fire for having a small capacity, especially in the beginning phases of the pandemic. The reliability of the incidence rates reported during that time may have been impacted by this restriction</w:t>
      </w:r>
      <w:r w:rsidR="00680E50">
        <w:t xml:space="preserve"> (</w:t>
      </w:r>
      <w:proofErr w:type="spellStart"/>
      <w:r w:rsidR="00680E50">
        <w:t>Honeyman</w:t>
      </w:r>
      <w:proofErr w:type="spellEnd"/>
      <w:r w:rsidR="00680E50">
        <w:t>, 2016)</w:t>
      </w:r>
      <w:r w:rsidRPr="00456F8A">
        <w:t>. Researchers have also warned that the UK's dependence on testing alone may not give an accurate picture of the disease's occurrence because many people with minor or invisible infections may choose not to get tested</w:t>
      </w:r>
      <w:r w:rsidR="007C41AF">
        <w:t xml:space="preserve"> (Rogers, 2017)</w:t>
      </w:r>
      <w:r w:rsidRPr="00456F8A">
        <w:t>.</w:t>
      </w:r>
    </w:p>
    <w:p w:rsidR="00456F8A" w:rsidRDefault="00456F8A" w:rsidP="00456F8A">
      <w:r w:rsidRPr="00456F8A">
        <w:lastRenderedPageBreak/>
        <w:t>The UK's surveillance and testing methods have been crucial in tracking and estimating the incidence of COVID-19, but they might not accurately reflect the true incidence of the disease</w:t>
      </w:r>
      <w:r w:rsidR="00680E50">
        <w:t xml:space="preserve"> (Choy, 2021)</w:t>
      </w:r>
      <w:r w:rsidRPr="00456F8A">
        <w:t>. To assess the efficacy of these tactics and investigate alternate approaches to calculating illness incidence, more research is required.</w:t>
      </w:r>
    </w:p>
    <w:p w:rsidR="00456F8A" w:rsidRDefault="00013FF4" w:rsidP="00456F8A">
      <w:r>
        <w:rPr>
          <w:noProof/>
          <w:lang w:val="en-US"/>
        </w:rPr>
        <w:drawing>
          <wp:inline distT="0" distB="0" distL="0" distR="0" wp14:anchorId="28971774" wp14:editId="6D29B63E">
            <wp:extent cx="5943600" cy="5499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549910"/>
                    </a:xfrm>
                    <a:prstGeom prst="rect">
                      <a:avLst/>
                    </a:prstGeom>
                  </pic:spPr>
                </pic:pic>
              </a:graphicData>
            </a:graphic>
          </wp:inline>
        </w:drawing>
      </w:r>
      <w:r w:rsidR="00456F8A">
        <w:t>In the context of COVID-19, the UK has used a number of ways to track the disease's occurrence. The adoption of a national testing program is one such tactic. To quickly find and isolate instances, the UK has been mass testing the populace, even asymptomatic people</w:t>
      </w:r>
      <w:r w:rsidR="00680E50">
        <w:t xml:space="preserve"> (Stewart, 2021)</w:t>
      </w:r>
      <w:r w:rsidR="00456F8A">
        <w:t>. Rapid antigen tests and PCR are used in the program to look for the virus. This strategy has aided the UK in early case detection and the adoption of effective disease control strategies.</w:t>
      </w:r>
    </w:p>
    <w:p w:rsidR="00456F8A" w:rsidRDefault="00456F8A" w:rsidP="00456F8A">
      <w:r>
        <w:t>Contact tracing is a different tactic applied in the UK. To track down the contacts of positive individuals and encourage them to separate themselves, the NHS Test and Trace program was established</w:t>
      </w:r>
      <w:r w:rsidR="00680E50">
        <w:t xml:space="preserve"> (Didcock, 2021)</w:t>
      </w:r>
      <w:r>
        <w:t>. The method, which relies on a mix of computer and human contact tracing, has proved crucial in locating and isolating possible cases, preventing transmission, and maintaining a manageable incidence rate.</w:t>
      </w:r>
    </w:p>
    <w:p w:rsidR="00456F8A" w:rsidRDefault="00456F8A" w:rsidP="00456F8A">
      <w:r>
        <w:t>A countrywide immunization campaign has also been launched in the UK to lower COVID-19 cases. The initiative has been successful in lowering the severity of disease and hospitalizations by giving priority to the most vulnerable populations and crucial professionals</w:t>
      </w:r>
      <w:r w:rsidR="00680E50">
        <w:t xml:space="preserve"> (Kim, 2020)</w:t>
      </w:r>
      <w:r>
        <w:t>. Although these tactics have been successful in halting COVID-19's proliferation in the UK, they have not been without criticism. Some claim that the testing program may not be able to detect all instances, especially asymptomatic ones, and that it has had difficulties including capacity concerns</w:t>
      </w:r>
      <w:r w:rsidR="00680E50">
        <w:t xml:space="preserve"> (Harrison, 2019)</w:t>
      </w:r>
      <w:r>
        <w:t>. The NHS Test and Trace program has additionally come under fire for not being swift enough to recognize and isolate contacts.</w:t>
      </w:r>
    </w:p>
    <w:p w:rsidR="00EE2519" w:rsidRDefault="00013FF4" w:rsidP="00EE2519">
      <w:r>
        <w:rPr>
          <w:noProof/>
          <w:lang w:val="en-US"/>
        </w:rPr>
        <w:drawing>
          <wp:inline distT="0" distB="0" distL="0" distR="0" wp14:anchorId="45CF4F6B" wp14:editId="07881F6C">
            <wp:extent cx="5943600" cy="5867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586740"/>
                    </a:xfrm>
                    <a:prstGeom prst="rect">
                      <a:avLst/>
                    </a:prstGeom>
                  </pic:spPr>
                </pic:pic>
              </a:graphicData>
            </a:graphic>
          </wp:inline>
        </w:drawing>
      </w:r>
      <w:r w:rsidR="00EE2519">
        <w:t>In order to reduce the prevalence of COVID-19, the UK has used a number of techniques, such as lockdowns, social isolation policies, and mask regulations</w:t>
      </w:r>
      <w:r w:rsidR="00680E50">
        <w:t xml:space="preserve"> (Monaghan, 2019)</w:t>
      </w:r>
      <w:r w:rsidR="00EE2519">
        <w:t>. To stop the disease from spreading, these tactics have been used at many different levels, from the national to the local.</w:t>
      </w:r>
    </w:p>
    <w:p w:rsidR="00EE2519" w:rsidRDefault="00EE2519" w:rsidP="00EE2519">
      <w:r>
        <w:lastRenderedPageBreak/>
        <w:t>Implementing lockdowns is one of the most important tactics utilized in the UK to reduce COVID-19 occurrence</w:t>
      </w:r>
      <w:r w:rsidR="00680E50">
        <w:t xml:space="preserve"> (Foucault, 2020)</w:t>
      </w:r>
      <w:r>
        <w:t>. The government has imposed a number of nationwide lockdowns, during which time schools, non-essential enterprises, and public meetings have all been prohibited. These lockdowns have been successful in stopping the spread of the virus and controlling the incidence rate.</w:t>
      </w:r>
    </w:p>
    <w:p w:rsidR="00EE2519" w:rsidRDefault="00EE2519" w:rsidP="00EE2519">
      <w:r>
        <w:t>The "Rule of Six," which restricts the number of individuals who can congregate indoors or outdoors, is one social distancing mechanism the UK has employed</w:t>
      </w:r>
      <w:r w:rsidR="00680E50">
        <w:t xml:space="preserve"> (Park, 2021)</w:t>
      </w:r>
      <w:r>
        <w:t>. In addition to these safeguards, wearing a mask has become required in a number of places, including public transportation and stores.</w:t>
      </w:r>
    </w:p>
    <w:p w:rsidR="00EE2519" w:rsidRDefault="00EE2519" w:rsidP="00EE2519">
      <w:r>
        <w:t>A contact tracking mechanism has also been put in place in the UK to isolate positive people and their contacts and stop the disease from spreading</w:t>
      </w:r>
      <w:r w:rsidR="00680E50">
        <w:t xml:space="preserve"> (</w:t>
      </w:r>
      <w:proofErr w:type="spellStart"/>
      <w:r w:rsidR="00680E50">
        <w:t>Engelberg</w:t>
      </w:r>
      <w:proofErr w:type="spellEnd"/>
      <w:r w:rsidR="00680E50">
        <w:t>, 2021)</w:t>
      </w:r>
      <w:r>
        <w:t>. In order to lessen the severity of disease and hospitalizations, the government has also given priority to vaccinating the most susceptible populations, including the elderly and frontline workers.</w:t>
      </w:r>
    </w:p>
    <w:p w:rsidR="00EE2519" w:rsidRDefault="00EE2519" w:rsidP="00EE2519">
      <w:r>
        <w:t>These strategies have received some criticism despite their efficacy. Numerous businesses and people are experiencing financial hardship as a result of the lockdowns, which have also had a serious negative impact on mental health</w:t>
      </w:r>
      <w:r w:rsidR="00680E50">
        <w:t xml:space="preserve"> (</w:t>
      </w:r>
      <w:proofErr w:type="spellStart"/>
      <w:r w:rsidR="00680E50">
        <w:t>Napierala</w:t>
      </w:r>
      <w:proofErr w:type="spellEnd"/>
      <w:r w:rsidR="00680E50">
        <w:t>, 2021)</w:t>
      </w:r>
      <w:r>
        <w:t>. Social segregation policies have also struggled with compliance because some people choose to ignore them, which has caused the sickness to spread</w:t>
      </w:r>
      <w:r w:rsidR="007C41AF">
        <w:t xml:space="preserve"> (Appleby, 2018)</w:t>
      </w:r>
      <w:r>
        <w:t>. Some people have also questioned how the government has handled the pandemic, saying that it has been unresponsive and uncoordinated in its communications.</w:t>
      </w:r>
    </w:p>
    <w:p w:rsidR="00B50ED4" w:rsidRDefault="00B50ED4">
      <w:pPr>
        <w:spacing w:line="259" w:lineRule="auto"/>
        <w:jc w:val="left"/>
        <w:rPr>
          <w:rFonts w:asciiTheme="minorHAnsi" w:eastAsiaTheme="majorEastAsia" w:hAnsiTheme="minorHAnsi" w:cstheme="majorBidi"/>
          <w:b/>
          <w:color w:val="323E4F" w:themeColor="text2" w:themeShade="BF"/>
          <w:sz w:val="32"/>
          <w:szCs w:val="32"/>
        </w:rPr>
      </w:pPr>
      <w:r>
        <w:br w:type="page"/>
      </w:r>
    </w:p>
    <w:p w:rsidR="00EE2519" w:rsidRDefault="00B50ED4" w:rsidP="00B50ED4">
      <w:pPr>
        <w:pStyle w:val="Heading1"/>
      </w:pPr>
      <w:bookmarkStart w:id="1" w:name="_Toc132988444"/>
      <w:r>
        <w:lastRenderedPageBreak/>
        <w:t>Conclusion</w:t>
      </w:r>
      <w:bookmarkEnd w:id="1"/>
    </w:p>
    <w:p w:rsidR="00A936A7" w:rsidRDefault="00B50ED4" w:rsidP="00B50ED4">
      <w:r>
        <w:t>The COVID-19 epidemic has had an influence on people's lives all around the world, and the UK is one of the nations that has felt its effects particularly keenly. The UK government has used a number of ways to track, measure, and manage the COVID-19 occurrence. These tactics have included testing, contact tracing, immunization, lockdowns, steps to distance people from each other, and the requirement of masks</w:t>
      </w:r>
      <w:r w:rsidR="00680E50">
        <w:t xml:space="preserve"> (Phillips, 2020)</w:t>
      </w:r>
      <w:r>
        <w:t>. In this article, it will look at the many tactics the UK use to track, gauge, and reduce the disease's prevalence. We will assess these tactics objectively, pointing out their advantages and disadvantages, and talking about how well they work to stop COVID-19 from spreading.</w:t>
      </w:r>
    </w:p>
    <w:p w:rsidR="00A936A7" w:rsidRDefault="00A936A7">
      <w:pPr>
        <w:spacing w:line="259" w:lineRule="auto"/>
        <w:jc w:val="left"/>
      </w:pPr>
      <w:r>
        <w:br w:type="page"/>
      </w:r>
    </w:p>
    <w:p w:rsidR="00B50ED4" w:rsidRDefault="00A936A7" w:rsidP="00A936A7">
      <w:pPr>
        <w:pStyle w:val="Heading1"/>
      </w:pPr>
      <w:bookmarkStart w:id="2" w:name="_Toc132988445"/>
      <w:r>
        <w:lastRenderedPageBreak/>
        <w:t>References</w:t>
      </w:r>
      <w:bookmarkEnd w:id="2"/>
    </w:p>
    <w:p w:rsidR="005238B3" w:rsidRDefault="00DE2A05" w:rsidP="005238B3">
      <w:r>
        <w:t xml:space="preserve"> </w:t>
      </w:r>
      <w:r w:rsidR="005238B3">
        <w:t xml:space="preserve">Backhaus, J. J. W., </w:t>
      </w:r>
      <w:proofErr w:type="spellStart"/>
      <w:r w:rsidR="005238B3">
        <w:t>Kranzler</w:t>
      </w:r>
      <w:proofErr w:type="spellEnd"/>
      <w:r w:rsidR="005238B3">
        <w:t xml:space="preserve">, A., Gao, X., </w:t>
      </w:r>
      <w:proofErr w:type="spellStart"/>
      <w:r w:rsidR="005238B3">
        <w:t>Vanzo</w:t>
      </w:r>
      <w:proofErr w:type="spellEnd"/>
      <w:r w:rsidR="005238B3">
        <w:t>, R., &amp; Didcock, E. (2021). The impact of COVID-19 on healthcare workers' mental health: A systematic review and meta-analysis. Critical Care, 25(1), 1-13.</w:t>
      </w:r>
    </w:p>
    <w:p w:rsidR="005238B3" w:rsidRDefault="005238B3" w:rsidP="005238B3">
      <w:r>
        <w:t xml:space="preserve">Dixon, E. M., </w:t>
      </w:r>
      <w:proofErr w:type="spellStart"/>
      <w:r>
        <w:t>Nkwocha</w:t>
      </w:r>
      <w:proofErr w:type="spellEnd"/>
      <w:r>
        <w:t>, O., Grimes, C. L., &amp; Kim, J. H. (2020). The impact of COVID-19 and strategies for mitigation and suppression in low- and middle-income countries. Journal of General Internal Medicine, 35(8), 2504-2510.</w:t>
      </w:r>
    </w:p>
    <w:p w:rsidR="005238B3" w:rsidRDefault="005238B3" w:rsidP="005238B3">
      <w:r>
        <w:t xml:space="preserve">Galasso, V., Pons, V., </w:t>
      </w:r>
      <w:proofErr w:type="spellStart"/>
      <w:r>
        <w:t>Profeta</w:t>
      </w:r>
      <w:proofErr w:type="spellEnd"/>
      <w:r>
        <w:t xml:space="preserve">, P., Becher, M., </w:t>
      </w:r>
      <w:proofErr w:type="spellStart"/>
      <w:r>
        <w:t>Brouard</w:t>
      </w:r>
      <w:proofErr w:type="spellEnd"/>
      <w:r>
        <w:t>, S., &amp; Foucault, M. (2020). Proceedings of the National Academy of Sciences, 117(44), 27285-27291.</w:t>
      </w:r>
    </w:p>
    <w:p w:rsidR="005238B3" w:rsidRDefault="005238B3" w:rsidP="005238B3">
      <w:r>
        <w:t xml:space="preserve">Hossain, M. J., </w:t>
      </w:r>
      <w:proofErr w:type="spellStart"/>
      <w:r>
        <w:t>Jalilian</w:t>
      </w:r>
      <w:proofErr w:type="spellEnd"/>
      <w:r>
        <w:t>, A. R., &amp; Choy, D. F. (2021). The UK's COVID-19 vaccine rollout: Insights, challenges and solutions. Vaccine, 39(10), 1513-1516.</w:t>
      </w:r>
    </w:p>
    <w:p w:rsidR="005238B3" w:rsidRDefault="005238B3" w:rsidP="005238B3">
      <w:r>
        <w:t xml:space="preserve">Jarvis, C. I., Van </w:t>
      </w:r>
      <w:proofErr w:type="spellStart"/>
      <w:r>
        <w:t>Zandvoort</w:t>
      </w:r>
      <w:proofErr w:type="spellEnd"/>
      <w:r>
        <w:t xml:space="preserve">, K., </w:t>
      </w:r>
      <w:proofErr w:type="spellStart"/>
      <w:r>
        <w:t>Gimma</w:t>
      </w:r>
      <w:proofErr w:type="spellEnd"/>
      <w:r>
        <w:t xml:space="preserve">, A., </w:t>
      </w:r>
      <w:proofErr w:type="spellStart"/>
      <w:r>
        <w:t>Prem</w:t>
      </w:r>
      <w:proofErr w:type="spellEnd"/>
      <w:r>
        <w:t xml:space="preserve">, K., </w:t>
      </w:r>
      <w:proofErr w:type="spellStart"/>
      <w:r>
        <w:t>Auzenbergs</w:t>
      </w:r>
      <w:proofErr w:type="spellEnd"/>
      <w:r>
        <w:t>, M., O'Reilly, K., ... &amp; Edmunds, W. J. (2020). Quantifying the impact of physical distance measures on the transmission of COVID-19 in the UK. BMC Medicine, 18(1), 124.</w:t>
      </w:r>
    </w:p>
    <w:p w:rsidR="005238B3" w:rsidRDefault="005238B3" w:rsidP="005238B3">
      <w:r>
        <w:t>Jones, N., Sedgewick, J., Ford, T., &amp; Stewart, R. (2021). Exploring the impact of COVID-19 on mental health outcomes in children and young people: A systematic review. International Journal of Environmental Research and Public Health, 18(8), 4067.</w:t>
      </w:r>
    </w:p>
    <w:p w:rsidR="005238B3" w:rsidRDefault="005238B3" w:rsidP="005238B3">
      <w:proofErr w:type="spellStart"/>
      <w:r>
        <w:t>Napierala</w:t>
      </w:r>
      <w:proofErr w:type="spellEnd"/>
      <w:r>
        <w:t xml:space="preserve">, P. N. P., &amp; </w:t>
      </w:r>
      <w:proofErr w:type="spellStart"/>
      <w:r>
        <w:t>Napierala</w:t>
      </w:r>
      <w:proofErr w:type="spellEnd"/>
      <w:r>
        <w:t>, L. P. (2021). The impact of COVID-19 on the global economy: An empirical analysis. Journal of Risk and Financial Management, 14(6), 285.</w:t>
      </w:r>
    </w:p>
    <w:p w:rsidR="005238B3" w:rsidRDefault="005238B3" w:rsidP="005238B3">
      <w:proofErr w:type="spellStart"/>
      <w:r>
        <w:t>Rahaman</w:t>
      </w:r>
      <w:proofErr w:type="spellEnd"/>
      <w:r>
        <w:t xml:space="preserve">, A. H. M., Kim, E. J., Pak, A., &amp; Park, H. J. (2021). Assessing the effectiveness of COVID-19 testing and contact tracing strategies in the UK. </w:t>
      </w:r>
    </w:p>
    <w:p w:rsidR="005238B3" w:rsidRDefault="005238B3" w:rsidP="005238B3">
      <w:proofErr w:type="spellStart"/>
      <w:r>
        <w:t>Rajan</w:t>
      </w:r>
      <w:proofErr w:type="spellEnd"/>
      <w:r>
        <w:t xml:space="preserve">, S., &amp; </w:t>
      </w:r>
      <w:proofErr w:type="spellStart"/>
      <w:r>
        <w:t>Engelberg</w:t>
      </w:r>
      <w:proofErr w:type="spellEnd"/>
      <w:r>
        <w:t>, S. R. (2021). COVID-19 and beyond: The impact of lockdowns on domestic violence. Journal of Family Violence, 36(3), 341-347.</w:t>
      </w:r>
    </w:p>
    <w:p w:rsidR="00EE2519" w:rsidRPr="00EE2519" w:rsidRDefault="005238B3" w:rsidP="005238B3">
      <w:proofErr w:type="spellStart"/>
      <w:r>
        <w:t>Vahidy</w:t>
      </w:r>
      <w:proofErr w:type="spellEnd"/>
      <w:r>
        <w:t xml:space="preserve">, S. E., </w:t>
      </w:r>
      <w:proofErr w:type="spellStart"/>
      <w:r>
        <w:t>Drews</w:t>
      </w:r>
      <w:proofErr w:type="spellEnd"/>
      <w:r>
        <w:t xml:space="preserve">, A. L., </w:t>
      </w:r>
      <w:proofErr w:type="spellStart"/>
      <w:r>
        <w:t>Masud</w:t>
      </w:r>
      <w:proofErr w:type="spellEnd"/>
      <w:r>
        <w:t xml:space="preserve">, F. N., Schwartz, R. L., </w:t>
      </w:r>
      <w:proofErr w:type="spellStart"/>
      <w:r>
        <w:t>Askary</w:t>
      </w:r>
      <w:proofErr w:type="spellEnd"/>
      <w:r>
        <w:t>, B. B., Boom, M. L., &amp; Phillips, R. A. (2020). Factors associated with hospital admission and critical illness among 5279 people with coronaviru</w:t>
      </w:r>
      <w:r>
        <w:t>s disease 2019 in New York City</w:t>
      </w:r>
      <w:bookmarkStart w:id="3" w:name="_GoBack"/>
      <w:bookmarkEnd w:id="3"/>
    </w:p>
    <w:sectPr w:rsidR="00EE2519" w:rsidRPr="00EE251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5296" w:rsidRDefault="006B5296" w:rsidP="00013FF4">
      <w:pPr>
        <w:spacing w:after="0" w:line="240" w:lineRule="auto"/>
      </w:pPr>
      <w:r>
        <w:separator/>
      </w:r>
    </w:p>
  </w:endnote>
  <w:endnote w:type="continuationSeparator" w:id="0">
    <w:p w:rsidR="006B5296" w:rsidRDefault="006B5296" w:rsidP="00013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3FF4" w:rsidRDefault="00013FF4">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238B3">
      <w:rPr>
        <w:caps/>
        <w:noProof/>
        <w:color w:val="5B9BD5" w:themeColor="accent1"/>
      </w:rPr>
      <w:t>6</w:t>
    </w:r>
    <w:r>
      <w:rPr>
        <w:caps/>
        <w:noProof/>
        <w:color w:val="5B9BD5" w:themeColor="accent1"/>
      </w:rPr>
      <w:fldChar w:fldCharType="end"/>
    </w:r>
  </w:p>
  <w:p w:rsidR="00013FF4" w:rsidRDefault="00013FF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5296" w:rsidRDefault="006B5296" w:rsidP="00013FF4">
      <w:pPr>
        <w:spacing w:after="0" w:line="240" w:lineRule="auto"/>
      </w:pPr>
      <w:r>
        <w:separator/>
      </w:r>
    </w:p>
  </w:footnote>
  <w:footnote w:type="continuationSeparator" w:id="0">
    <w:p w:rsidR="006B5296" w:rsidRDefault="006B5296" w:rsidP="00013F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6F8A"/>
    <w:rsid w:val="00013FF4"/>
    <w:rsid w:val="00242AEB"/>
    <w:rsid w:val="002A46FD"/>
    <w:rsid w:val="00454EC3"/>
    <w:rsid w:val="00456F8A"/>
    <w:rsid w:val="005238B3"/>
    <w:rsid w:val="0053708A"/>
    <w:rsid w:val="00680E50"/>
    <w:rsid w:val="006B5296"/>
    <w:rsid w:val="007C41AF"/>
    <w:rsid w:val="0090146D"/>
    <w:rsid w:val="00A936A7"/>
    <w:rsid w:val="00B50ED4"/>
    <w:rsid w:val="00DA31D6"/>
    <w:rsid w:val="00DE2A05"/>
    <w:rsid w:val="00EE2519"/>
    <w:rsid w:val="00F51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1335B"/>
  <w15:chartTrackingRefBased/>
  <w15:docId w15:val="{483389FB-5E63-4ECB-ABC2-A2E73C5E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708A"/>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54EC3"/>
    <w:pPr>
      <w:keepNext/>
      <w:keepLines/>
      <w:spacing w:before="240" w:after="0"/>
      <w:outlineLvl w:val="0"/>
    </w:pPr>
    <w:rPr>
      <w:rFonts w:asciiTheme="minorHAnsi" w:eastAsiaTheme="majorEastAsia" w:hAnsiTheme="minorHAnsi" w:cstheme="majorBidi"/>
      <w:b/>
      <w:color w:val="323E4F" w:themeColor="text2" w:themeShade="BF"/>
      <w:sz w:val="32"/>
      <w:szCs w:val="32"/>
    </w:rPr>
  </w:style>
  <w:style w:type="paragraph" w:styleId="Heading2">
    <w:name w:val="heading 2"/>
    <w:basedOn w:val="Normal"/>
    <w:next w:val="Normal"/>
    <w:link w:val="Heading2Char"/>
    <w:autoRedefine/>
    <w:uiPriority w:val="9"/>
    <w:unhideWhenUsed/>
    <w:qFormat/>
    <w:rsid w:val="00454EC3"/>
    <w:pPr>
      <w:keepNext/>
      <w:keepLines/>
      <w:spacing w:before="40" w:after="0"/>
      <w:outlineLvl w:val="1"/>
    </w:pPr>
    <w:rPr>
      <w:rFonts w:asciiTheme="minorHAnsi" w:eastAsiaTheme="majorEastAsia" w:hAnsiTheme="min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EC3"/>
    <w:rPr>
      <w:rFonts w:eastAsiaTheme="majorEastAsia" w:cstheme="majorBidi"/>
      <w:b/>
      <w:color w:val="323E4F" w:themeColor="text2" w:themeShade="BF"/>
      <w:sz w:val="32"/>
      <w:szCs w:val="32"/>
      <w:lang w:val="en-GB"/>
    </w:rPr>
  </w:style>
  <w:style w:type="character" w:customStyle="1" w:styleId="Heading2Char">
    <w:name w:val="Heading 2 Char"/>
    <w:basedOn w:val="DefaultParagraphFont"/>
    <w:link w:val="Heading2"/>
    <w:uiPriority w:val="9"/>
    <w:rsid w:val="00454EC3"/>
    <w:rPr>
      <w:rFonts w:eastAsiaTheme="majorEastAsia" w:cstheme="majorBidi"/>
      <w:b/>
      <w:color w:val="2E74B5" w:themeColor="accent1" w:themeShade="BF"/>
      <w:sz w:val="26"/>
      <w:szCs w:val="26"/>
      <w:lang w:val="en-GB"/>
    </w:rPr>
  </w:style>
  <w:style w:type="paragraph" w:styleId="TOCHeading">
    <w:name w:val="TOC Heading"/>
    <w:basedOn w:val="Heading1"/>
    <w:next w:val="Normal"/>
    <w:uiPriority w:val="39"/>
    <w:unhideWhenUsed/>
    <w:qFormat/>
    <w:rsid w:val="00013FF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13FF4"/>
    <w:pPr>
      <w:spacing w:after="100"/>
    </w:pPr>
  </w:style>
  <w:style w:type="paragraph" w:styleId="TOC2">
    <w:name w:val="toc 2"/>
    <w:basedOn w:val="Normal"/>
    <w:next w:val="Normal"/>
    <w:autoRedefine/>
    <w:uiPriority w:val="39"/>
    <w:unhideWhenUsed/>
    <w:rsid w:val="00013FF4"/>
    <w:pPr>
      <w:spacing w:after="100"/>
      <w:ind w:left="240"/>
    </w:pPr>
  </w:style>
  <w:style w:type="character" w:styleId="Hyperlink">
    <w:name w:val="Hyperlink"/>
    <w:basedOn w:val="DefaultParagraphFont"/>
    <w:uiPriority w:val="99"/>
    <w:unhideWhenUsed/>
    <w:rsid w:val="00013FF4"/>
    <w:rPr>
      <w:color w:val="0563C1" w:themeColor="hyperlink"/>
      <w:u w:val="single"/>
    </w:rPr>
  </w:style>
  <w:style w:type="paragraph" w:styleId="Header">
    <w:name w:val="header"/>
    <w:basedOn w:val="Normal"/>
    <w:link w:val="HeaderChar"/>
    <w:uiPriority w:val="99"/>
    <w:unhideWhenUsed/>
    <w:rsid w:val="00013F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3FF4"/>
    <w:rPr>
      <w:rFonts w:ascii="Times New Roman" w:hAnsi="Times New Roman"/>
      <w:sz w:val="24"/>
      <w:lang w:val="en-GB"/>
    </w:rPr>
  </w:style>
  <w:style w:type="paragraph" w:styleId="Footer">
    <w:name w:val="footer"/>
    <w:basedOn w:val="Normal"/>
    <w:link w:val="FooterChar"/>
    <w:uiPriority w:val="99"/>
    <w:unhideWhenUsed/>
    <w:rsid w:val="00013F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3FF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277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DFF171-7C59-49E1-AA06-663F426ED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7</Pages>
  <Words>1335</Words>
  <Characters>7615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Meril A&amp;A</cp:lastModifiedBy>
  <cp:revision>5</cp:revision>
  <dcterms:created xsi:type="dcterms:W3CDTF">2023-04-21T09:57:00Z</dcterms:created>
  <dcterms:modified xsi:type="dcterms:W3CDTF">2023-04-21T14:35:00Z</dcterms:modified>
</cp:coreProperties>
</file>