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EB924" w14:textId="77777777" w:rsidR="00606CA9" w:rsidRDefault="00606CA9" w:rsidP="00606CA9"/>
    <w:p w14:paraId="1D2927E5" w14:textId="5EECEDD1" w:rsidR="00606CA9" w:rsidRDefault="00606CA9" w:rsidP="00606CA9">
      <w:pPr>
        <w:jc w:val="center"/>
        <w:rPr>
          <w:b/>
          <w:bCs/>
          <w:sz w:val="28"/>
          <w:szCs w:val="28"/>
        </w:rPr>
      </w:pPr>
      <w:r w:rsidRPr="00606CA9">
        <w:rPr>
          <w:b/>
          <w:bCs/>
          <w:sz w:val="28"/>
          <w:szCs w:val="28"/>
        </w:rPr>
        <w:t>INTERNATIONAL FINANCIAL MANAGEMENT</w:t>
      </w:r>
    </w:p>
    <w:p w14:paraId="385DA133" w14:textId="7BFAC2CA" w:rsidR="003C404B" w:rsidRDefault="008806E2" w:rsidP="00606CA9">
      <w:pPr>
        <w:jc w:val="center"/>
        <w:rPr>
          <w:b/>
          <w:bCs/>
          <w:sz w:val="28"/>
          <w:szCs w:val="28"/>
        </w:rPr>
      </w:pPr>
      <w:r>
        <w:rPr>
          <w:b/>
          <w:bCs/>
          <w:sz w:val="28"/>
          <w:szCs w:val="28"/>
        </w:rPr>
        <w:t>LCBB6002</w:t>
      </w:r>
    </w:p>
    <w:p w14:paraId="7CE053F9" w14:textId="77777777" w:rsidR="003C404B" w:rsidRDefault="003C404B" w:rsidP="00606CA9">
      <w:pPr>
        <w:jc w:val="center"/>
        <w:rPr>
          <w:b/>
          <w:bCs/>
          <w:sz w:val="28"/>
          <w:szCs w:val="28"/>
        </w:rPr>
      </w:pPr>
    </w:p>
    <w:p w14:paraId="6CE2A96E" w14:textId="77777777" w:rsidR="008806E2" w:rsidRDefault="008806E2" w:rsidP="00606CA9">
      <w:pPr>
        <w:jc w:val="center"/>
        <w:rPr>
          <w:b/>
          <w:bCs/>
          <w:sz w:val="28"/>
          <w:szCs w:val="28"/>
        </w:rPr>
      </w:pPr>
    </w:p>
    <w:p w14:paraId="1BCB7F89" w14:textId="4B9F3A91" w:rsidR="008806E2" w:rsidRPr="005F327D" w:rsidRDefault="005F327D" w:rsidP="005F327D">
      <w:pPr>
        <w:spacing w:line="240" w:lineRule="auto"/>
        <w:jc w:val="center"/>
        <w:rPr>
          <w:b/>
          <w:bCs/>
          <w:sz w:val="28"/>
          <w:szCs w:val="28"/>
        </w:rPr>
      </w:pPr>
      <w:r w:rsidRPr="005F327D">
        <w:rPr>
          <w:b/>
          <w:bCs/>
          <w:sz w:val="28"/>
          <w:szCs w:val="28"/>
        </w:rPr>
        <w:t>D</w:t>
      </w:r>
      <w:r w:rsidRPr="005F327D">
        <w:rPr>
          <w:b/>
          <w:bCs/>
          <w:sz w:val="28"/>
          <w:szCs w:val="28"/>
        </w:rPr>
        <w:t xml:space="preserve">ifferent strategies that multinational corporations often adopt in managing their exposure to </w:t>
      </w:r>
      <w:r w:rsidRPr="005F327D">
        <w:rPr>
          <w:b/>
          <w:bCs/>
          <w:sz w:val="28"/>
          <w:szCs w:val="28"/>
        </w:rPr>
        <w:t xml:space="preserve">foreign </w:t>
      </w:r>
      <w:r w:rsidRPr="005F327D">
        <w:rPr>
          <w:b/>
          <w:bCs/>
          <w:sz w:val="28"/>
          <w:szCs w:val="28"/>
        </w:rPr>
        <w:t>exchange risks</w:t>
      </w:r>
      <w:r w:rsidRPr="005F327D">
        <w:rPr>
          <w:b/>
          <w:bCs/>
          <w:sz w:val="28"/>
          <w:szCs w:val="28"/>
        </w:rPr>
        <w:t>.</w:t>
      </w:r>
    </w:p>
    <w:p w14:paraId="12519A3D" w14:textId="77777777" w:rsidR="008806E2" w:rsidRDefault="008806E2" w:rsidP="00606CA9">
      <w:pPr>
        <w:jc w:val="center"/>
        <w:rPr>
          <w:b/>
          <w:bCs/>
          <w:sz w:val="28"/>
          <w:szCs w:val="28"/>
        </w:rPr>
      </w:pPr>
    </w:p>
    <w:p w14:paraId="088D78FA" w14:textId="77777777" w:rsidR="003C404B" w:rsidRDefault="003C404B" w:rsidP="00606CA9">
      <w:pPr>
        <w:jc w:val="center"/>
        <w:rPr>
          <w:b/>
          <w:bCs/>
          <w:sz w:val="28"/>
          <w:szCs w:val="28"/>
        </w:rPr>
      </w:pPr>
    </w:p>
    <w:p w14:paraId="35F62D12" w14:textId="77777777" w:rsidR="008806E2" w:rsidRDefault="008806E2" w:rsidP="00606CA9">
      <w:pPr>
        <w:jc w:val="center"/>
        <w:rPr>
          <w:b/>
          <w:bCs/>
          <w:sz w:val="28"/>
          <w:szCs w:val="28"/>
        </w:rPr>
      </w:pPr>
    </w:p>
    <w:p w14:paraId="6CD54563" w14:textId="77777777" w:rsidR="008806E2" w:rsidRDefault="008806E2" w:rsidP="00606CA9">
      <w:pPr>
        <w:jc w:val="center"/>
        <w:rPr>
          <w:b/>
          <w:bCs/>
          <w:sz w:val="28"/>
          <w:szCs w:val="28"/>
        </w:rPr>
      </w:pPr>
    </w:p>
    <w:p w14:paraId="1E0ADCDD" w14:textId="04D8A06B" w:rsidR="003C404B" w:rsidRPr="008806E2" w:rsidRDefault="003C404B" w:rsidP="003C404B">
      <w:pPr>
        <w:spacing w:line="240" w:lineRule="auto"/>
        <w:jc w:val="left"/>
        <w:rPr>
          <w:rFonts w:cs="Times New Roman"/>
          <w:szCs w:val="24"/>
        </w:rPr>
      </w:pPr>
      <w:r w:rsidRPr="008806E2">
        <w:rPr>
          <w:rFonts w:cs="Times New Roman"/>
          <w:szCs w:val="24"/>
        </w:rPr>
        <w:t xml:space="preserve">Student: Eugenia Adriana </w:t>
      </w:r>
      <w:r w:rsidR="00513D3B" w:rsidRPr="008806E2">
        <w:rPr>
          <w:rFonts w:cs="Times New Roman"/>
          <w:szCs w:val="24"/>
        </w:rPr>
        <w:t>Manda</w:t>
      </w:r>
      <w:r w:rsidR="00513D3B">
        <w:rPr>
          <w:rFonts w:cs="Times New Roman"/>
          <w:szCs w:val="24"/>
        </w:rPr>
        <w:t xml:space="preserve"> (</w:t>
      </w:r>
      <w:r w:rsidR="005F327D">
        <w:rPr>
          <w:rFonts w:cs="Times New Roman"/>
          <w:szCs w:val="24"/>
        </w:rPr>
        <w:t>2113738)</w:t>
      </w:r>
    </w:p>
    <w:p w14:paraId="744555C0" w14:textId="6A079E58" w:rsidR="008806E2" w:rsidRPr="008806E2" w:rsidRDefault="008806E2" w:rsidP="003C404B">
      <w:pPr>
        <w:spacing w:line="240" w:lineRule="auto"/>
        <w:jc w:val="left"/>
        <w:rPr>
          <w:rFonts w:cs="Times New Roman"/>
          <w:szCs w:val="24"/>
        </w:rPr>
      </w:pPr>
      <w:r w:rsidRPr="008806E2">
        <w:rPr>
          <w:rFonts w:cs="Times New Roman"/>
          <w:szCs w:val="24"/>
        </w:rPr>
        <w:t xml:space="preserve">Lecturer: </w:t>
      </w:r>
      <w:r w:rsidRPr="008806E2">
        <w:rPr>
          <w:rFonts w:cs="Times New Roman"/>
          <w:szCs w:val="24"/>
        </w:rPr>
        <w:t>Dr. Andry Rakotovololona</w:t>
      </w:r>
    </w:p>
    <w:p w14:paraId="0D0029B9" w14:textId="267641DA" w:rsidR="003C404B" w:rsidRPr="008806E2" w:rsidRDefault="003C404B" w:rsidP="003C404B">
      <w:pPr>
        <w:spacing w:line="240" w:lineRule="auto"/>
        <w:jc w:val="left"/>
        <w:rPr>
          <w:rFonts w:cs="Times New Roman"/>
          <w:szCs w:val="24"/>
        </w:rPr>
      </w:pPr>
      <w:r w:rsidRPr="008806E2">
        <w:rPr>
          <w:rFonts w:cs="Times New Roman"/>
          <w:szCs w:val="24"/>
        </w:rPr>
        <w:t>Data: 02.jan.2024</w:t>
      </w:r>
    </w:p>
    <w:p w14:paraId="13320C54" w14:textId="6CE98AD0" w:rsidR="008806E2" w:rsidRPr="008806E2" w:rsidRDefault="008806E2" w:rsidP="003C404B">
      <w:pPr>
        <w:spacing w:line="240" w:lineRule="auto"/>
        <w:jc w:val="left"/>
        <w:rPr>
          <w:rFonts w:cs="Times New Roman"/>
          <w:szCs w:val="24"/>
        </w:rPr>
      </w:pPr>
      <w:r w:rsidRPr="008806E2">
        <w:rPr>
          <w:rFonts w:cs="Times New Roman"/>
          <w:szCs w:val="24"/>
        </w:rPr>
        <w:t>Words:1,783</w:t>
      </w:r>
    </w:p>
    <w:p w14:paraId="7C3722DF" w14:textId="77777777" w:rsidR="003C404B" w:rsidRPr="008806E2" w:rsidRDefault="003C404B" w:rsidP="003C404B">
      <w:pPr>
        <w:jc w:val="left"/>
        <w:rPr>
          <w:rFonts w:cs="Times New Roman"/>
          <w:sz w:val="28"/>
          <w:szCs w:val="28"/>
        </w:rPr>
      </w:pPr>
    </w:p>
    <w:p w14:paraId="0A6C981F" w14:textId="77777777" w:rsidR="00606CA9" w:rsidRDefault="00606CA9" w:rsidP="00606CA9"/>
    <w:p w14:paraId="47AB0CB4" w14:textId="77777777" w:rsidR="00606CA9" w:rsidRPr="00606CA9" w:rsidRDefault="00606CA9" w:rsidP="00606CA9"/>
    <w:p w14:paraId="61054A42" w14:textId="77777777" w:rsidR="00606CA9" w:rsidRPr="00606CA9" w:rsidRDefault="00606CA9" w:rsidP="00606CA9"/>
    <w:p w14:paraId="37060126" w14:textId="77777777" w:rsidR="0022124E" w:rsidRDefault="0022124E" w:rsidP="0022124E">
      <w:r>
        <w:br w:type="page"/>
      </w:r>
    </w:p>
    <w:p w14:paraId="480C2B16" w14:textId="77777777" w:rsidR="00C87872" w:rsidRDefault="00C87872" w:rsidP="00C87872">
      <w:pPr>
        <w:pStyle w:val="TOCHeading"/>
        <w:rPr>
          <w:rFonts w:ascii="Times New Roman" w:hAnsi="Times New Roman" w:cs="Times New Roman"/>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7872">
        <w:rPr>
          <w:rFonts w:ascii="Times New Roman" w:hAnsi="Times New Roman" w:cs="Times New Roman"/>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w:t>
      </w:r>
      <w:r w:rsidRPr="00C87872">
        <w:rPr>
          <w:rFonts w:ascii="Times New Roman" w:hAnsi="Times New Roman" w:cs="Times New Roman"/>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ontents</w:t>
      </w:r>
    </w:p>
    <w:p w14:paraId="5584497E" w14:textId="77777777" w:rsidR="00C87872" w:rsidRPr="00C87872" w:rsidRDefault="00C87872" w:rsidP="00C87872">
      <w:pPr>
        <w:rPr>
          <w:lang w:eastAsia="ja-JP"/>
        </w:rPr>
      </w:pPr>
    </w:p>
    <w:p w14:paraId="0B3ECB68" w14:textId="77777777" w:rsidR="00C87872" w:rsidRPr="00C87872" w:rsidRDefault="00C87872" w:rsidP="00C87872">
      <w:pPr>
        <w:pStyle w:val="TOC1"/>
        <w:tabs>
          <w:tab w:val="right" w:leader="dot" w:pos="9350"/>
        </w:tabs>
        <w:spacing w:line="240" w:lineRule="auto"/>
        <w:rPr>
          <w:rFonts w:cs="Times New Roman"/>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54699555" w:history="1">
        <w:r w:rsidRPr="00C87872">
          <w:rPr>
            <w:rStyle w:val="Hyperlink"/>
            <w:rFonts w:cs="Times New Roman"/>
            <w:noProof/>
            <w:color w:val="000000" w:themeColor="text1"/>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_Toc154699555 \h </w:instrTex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30E18AC" w14:textId="77777777" w:rsidR="00C87872" w:rsidRPr="00C87872" w:rsidRDefault="00C87872" w:rsidP="00C87872">
      <w:pPr>
        <w:pStyle w:val="TOC1"/>
        <w:tabs>
          <w:tab w:val="right" w:leader="dot" w:pos="9350"/>
        </w:tabs>
        <w:spacing w:line="240" w:lineRule="auto"/>
        <w:rPr>
          <w:rFonts w:cs="Times New Roman"/>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54699556" w:history="1">
        <w:r w:rsidRPr="00C87872">
          <w:rPr>
            <w:rStyle w:val="Hyperlink"/>
            <w:rFonts w:cs="Times New Roman"/>
            <w:noProof/>
            <w:color w:val="000000" w:themeColor="text1"/>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Is Foreign Exchange Risk Management Important</w: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_Toc154699556 \h </w:instrTex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ED52153" w14:textId="77777777" w:rsidR="00C87872" w:rsidRPr="00C87872" w:rsidRDefault="00C87872" w:rsidP="00C87872">
      <w:pPr>
        <w:pStyle w:val="TOC1"/>
        <w:tabs>
          <w:tab w:val="right" w:leader="dot" w:pos="9350"/>
        </w:tabs>
        <w:spacing w:line="240" w:lineRule="auto"/>
        <w:rPr>
          <w:rFonts w:cs="Times New Roman"/>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54699557" w:history="1">
        <w:r w:rsidRPr="00C87872">
          <w:rPr>
            <w:rStyle w:val="Hyperlink"/>
            <w:rFonts w:cs="Times New Roman"/>
            <w:noProof/>
            <w:color w:val="000000" w:themeColor="text1"/>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associated with Foreign exchange</w: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_Toc154699557 \h </w:instrTex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16C58C0" w14:textId="77777777" w:rsidR="00C87872" w:rsidRPr="00C87872" w:rsidRDefault="00C87872" w:rsidP="00C87872">
      <w:pPr>
        <w:pStyle w:val="TOC1"/>
        <w:tabs>
          <w:tab w:val="right" w:leader="dot" w:pos="9350"/>
        </w:tabs>
        <w:spacing w:line="240" w:lineRule="auto"/>
        <w:rPr>
          <w:rFonts w:cs="Times New Roman"/>
          <w:noProof/>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54699558" w:history="1">
        <w:r w:rsidRPr="00C87872">
          <w:rPr>
            <w:rStyle w:val="Hyperlink"/>
            <w:rFonts w:cs="Times New Roman"/>
            <w:noProof/>
            <w:color w:val="000000" w:themeColor="text1"/>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Risk Management Strategies for Foreign Exchange</w: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_Toc154699558 \h </w:instrTex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AA23102" w14:textId="5CFDD805" w:rsidR="00C87872" w:rsidRPr="00C87872" w:rsidRDefault="00C87872" w:rsidP="00C87872">
      <w:pPr>
        <w:spacing w:line="240" w:lineRule="auto"/>
        <w:rPr>
          <w:rFonts w:cs="Times New Roman"/>
          <w:color w:val="000000" w:themeColor="text1"/>
          <w:szCs w:val="24"/>
          <w:lang w:eastAsia="ja-JP"/>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54699559" w:history="1">
        <w:r w:rsidRPr="00C87872">
          <w:rPr>
            <w:rStyle w:val="Hyperlink"/>
            <w:rFonts w:cs="Times New Roman"/>
            <w:noProof/>
            <w:color w:val="000000" w:themeColor="text1"/>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Establishing Foreign Exchange Risk Management Systems</w: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_Toc154699559 \h </w:instrTex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C87872">
          <w:rPr>
            <w:rFonts w:cs="Times New Roman"/>
            <w:noProof/>
            <w:webHidde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BCD43C7" w14:textId="77777777" w:rsidR="00106F1F" w:rsidRDefault="00106F1F">
      <w:pPr>
        <w:spacing w:line="276" w:lineRule="auto"/>
        <w:jc w:val="left"/>
      </w:pPr>
      <w:r>
        <w:br w:type="page"/>
      </w:r>
    </w:p>
    <w:p w14:paraId="1D84DF3C" w14:textId="3A18D026" w:rsidR="007B559C" w:rsidRPr="007B559C" w:rsidRDefault="007B559C" w:rsidP="007B559C">
      <w:pPr>
        <w:rPr>
          <w:b/>
          <w:bCs/>
          <w:sz w:val="28"/>
          <w:szCs w:val="28"/>
        </w:rPr>
      </w:pPr>
      <w:r>
        <w:rPr>
          <w:b/>
          <w:bCs/>
          <w:sz w:val="28"/>
          <w:szCs w:val="28"/>
        </w:rPr>
        <w:lastRenderedPageBreak/>
        <w:t>I</w:t>
      </w:r>
      <w:r w:rsidRPr="007B559C">
        <w:rPr>
          <w:b/>
          <w:bCs/>
          <w:sz w:val="28"/>
          <w:szCs w:val="28"/>
        </w:rPr>
        <w:t>ntroduction</w:t>
      </w:r>
    </w:p>
    <w:p w14:paraId="4700ABF6" w14:textId="510CCF0C" w:rsidR="00471816" w:rsidRDefault="007121AB" w:rsidP="007121AB">
      <w:r w:rsidRPr="007121AB">
        <w:t>Foreign exchange risk management requires standards and strategies to mitigate currency pairing impacts. A successful risk management plan and currency fluctuation control are needed before transactions. Foreign exchange platforms can help with this operation, which requires comprehensive knowledge of foreign exchange trading. Trading risk cannot be reduced without a strategy. The commerce and personal tastes and demands may affect risk management strategies. Effective Foreign Exchange risk management demands a well-organized plan. Due to China's rapid economic growth, the foreign exchange market is immature, making foreign exchange risk management difficult for international firms. Exchange rates may affect a company's long-term growth and cash flow. Multinational firms increase exchange rate volatility and global economic weakness</w:t>
      </w:r>
      <w:r w:rsidR="00592F9A" w:rsidRPr="00592F9A">
        <w:t xml:space="preserve"> </w:t>
      </w:r>
      <w:r w:rsidR="00592F9A">
        <w:t xml:space="preserve">(Madura et al., </w:t>
      </w:r>
      <w:r w:rsidR="00592F9A" w:rsidRPr="00592F9A">
        <w:t>2018</w:t>
      </w:r>
      <w:r w:rsidR="00592F9A">
        <w:t>)</w:t>
      </w:r>
      <w:r w:rsidRPr="007121AB">
        <w:t xml:space="preserve">. This may damage multinational firms since big short-term currency rate changes could hurt their profits and cause large losses. Since foreign exchange risk can be avoided with effective management, international firms worry about it. This case study examines multinational </w:t>
      </w:r>
      <w:r w:rsidR="00CB3296" w:rsidRPr="007121AB">
        <w:t>organization’s</w:t>
      </w:r>
      <w:r w:rsidRPr="007121AB">
        <w:t xml:space="preserve"> foreign exchange risk management platforms and proposes ways to improve awareness and build a strong framework. </w:t>
      </w:r>
    </w:p>
    <w:p w14:paraId="4C426FDD" w14:textId="77777777" w:rsidR="005F327D" w:rsidRDefault="005F327D" w:rsidP="007121AB"/>
    <w:p w14:paraId="0ABC5BC8" w14:textId="77777777" w:rsidR="005F327D" w:rsidRDefault="005F327D" w:rsidP="007121AB"/>
    <w:p w14:paraId="3462F40A" w14:textId="77777777" w:rsidR="005F327D" w:rsidRDefault="005F327D" w:rsidP="007121AB"/>
    <w:p w14:paraId="48280D41" w14:textId="77777777" w:rsidR="005F327D" w:rsidRDefault="005F327D" w:rsidP="007121AB"/>
    <w:p w14:paraId="3AF5EAB9" w14:textId="77777777" w:rsidR="005F327D" w:rsidRDefault="005F327D" w:rsidP="007121AB"/>
    <w:p w14:paraId="224F5452" w14:textId="77777777" w:rsidR="005F327D" w:rsidRDefault="005F327D" w:rsidP="007121AB"/>
    <w:p w14:paraId="5AD9E7C3" w14:textId="77777777" w:rsidR="005F327D" w:rsidRDefault="005F327D" w:rsidP="007121AB"/>
    <w:p w14:paraId="4A51991E" w14:textId="77777777" w:rsidR="005F327D" w:rsidRDefault="005F327D" w:rsidP="007121AB"/>
    <w:p w14:paraId="6E4F3533" w14:textId="77777777" w:rsidR="005F327D" w:rsidRDefault="005F327D" w:rsidP="007121AB"/>
    <w:p w14:paraId="25B86205" w14:textId="77777777" w:rsidR="005F327D" w:rsidRDefault="005F327D" w:rsidP="007121AB"/>
    <w:p w14:paraId="50477DD9" w14:textId="5C187A4E" w:rsidR="007B559C" w:rsidRPr="007B559C" w:rsidRDefault="007B559C" w:rsidP="007B559C">
      <w:pPr>
        <w:rPr>
          <w:b/>
          <w:bCs/>
          <w:sz w:val="28"/>
          <w:szCs w:val="28"/>
        </w:rPr>
      </w:pPr>
      <w:r w:rsidRPr="007B559C">
        <w:rPr>
          <w:b/>
          <w:bCs/>
          <w:sz w:val="28"/>
          <w:szCs w:val="28"/>
        </w:rPr>
        <w:lastRenderedPageBreak/>
        <w:t>Why is Foreign Exchange Risk Management Important</w:t>
      </w:r>
    </w:p>
    <w:p w14:paraId="2E13D7F2" w14:textId="26355D3F" w:rsidR="00471816" w:rsidRDefault="00471816" w:rsidP="007121AB">
      <w:r w:rsidRPr="00471816">
        <w:t xml:space="preserve">Companies with global operations or plans must ensure they effectively manage foreign exchange (FX) risk. </w:t>
      </w:r>
      <w:r w:rsidR="00513D3B" w:rsidRPr="00471816">
        <w:t>The values</w:t>
      </w:r>
      <w:r w:rsidRPr="00471816">
        <w:t xml:space="preserve"> of currencies fluctuate in relation to one another all the time, but this is especially true for major currencies right now</w:t>
      </w:r>
      <w:r w:rsidR="00513D3B" w:rsidRPr="00471816">
        <w:t xml:space="preserve">. </w:t>
      </w:r>
      <w:r w:rsidRPr="00471816">
        <w:t xml:space="preserve">There is a lot of unpredictability for companies due to the periodicity of these changes. The value of cash flowing in and going out might fluctuate often, which can lead to income volatility. Businesses are implementing strategies to reduce their exposure to foreign exchange risk </w:t>
      </w:r>
      <w:r w:rsidR="00513D3B" w:rsidRPr="00471816">
        <w:t>because of</w:t>
      </w:r>
      <w:r w:rsidRPr="00471816">
        <w:t xml:space="preserve"> their increased awareness of the risks associated with currency</w:t>
      </w:r>
      <w:r w:rsidR="00592F9A" w:rsidRPr="00592F9A">
        <w:t xml:space="preserve"> </w:t>
      </w:r>
      <w:r w:rsidR="00592F9A">
        <w:t xml:space="preserve">(Oxelheim et al., </w:t>
      </w:r>
      <w:r w:rsidR="00592F9A" w:rsidRPr="00592F9A">
        <w:t>2020</w:t>
      </w:r>
      <w:r w:rsidR="00592F9A">
        <w:t>)</w:t>
      </w:r>
      <w:r w:rsidRPr="00471816">
        <w:t>. Futures, options, and aggregation are factors that certain businesses consider.</w:t>
      </w:r>
      <w:r w:rsidR="007121AB" w:rsidRPr="007121AB">
        <w:t xml:space="preserve"> </w:t>
      </w:r>
      <w:r w:rsidR="00592F9A" w:rsidRPr="00592F9A">
        <w:t xml:space="preserve">For transactions that will occur outside of the organization's functional currency but are not reported on the financial statements, foreign exchange swings have the potential to increase the functional-currency value of anticipated expenditures and decrease the functional-currency value of predicted foreign-currency profits. When one nation invests in another, foreign exchange is also crucial. </w:t>
      </w:r>
      <w:r w:rsidR="00E01A38">
        <w:t>For example, t</w:t>
      </w:r>
      <w:r w:rsidR="00592F9A" w:rsidRPr="00592F9A">
        <w:t xml:space="preserve">he US must use rupees as payment for its investments in India. Foreign exchange is in demand </w:t>
      </w:r>
      <w:r w:rsidR="00E01A38" w:rsidRPr="00592F9A">
        <w:t>because of</w:t>
      </w:r>
      <w:r w:rsidR="00592F9A" w:rsidRPr="00592F9A">
        <w:t xml:space="preserve"> these exchanges </w:t>
      </w:r>
      <w:r w:rsidR="00592F9A">
        <w:t>(</w:t>
      </w:r>
      <w:r w:rsidR="00592F9A" w:rsidRPr="00592F9A">
        <w:t>Kihara</w:t>
      </w:r>
      <w:r w:rsidR="00592F9A">
        <w:t xml:space="preserve"> </w:t>
      </w:r>
      <w:r w:rsidR="00592F9A" w:rsidRPr="00592F9A">
        <w:t>and Muturi, 2016</w:t>
      </w:r>
      <w:r w:rsidR="00592F9A">
        <w:t>)</w:t>
      </w:r>
      <w:r w:rsidR="00592F9A" w:rsidRPr="00592F9A">
        <w:t>.</w:t>
      </w:r>
    </w:p>
    <w:p w14:paraId="4A503CF3" w14:textId="77777777" w:rsidR="00B377AE" w:rsidRDefault="00B377AE">
      <w:pPr>
        <w:spacing w:line="276" w:lineRule="auto"/>
        <w:jc w:val="left"/>
      </w:pPr>
      <w:r>
        <w:br w:type="page"/>
      </w:r>
    </w:p>
    <w:p w14:paraId="172B8727" w14:textId="0B50236D" w:rsidR="00CB3296" w:rsidRPr="00CB3296" w:rsidRDefault="00CB3296" w:rsidP="00CB3296">
      <w:pPr>
        <w:rPr>
          <w:sz w:val="28"/>
          <w:szCs w:val="28"/>
        </w:rPr>
      </w:pPr>
      <w:r w:rsidRPr="00CB3296">
        <w:rPr>
          <w:b/>
          <w:bCs/>
          <w:sz w:val="28"/>
          <w:szCs w:val="28"/>
        </w:rPr>
        <w:lastRenderedPageBreak/>
        <w:t>Risk associated with foreign exchange</w:t>
      </w:r>
      <w:r w:rsidRPr="00CB3296">
        <w:rPr>
          <w:sz w:val="28"/>
          <w:szCs w:val="28"/>
        </w:rPr>
        <w:t>.</w:t>
      </w:r>
    </w:p>
    <w:p w14:paraId="251DC34A" w14:textId="34E662FD" w:rsidR="00702582" w:rsidRDefault="00702582" w:rsidP="00702582">
      <w:r>
        <w:t xml:space="preserve">The preponderance of "transaction risk," which arises from volatility in exchange rates preceding resolution, pertains to the peril that an </w:t>
      </w:r>
      <w:r w:rsidR="00CB3296">
        <w:t>organization</w:t>
      </w:r>
      <w:r>
        <w:t xml:space="preserve"> assumes when engaging in international financial transactions. Forward contracts and options can assist in mitigating this risk</w:t>
      </w:r>
      <w:r w:rsidR="00592F9A" w:rsidRPr="00592F9A">
        <w:t xml:space="preserve"> </w:t>
      </w:r>
      <w:r w:rsidR="00592F9A">
        <w:t>(</w:t>
      </w:r>
      <w:r w:rsidR="00592F9A" w:rsidRPr="00592F9A">
        <w:t>Ito</w:t>
      </w:r>
      <w:r w:rsidR="00592F9A">
        <w:t xml:space="preserve"> et al., </w:t>
      </w:r>
      <w:r w:rsidR="00592F9A" w:rsidRPr="00592F9A">
        <w:t>2016</w:t>
      </w:r>
      <w:r w:rsidR="00592F9A">
        <w:t>)</w:t>
      </w:r>
      <w:r>
        <w:t>. For instance, a Canadian company with operations in China might be required to pay CAD100 (CNY600/6) instead of CAD86 (CNY600/7) if the exchange rate lowers to 1 CAD for 6 CNY prior to the settlement date.</w:t>
      </w:r>
    </w:p>
    <w:p w14:paraId="2507C607" w14:textId="77777777" w:rsidR="009866C3" w:rsidRDefault="009866C3" w:rsidP="00702582"/>
    <w:p w14:paraId="527867C8" w14:textId="665624C8" w:rsidR="00431466" w:rsidRPr="009866C3" w:rsidRDefault="00431466" w:rsidP="00702582">
      <w:pPr>
        <w:rPr>
          <w:b/>
          <w:bCs/>
        </w:rPr>
      </w:pPr>
      <w:r w:rsidRPr="009866C3">
        <w:rPr>
          <w:b/>
          <w:bCs/>
        </w:rPr>
        <w:t xml:space="preserve">Canadian </w:t>
      </w:r>
      <w:r w:rsidR="004A1126" w:rsidRPr="009866C3">
        <w:rPr>
          <w:b/>
          <w:bCs/>
        </w:rPr>
        <w:t>dollar (</w:t>
      </w:r>
      <w:r w:rsidRPr="009866C3">
        <w:rPr>
          <w:b/>
          <w:bCs/>
        </w:rPr>
        <w:t xml:space="preserve">CND) </w:t>
      </w:r>
      <w:r w:rsidR="00941DA0" w:rsidRPr="009866C3">
        <w:rPr>
          <w:b/>
          <w:bCs/>
        </w:rPr>
        <w:t>vs Chinese</w:t>
      </w:r>
      <w:r w:rsidRPr="009866C3">
        <w:rPr>
          <w:b/>
          <w:bCs/>
        </w:rPr>
        <w:t xml:space="preserve"> yuan (CNY)</w:t>
      </w:r>
    </w:p>
    <w:p w14:paraId="1B358C8D" w14:textId="77777777" w:rsidR="00431466" w:rsidRDefault="00431466" w:rsidP="00431466">
      <w:pPr>
        <w:pStyle w:val="NormalWeb"/>
      </w:pPr>
      <w:r>
        <w:rPr>
          <w:noProof/>
        </w:rPr>
        <w:drawing>
          <wp:inline distT="0" distB="0" distL="0" distR="0" wp14:anchorId="705DAB4D" wp14:editId="27665229">
            <wp:extent cx="5135880" cy="2637188"/>
            <wp:effectExtent l="0" t="0" r="7620" b="0"/>
            <wp:docPr id="2" name="Picture 1" descr="A graph of a stock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aph of a stock marke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93365" cy="2666705"/>
                    </a:xfrm>
                    <a:prstGeom prst="rect">
                      <a:avLst/>
                    </a:prstGeom>
                    <a:noFill/>
                    <a:ln>
                      <a:noFill/>
                    </a:ln>
                  </pic:spPr>
                </pic:pic>
              </a:graphicData>
            </a:graphic>
          </wp:inline>
        </w:drawing>
      </w:r>
    </w:p>
    <w:p w14:paraId="44629593" w14:textId="5CCC36F2" w:rsidR="00431466" w:rsidRPr="00431466" w:rsidRDefault="00431466" w:rsidP="00431466">
      <w:pPr>
        <w:pStyle w:val="NormalWeb"/>
        <w:jc w:val="center"/>
        <w:rPr>
          <w:sz w:val="18"/>
          <w:szCs w:val="18"/>
        </w:rPr>
      </w:pPr>
      <w:r w:rsidRPr="00431466">
        <w:rPr>
          <w:sz w:val="18"/>
          <w:szCs w:val="18"/>
        </w:rPr>
        <w:t>www.tradingview.com</w:t>
      </w:r>
    </w:p>
    <w:p w14:paraId="09EC4570" w14:textId="77777777" w:rsidR="00431466" w:rsidRDefault="00431466" w:rsidP="00702582"/>
    <w:p w14:paraId="08D83F1E" w14:textId="77777777" w:rsidR="00431466" w:rsidRDefault="00431466" w:rsidP="00702582"/>
    <w:p w14:paraId="14DC8F07" w14:textId="77777777" w:rsidR="00431466" w:rsidRDefault="00431466" w:rsidP="00702582"/>
    <w:p w14:paraId="622BCE66" w14:textId="77777777" w:rsidR="00431466" w:rsidRDefault="00431466" w:rsidP="00702582"/>
    <w:p w14:paraId="426F1284" w14:textId="77777777" w:rsidR="00431466" w:rsidRDefault="00431466" w:rsidP="00702582"/>
    <w:p w14:paraId="6262BF56" w14:textId="77777777" w:rsidR="00431466" w:rsidRDefault="00431466" w:rsidP="00702582"/>
    <w:p w14:paraId="0B95FDB0" w14:textId="77777777" w:rsidR="008C6779" w:rsidRDefault="008C6779" w:rsidP="00702582"/>
    <w:p w14:paraId="77847457" w14:textId="28D41A60" w:rsidR="008C6779" w:rsidRPr="007B559C" w:rsidRDefault="00941DA0" w:rsidP="00941DA0">
      <w:pPr>
        <w:spacing w:line="240" w:lineRule="auto"/>
        <w:jc w:val="center"/>
        <w:rPr>
          <w:b/>
          <w:bCs/>
          <w:sz w:val="28"/>
          <w:szCs w:val="28"/>
        </w:rPr>
      </w:pPr>
      <w:r w:rsidRPr="007B559C">
        <w:rPr>
          <w:b/>
          <w:bCs/>
          <w:sz w:val="28"/>
          <w:szCs w:val="28"/>
        </w:rPr>
        <w:t>Historical Currency Exchange rate</w:t>
      </w:r>
    </w:p>
    <w:p w14:paraId="7F92179C" w14:textId="330BCCEE" w:rsidR="00941DA0" w:rsidRDefault="00941DA0" w:rsidP="00941DA0">
      <w:pPr>
        <w:spacing w:line="240" w:lineRule="auto"/>
        <w:jc w:val="center"/>
        <w:rPr>
          <w:szCs w:val="24"/>
        </w:rPr>
      </w:pPr>
      <w:r w:rsidRPr="00941DA0">
        <w:rPr>
          <w:szCs w:val="24"/>
        </w:rPr>
        <w:t>(CAD/CNY)</w:t>
      </w:r>
    </w:p>
    <w:p w14:paraId="07F06354" w14:textId="77777777" w:rsidR="00941DA0" w:rsidRPr="00941DA0" w:rsidRDefault="00941DA0" w:rsidP="00941DA0">
      <w:pPr>
        <w:spacing w:line="240" w:lineRule="auto"/>
        <w:jc w:val="center"/>
        <w:rPr>
          <w:szCs w:val="24"/>
        </w:rPr>
      </w:pPr>
    </w:p>
    <w:p w14:paraId="39D282E4" w14:textId="77777777" w:rsidR="00941DA0" w:rsidRDefault="00941DA0" w:rsidP="00941DA0">
      <w:pPr>
        <w:spacing w:line="240" w:lineRule="auto"/>
        <w:rPr>
          <w:szCs w:val="24"/>
        </w:rPr>
      </w:pPr>
      <w:r w:rsidRPr="008C6779">
        <w:rPr>
          <w:szCs w:val="24"/>
        </w:rPr>
        <w:t>Cadian dollar to Chinese Yuan Renminbi Exchange rate chart</w:t>
      </w:r>
    </w:p>
    <w:p w14:paraId="6DF03A42" w14:textId="77777777" w:rsidR="00941DA0" w:rsidRPr="008C6779" w:rsidRDefault="00941DA0" w:rsidP="00941DA0">
      <w:pPr>
        <w:spacing w:line="240" w:lineRule="auto"/>
        <w:rPr>
          <w:sz w:val="22"/>
        </w:rPr>
      </w:pPr>
      <w:r w:rsidRPr="008C6779">
        <w:rPr>
          <w:sz w:val="22"/>
        </w:rPr>
        <w:t>CAD/CNY</w:t>
      </w:r>
      <w:r w:rsidRPr="008C6779">
        <w:rPr>
          <w:rStyle w:val="Strong"/>
          <w:sz w:val="22"/>
        </w:rPr>
        <w:t xml:space="preserve"> close: </w:t>
      </w:r>
      <w:r w:rsidRPr="008C6779">
        <w:rPr>
          <w:sz w:val="22"/>
        </w:rPr>
        <w:t>5.38651</w:t>
      </w:r>
      <w:r w:rsidRPr="008C6779">
        <w:rPr>
          <w:rStyle w:val="Strong"/>
          <w:sz w:val="22"/>
        </w:rPr>
        <w:t xml:space="preserve"> low: </w:t>
      </w:r>
      <w:r w:rsidRPr="008C6779">
        <w:rPr>
          <w:sz w:val="22"/>
        </w:rPr>
        <w:t>4.49418</w:t>
      </w:r>
      <w:r w:rsidRPr="008C6779">
        <w:rPr>
          <w:rStyle w:val="Strong"/>
          <w:sz w:val="22"/>
        </w:rPr>
        <w:t xml:space="preserve"> high: </w:t>
      </w:r>
      <w:r w:rsidRPr="008C6779">
        <w:rPr>
          <w:sz w:val="22"/>
        </w:rPr>
        <w:t>5.83974</w:t>
      </w:r>
    </w:p>
    <w:p w14:paraId="2DFB0ED1" w14:textId="5DA399A4" w:rsidR="00431466" w:rsidRDefault="008C6779" w:rsidP="00702582">
      <w:r>
        <w:rPr>
          <w:noProof/>
        </w:rPr>
        <w:drawing>
          <wp:inline distT="0" distB="0" distL="0" distR="0" wp14:anchorId="684A178B" wp14:editId="7EE71DBD">
            <wp:extent cx="6377940" cy="3630930"/>
            <wp:effectExtent l="0" t="0" r="3810" b="7620"/>
            <wp:docPr id="5253005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300554" name="Picture 1" descr="A screenshot of a computer&#10;&#10;Description automatically generated"/>
                    <pic:cNvPicPr/>
                  </pic:nvPicPr>
                  <pic:blipFill>
                    <a:blip r:embed="rId8"/>
                    <a:stretch>
                      <a:fillRect/>
                    </a:stretch>
                  </pic:blipFill>
                  <pic:spPr>
                    <a:xfrm>
                      <a:off x="0" y="0"/>
                      <a:ext cx="6394740" cy="3640494"/>
                    </a:xfrm>
                    <a:prstGeom prst="rect">
                      <a:avLst/>
                    </a:prstGeom>
                  </pic:spPr>
                </pic:pic>
              </a:graphicData>
            </a:graphic>
          </wp:inline>
        </w:drawing>
      </w:r>
    </w:p>
    <w:p w14:paraId="4A8471B3" w14:textId="4A6C7932" w:rsidR="008C6779" w:rsidRPr="00941DA0" w:rsidRDefault="00941DA0" w:rsidP="00941DA0">
      <w:pPr>
        <w:jc w:val="center"/>
        <w:rPr>
          <w:sz w:val="18"/>
          <w:szCs w:val="18"/>
        </w:rPr>
      </w:pPr>
      <w:r w:rsidRPr="00941DA0">
        <w:rPr>
          <w:sz w:val="18"/>
          <w:szCs w:val="18"/>
        </w:rPr>
        <w:t>www.xe.com/currencycharts</w:t>
      </w:r>
    </w:p>
    <w:p w14:paraId="5CB37F2C" w14:textId="77777777" w:rsidR="008C6779" w:rsidRDefault="008C6779" w:rsidP="00702582"/>
    <w:p w14:paraId="01D9AABB" w14:textId="77777777" w:rsidR="00702582" w:rsidRDefault="00702582" w:rsidP="00702582">
      <w:r>
        <w:t>Economic risk, which is also known as forecast risk, pertains to the potential impact on the market value of a company caused by an unavoidable vulnerability to fluctuations in exchange rates. In many cases, this risk is exacerbated by macroeconomic factors, including geopolitical instability and government restrictions. For instance, a Canadian furniture manufacturer may be exposed to a financial risk if furniture imports result in an unanticipated appreciation of the Canadian dollar.</w:t>
      </w:r>
    </w:p>
    <w:p w14:paraId="16777EEF" w14:textId="163ABB20" w:rsidR="00471816" w:rsidRDefault="00702582" w:rsidP="00702582">
      <w:r>
        <w:lastRenderedPageBreak/>
        <w:t xml:space="preserve">Translation risk is the potential danger encountered by a domestic corporation that operates in a foreign </w:t>
      </w:r>
      <w:r w:rsidR="00513D3B">
        <w:t>authority</w:t>
      </w:r>
      <w:r>
        <w:t xml:space="preserve"> using its home currency to disclose its financial performance. This danger is also known as translation exposure. The risk associated with a business maintaining a greater proportion of its liabilities, equities, or assets denominated in foreign currencies escalates</w:t>
      </w:r>
      <w:r w:rsidR="00592F9A" w:rsidRPr="00592F9A">
        <w:t xml:space="preserve"> </w:t>
      </w:r>
      <w:r w:rsidR="00592F9A">
        <w:t>(</w:t>
      </w:r>
      <w:r w:rsidR="00592F9A" w:rsidRPr="00592F9A">
        <w:t>Bernoth</w:t>
      </w:r>
      <w:r w:rsidR="00592F9A">
        <w:t xml:space="preserve"> </w:t>
      </w:r>
      <w:r w:rsidR="00592F9A" w:rsidRPr="00592F9A">
        <w:t>and Herwartz, 2021</w:t>
      </w:r>
      <w:r w:rsidR="00592F9A">
        <w:t>)</w:t>
      </w:r>
      <w:r>
        <w:t>.</w:t>
      </w:r>
      <w:r w:rsidR="00471816">
        <w:br w:type="page"/>
      </w:r>
    </w:p>
    <w:p w14:paraId="4366C077" w14:textId="738FEF54" w:rsidR="00941DA0" w:rsidRPr="00941DA0" w:rsidRDefault="00941DA0" w:rsidP="00941DA0">
      <w:pPr>
        <w:rPr>
          <w:b/>
          <w:bCs/>
          <w:sz w:val="28"/>
          <w:szCs w:val="28"/>
        </w:rPr>
      </w:pPr>
      <w:r w:rsidRPr="00941DA0">
        <w:rPr>
          <w:b/>
          <w:bCs/>
          <w:sz w:val="28"/>
          <w:szCs w:val="28"/>
        </w:rPr>
        <w:lastRenderedPageBreak/>
        <w:t>The risk management strategies for Foreign Exchange</w:t>
      </w:r>
    </w:p>
    <w:p w14:paraId="60ECDE7A" w14:textId="5E01A5A2" w:rsidR="00471816" w:rsidRDefault="00471816" w:rsidP="00471816">
      <w:r w:rsidRPr="00941DA0">
        <w:rPr>
          <w:b/>
          <w:bCs/>
          <w:i/>
          <w:iCs/>
        </w:rPr>
        <w:t>Use Stop Loss Orders</w:t>
      </w:r>
      <w:r w:rsidR="00941DA0">
        <w:t xml:space="preserve"> </w:t>
      </w:r>
      <w:r w:rsidR="00872C72">
        <w:t xml:space="preserve">a </w:t>
      </w:r>
      <w:r w:rsidR="00DC328F" w:rsidRPr="00DC328F">
        <w:t xml:space="preserve">stop-loss order is an order placed with a broker to buy or sell a specific stock once the stock reaches a certain price. </w:t>
      </w:r>
      <w:r w:rsidR="00941DA0" w:rsidRPr="00471816">
        <w:t>If</w:t>
      </w:r>
      <w:r w:rsidRPr="00471816">
        <w:t xml:space="preserve"> a transaction does not go according to plan, a</w:t>
      </w:r>
      <w:r w:rsidR="00DC328F">
        <w:t xml:space="preserve"> stop-loss order </w:t>
      </w:r>
      <w:r w:rsidR="00941DA0">
        <w:t>can</w:t>
      </w:r>
      <w:r w:rsidR="00DC328F">
        <w:t xml:space="preserve"> protect one</w:t>
      </w:r>
      <w:r w:rsidRPr="00471816">
        <w:t xml:space="preserve"> from incurring a severe </w:t>
      </w:r>
      <w:r w:rsidR="005B5001" w:rsidRPr="00471816">
        <w:t>economic loss</w:t>
      </w:r>
      <w:r w:rsidRPr="00471816">
        <w:t xml:space="preserve">. Both long and short positions can benefit from stop-loss orders, and the configuration of these orders can be altered to accommodate your trading style. </w:t>
      </w:r>
    </w:p>
    <w:p w14:paraId="33FC0440" w14:textId="087C3BEB" w:rsidR="00471816" w:rsidRDefault="00471816" w:rsidP="00471816">
      <w:r w:rsidRPr="00872C72">
        <w:rPr>
          <w:b/>
          <w:bCs/>
          <w:i/>
          <w:iCs/>
        </w:rPr>
        <w:t>Use Trailing Stop Loss Orders</w:t>
      </w:r>
      <w:r w:rsidR="00872C72">
        <w:t>, a</w:t>
      </w:r>
      <w:r w:rsidR="00DC328F" w:rsidRPr="00DC328F">
        <w:t xml:space="preserve"> Trailing Stop Loss is an automated trading order aimed at protecting gains and limiting losses. It sets a stop order at a specific percentage or dollar amount away from a security's market price</w:t>
      </w:r>
      <w:r w:rsidR="00513D3B" w:rsidRPr="00DC328F">
        <w:t>. When</w:t>
      </w:r>
      <w:r w:rsidRPr="00471816">
        <w:t xml:space="preserve"> engaging in short-term trading, it is imperative that a trailing stop-loss order be </w:t>
      </w:r>
      <w:r w:rsidR="00513D3B" w:rsidRPr="00471816">
        <w:t>always employed</w:t>
      </w:r>
      <w:r w:rsidRPr="00471816">
        <w:t xml:space="preserve">. When the position will only be held for a short amount of time, stop-loss orders that trail are a great approach for </w:t>
      </w:r>
      <w:r w:rsidR="00A7294B" w:rsidRPr="00471816">
        <w:t>optimizing</w:t>
      </w:r>
      <w:r w:rsidRPr="00471816">
        <w:t xml:space="preserve"> trade gains.</w:t>
      </w:r>
      <w:r w:rsidR="00DC328F">
        <w:t xml:space="preserve"> </w:t>
      </w:r>
      <w:r w:rsidR="00592F9A">
        <w:t>(</w:t>
      </w:r>
      <w:r w:rsidR="00592F9A" w:rsidRPr="00592F9A">
        <w:t>Aper</w:t>
      </w:r>
      <w:r w:rsidR="00592F9A">
        <w:t xml:space="preserve">gis and </w:t>
      </w:r>
      <w:r w:rsidR="00F54BE7">
        <w:t>Arikis</w:t>
      </w:r>
      <w:r w:rsidR="00592F9A">
        <w:t>, 2016)</w:t>
      </w:r>
      <w:r w:rsidRPr="00471816">
        <w:t>.</w:t>
      </w:r>
    </w:p>
    <w:p w14:paraId="223AFBC1" w14:textId="3F1D5D7C" w:rsidR="00471816" w:rsidRDefault="00471816" w:rsidP="00471816">
      <w:r w:rsidRPr="00F54BE7">
        <w:rPr>
          <w:b/>
          <w:bCs/>
          <w:i/>
          <w:iCs/>
        </w:rPr>
        <w:t xml:space="preserve">Make Sure You Are Properly </w:t>
      </w:r>
      <w:r w:rsidR="00A7294B" w:rsidRPr="00F54BE7">
        <w:rPr>
          <w:b/>
          <w:bCs/>
          <w:i/>
          <w:iCs/>
        </w:rPr>
        <w:t>Capitalized</w:t>
      </w:r>
      <w:r w:rsidR="00F54BE7">
        <w:t xml:space="preserve">, </w:t>
      </w:r>
      <w:r w:rsidRPr="00471816">
        <w:t xml:space="preserve">engaging in foreign exchange trading is fraught with a large amount of risk. </w:t>
      </w:r>
      <w:r w:rsidR="00513D3B" w:rsidRPr="00471816">
        <w:t>If</w:t>
      </w:r>
      <w:r w:rsidRPr="00471816">
        <w:t xml:space="preserve"> you do not possess sufficient finances, however, you will not be able to reap the benefits of this investment. You need to be sure that your capitalization is accurate before you start the trading process. The acquisition of the essential money will be made easier for you </w:t>
      </w:r>
      <w:r w:rsidR="00B856FC" w:rsidRPr="00471816">
        <w:t>because of</w:t>
      </w:r>
      <w:r w:rsidRPr="00471816">
        <w:t xml:space="preserve"> this, which will allow you to effectively apply these methods.</w:t>
      </w:r>
    </w:p>
    <w:p w14:paraId="5AC76281" w14:textId="72E083F0" w:rsidR="00471816" w:rsidRDefault="00471816" w:rsidP="00471816">
      <w:r w:rsidRPr="00F54BE7">
        <w:rPr>
          <w:b/>
          <w:bCs/>
          <w:i/>
          <w:iCs/>
        </w:rPr>
        <w:t>Identify Your Trades Quickly</w:t>
      </w:r>
      <w:r w:rsidR="00F54BE7">
        <w:t>, it</w:t>
      </w:r>
      <w:r w:rsidRPr="00471816">
        <w:t xml:space="preserve"> is essential to identify transactions as early as possible </w:t>
      </w:r>
      <w:r w:rsidR="00F54BE7" w:rsidRPr="00471816">
        <w:t>to</w:t>
      </w:r>
      <w:r w:rsidRPr="00471816">
        <w:t xml:space="preserve"> </w:t>
      </w:r>
      <w:r w:rsidR="00F54BE7" w:rsidRPr="00471816">
        <w:t>maximize</w:t>
      </w:r>
      <w:r w:rsidRPr="00471816">
        <w:t xml:space="preserve"> investment returns and reduce risk. The likelihood that you will be able to make the required preparations to reduce the amount of money you lose is increased when you have the capacity to swiftly identify your transactions.</w:t>
      </w:r>
    </w:p>
    <w:p w14:paraId="11BAB3F1" w14:textId="10F21ED8" w:rsidR="00F54BE7" w:rsidRDefault="00471816" w:rsidP="00471816">
      <w:r w:rsidRPr="00F54BE7">
        <w:rPr>
          <w:b/>
          <w:bCs/>
          <w:i/>
          <w:iCs/>
        </w:rPr>
        <w:t>Be Prepared to Lose Money</w:t>
      </w:r>
      <w:r w:rsidR="00F54BE7">
        <w:t>, w</w:t>
      </w:r>
      <w:r w:rsidRPr="00471816">
        <w:t xml:space="preserve">hen one becomes involved in foreign exchange trading, there is always the possibility of incurring </w:t>
      </w:r>
      <w:r w:rsidR="00224864" w:rsidRPr="00471816">
        <w:t>a monetary loss</w:t>
      </w:r>
      <w:r w:rsidRPr="00471816">
        <w:t>, regardless of how diligent one is. You should always choose the maximum amount of money that you are willing to lose before you begin trading. This should be done before you even begin trading</w:t>
      </w:r>
      <w:r w:rsidR="00592F9A" w:rsidRPr="00592F9A">
        <w:t xml:space="preserve"> </w:t>
      </w:r>
      <w:r w:rsidR="00592F9A">
        <w:t>(</w:t>
      </w:r>
      <w:r w:rsidR="00592F9A" w:rsidRPr="00592F9A">
        <w:t>Oxelheim</w:t>
      </w:r>
      <w:r w:rsidR="00592F9A">
        <w:t xml:space="preserve"> et al., </w:t>
      </w:r>
      <w:r w:rsidR="00592F9A" w:rsidRPr="00592F9A">
        <w:t>2020</w:t>
      </w:r>
      <w:r w:rsidR="00592F9A">
        <w:t>)</w:t>
      </w:r>
      <w:r w:rsidRPr="00471816">
        <w:t>.</w:t>
      </w:r>
    </w:p>
    <w:p w14:paraId="33DCF14B" w14:textId="58CECF6B" w:rsidR="00471816" w:rsidRDefault="00471816" w:rsidP="00471816">
      <w:r w:rsidRPr="00F54BE7">
        <w:rPr>
          <w:b/>
          <w:bCs/>
          <w:i/>
          <w:iCs/>
        </w:rPr>
        <w:t xml:space="preserve">Use Stop </w:t>
      </w:r>
      <w:r w:rsidR="00D16A3D" w:rsidRPr="00F54BE7">
        <w:rPr>
          <w:b/>
          <w:bCs/>
          <w:i/>
          <w:iCs/>
        </w:rPr>
        <w:t>and</w:t>
      </w:r>
      <w:r w:rsidRPr="00F54BE7">
        <w:rPr>
          <w:b/>
          <w:bCs/>
          <w:i/>
          <w:iCs/>
        </w:rPr>
        <w:t xml:space="preserve"> Limit Orders</w:t>
      </w:r>
      <w:r w:rsidR="00F54BE7">
        <w:t>, a</w:t>
      </w:r>
      <w:r w:rsidRPr="00471816">
        <w:t xml:space="preserve">lthough stop and limit orders are not technically considered to be risk management techniques, this does not mean that they cannot be used as risk management strategies under certain circumstances. Making use of this kind of order gives you the ability to </w:t>
      </w:r>
      <w:r w:rsidRPr="00471816">
        <w:lastRenderedPageBreak/>
        <w:t xml:space="preserve">efficiently manage both your transactions and your level of risk. By implementing this method, you will be able to </w:t>
      </w:r>
      <w:r w:rsidR="00D16A3D" w:rsidRPr="00471816">
        <w:t>maximize</w:t>
      </w:r>
      <w:r w:rsidRPr="00471816">
        <w:t xml:space="preserve"> the benefits that your transactions provide.</w:t>
      </w:r>
    </w:p>
    <w:p w14:paraId="28FA5030" w14:textId="05D0A343" w:rsidR="00471816" w:rsidRDefault="00471816" w:rsidP="00471816">
      <w:r w:rsidRPr="00F54BE7">
        <w:rPr>
          <w:b/>
          <w:bCs/>
          <w:i/>
          <w:iCs/>
        </w:rPr>
        <w:t xml:space="preserve">Use Margin </w:t>
      </w:r>
      <w:r w:rsidR="00D16A3D" w:rsidRPr="00F54BE7">
        <w:rPr>
          <w:b/>
          <w:bCs/>
          <w:i/>
          <w:iCs/>
        </w:rPr>
        <w:t>for</w:t>
      </w:r>
      <w:r w:rsidRPr="00F54BE7">
        <w:rPr>
          <w:b/>
          <w:bCs/>
          <w:i/>
          <w:iCs/>
        </w:rPr>
        <w:t xml:space="preserve"> Long Positions</w:t>
      </w:r>
      <w:r w:rsidR="00F54BE7">
        <w:t>, f</w:t>
      </w:r>
      <w:r w:rsidR="00B377AE" w:rsidRPr="00B377AE">
        <w:t xml:space="preserve">or positions that are expected to last for an extended </w:t>
      </w:r>
      <w:r w:rsidR="007B559C" w:rsidRPr="00B377AE">
        <w:t>period</w:t>
      </w:r>
      <w:r w:rsidR="00B377AE" w:rsidRPr="00B377AE">
        <w:t xml:space="preserve">, a risk management approach is essential. Without fail, </w:t>
      </w:r>
      <w:r w:rsidR="00513D3B" w:rsidRPr="00B377AE">
        <w:t>most</w:t>
      </w:r>
      <w:r w:rsidR="00B377AE" w:rsidRPr="00B377AE">
        <w:t xml:space="preserve"> forex trading platforms </w:t>
      </w:r>
      <w:r w:rsidR="00B96C97" w:rsidRPr="00B377AE">
        <w:t xml:space="preserve">always offer margin to </w:t>
      </w:r>
      <w:r w:rsidR="00E9348C" w:rsidRPr="00B377AE">
        <w:t>their</w:t>
      </w:r>
      <w:r w:rsidR="00B96C97" w:rsidRPr="00B377AE">
        <w:t xml:space="preserve"> customers</w:t>
      </w:r>
      <w:r w:rsidR="00B377AE" w:rsidRPr="00B377AE">
        <w:t xml:space="preserve">. This is an excellent way </w:t>
      </w:r>
      <w:r w:rsidR="00513D3B" w:rsidRPr="00B377AE">
        <w:t>of</w:t>
      </w:r>
      <w:r w:rsidR="00B377AE" w:rsidRPr="00B377AE">
        <w:t xml:space="preserve"> limiting your losses, especially when you take into consideration the trust you have in your purchase. This allows for the return on your investment to be </w:t>
      </w:r>
      <w:r w:rsidR="00D16A3D" w:rsidRPr="00B377AE">
        <w:t>maximized</w:t>
      </w:r>
      <w:r w:rsidR="00B377AE" w:rsidRPr="00B377AE">
        <w:t xml:space="preserve"> to its full potential.</w:t>
      </w:r>
    </w:p>
    <w:p w14:paraId="10CEB02E" w14:textId="689AE29C" w:rsidR="00471816" w:rsidRDefault="00471816" w:rsidP="00471816">
      <w:r w:rsidRPr="007B559C">
        <w:rPr>
          <w:b/>
          <w:bCs/>
          <w:i/>
          <w:iCs/>
        </w:rPr>
        <w:t>Combine Different Strategies</w:t>
      </w:r>
      <w:r w:rsidR="00F54BE7">
        <w:t>, i</w:t>
      </w:r>
      <w:r w:rsidR="00B377AE" w:rsidRPr="00B377AE">
        <w:t xml:space="preserve">f you want to </w:t>
      </w:r>
      <w:r w:rsidR="00D16A3D" w:rsidRPr="00B377AE">
        <w:t>maximize</w:t>
      </w:r>
      <w:r w:rsidR="00B377AE" w:rsidRPr="00B377AE">
        <w:t xml:space="preserve"> the likelihood of your transactions being successful, you should incorporate </w:t>
      </w:r>
      <w:r w:rsidR="0018762D" w:rsidRPr="00B377AE">
        <w:t>all</w:t>
      </w:r>
      <w:r w:rsidR="00B377AE" w:rsidRPr="00B377AE">
        <w:t xml:space="preserve"> your </w:t>
      </w:r>
      <w:r w:rsidR="00513D3B" w:rsidRPr="00B377AE">
        <w:t>methods</w:t>
      </w:r>
      <w:r w:rsidR="00592F9A" w:rsidRPr="00592F9A">
        <w:t xml:space="preserve"> </w:t>
      </w:r>
      <w:r w:rsidR="00592F9A">
        <w:t>(</w:t>
      </w:r>
      <w:r w:rsidR="00592F9A" w:rsidRPr="00592F9A">
        <w:t>Tiwary, 2019</w:t>
      </w:r>
      <w:r w:rsidR="00592F9A">
        <w:t>)</w:t>
      </w:r>
      <w:r w:rsidR="00B377AE" w:rsidRPr="00B377AE">
        <w:t xml:space="preserve">. It is essential to put into action strategies that are tailored to meet the requirements that are unique to your </w:t>
      </w:r>
      <w:r w:rsidR="00D16A3D" w:rsidRPr="00B377AE">
        <w:t>organization</w:t>
      </w:r>
      <w:r w:rsidR="00B377AE" w:rsidRPr="00B377AE">
        <w:t>.</w:t>
      </w:r>
    </w:p>
    <w:p w14:paraId="75AF5773" w14:textId="218CBD6C" w:rsidR="00401BB5" w:rsidRDefault="00471816" w:rsidP="00401BB5">
      <w:r w:rsidRPr="007B559C">
        <w:rPr>
          <w:b/>
          <w:bCs/>
          <w:i/>
          <w:iCs/>
        </w:rPr>
        <w:t xml:space="preserve">Use A System That Works </w:t>
      </w:r>
      <w:r w:rsidR="00D16A3D" w:rsidRPr="007B559C">
        <w:rPr>
          <w:b/>
          <w:bCs/>
          <w:i/>
          <w:iCs/>
        </w:rPr>
        <w:t>for</w:t>
      </w:r>
      <w:r w:rsidRPr="007B559C">
        <w:rPr>
          <w:b/>
          <w:bCs/>
          <w:i/>
          <w:iCs/>
        </w:rPr>
        <w:t xml:space="preserve"> You</w:t>
      </w:r>
      <w:r w:rsidR="007B559C">
        <w:t>, t</w:t>
      </w:r>
      <w:r w:rsidR="00B377AE" w:rsidRPr="00B377AE">
        <w:t xml:space="preserve">he development of a personal system that is capable of meeting one's criteria is an essential component in the process of formulating an efficient risk management plan. Prior to beginning the process of developing one's own plan, it is </w:t>
      </w:r>
      <w:r w:rsidR="00E9348C" w:rsidRPr="00B377AE">
        <w:t>necessary</w:t>
      </w:r>
      <w:r w:rsidR="00B377AE" w:rsidRPr="00B377AE">
        <w:t xml:space="preserve"> to obtain the necessary knowledge and combine it with the proper equipment.</w:t>
      </w:r>
    </w:p>
    <w:p w14:paraId="62BAC9F1" w14:textId="77777777" w:rsidR="00342AF6" w:rsidRDefault="00342AF6">
      <w:pPr>
        <w:spacing w:line="276" w:lineRule="auto"/>
        <w:jc w:val="left"/>
      </w:pPr>
      <w:r>
        <w:br w:type="page"/>
      </w:r>
    </w:p>
    <w:p w14:paraId="6E1ED429" w14:textId="5C4867CA" w:rsidR="003729F7" w:rsidRPr="003729F7" w:rsidRDefault="003729F7" w:rsidP="003729F7">
      <w:pPr>
        <w:rPr>
          <w:b/>
          <w:bCs/>
          <w:sz w:val="28"/>
          <w:szCs w:val="28"/>
        </w:rPr>
      </w:pPr>
      <w:r w:rsidRPr="003729F7">
        <w:rPr>
          <w:b/>
          <w:bCs/>
          <w:sz w:val="28"/>
          <w:szCs w:val="28"/>
        </w:rPr>
        <w:lastRenderedPageBreak/>
        <w:t>Establishing Foreign Exchange Risk Management Systems</w:t>
      </w:r>
    </w:p>
    <w:p w14:paraId="23AA8DD8" w14:textId="042F6945" w:rsidR="00342AF6" w:rsidRDefault="00342AF6" w:rsidP="00342AF6">
      <w:r w:rsidRPr="00342AF6">
        <w:t xml:space="preserve">The establishment of systems for the management of the risk associated with foreign exchange Examining whether an </w:t>
      </w:r>
      <w:r w:rsidR="00D16A3D" w:rsidRPr="00342AF6">
        <w:t>organization</w:t>
      </w:r>
      <w:r w:rsidRPr="00342AF6">
        <w:t xml:space="preserve"> </w:t>
      </w:r>
      <w:r w:rsidR="0018762D" w:rsidRPr="00342AF6">
        <w:t>can</w:t>
      </w:r>
      <w:r w:rsidRPr="00342AF6">
        <w:t xml:space="preserve"> significantly improve the effectiveness of foreign currency risk management </w:t>
      </w:r>
      <w:r w:rsidR="003729F7" w:rsidRPr="00342AF6">
        <w:t>using</w:t>
      </w:r>
      <w:r w:rsidRPr="00342AF6">
        <w:t xml:space="preserve"> a certain platform is one way to establish </w:t>
      </w:r>
      <w:r w:rsidR="003729F7" w:rsidRPr="00342AF6">
        <w:t>whether</w:t>
      </w:r>
      <w:r w:rsidRPr="00342AF6">
        <w:t xml:space="preserve"> the platform is effective in managing foreign exchange risk. Furthermore, the platform must not be unduly simple to use or install </w:t>
      </w:r>
      <w:r w:rsidR="00E9348C" w:rsidRPr="00342AF6">
        <w:t>to</w:t>
      </w:r>
      <w:r w:rsidRPr="00342AF6">
        <w:t xml:space="preserve"> prevent the attainment of the management outcomes that are </w:t>
      </w:r>
      <w:r w:rsidR="00513D3B" w:rsidRPr="00342AF6">
        <w:t>wanted,</w:t>
      </w:r>
      <w:r w:rsidRPr="00342AF6">
        <w:t xml:space="preserve"> and the efficient management of the risk associated with foreign exchange</w:t>
      </w:r>
      <w:r w:rsidR="005443E1" w:rsidRPr="005443E1">
        <w:t xml:space="preserve"> </w:t>
      </w:r>
      <w:r w:rsidR="005443E1">
        <w:t xml:space="preserve">(Jin et al., </w:t>
      </w:r>
      <w:r w:rsidR="005443E1" w:rsidRPr="005443E1">
        <w:t>2021</w:t>
      </w:r>
      <w:r w:rsidR="005443E1">
        <w:t>)</w:t>
      </w:r>
      <w:r w:rsidRPr="00342AF6">
        <w:t>.</w:t>
      </w:r>
    </w:p>
    <w:p w14:paraId="61106D1C" w14:textId="77777777" w:rsidR="00342AF6" w:rsidRDefault="00342AF6">
      <w:pPr>
        <w:spacing w:line="276" w:lineRule="auto"/>
        <w:jc w:val="left"/>
      </w:pPr>
      <w:r>
        <w:br w:type="page"/>
      </w:r>
    </w:p>
    <w:p w14:paraId="4E36BC9D" w14:textId="77777777" w:rsidR="00342AF6" w:rsidRDefault="00342AF6" w:rsidP="00342AF6">
      <w:pPr>
        <w:pStyle w:val="Heading1"/>
      </w:pPr>
      <w:bookmarkStart w:id="0" w:name="_Toc154699560"/>
      <w:r>
        <w:lastRenderedPageBreak/>
        <w:t>Conclusion</w:t>
      </w:r>
      <w:bookmarkEnd w:id="0"/>
    </w:p>
    <w:p w14:paraId="24EEAD07" w14:textId="7FBD6D86" w:rsidR="00342AF6" w:rsidRDefault="00342AF6" w:rsidP="00342AF6">
      <w:r w:rsidRPr="00342AF6">
        <w:t xml:space="preserve">To limit losses and </w:t>
      </w:r>
      <w:r w:rsidR="00D16A3D" w:rsidRPr="00342AF6">
        <w:t>maximize</w:t>
      </w:r>
      <w:r w:rsidRPr="00342AF6">
        <w:t xml:space="preserve"> gains, it is essential to understand the risks associated with Forex (FX). A complete grasp of these risks is essential prior to implementing a trading plan. Forex trading carries inherent risk, even with careful planning and study. Notwithstanding any </w:t>
      </w:r>
      <w:r w:rsidR="00E9348C" w:rsidRPr="00342AF6">
        <w:t>losses</w:t>
      </w:r>
      <w:r w:rsidRPr="00342AF6">
        <w:t xml:space="preserve">, traders can limit these risks and </w:t>
      </w:r>
      <w:r w:rsidR="00D16A3D" w:rsidRPr="00342AF6">
        <w:t>maximize</w:t>
      </w:r>
      <w:r w:rsidRPr="00342AF6">
        <w:t xml:space="preserve"> their investments and trades by understanding them</w:t>
      </w:r>
      <w:r w:rsidR="00592F9A" w:rsidRPr="00592F9A">
        <w:t xml:space="preserve"> </w:t>
      </w:r>
      <w:r w:rsidR="00592F9A">
        <w:t xml:space="preserve">(Eun et al., </w:t>
      </w:r>
      <w:r w:rsidR="00592F9A" w:rsidRPr="00592F9A">
        <w:t>2021</w:t>
      </w:r>
      <w:r w:rsidR="00592F9A">
        <w:t>)</w:t>
      </w:r>
      <w:r w:rsidRPr="00342AF6">
        <w:t xml:space="preserve">. To </w:t>
      </w:r>
      <w:r w:rsidR="00D16A3D" w:rsidRPr="00342AF6">
        <w:t>maximize</w:t>
      </w:r>
      <w:r w:rsidRPr="00342AF6">
        <w:t xml:space="preserve"> the return on your investment, it is essential to comprehend the inherent risk associated with each trading technique.</w:t>
      </w:r>
    </w:p>
    <w:p w14:paraId="73709EC9" w14:textId="77777777" w:rsidR="00334F26" w:rsidRDefault="00334F26">
      <w:pPr>
        <w:spacing w:line="276" w:lineRule="auto"/>
        <w:jc w:val="left"/>
      </w:pPr>
      <w:r>
        <w:br w:type="page"/>
      </w:r>
    </w:p>
    <w:p w14:paraId="42887C88" w14:textId="77777777" w:rsidR="00334F26" w:rsidRDefault="00334F26" w:rsidP="00334F26">
      <w:pPr>
        <w:pStyle w:val="Heading1"/>
      </w:pPr>
      <w:bookmarkStart w:id="1" w:name="_Toc154699561"/>
      <w:r>
        <w:lastRenderedPageBreak/>
        <w:t>Reference</w:t>
      </w:r>
      <w:bookmarkEnd w:id="1"/>
    </w:p>
    <w:p w14:paraId="318D32B4" w14:textId="77777777" w:rsidR="00E01A38" w:rsidRPr="00E01A38" w:rsidRDefault="005443E1" w:rsidP="00E01A38">
      <w:pPr>
        <w:spacing w:line="240" w:lineRule="auto"/>
        <w:ind w:left="720" w:hanging="720"/>
        <w:jc w:val="left"/>
        <w:rPr>
          <w:i/>
          <w:iCs/>
          <w:sz w:val="20"/>
          <w:szCs w:val="20"/>
        </w:rPr>
      </w:pPr>
      <w:r w:rsidRPr="00E01A38">
        <w:rPr>
          <w:sz w:val="20"/>
          <w:szCs w:val="20"/>
        </w:rPr>
        <w:t>Apergis, N. and Artikis, P.G., 2016. Foreign exchange risk, equity risk factors and economic growth. </w:t>
      </w:r>
      <w:r w:rsidRPr="00E01A38">
        <w:rPr>
          <w:i/>
          <w:iCs/>
          <w:sz w:val="20"/>
          <w:szCs w:val="20"/>
        </w:rPr>
        <w:t>Atlantic</w:t>
      </w:r>
    </w:p>
    <w:p w14:paraId="091E3C76" w14:textId="6F5F2EA4" w:rsidR="005443E1" w:rsidRPr="00E01A38" w:rsidRDefault="005443E1" w:rsidP="00E01A38">
      <w:pPr>
        <w:spacing w:line="240" w:lineRule="auto"/>
        <w:ind w:left="720" w:hanging="720"/>
        <w:jc w:val="left"/>
        <w:rPr>
          <w:sz w:val="20"/>
          <w:szCs w:val="20"/>
        </w:rPr>
      </w:pPr>
      <w:r w:rsidRPr="00E01A38">
        <w:rPr>
          <w:i/>
          <w:iCs/>
          <w:sz w:val="20"/>
          <w:szCs w:val="20"/>
        </w:rPr>
        <w:t xml:space="preserve"> </w:t>
      </w:r>
      <w:r w:rsidR="00E01A38" w:rsidRPr="00E01A38">
        <w:rPr>
          <w:i/>
          <w:iCs/>
          <w:sz w:val="20"/>
          <w:szCs w:val="20"/>
        </w:rPr>
        <w:t>E</w:t>
      </w:r>
      <w:r w:rsidRPr="00E01A38">
        <w:rPr>
          <w:i/>
          <w:iCs/>
          <w:sz w:val="20"/>
          <w:szCs w:val="20"/>
        </w:rPr>
        <w:t>conomic Journal</w:t>
      </w:r>
      <w:r w:rsidRPr="00E01A38">
        <w:rPr>
          <w:sz w:val="20"/>
          <w:szCs w:val="20"/>
        </w:rPr>
        <w:t>, </w:t>
      </w:r>
      <w:r w:rsidRPr="00E01A38">
        <w:rPr>
          <w:i/>
          <w:iCs/>
          <w:sz w:val="20"/>
          <w:szCs w:val="20"/>
        </w:rPr>
        <w:t>44</w:t>
      </w:r>
      <w:r w:rsidRPr="00E01A38">
        <w:rPr>
          <w:sz w:val="20"/>
          <w:szCs w:val="20"/>
        </w:rPr>
        <w:t>, pp.425-445.</w:t>
      </w:r>
    </w:p>
    <w:p w14:paraId="27FA1E66" w14:textId="77777777" w:rsidR="00E01A38" w:rsidRDefault="005443E1" w:rsidP="00E01A38">
      <w:pPr>
        <w:spacing w:line="240" w:lineRule="auto"/>
        <w:ind w:left="720" w:hanging="720"/>
        <w:jc w:val="left"/>
        <w:rPr>
          <w:sz w:val="20"/>
          <w:szCs w:val="20"/>
        </w:rPr>
      </w:pPr>
      <w:r w:rsidRPr="00E01A38">
        <w:rPr>
          <w:sz w:val="20"/>
          <w:szCs w:val="20"/>
        </w:rPr>
        <w:t xml:space="preserve">Bernoth, K. and Herwartz, H., 2021. Exchange rates, foreign currency exposure and sovereign risk. Journal of </w:t>
      </w:r>
    </w:p>
    <w:p w14:paraId="6802202E" w14:textId="1C84A6A7" w:rsidR="005443E1" w:rsidRPr="00E01A38" w:rsidRDefault="005443E1" w:rsidP="00E01A38">
      <w:pPr>
        <w:spacing w:line="240" w:lineRule="auto"/>
        <w:ind w:left="720" w:hanging="720"/>
        <w:jc w:val="left"/>
        <w:rPr>
          <w:sz w:val="20"/>
          <w:szCs w:val="20"/>
        </w:rPr>
      </w:pPr>
      <w:r w:rsidRPr="00E01A38">
        <w:rPr>
          <w:sz w:val="20"/>
          <w:szCs w:val="20"/>
        </w:rPr>
        <w:t>International Money and Finance, 117, p.102454.</w:t>
      </w:r>
    </w:p>
    <w:p w14:paraId="34997016" w14:textId="77777777" w:rsidR="005443E1" w:rsidRPr="00E01A38" w:rsidRDefault="005443E1" w:rsidP="00E01A38">
      <w:pPr>
        <w:spacing w:line="240" w:lineRule="auto"/>
        <w:ind w:left="720" w:hanging="720"/>
        <w:jc w:val="left"/>
        <w:rPr>
          <w:sz w:val="20"/>
          <w:szCs w:val="20"/>
        </w:rPr>
      </w:pPr>
      <w:r w:rsidRPr="00E01A38">
        <w:rPr>
          <w:sz w:val="20"/>
          <w:szCs w:val="20"/>
        </w:rPr>
        <w:t>Eun, C.S., Resnick, B.G. and Chuluun, T., 2021. </w:t>
      </w:r>
      <w:r w:rsidRPr="00E01A38">
        <w:rPr>
          <w:i/>
          <w:iCs/>
          <w:sz w:val="20"/>
          <w:szCs w:val="20"/>
        </w:rPr>
        <w:t>International financial management</w:t>
      </w:r>
      <w:r w:rsidRPr="00E01A38">
        <w:rPr>
          <w:sz w:val="20"/>
          <w:szCs w:val="20"/>
        </w:rPr>
        <w:t>. McGraw-Hill.</w:t>
      </w:r>
    </w:p>
    <w:p w14:paraId="0D741C74" w14:textId="77777777" w:rsidR="00E01A38" w:rsidRDefault="005443E1" w:rsidP="00E01A38">
      <w:pPr>
        <w:spacing w:line="240" w:lineRule="auto"/>
        <w:ind w:left="720" w:hanging="720"/>
        <w:jc w:val="left"/>
        <w:rPr>
          <w:sz w:val="20"/>
          <w:szCs w:val="20"/>
        </w:rPr>
      </w:pPr>
      <w:r w:rsidRPr="00E01A38">
        <w:rPr>
          <w:sz w:val="20"/>
          <w:szCs w:val="20"/>
        </w:rPr>
        <w:t xml:space="preserve">Ito, T., Koibuchi, S., Sato, K. and Shimizu, J., 2016. Exchange rate exposure and risk management: The case of </w:t>
      </w:r>
    </w:p>
    <w:p w14:paraId="7D6DBAA1" w14:textId="416CFEB4" w:rsidR="005443E1" w:rsidRPr="00E01A38" w:rsidRDefault="005443E1" w:rsidP="00E01A38">
      <w:pPr>
        <w:spacing w:line="240" w:lineRule="auto"/>
        <w:ind w:left="720" w:hanging="720"/>
        <w:jc w:val="left"/>
        <w:rPr>
          <w:sz w:val="20"/>
          <w:szCs w:val="20"/>
        </w:rPr>
      </w:pPr>
      <w:r w:rsidRPr="00E01A38">
        <w:rPr>
          <w:sz w:val="20"/>
          <w:szCs w:val="20"/>
        </w:rPr>
        <w:t>Japanese exporting firms. </w:t>
      </w:r>
      <w:r w:rsidRPr="00E01A38">
        <w:rPr>
          <w:i/>
          <w:iCs/>
          <w:sz w:val="20"/>
          <w:szCs w:val="20"/>
        </w:rPr>
        <w:t>Journal of the Japanese and International Economies</w:t>
      </w:r>
      <w:r w:rsidRPr="00E01A38">
        <w:rPr>
          <w:sz w:val="20"/>
          <w:szCs w:val="20"/>
        </w:rPr>
        <w:t>, </w:t>
      </w:r>
      <w:r w:rsidRPr="00E01A38">
        <w:rPr>
          <w:i/>
          <w:iCs/>
          <w:sz w:val="20"/>
          <w:szCs w:val="20"/>
        </w:rPr>
        <w:t>41</w:t>
      </w:r>
      <w:r w:rsidRPr="00E01A38">
        <w:rPr>
          <w:sz w:val="20"/>
          <w:szCs w:val="20"/>
        </w:rPr>
        <w:t>, pp.17-29.</w:t>
      </w:r>
    </w:p>
    <w:p w14:paraId="1C75B480" w14:textId="77777777" w:rsidR="00E01A38" w:rsidRDefault="005443E1" w:rsidP="00E01A38">
      <w:pPr>
        <w:spacing w:line="240" w:lineRule="auto"/>
        <w:ind w:left="720" w:hanging="720"/>
        <w:jc w:val="left"/>
        <w:rPr>
          <w:sz w:val="20"/>
          <w:szCs w:val="20"/>
        </w:rPr>
      </w:pPr>
      <w:r w:rsidRPr="00E01A38">
        <w:rPr>
          <w:sz w:val="20"/>
          <w:szCs w:val="20"/>
        </w:rPr>
        <w:t>Jin, M.Z., Zhao, Y. and Wang, H., 2021. </w:t>
      </w:r>
      <w:r w:rsidRPr="00E01A38">
        <w:rPr>
          <w:i/>
          <w:iCs/>
          <w:sz w:val="20"/>
          <w:szCs w:val="20"/>
        </w:rPr>
        <w:t>Establishing a Foreign Exchange Futures Market in China</w:t>
      </w:r>
      <w:r w:rsidRPr="00E01A38">
        <w:rPr>
          <w:sz w:val="20"/>
          <w:szCs w:val="20"/>
        </w:rPr>
        <w:t xml:space="preserve">. International </w:t>
      </w:r>
    </w:p>
    <w:p w14:paraId="759DACFE" w14:textId="3A74588C" w:rsidR="005443E1" w:rsidRPr="00E01A38" w:rsidRDefault="005443E1" w:rsidP="00E01A38">
      <w:pPr>
        <w:spacing w:line="240" w:lineRule="auto"/>
        <w:ind w:left="720" w:hanging="720"/>
        <w:jc w:val="left"/>
        <w:rPr>
          <w:sz w:val="20"/>
          <w:szCs w:val="20"/>
        </w:rPr>
      </w:pPr>
      <w:r w:rsidRPr="00E01A38">
        <w:rPr>
          <w:sz w:val="20"/>
          <w:szCs w:val="20"/>
        </w:rPr>
        <w:t>Monetary Fund.</w:t>
      </w:r>
    </w:p>
    <w:p w14:paraId="3C27D1BC" w14:textId="77777777" w:rsidR="00E01A38" w:rsidRDefault="005443E1" w:rsidP="00E01A38">
      <w:pPr>
        <w:spacing w:line="240" w:lineRule="auto"/>
        <w:ind w:left="720" w:hanging="720"/>
        <w:jc w:val="left"/>
        <w:rPr>
          <w:sz w:val="20"/>
          <w:szCs w:val="20"/>
        </w:rPr>
      </w:pPr>
      <w:r w:rsidRPr="00E01A38">
        <w:rPr>
          <w:sz w:val="20"/>
          <w:szCs w:val="20"/>
        </w:rPr>
        <w:t xml:space="preserve">Kihara, M. and Muturi, W., 2016. The effect of foreign exchange risk management techniques on the financial </w:t>
      </w:r>
    </w:p>
    <w:p w14:paraId="1CCCB5A7" w14:textId="77777777" w:rsidR="00E01A38" w:rsidRDefault="005443E1" w:rsidP="00E01A38">
      <w:pPr>
        <w:spacing w:line="240" w:lineRule="auto"/>
        <w:ind w:left="720" w:hanging="720"/>
        <w:jc w:val="left"/>
        <w:rPr>
          <w:i/>
          <w:iCs/>
          <w:sz w:val="20"/>
          <w:szCs w:val="20"/>
        </w:rPr>
      </w:pPr>
      <w:r w:rsidRPr="00E01A38">
        <w:rPr>
          <w:sz w:val="20"/>
          <w:szCs w:val="20"/>
        </w:rPr>
        <w:t>performance of commercial banks in Kenya. </w:t>
      </w:r>
      <w:r w:rsidRPr="00E01A38">
        <w:rPr>
          <w:i/>
          <w:iCs/>
          <w:sz w:val="20"/>
          <w:szCs w:val="20"/>
        </w:rPr>
        <w:t xml:space="preserve">International Journal of Social Sciences and Information </w:t>
      </w:r>
    </w:p>
    <w:p w14:paraId="3D028BE0" w14:textId="5EA5E19A" w:rsidR="005443E1" w:rsidRPr="00E01A38" w:rsidRDefault="005443E1" w:rsidP="00E01A38">
      <w:pPr>
        <w:spacing w:line="240" w:lineRule="auto"/>
        <w:ind w:left="720" w:hanging="720"/>
        <w:jc w:val="left"/>
        <w:rPr>
          <w:sz w:val="20"/>
          <w:szCs w:val="20"/>
        </w:rPr>
      </w:pPr>
      <w:r w:rsidRPr="00E01A38">
        <w:rPr>
          <w:i/>
          <w:iCs/>
          <w:sz w:val="20"/>
          <w:szCs w:val="20"/>
        </w:rPr>
        <w:t>Technology</w:t>
      </w:r>
      <w:r w:rsidRPr="00E01A38">
        <w:rPr>
          <w:sz w:val="20"/>
          <w:szCs w:val="20"/>
        </w:rPr>
        <w:t>, </w:t>
      </w:r>
      <w:r w:rsidRPr="00E01A38">
        <w:rPr>
          <w:i/>
          <w:iCs/>
          <w:sz w:val="20"/>
          <w:szCs w:val="20"/>
        </w:rPr>
        <w:t>2</w:t>
      </w:r>
      <w:r w:rsidRPr="00E01A38">
        <w:rPr>
          <w:sz w:val="20"/>
          <w:szCs w:val="20"/>
        </w:rPr>
        <w:t>(4), pp.543-559.</w:t>
      </w:r>
    </w:p>
    <w:p w14:paraId="5D607B68" w14:textId="77777777" w:rsidR="005443E1" w:rsidRPr="00E01A38" w:rsidRDefault="005443E1" w:rsidP="00E01A38">
      <w:pPr>
        <w:spacing w:line="240" w:lineRule="auto"/>
        <w:ind w:left="720" w:hanging="720"/>
        <w:jc w:val="left"/>
        <w:rPr>
          <w:sz w:val="20"/>
          <w:szCs w:val="20"/>
        </w:rPr>
      </w:pPr>
      <w:r w:rsidRPr="00E01A38">
        <w:rPr>
          <w:sz w:val="20"/>
          <w:szCs w:val="20"/>
        </w:rPr>
        <w:t>Madura, J., Hoque, A. and Krishnamrti, C., 2018. International financial management. Cengage AU.</w:t>
      </w:r>
    </w:p>
    <w:p w14:paraId="52E2580A" w14:textId="77777777" w:rsidR="00E01A38" w:rsidRDefault="005443E1" w:rsidP="00E01A38">
      <w:pPr>
        <w:spacing w:line="240" w:lineRule="auto"/>
        <w:ind w:left="720" w:hanging="720"/>
        <w:jc w:val="left"/>
        <w:rPr>
          <w:sz w:val="20"/>
          <w:szCs w:val="20"/>
        </w:rPr>
      </w:pPr>
      <w:r w:rsidRPr="00E01A38">
        <w:rPr>
          <w:sz w:val="20"/>
          <w:szCs w:val="20"/>
        </w:rPr>
        <w:t>Oxelheim, L., Alviniussen, A. and Jankensgard, H., 2020. Corporate foreign exchange risk management. John Wiley</w:t>
      </w:r>
    </w:p>
    <w:p w14:paraId="596B3240" w14:textId="597E0713" w:rsidR="005443E1" w:rsidRPr="00E01A38" w:rsidRDefault="005443E1" w:rsidP="00E01A38">
      <w:pPr>
        <w:spacing w:line="240" w:lineRule="auto"/>
        <w:ind w:left="720" w:hanging="720"/>
        <w:jc w:val="left"/>
        <w:rPr>
          <w:sz w:val="20"/>
          <w:szCs w:val="20"/>
        </w:rPr>
      </w:pPr>
      <w:r w:rsidRPr="00E01A38">
        <w:rPr>
          <w:sz w:val="20"/>
          <w:szCs w:val="20"/>
        </w:rPr>
        <w:t xml:space="preserve"> &amp; Sons.</w:t>
      </w:r>
    </w:p>
    <w:p w14:paraId="533EE604" w14:textId="77777777" w:rsidR="00E01A38" w:rsidRDefault="005443E1" w:rsidP="00E01A38">
      <w:pPr>
        <w:spacing w:line="240" w:lineRule="auto"/>
        <w:ind w:left="720" w:hanging="720"/>
        <w:jc w:val="left"/>
        <w:rPr>
          <w:sz w:val="20"/>
          <w:szCs w:val="20"/>
        </w:rPr>
      </w:pPr>
      <w:r w:rsidRPr="00E01A38">
        <w:rPr>
          <w:sz w:val="20"/>
          <w:szCs w:val="20"/>
        </w:rPr>
        <w:t xml:space="preserve">Tiwary, A.R., 2019. Study of currency risk and </w:t>
      </w:r>
      <w:r w:rsidR="00E01A38" w:rsidRPr="00E01A38">
        <w:rPr>
          <w:sz w:val="20"/>
          <w:szCs w:val="20"/>
        </w:rPr>
        <w:t>hedging</w:t>
      </w:r>
      <w:r w:rsidRPr="00E01A38">
        <w:rPr>
          <w:sz w:val="20"/>
          <w:szCs w:val="20"/>
        </w:rPr>
        <w:t xml:space="preserve"> strategies. Journal of Advanced Studies </w:t>
      </w:r>
      <w:r w:rsidR="00431466" w:rsidRPr="00E01A38">
        <w:rPr>
          <w:sz w:val="20"/>
          <w:szCs w:val="20"/>
        </w:rPr>
        <w:t>in</w:t>
      </w:r>
      <w:r w:rsidRPr="00E01A38">
        <w:rPr>
          <w:sz w:val="20"/>
          <w:szCs w:val="20"/>
        </w:rPr>
        <w:t xml:space="preserve"> Finance (JASF), </w:t>
      </w:r>
    </w:p>
    <w:p w14:paraId="703C5A11" w14:textId="37806211" w:rsidR="005443E1" w:rsidRPr="00E01A38" w:rsidRDefault="005443E1" w:rsidP="00E01A38">
      <w:pPr>
        <w:spacing w:line="240" w:lineRule="auto"/>
        <w:ind w:left="720" w:hanging="720"/>
        <w:jc w:val="left"/>
        <w:rPr>
          <w:sz w:val="20"/>
          <w:szCs w:val="20"/>
        </w:rPr>
      </w:pPr>
      <w:r w:rsidRPr="00E01A38">
        <w:rPr>
          <w:sz w:val="20"/>
          <w:szCs w:val="20"/>
        </w:rPr>
        <w:t>10(19), pp.45-55.</w:t>
      </w:r>
    </w:p>
    <w:p w14:paraId="32530689" w14:textId="415DED9F" w:rsidR="00431466" w:rsidRDefault="00431466" w:rsidP="00E01A38">
      <w:pPr>
        <w:pStyle w:val="NormalWeb"/>
      </w:pPr>
    </w:p>
    <w:p w14:paraId="454FA8CD" w14:textId="77777777" w:rsidR="007848C8" w:rsidRDefault="007848C8" w:rsidP="00E01A38">
      <w:pPr>
        <w:spacing w:line="240" w:lineRule="auto"/>
        <w:ind w:left="720" w:hanging="720"/>
        <w:jc w:val="left"/>
      </w:pPr>
    </w:p>
    <w:sectPr w:rsidR="007848C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ECB5ED" w14:textId="77777777" w:rsidR="002F6981" w:rsidRDefault="002F6981" w:rsidP="00106F1F">
      <w:pPr>
        <w:spacing w:after="0" w:line="240" w:lineRule="auto"/>
      </w:pPr>
      <w:r>
        <w:separator/>
      </w:r>
    </w:p>
  </w:endnote>
  <w:endnote w:type="continuationSeparator" w:id="0">
    <w:p w14:paraId="28EFF537" w14:textId="77777777" w:rsidR="002F6981" w:rsidRDefault="002F6981" w:rsidP="00106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986942"/>
      <w:docPartObj>
        <w:docPartGallery w:val="Page Numbers (Bottom of Page)"/>
        <w:docPartUnique/>
      </w:docPartObj>
    </w:sdtPr>
    <w:sdtEndPr>
      <w:rPr>
        <w:noProof/>
      </w:rPr>
    </w:sdtEndPr>
    <w:sdtContent>
      <w:p w14:paraId="0410DC9E" w14:textId="77777777" w:rsidR="00106F1F" w:rsidRDefault="00106F1F">
        <w:pPr>
          <w:pStyle w:val="Footer"/>
          <w:jc w:val="center"/>
        </w:pPr>
        <w:r>
          <w:fldChar w:fldCharType="begin"/>
        </w:r>
        <w:r>
          <w:instrText xml:space="preserve"> PAGE   \* MERGEFORMAT </w:instrText>
        </w:r>
        <w:r>
          <w:fldChar w:fldCharType="separate"/>
        </w:r>
        <w:r w:rsidR="0022124E">
          <w:rPr>
            <w:noProof/>
          </w:rPr>
          <w:t>1</w:t>
        </w:r>
        <w:r>
          <w:rPr>
            <w:noProof/>
          </w:rPr>
          <w:fldChar w:fldCharType="end"/>
        </w:r>
      </w:p>
    </w:sdtContent>
  </w:sdt>
  <w:p w14:paraId="15EC4DC7" w14:textId="77777777" w:rsidR="00106F1F" w:rsidRDefault="00106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D48AC" w14:textId="77777777" w:rsidR="002F6981" w:rsidRDefault="002F6981" w:rsidP="00106F1F">
      <w:pPr>
        <w:spacing w:after="0" w:line="240" w:lineRule="auto"/>
      </w:pPr>
      <w:r>
        <w:separator/>
      </w:r>
    </w:p>
  </w:footnote>
  <w:footnote w:type="continuationSeparator" w:id="0">
    <w:p w14:paraId="2A4F6E7B" w14:textId="77777777" w:rsidR="002F6981" w:rsidRDefault="002F6981" w:rsidP="00106F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01BB5"/>
    <w:rsid w:val="00011178"/>
    <w:rsid w:val="00106F1F"/>
    <w:rsid w:val="0018762D"/>
    <w:rsid w:val="0022124E"/>
    <w:rsid w:val="00224864"/>
    <w:rsid w:val="002F6981"/>
    <w:rsid w:val="003279AB"/>
    <w:rsid w:val="00334F26"/>
    <w:rsid w:val="00342AF6"/>
    <w:rsid w:val="003729F7"/>
    <w:rsid w:val="003C404B"/>
    <w:rsid w:val="003D2E67"/>
    <w:rsid w:val="003E7EA2"/>
    <w:rsid w:val="00401BB5"/>
    <w:rsid w:val="00431466"/>
    <w:rsid w:val="00471816"/>
    <w:rsid w:val="004A1126"/>
    <w:rsid w:val="00513D3B"/>
    <w:rsid w:val="005443E1"/>
    <w:rsid w:val="00592F9A"/>
    <w:rsid w:val="005B5001"/>
    <w:rsid w:val="005F327D"/>
    <w:rsid w:val="00606CA9"/>
    <w:rsid w:val="00702582"/>
    <w:rsid w:val="007121AB"/>
    <w:rsid w:val="007418E6"/>
    <w:rsid w:val="007848C8"/>
    <w:rsid w:val="007A4411"/>
    <w:rsid w:val="007B559C"/>
    <w:rsid w:val="007E031C"/>
    <w:rsid w:val="00872C72"/>
    <w:rsid w:val="008806E2"/>
    <w:rsid w:val="008C6779"/>
    <w:rsid w:val="00941DA0"/>
    <w:rsid w:val="009866C3"/>
    <w:rsid w:val="009D2A4A"/>
    <w:rsid w:val="00A7294B"/>
    <w:rsid w:val="00B377AE"/>
    <w:rsid w:val="00B856FC"/>
    <w:rsid w:val="00B96C97"/>
    <w:rsid w:val="00C060E7"/>
    <w:rsid w:val="00C145DB"/>
    <w:rsid w:val="00C87872"/>
    <w:rsid w:val="00CB3296"/>
    <w:rsid w:val="00D16A3D"/>
    <w:rsid w:val="00DC328F"/>
    <w:rsid w:val="00E01A38"/>
    <w:rsid w:val="00E256C9"/>
    <w:rsid w:val="00E9348C"/>
    <w:rsid w:val="00F54BE7"/>
    <w:rsid w:val="00F80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B74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8E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01BB5"/>
    <w:pPr>
      <w:keepNext/>
      <w:keepLines/>
      <w:spacing w:before="480" w:after="0" w:line="480" w:lineRule="auto"/>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7121A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BB5"/>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semiHidden/>
    <w:rsid w:val="007121A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80CB2"/>
    <w:pPr>
      <w:ind w:left="720"/>
      <w:contextualSpacing/>
    </w:pPr>
  </w:style>
  <w:style w:type="paragraph" w:styleId="TOCHeading">
    <w:name w:val="TOC Heading"/>
    <w:basedOn w:val="Heading1"/>
    <w:next w:val="Normal"/>
    <w:uiPriority w:val="39"/>
    <w:unhideWhenUsed/>
    <w:qFormat/>
    <w:rsid w:val="00106F1F"/>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106F1F"/>
    <w:pPr>
      <w:spacing w:after="100"/>
    </w:pPr>
  </w:style>
  <w:style w:type="character" w:styleId="Hyperlink">
    <w:name w:val="Hyperlink"/>
    <w:basedOn w:val="DefaultParagraphFont"/>
    <w:uiPriority w:val="99"/>
    <w:unhideWhenUsed/>
    <w:rsid w:val="00106F1F"/>
    <w:rPr>
      <w:color w:val="0000FF" w:themeColor="hyperlink"/>
      <w:u w:val="single"/>
    </w:rPr>
  </w:style>
  <w:style w:type="paragraph" w:styleId="BalloonText">
    <w:name w:val="Balloon Text"/>
    <w:basedOn w:val="Normal"/>
    <w:link w:val="BalloonTextChar"/>
    <w:uiPriority w:val="99"/>
    <w:semiHidden/>
    <w:unhideWhenUsed/>
    <w:rsid w:val="00106F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F1F"/>
    <w:rPr>
      <w:rFonts w:ascii="Tahoma" w:hAnsi="Tahoma" w:cs="Tahoma"/>
      <w:sz w:val="16"/>
      <w:szCs w:val="16"/>
    </w:rPr>
  </w:style>
  <w:style w:type="paragraph" w:styleId="Header">
    <w:name w:val="header"/>
    <w:basedOn w:val="Normal"/>
    <w:link w:val="HeaderChar"/>
    <w:uiPriority w:val="99"/>
    <w:unhideWhenUsed/>
    <w:rsid w:val="00106F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6F1F"/>
    <w:rPr>
      <w:rFonts w:ascii="Times New Roman" w:hAnsi="Times New Roman"/>
      <w:sz w:val="24"/>
    </w:rPr>
  </w:style>
  <w:style w:type="paragraph" w:styleId="Footer">
    <w:name w:val="footer"/>
    <w:basedOn w:val="Normal"/>
    <w:link w:val="FooterChar"/>
    <w:uiPriority w:val="99"/>
    <w:unhideWhenUsed/>
    <w:rsid w:val="00106F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6F1F"/>
    <w:rPr>
      <w:rFonts w:ascii="Times New Roman" w:hAnsi="Times New Roman"/>
      <w:sz w:val="24"/>
    </w:rPr>
  </w:style>
  <w:style w:type="paragraph" w:styleId="NormalWeb">
    <w:name w:val="Normal (Web)"/>
    <w:basedOn w:val="Normal"/>
    <w:uiPriority w:val="99"/>
    <w:semiHidden/>
    <w:unhideWhenUsed/>
    <w:rsid w:val="00431466"/>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8C67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676746">
      <w:bodyDiv w:val="1"/>
      <w:marLeft w:val="0"/>
      <w:marRight w:val="0"/>
      <w:marTop w:val="0"/>
      <w:marBottom w:val="0"/>
      <w:divBdr>
        <w:top w:val="none" w:sz="0" w:space="0" w:color="auto"/>
        <w:left w:val="none" w:sz="0" w:space="0" w:color="auto"/>
        <w:bottom w:val="none" w:sz="0" w:space="0" w:color="auto"/>
        <w:right w:val="none" w:sz="0" w:space="0" w:color="auto"/>
      </w:divBdr>
    </w:div>
    <w:div w:id="448552621">
      <w:bodyDiv w:val="1"/>
      <w:marLeft w:val="0"/>
      <w:marRight w:val="0"/>
      <w:marTop w:val="0"/>
      <w:marBottom w:val="0"/>
      <w:divBdr>
        <w:top w:val="none" w:sz="0" w:space="0" w:color="auto"/>
        <w:left w:val="none" w:sz="0" w:space="0" w:color="auto"/>
        <w:bottom w:val="none" w:sz="0" w:space="0" w:color="auto"/>
        <w:right w:val="none" w:sz="0" w:space="0" w:color="auto"/>
      </w:divBdr>
    </w:div>
    <w:div w:id="648360949">
      <w:bodyDiv w:val="1"/>
      <w:marLeft w:val="0"/>
      <w:marRight w:val="0"/>
      <w:marTop w:val="0"/>
      <w:marBottom w:val="0"/>
      <w:divBdr>
        <w:top w:val="none" w:sz="0" w:space="0" w:color="auto"/>
        <w:left w:val="none" w:sz="0" w:space="0" w:color="auto"/>
        <w:bottom w:val="none" w:sz="0" w:space="0" w:color="auto"/>
        <w:right w:val="none" w:sz="0" w:space="0" w:color="auto"/>
      </w:divBdr>
    </w:div>
    <w:div w:id="1829400682">
      <w:bodyDiv w:val="1"/>
      <w:marLeft w:val="0"/>
      <w:marRight w:val="0"/>
      <w:marTop w:val="0"/>
      <w:marBottom w:val="0"/>
      <w:divBdr>
        <w:top w:val="none" w:sz="0" w:space="0" w:color="auto"/>
        <w:left w:val="none" w:sz="0" w:space="0" w:color="auto"/>
        <w:bottom w:val="none" w:sz="0" w:space="0" w:color="auto"/>
        <w:right w:val="none" w:sz="0" w:space="0" w:color="auto"/>
      </w:divBdr>
    </w:div>
    <w:div w:id="1989049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FDAA79-43B5-408A-B3D6-4FE8620A7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1695</Words>
  <Characters>9666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2023-12-30T10:10:00Z</dcterms:created>
  <dcterms:modified xsi:type="dcterms:W3CDTF">2024-01-02T10:43:00Z</dcterms:modified>
</cp:coreProperties>
</file>