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50987" w14:textId="77777777" w:rsidR="009D2252" w:rsidRPr="00B02B08" w:rsidRDefault="009D2252" w:rsidP="009D2252">
      <w:pPr>
        <w:rPr>
          <w:rFonts w:ascii="Times New Roman" w:hAnsi="Times New Roman" w:cs="Times New Roman"/>
          <w:b/>
          <w:bCs/>
          <w:sz w:val="28"/>
          <w:szCs w:val="28"/>
        </w:rPr>
      </w:pPr>
      <w:r w:rsidRPr="00B02B08">
        <w:rPr>
          <w:rFonts w:ascii="Times New Roman" w:hAnsi="Times New Roman" w:cs="Times New Roman"/>
          <w:b/>
          <w:bCs/>
          <w:sz w:val="28"/>
          <w:szCs w:val="28"/>
        </w:rPr>
        <w:t>Abstract</w:t>
      </w:r>
    </w:p>
    <w:p w14:paraId="5F1B554F"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Professional boundaries are widely recognised as fundamental to counselling practice, shaping the therapeutic relationship, safeguarding both counsellor and client, and providing the conditions for meaningful psychological work. While often misinterpreted as rigid restrictions, contemporary counselling literature emphasises their relational, ethical, and dynamic functions. This study explores how boundaries are understood and experienced within counselling practice, drawing on a qualitative thematic analysis of an interview with a humanistic integrative counsellor. Findings highlight boundaries as compassionate structures, therapeutic boundaries, ethical practice, and collaborative boundaries. The analysis demonstrates that boundaries operate not only as protective mechanisms but also as flexible relational scaffolding that enables trust, openness, and authenticity to develop.</w:t>
      </w:r>
    </w:p>
    <w:p w14:paraId="36A4ACAA" w14:textId="77777777" w:rsidR="009D2252" w:rsidRPr="00B02B08" w:rsidRDefault="009D2252" w:rsidP="009D2252">
      <w:pPr>
        <w:rPr>
          <w:rFonts w:ascii="Times New Roman" w:hAnsi="Times New Roman" w:cs="Times New Roman"/>
          <w:b/>
          <w:bCs/>
          <w:sz w:val="28"/>
          <w:szCs w:val="28"/>
        </w:rPr>
      </w:pPr>
      <w:r w:rsidRPr="00B02B08">
        <w:rPr>
          <w:rFonts w:ascii="Times New Roman" w:hAnsi="Times New Roman" w:cs="Times New Roman"/>
          <w:b/>
          <w:bCs/>
          <w:sz w:val="28"/>
          <w:szCs w:val="28"/>
        </w:rPr>
        <w:t>Introduction</w:t>
      </w:r>
    </w:p>
    <w:p w14:paraId="6680BDFD"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Professional boundaries have long been debated in counselling theory and practice. They provide the “frame” within which therapeutic work occurs, offering predictability and safety while allowing depth and authenticity (Owen, 1997). Humanistic counselling emphasises relational conditions necessary for therapeutic change. Rogers (1957) argued that empathy, congruence, and unconditional positive regard are necessary and sufficient conditions for personality change, but these conditions require a safe relational frame. Boundaries therefore serve as invisible scaffolding that supports trust, openness, and authenticity.</w:t>
      </w:r>
    </w:p>
    <w:p w14:paraId="740570A5"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Integrative approaches similarly highlight the importance of boundaries. Within humanistic and integrative counselling, boundaries are understood not as rigid restrictions but as relational structures that provide safety and predictability while allowing therapeutic depth. Owen (1997) emphasises that boundaries enable trust and authenticity between counsellor and client, with flexibility essential for diverse client groups where cultural, personal, and situational factors shape boundary experiences.</w:t>
      </w:r>
    </w:p>
    <w:p w14:paraId="0FBF4CB3"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Ethical frameworks reinforce the centrality of boundaries. The British Association for Counselling and Psychotherapy (BACP, 2024) identifies confidentiality, contracting, supervision, and record keeping as essential boundary practices. These guidelines provide counsellors with a professional compass, ensuring boundaries are maintained for both relational safety and ethical accountability. Gabbard (1994) similarly argues that boundaries are inseparable from ethical responsibility, cautioning that while flexibility may </w:t>
      </w:r>
      <w:r w:rsidRPr="00B02B08">
        <w:rPr>
          <w:rFonts w:ascii="Times New Roman" w:hAnsi="Times New Roman" w:cs="Times New Roman"/>
          <w:sz w:val="28"/>
          <w:szCs w:val="28"/>
        </w:rPr>
        <w:lastRenderedPageBreak/>
        <w:t>enhance therapeutic effectiveness, safeguards must remain intact to prevent harm.</w:t>
      </w:r>
    </w:p>
    <w:p w14:paraId="38EE3217"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Despite their importance, boundaries are not always straightforward in practice. Counsellors must navigate complex situations involving time, space, self-disclosure, financial arrangements, and dual relationships. Boundaries can be tested by clients, challenged by external circumstances, or blurred by counsellors’ own histories and vulnerabilities. Owen (1997) notes that boundaries in humanistic counselling are often negotiated relationally rather than imposed rigidly, requiring a balance of flexibility and firmness. Gabbard (1994) reinforces this by warning that ethical safeguards must remain intact even when flexibility is exercised.</w:t>
      </w:r>
    </w:p>
    <w:p w14:paraId="250465A3"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This study uses qualitative thematic analysis of an interview with a humanistic integrative counsellor, “Chrissy,” to investigate how boundaries are conceptualised, negotiated, and enacted in practice. The findings are situated within existing literature, demonstrating how counsellors experience boundaries as compassionate structures, therapeutic boundaries, ethical practice, and collaborative boundaries.</w:t>
      </w:r>
    </w:p>
    <w:p w14:paraId="34BBEA6B" w14:textId="77777777" w:rsidR="009D2252" w:rsidRPr="001D7A23" w:rsidRDefault="009D2252" w:rsidP="009D2252">
      <w:pPr>
        <w:rPr>
          <w:rFonts w:ascii="Times New Roman" w:hAnsi="Times New Roman" w:cs="Times New Roman"/>
          <w:sz w:val="28"/>
          <w:szCs w:val="28"/>
        </w:rPr>
      </w:pPr>
    </w:p>
    <w:p w14:paraId="281CDA4C" w14:textId="77777777" w:rsidR="009D2252" w:rsidRDefault="009D2252" w:rsidP="009D2252">
      <w:pPr>
        <w:rPr>
          <w:rFonts w:ascii="Times New Roman" w:hAnsi="Times New Roman" w:cs="Times New Roman"/>
          <w:b/>
          <w:bCs/>
          <w:sz w:val="28"/>
          <w:szCs w:val="28"/>
        </w:rPr>
      </w:pPr>
      <w:r w:rsidRPr="00B02B08">
        <w:rPr>
          <w:rFonts w:ascii="Times New Roman" w:hAnsi="Times New Roman" w:cs="Times New Roman"/>
          <w:b/>
          <w:bCs/>
          <w:sz w:val="28"/>
          <w:szCs w:val="28"/>
        </w:rPr>
        <w:t xml:space="preserve">Method </w:t>
      </w:r>
    </w:p>
    <w:p w14:paraId="75EF5DC3"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A qualitative design was chosen to explore the nuanced ways counsellors understand and experience boundaries. Qualitative methods are particularly suited to examining lived experience and meaning-making, allowing researchers to capture the complexity of counsellors’ perspectives (Braun &amp; Clarke, 2006).</w:t>
      </w:r>
    </w:p>
    <w:p w14:paraId="7AECFEF8"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Procedure The data consisted of a semi</w:t>
      </w:r>
      <w:r w:rsidRPr="00B02B08">
        <w:rPr>
          <w:rFonts w:ascii="Times New Roman" w:hAnsi="Times New Roman" w:cs="Times New Roman"/>
          <w:sz w:val="28"/>
          <w:szCs w:val="28"/>
        </w:rPr>
        <w:noBreakHyphen/>
        <w:t>structured interview transcript with a counsellor. The interview schedule covered topics such as contracting, time boundaries, physical space, digital communication, self</w:t>
      </w:r>
      <w:r w:rsidRPr="00B02B08">
        <w:rPr>
          <w:rFonts w:ascii="Times New Roman" w:hAnsi="Times New Roman" w:cs="Times New Roman"/>
          <w:sz w:val="28"/>
          <w:szCs w:val="28"/>
        </w:rPr>
        <w:noBreakHyphen/>
        <w:t>disclosure, money, gifts, dual relationships, endings, supervision, and flexibility. Semi</w:t>
      </w:r>
      <w:r w:rsidRPr="00B02B08">
        <w:rPr>
          <w:rFonts w:ascii="Times New Roman" w:hAnsi="Times New Roman" w:cs="Times New Roman"/>
          <w:sz w:val="28"/>
          <w:szCs w:val="28"/>
        </w:rPr>
        <w:noBreakHyphen/>
        <w:t>structured interviews are particularly useful in counselling research because they allow participants to express their experiences in their own words while providing enough structure to ensure relevant topics are explored. The transcript was then analysed using thematic analysis, a flexible and rigorous approach for identifying and interpreting patterns of meaning within qualitative data.</w:t>
      </w:r>
    </w:p>
    <w:p w14:paraId="70FE571E"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Thematic analysis was conducted in accordance with Braun and Clarke’s (2006) six</w:t>
      </w:r>
      <w:r w:rsidRPr="00B02B08">
        <w:rPr>
          <w:rFonts w:ascii="Times New Roman" w:hAnsi="Times New Roman" w:cs="Times New Roman"/>
          <w:sz w:val="28"/>
          <w:szCs w:val="28"/>
        </w:rPr>
        <w:noBreakHyphen/>
        <w:t xml:space="preserve">phase model, which provided a framework for qualitative data analysis. The process began with repeated reading of the transcript to enable immersion and preliminary identification of salient features. Initial coding was then undertaken to capture meaningful segments, with particular attention to counsellors’ </w:t>
      </w:r>
      <w:r w:rsidRPr="00B02B08">
        <w:rPr>
          <w:rFonts w:ascii="Times New Roman" w:hAnsi="Times New Roman" w:cs="Times New Roman"/>
          <w:sz w:val="28"/>
          <w:szCs w:val="28"/>
        </w:rPr>
        <w:lastRenderedPageBreak/>
        <w:t>descriptions and experiences of boundaries. These codes were subsequently refined through focused coding, allowing related ideas to be clustered into coherent categories. From these categories, broader themes were developed to represent overarching patterns within the data. The themes were reviewed against the transcript to ensure internal coherence and consistency with the dataset, before being written up with the inclusion of illustrative quotations and integration of relevant literature. This analytic approach facilitated both inductive analysis, in which themes emerged directly from the data, and deductive analysis, in which existing theory and research informed the interpretation of findings.</w:t>
      </w:r>
    </w:p>
    <w:p w14:paraId="686110CF"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 analysis was conducted with attention to ethical principles. Reflexivity was maintained, recognising the researcher’s interpretive role and potential biases. Confidentiality was respected, with the counsellor anonymised with the name “Chrissy.” The analysis aligned with the BACP Ethical Framework (2024), which emphasises transparency, respect, and professional responsibility.</w:t>
      </w:r>
    </w:p>
    <w:p w14:paraId="6ECEB93A" w14:textId="77777777" w:rsidR="009D2252" w:rsidRPr="00A347ED" w:rsidRDefault="009D2252" w:rsidP="009D2252">
      <w:pPr>
        <w:rPr>
          <w:rFonts w:ascii="Times New Roman" w:hAnsi="Times New Roman" w:cs="Times New Roman"/>
          <w:b/>
          <w:bCs/>
          <w:sz w:val="28"/>
          <w:szCs w:val="28"/>
        </w:rPr>
      </w:pPr>
      <w:r w:rsidRPr="00A347ED">
        <w:rPr>
          <w:rFonts w:ascii="Times New Roman" w:hAnsi="Times New Roman" w:cs="Times New Roman"/>
          <w:b/>
          <w:bCs/>
          <w:sz w:val="28"/>
          <w:szCs w:val="28"/>
        </w:rPr>
        <w:t>Findings</w:t>
      </w:r>
    </w:p>
    <w:p w14:paraId="0BA4D2B8"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 analysis generated four overarching themes, each supported by transcript excerpts and situated within the wider literature. Chrissy described boundaries as “the frame that lets trust and depth develop,” highlighting how clarity can paradoxically create greater freedom. Boundaries were interpreted not as restrictive barriers but as essential conditions for psychological safety. This interpretation aligns with Rogers’ (1957) proposition that empathy, congruence, and unconditional positive regard are only possible within a secure relational frame. Similarly, Knox (2008) found that counsellors often regard boundaries as enabling trust and facilitating therapeutic risk-taking, reinforcing the idea that safety and structure are prerequisites for deeper relational engagement.</w:t>
      </w:r>
    </w:p>
    <w:p w14:paraId="4D349F01" w14:textId="77777777" w:rsidR="009D2252"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Theme 1 – Compassionate Structure </w:t>
      </w:r>
    </w:p>
    <w:p w14:paraId="76C4D21C"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Boundaries were experienced as compassionate structures, described by the interviewee as “love with edges.” This metaphor conveys how boundaries provide definition without rigidity, allowing counsellors to offer warmth within a safe environment. Consistency in the therapeutic frame was interpreted not as restriction but as care, enabling trust and psychological security. This reflects the humanistic view that structure and predictability are essential conditions for empathy, congruence, and unconditional positive regard. Daymond and Millward (2021), writing for the BACP, emphasise boundaries as essential for psychological safety, while Owen (1997) similarly argues that boundaries in </w:t>
      </w:r>
      <w:r w:rsidRPr="00B02B08">
        <w:rPr>
          <w:rFonts w:ascii="Times New Roman" w:hAnsi="Times New Roman" w:cs="Times New Roman"/>
          <w:sz w:val="28"/>
          <w:szCs w:val="28"/>
        </w:rPr>
        <w:lastRenderedPageBreak/>
        <w:t>humanistic counselling function as enabling structures, supporting both safety and authentic relational engagement.</w:t>
      </w:r>
    </w:p>
    <w:p w14:paraId="77BD79D3" w14:textId="77777777" w:rsidR="009D2252"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Theme 2 – Collaborative Boundaries </w:t>
      </w:r>
    </w:p>
    <w:p w14:paraId="3AF78505"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Financial boundaries were explained relationally, with fees contextualised as part of consistent care. Gifts were reflected upon symbolically, with modest items sometimes accepted. Digital boundaries were clarified, with strict separation between personal and professional communication. Wu and Sonne (2021) emphasise that therapists increasingly face boundary challenges in the digital age, particularly around email, texting, and social media, where blurred lines can compromise professional integrity. They argue that clear policies and proactive communication are essential to prevent dual relationships and maintain ethical clarity. The BACP (2023) guidance on boundaries similarly emphasises that financial arrangements, gift exchanges, and digital communication all form part of ethical practice, ensuring clarity and safety while supporting the therapeutic relationship.</w:t>
      </w:r>
    </w:p>
    <w:p w14:paraId="44B6E3E9"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Time boundaries were discussed as significant learning opportunities, with rituals marking the beginnings and endings of sessions. Endings were not treated as administrative closure but as live therapeutic material, particularly when clients associated them with experiences of abandonment. The counsellor recounted working with a client who repeatedly tested the ending of sessions, transforming the temporal boundary into a focus for therapeutic exploration. Knox et al. (2021) highlight that termination frequently evokes attachment dynamics, positioning endings as sites of potential growth rather than loss. Similarly, Yalom (2002) argues that endings are integral to the therapeutic process, offering opportunities for reflection and integration. In this way, boundaries around time became occasions for clients to encounter safe, predictable endings, fostering trust and resilience within the therapeutic relationship.</w:t>
      </w:r>
    </w:p>
    <w:p w14:paraId="37524C58"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Physical space was carefully managed in practice, with chairs placed at comfortable angles, tissues within reach, and lighting adjusted to avoid harshness. These seemingly small details were described as part of the boundary work, creating a safe and predictable environment. The counsellor emphasised how the room itself becomes a container for therapeutic work, with spatial boundaries reinforcing the sense of safety. Rickard, Hevey, and Wilson (2021) found that seating arrangements significantly influence the formation of therapeutic alliance, underscoring how physical boundaries shape client experience and relational depth.</w:t>
      </w:r>
    </w:p>
    <w:p w14:paraId="6B47989E"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lastRenderedPageBreak/>
        <w:t>Touch was discussed as generally avoided due to its complexity, but in rare circumstances, with explicit consent, it could be appropriate. Non-verbal cues such as eye contact, pacing, and tone were emphasised as safer forms of embodied connection. This reflects Owen’s (1997) observation that humanistic counsellors often negotiate spatial boundaries relationally, rather than imposing rigid rules. Spatial boundaries therefore extended beyond physical distance to include embodied presence, highlighting how counsellors use their bodies and the environment to communicate safety, therapeutic connection, and respect.</w:t>
      </w:r>
    </w:p>
    <w:p w14:paraId="34B6DEA2" w14:textId="77777777" w:rsidR="009D2252"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Theme 3 – Ethical Practice </w:t>
      </w:r>
    </w:p>
    <w:p w14:paraId="6687C2CB"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Ethical considerations were central to the counsellor’s understanding of boundaries. She emphasised proportionality in self-disclosure, noting that counsellors must carefully weigh whether sharing personal information serves the client’s needs. Confidentiality was described as a cornerstone, with clear communication about its limits. The BACP (2024) Ethical Framework reinforces this, highlighting that disclosure must be guided by client welfare and that confidentiality requires transparent boundaries. Owen (1997) similarly argues that boundaries in humanistic counselling are relationally negotiated, which includes careful consideration of when and how counsellors disclose personal information. Cooper (2007) adds that pluralistic counselling requires relational adaptation, meaning that decisions about self-disclosure are not fixed rules but negotiated practices responsive to client needs and therapeutic context.</w:t>
      </w:r>
    </w:p>
    <w:p w14:paraId="0148CCB4"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Record keeping was approached with restraint: “writing only what’s necessary and remembering the person may one day see what I wrote.” Cohen (1992) highlighted that documentation in counselling carries significant legal and ethical implications, reinforcing the need for careful, restrained record keeping. Supervision was described as a safeguard, a place to “reality check judgments and tend my own edges.” Hawkins and Shohet (2012) emphasise supervision as a critical safeguard for ethical practice, supporting counsellors in maintaining boundaries and reflective judgment.</w:t>
      </w:r>
    </w:p>
    <w:p w14:paraId="60E1B888"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Referrals were framed as care rather than rejection, consistent with ethical responsibility. When a client’s needs exceeded competence, referral was offered as an act of respect and protection. This aligns with the BACP Ethical Framework (2024), which emphasises client welfare as the primary consideration.</w:t>
      </w:r>
    </w:p>
    <w:p w14:paraId="4E711A84" w14:textId="77777777" w:rsidR="009D2252"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Theme 4 – Therapeutic Boundaries </w:t>
      </w:r>
    </w:p>
    <w:p w14:paraId="6413087A"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Boundaries were described as flexible in delivery but firm in principle. Flexible elements included session rituals, metaphors, and creative methods, while non-</w:t>
      </w:r>
      <w:r w:rsidRPr="00B02B08">
        <w:rPr>
          <w:rFonts w:ascii="Times New Roman" w:hAnsi="Times New Roman" w:cs="Times New Roman"/>
          <w:sz w:val="28"/>
          <w:szCs w:val="28"/>
        </w:rPr>
        <w:lastRenderedPageBreak/>
        <w:t>negotiables encompassed confidentiality limits, safety, fees, and supervision. For example, the counsellor adjusted the five-minute warning to a gentler cue after client feedback, demonstrating responsiveness without compromising structure.</w:t>
      </w:r>
    </w:p>
    <w:p w14:paraId="493917F2"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Cooper (2007) argues that pluralistic counselling requires relational adaptation, blending approaches to suit the client. This practice reflects that balance. Boundaries are negotiated and responsive, yet grounded in ethical principles. Flexibility was framed not as weakness but as relational atonement. By adapting boundaries to context, counsellors demonstrate respect for client autonomy while maintaining professional responsibility.</w:t>
      </w:r>
    </w:p>
    <w:p w14:paraId="2E5880C6" w14:textId="77777777" w:rsidR="009D2252" w:rsidRPr="00A347ED" w:rsidRDefault="009D2252" w:rsidP="009D2252">
      <w:pPr>
        <w:rPr>
          <w:rFonts w:ascii="Times New Roman" w:hAnsi="Times New Roman" w:cs="Times New Roman"/>
          <w:b/>
          <w:bCs/>
          <w:sz w:val="28"/>
          <w:szCs w:val="28"/>
        </w:rPr>
      </w:pPr>
      <w:r w:rsidRPr="00A347ED">
        <w:rPr>
          <w:rFonts w:ascii="Times New Roman" w:hAnsi="Times New Roman" w:cs="Times New Roman"/>
          <w:b/>
          <w:bCs/>
          <w:sz w:val="28"/>
          <w:szCs w:val="28"/>
        </w:rPr>
        <w:t xml:space="preserve">Discussion </w:t>
      </w:r>
    </w:p>
    <w:p w14:paraId="1450E7F3"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 findings demonstrate that counsellors understand boundaries as compassionate structures, therapeutic boundaries, ethical practice, and collaborative boundaries. Boundaries were experienced as enabling safety, co</w:t>
      </w:r>
      <w:r w:rsidRPr="00B02B08">
        <w:rPr>
          <w:rFonts w:ascii="Times New Roman" w:hAnsi="Times New Roman" w:cs="Times New Roman"/>
          <w:sz w:val="28"/>
          <w:szCs w:val="28"/>
        </w:rPr>
        <w:noBreakHyphen/>
        <w:t>created agreements, therapeutic material, ethical safeguards, and compassionate care.</w:t>
      </w:r>
    </w:p>
    <w:p w14:paraId="7EDF1BB5"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This analysis aligns with Rogers’ (1992) humanistic emphasis on safety, Yalom’s (2002) focus on endings, and BACP’s (2024) ethical framework. Boundaries are not barriers but conditions that allow authenticity and growth. They are reframed as care, with Chrissy’s phrase “boundaries are love with edges” encapsulating the humanistic perspective that consistency is experienced by clients as care, not coldness.</w:t>
      </w:r>
    </w:p>
    <w:p w14:paraId="5036E511"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 findings also highlighted the importance of supervision and reflexivity. Chrissy described how a personal history of over</w:t>
      </w:r>
      <w:r w:rsidRPr="00B02B08">
        <w:rPr>
          <w:rFonts w:ascii="Times New Roman" w:hAnsi="Times New Roman" w:cs="Times New Roman"/>
          <w:sz w:val="28"/>
          <w:szCs w:val="28"/>
        </w:rPr>
        <w:noBreakHyphen/>
        <w:t>giving led to burnout, shaping current boundary practices. This reflects Cooper’s (2007) emphasis on counselling as a pluralistic and relational process, where boundaries are negotiated and adapted in response to both client needs and the counsellor’s. Boundaries are therefore not only professional constructs but personal practices shaped by counsellors’ experiences and reflexive engagement.</w:t>
      </w:r>
    </w:p>
    <w:p w14:paraId="64FE8FD2"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Spatial boundaries illustrated how the counselling environment itself becomes part of the therapeutic frame. Owen (1992) emphasised that physical and embodied boundaries require careful negotiation, particularly in humanistic practice. Chrissy’s approach demonstrated how counsellors use space and presence to communicate safety and respect.</w:t>
      </w:r>
    </w:p>
    <w:p w14:paraId="14E0528B"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Flexibility emerged as a key theme, with boundaries adapted to client needs while maintaining ethical principles. This reflects Cooper’s (2007) pluralistic framework, which emphasises relational adaptation and collaboration with </w:t>
      </w:r>
      <w:r w:rsidRPr="00B02B08">
        <w:rPr>
          <w:rFonts w:ascii="Times New Roman" w:hAnsi="Times New Roman" w:cs="Times New Roman"/>
          <w:sz w:val="28"/>
          <w:szCs w:val="28"/>
        </w:rPr>
        <w:lastRenderedPageBreak/>
        <w:t>clients. Boundaries were therefore not static rules but dynamic agreements responsive to context.</w:t>
      </w:r>
    </w:p>
    <w:p w14:paraId="7CCB5D82"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Overall, the findings suggest that counsellors experienced boundaries as compassionate structures that protect both counsellor and client, enabling depth and honesty in the therapeutic relationship. Boundaries were understood not as restrictions but as conditions for care, trust, and growth.</w:t>
      </w:r>
    </w:p>
    <w:p w14:paraId="20CF3B37"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 xml:space="preserve">Conclusion </w:t>
      </w:r>
    </w:p>
    <w:p w14:paraId="491F718A"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This qualitative analysis shows that counsellors understand and experience boundaries as compassionate structures, therapeutic boundaries, ethical practice, and collaborative boundaries. Boundaries are not rigid fences but dynamic, co</w:t>
      </w:r>
      <w:r w:rsidRPr="00B02B08">
        <w:rPr>
          <w:rFonts w:ascii="Times New Roman" w:hAnsi="Times New Roman" w:cs="Times New Roman"/>
          <w:sz w:val="28"/>
          <w:szCs w:val="28"/>
        </w:rPr>
        <w:noBreakHyphen/>
        <w:t>created conditions that enable trust, safety, and growth.</w:t>
      </w:r>
    </w:p>
    <w:p w14:paraId="56539CB0"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The findings resonate with existing literature, including Rogers’ (1992) humanistic theory, Yalom’s (2002) work on endings, Owen’s (1997) exploration of spatial boundaries, and BACP’s (2024) ethical framework. Boundaries are reframed as care, exemplified by the phrase “love with edges.”</w:t>
      </w:r>
    </w:p>
    <w:p w14:paraId="60AEF8CE" w14:textId="77777777" w:rsidR="009D2252" w:rsidRPr="00B02B08" w:rsidRDefault="009D2252" w:rsidP="009D2252">
      <w:pPr>
        <w:rPr>
          <w:rFonts w:ascii="Times New Roman" w:hAnsi="Times New Roman" w:cs="Times New Roman"/>
          <w:sz w:val="28"/>
          <w:szCs w:val="28"/>
        </w:rPr>
      </w:pPr>
      <w:r w:rsidRPr="00B02B08">
        <w:rPr>
          <w:rFonts w:ascii="Times New Roman" w:hAnsi="Times New Roman" w:cs="Times New Roman"/>
          <w:sz w:val="28"/>
          <w:szCs w:val="28"/>
        </w:rPr>
        <w:t>In conclusion, boundaries are integral to counselling practice, shaping safety, trust, and therapeutic depth. They are experienced as both protective and enabling, requiring clarity, warmth, and adaptability. This study highlights the importance of boundaries as compassionate structures, demonstrating how counsellors negotiate, adapt, and embody them in practice, and how they can also benefit the client therapeutically.</w:t>
      </w:r>
    </w:p>
    <w:p w14:paraId="338BF41E" w14:textId="77777777" w:rsidR="009D2252" w:rsidRPr="001D7A23" w:rsidRDefault="009D2252" w:rsidP="009D2252">
      <w:pPr>
        <w:rPr>
          <w:rFonts w:ascii="Times New Roman" w:hAnsi="Times New Roman" w:cs="Times New Roman"/>
          <w:b/>
          <w:bCs/>
          <w:sz w:val="28"/>
          <w:szCs w:val="28"/>
        </w:rPr>
      </w:pPr>
    </w:p>
    <w:p w14:paraId="4EC3B986" w14:textId="77777777" w:rsidR="00564710" w:rsidRDefault="00564710"/>
    <w:sectPr w:rsidR="00564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6221"/>
    <w:multiLevelType w:val="multilevel"/>
    <w:tmpl w:val="AD3E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71EFB"/>
    <w:multiLevelType w:val="multilevel"/>
    <w:tmpl w:val="942E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A86323"/>
    <w:multiLevelType w:val="multilevel"/>
    <w:tmpl w:val="F5021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157340"/>
    <w:multiLevelType w:val="multilevel"/>
    <w:tmpl w:val="7960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4D25C4"/>
    <w:multiLevelType w:val="multilevel"/>
    <w:tmpl w:val="28360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068F8"/>
    <w:multiLevelType w:val="multilevel"/>
    <w:tmpl w:val="67221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05CBC"/>
    <w:multiLevelType w:val="multilevel"/>
    <w:tmpl w:val="B28E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CD19A0"/>
    <w:multiLevelType w:val="multilevel"/>
    <w:tmpl w:val="AB0C6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02739A"/>
    <w:multiLevelType w:val="multilevel"/>
    <w:tmpl w:val="6F1E2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5C5A8A"/>
    <w:multiLevelType w:val="multilevel"/>
    <w:tmpl w:val="4372D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0F01FA"/>
    <w:multiLevelType w:val="multilevel"/>
    <w:tmpl w:val="F3DA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1D1254"/>
    <w:multiLevelType w:val="multilevel"/>
    <w:tmpl w:val="9F64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5C38B0"/>
    <w:multiLevelType w:val="multilevel"/>
    <w:tmpl w:val="DD220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311495">
    <w:abstractNumId w:val="5"/>
  </w:num>
  <w:num w:numId="2" w16cid:durableId="551384608">
    <w:abstractNumId w:val="10"/>
  </w:num>
  <w:num w:numId="3" w16cid:durableId="1324549554">
    <w:abstractNumId w:val="12"/>
  </w:num>
  <w:num w:numId="4" w16cid:durableId="54474817">
    <w:abstractNumId w:val="6"/>
  </w:num>
  <w:num w:numId="5" w16cid:durableId="563955233">
    <w:abstractNumId w:val="7"/>
  </w:num>
  <w:num w:numId="6" w16cid:durableId="406879099">
    <w:abstractNumId w:val="3"/>
  </w:num>
  <w:num w:numId="7" w16cid:durableId="969046642">
    <w:abstractNumId w:val="0"/>
  </w:num>
  <w:num w:numId="8" w16cid:durableId="21245853">
    <w:abstractNumId w:val="8"/>
  </w:num>
  <w:num w:numId="9" w16cid:durableId="948850129">
    <w:abstractNumId w:val="9"/>
  </w:num>
  <w:num w:numId="10" w16cid:durableId="725491647">
    <w:abstractNumId w:val="2"/>
  </w:num>
  <w:num w:numId="11" w16cid:durableId="1168255404">
    <w:abstractNumId w:val="1"/>
  </w:num>
  <w:num w:numId="12" w16cid:durableId="1455321633">
    <w:abstractNumId w:val="11"/>
  </w:num>
  <w:num w:numId="13" w16cid:durableId="18825519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710"/>
    <w:rsid w:val="00564710"/>
    <w:rsid w:val="00700F21"/>
    <w:rsid w:val="00830B59"/>
    <w:rsid w:val="008B64C4"/>
    <w:rsid w:val="009D2252"/>
    <w:rsid w:val="00CC68D6"/>
    <w:rsid w:val="00F15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F07F57"/>
  <w15:chartTrackingRefBased/>
  <w15:docId w15:val="{74DF8868-252A-4EC8-B4DC-953D290D7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252"/>
  </w:style>
  <w:style w:type="paragraph" w:styleId="Heading1">
    <w:name w:val="heading 1"/>
    <w:basedOn w:val="Normal"/>
    <w:next w:val="Normal"/>
    <w:link w:val="Heading1Char"/>
    <w:uiPriority w:val="9"/>
    <w:qFormat/>
    <w:rsid w:val="005647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7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7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7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7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7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7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7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7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710"/>
    <w:rPr>
      <w:rFonts w:eastAsiaTheme="majorEastAsia" w:cstheme="majorBidi"/>
      <w:color w:val="272727" w:themeColor="text1" w:themeTint="D8"/>
    </w:rPr>
  </w:style>
  <w:style w:type="paragraph" w:styleId="Title">
    <w:name w:val="Title"/>
    <w:basedOn w:val="Normal"/>
    <w:next w:val="Normal"/>
    <w:link w:val="TitleChar"/>
    <w:uiPriority w:val="10"/>
    <w:qFormat/>
    <w:rsid w:val="005647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7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710"/>
    <w:pPr>
      <w:spacing w:before="160"/>
      <w:jc w:val="center"/>
    </w:pPr>
    <w:rPr>
      <w:i/>
      <w:iCs/>
      <w:color w:val="404040" w:themeColor="text1" w:themeTint="BF"/>
    </w:rPr>
  </w:style>
  <w:style w:type="character" w:customStyle="1" w:styleId="QuoteChar">
    <w:name w:val="Quote Char"/>
    <w:basedOn w:val="DefaultParagraphFont"/>
    <w:link w:val="Quote"/>
    <w:uiPriority w:val="29"/>
    <w:rsid w:val="00564710"/>
    <w:rPr>
      <w:i/>
      <w:iCs/>
      <w:color w:val="404040" w:themeColor="text1" w:themeTint="BF"/>
    </w:rPr>
  </w:style>
  <w:style w:type="paragraph" w:styleId="ListParagraph">
    <w:name w:val="List Paragraph"/>
    <w:basedOn w:val="Normal"/>
    <w:uiPriority w:val="34"/>
    <w:qFormat/>
    <w:rsid w:val="00564710"/>
    <w:pPr>
      <w:ind w:left="720"/>
      <w:contextualSpacing/>
    </w:pPr>
  </w:style>
  <w:style w:type="character" w:styleId="IntenseEmphasis">
    <w:name w:val="Intense Emphasis"/>
    <w:basedOn w:val="DefaultParagraphFont"/>
    <w:uiPriority w:val="21"/>
    <w:qFormat/>
    <w:rsid w:val="00564710"/>
    <w:rPr>
      <w:i/>
      <w:iCs/>
      <w:color w:val="0F4761" w:themeColor="accent1" w:themeShade="BF"/>
    </w:rPr>
  </w:style>
  <w:style w:type="paragraph" w:styleId="IntenseQuote">
    <w:name w:val="Intense Quote"/>
    <w:basedOn w:val="Normal"/>
    <w:next w:val="Normal"/>
    <w:link w:val="IntenseQuoteChar"/>
    <w:uiPriority w:val="30"/>
    <w:qFormat/>
    <w:rsid w:val="005647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710"/>
    <w:rPr>
      <w:i/>
      <w:iCs/>
      <w:color w:val="0F4761" w:themeColor="accent1" w:themeShade="BF"/>
    </w:rPr>
  </w:style>
  <w:style w:type="character" w:styleId="IntenseReference">
    <w:name w:val="Intense Reference"/>
    <w:basedOn w:val="DefaultParagraphFont"/>
    <w:uiPriority w:val="32"/>
    <w:qFormat/>
    <w:rsid w:val="0056471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2301</Words>
  <Characters>14549</Characters>
  <Application>Microsoft Office Word</Application>
  <DocSecurity>0</DocSecurity>
  <Lines>909</Lines>
  <Paragraphs>526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2</cp:revision>
  <dcterms:created xsi:type="dcterms:W3CDTF">2025-12-06T16:16:00Z</dcterms:created>
  <dcterms:modified xsi:type="dcterms:W3CDTF">2025-12-09T18:45:00Z</dcterms:modified>
</cp:coreProperties>
</file>