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5B3" w:rsidRDefault="008655B3" w:rsidP="00DD7487">
      <w:pPr>
        <w:jc w:val="both"/>
        <w:rPr>
          <w:rFonts w:ascii="Arial" w:hAnsi="Arial" w:cs="Arial"/>
          <w:color w:val="000000" w:themeColor="text1"/>
          <w:sz w:val="24"/>
          <w:szCs w:val="24"/>
        </w:rPr>
      </w:pPr>
      <w:bookmarkStart w:id="0" w:name="_GoBack"/>
      <w:bookmarkEnd w:id="0"/>
    </w:p>
    <w:p w:rsidR="008655B3" w:rsidRPr="00047C00" w:rsidRDefault="008655B3" w:rsidP="008655B3">
      <w:pPr>
        <w:ind w:left="360"/>
        <w:rPr>
          <w:rFonts w:ascii="Arial" w:hAnsi="Arial" w:cs="Arial"/>
          <w:b/>
          <w:bCs/>
          <w:sz w:val="24"/>
          <w:szCs w:val="24"/>
        </w:rPr>
      </w:pPr>
      <w:r w:rsidRPr="00047C00">
        <w:rPr>
          <w:rFonts w:ascii="Arial" w:hAnsi="Arial" w:cs="Arial"/>
          <w:b/>
          <w:bCs/>
          <w:sz w:val="24"/>
          <w:szCs w:val="24"/>
        </w:rPr>
        <w:t xml:space="preserve">Discuss and critically analyse the risks and benefits of </w:t>
      </w:r>
      <w:r w:rsidRPr="00A718FC">
        <w:rPr>
          <w:rFonts w:ascii="Arial" w:hAnsi="Arial" w:cs="Arial"/>
          <w:b/>
          <w:bCs/>
          <w:sz w:val="24"/>
          <w:szCs w:val="24"/>
          <w:u w:val="single"/>
        </w:rPr>
        <w:t>non-electronic</w:t>
      </w:r>
      <w:r w:rsidRPr="00047C00">
        <w:rPr>
          <w:rFonts w:ascii="Arial" w:hAnsi="Arial" w:cs="Arial"/>
          <w:b/>
          <w:bCs/>
          <w:sz w:val="24"/>
          <w:szCs w:val="24"/>
        </w:rPr>
        <w:t xml:space="preserve"> resources for conducting practical legal research. </w:t>
      </w:r>
    </w:p>
    <w:p w:rsidR="008655B3" w:rsidRDefault="008655B3" w:rsidP="00DD7487">
      <w:pPr>
        <w:jc w:val="both"/>
        <w:rPr>
          <w:rFonts w:ascii="Arial" w:hAnsi="Arial" w:cs="Arial"/>
          <w:color w:val="000000" w:themeColor="text1"/>
          <w:sz w:val="24"/>
          <w:szCs w:val="24"/>
        </w:rPr>
      </w:pPr>
      <w:r>
        <w:rPr>
          <w:rFonts w:ascii="Arial" w:hAnsi="Arial" w:cs="Arial"/>
          <w:color w:val="000000" w:themeColor="text1"/>
          <w:sz w:val="24"/>
          <w:szCs w:val="24"/>
        </w:rPr>
        <w:t>Legal research assignment 1</w:t>
      </w:r>
    </w:p>
    <w:p w:rsidR="008655B3" w:rsidRDefault="008655B3" w:rsidP="00DD7487">
      <w:pPr>
        <w:jc w:val="both"/>
        <w:rPr>
          <w:rFonts w:ascii="Arial" w:hAnsi="Arial" w:cs="Arial"/>
          <w:color w:val="000000" w:themeColor="text1"/>
          <w:sz w:val="24"/>
          <w:szCs w:val="24"/>
        </w:rPr>
      </w:pPr>
    </w:p>
    <w:p w:rsidR="00DD7487" w:rsidRPr="009E715B" w:rsidRDefault="00DD7487" w:rsidP="00DD7487">
      <w:pPr>
        <w:jc w:val="both"/>
        <w:rPr>
          <w:rFonts w:ascii="Arial" w:hAnsi="Arial" w:cs="Arial"/>
          <w:color w:val="000000" w:themeColor="text1"/>
          <w:sz w:val="24"/>
          <w:szCs w:val="24"/>
        </w:rPr>
      </w:pPr>
      <w:r w:rsidRPr="006541A3">
        <w:rPr>
          <w:rFonts w:ascii="Arial" w:hAnsi="Arial" w:cs="Arial"/>
          <w:color w:val="000000" w:themeColor="text1"/>
          <w:sz w:val="24"/>
          <w:szCs w:val="24"/>
        </w:rPr>
        <w:t xml:space="preserve">Legislation and </w:t>
      </w:r>
      <w:r>
        <w:rPr>
          <w:rFonts w:ascii="Arial" w:hAnsi="Arial" w:cs="Arial"/>
          <w:color w:val="000000" w:themeColor="text1"/>
          <w:sz w:val="24"/>
          <w:szCs w:val="24"/>
        </w:rPr>
        <w:t xml:space="preserve">common law </w:t>
      </w:r>
      <w:r w:rsidRPr="006541A3">
        <w:rPr>
          <w:rFonts w:ascii="Arial" w:hAnsi="Arial" w:cs="Arial"/>
          <w:color w:val="000000" w:themeColor="text1"/>
          <w:sz w:val="24"/>
          <w:szCs w:val="24"/>
        </w:rPr>
        <w:t xml:space="preserve">case law are the primary sources of law. Textbooks, commentaries, and scholarly publications are examples of secondary sources. However, in practice, English and </w:t>
      </w:r>
      <w:r w:rsidR="008655B3" w:rsidRPr="006541A3">
        <w:rPr>
          <w:rFonts w:ascii="Arial" w:hAnsi="Arial" w:cs="Arial"/>
          <w:color w:val="000000" w:themeColor="text1"/>
          <w:sz w:val="24"/>
          <w:szCs w:val="24"/>
        </w:rPr>
        <w:t>Welsh Court</w:t>
      </w:r>
      <w:r w:rsidRPr="006541A3">
        <w:rPr>
          <w:rFonts w:ascii="Arial" w:hAnsi="Arial" w:cs="Arial"/>
          <w:color w:val="000000" w:themeColor="text1"/>
          <w:sz w:val="24"/>
          <w:szCs w:val="24"/>
        </w:rPr>
        <w:t xml:space="preserve"> decisions are commonly influenced by both primary and secondary sources of information.</w:t>
      </w:r>
      <w:r>
        <w:rPr>
          <w:rFonts w:ascii="Arial" w:hAnsi="Arial" w:cs="Arial"/>
          <w:color w:val="000000" w:themeColor="text1"/>
          <w:sz w:val="24"/>
          <w:szCs w:val="24"/>
        </w:rPr>
        <w:t xml:space="preserve"> </w:t>
      </w:r>
      <w:r w:rsidRPr="009E715B">
        <w:rPr>
          <w:rFonts w:ascii="Arial" w:hAnsi="Arial" w:cs="Arial"/>
          <w:color w:val="000000" w:themeColor="text1"/>
          <w:sz w:val="24"/>
          <w:szCs w:val="24"/>
        </w:rPr>
        <w:t xml:space="preserve">Non- electronic resources for conducting legal research have long been utilised before the dissemination of electronic legal resources. The latter however, has arguably replaced the former when considering sources of legal research, however, this will not be the focus of this essay at hand. Non-electronic resources, such as primary sources (cases, law reports, specialist reports, unreported cases, Acts of Parliament and statutory instruments) and literary sources such as books and journals, though are of course beneficial in some respects, several risks are with non-electronic methods and this essay seeks to evaluate and analyse both advantages and disadvantages. </w:t>
      </w:r>
    </w:p>
    <w:p w:rsidR="00DD7487" w:rsidRPr="002B016B" w:rsidRDefault="00DD7487" w:rsidP="002B016B">
      <w:pPr>
        <w:jc w:val="both"/>
        <w:rPr>
          <w:rFonts w:ascii="Arial" w:hAnsi="Arial" w:cs="Arial"/>
          <w:b/>
          <w:bCs/>
          <w:color w:val="000000" w:themeColor="text1"/>
          <w:sz w:val="24"/>
          <w:szCs w:val="24"/>
        </w:rPr>
      </w:pPr>
    </w:p>
    <w:p w:rsidR="00DD7487" w:rsidRPr="009E715B" w:rsidRDefault="00DD7487" w:rsidP="00DD7487">
      <w:pPr>
        <w:jc w:val="both"/>
        <w:rPr>
          <w:rFonts w:ascii="Arial" w:hAnsi="Arial" w:cs="Arial"/>
          <w:color w:val="000000" w:themeColor="text1"/>
          <w:sz w:val="24"/>
          <w:szCs w:val="24"/>
        </w:rPr>
      </w:pPr>
      <w:r>
        <w:rPr>
          <w:rFonts w:ascii="Arial" w:hAnsi="Arial" w:cs="Arial"/>
          <w:color w:val="000000" w:themeColor="text1"/>
          <w:sz w:val="24"/>
          <w:szCs w:val="24"/>
        </w:rPr>
        <w:t>Acts of Parliament are indeed important when deciphering what the current and contemporary law is. However, p</w:t>
      </w:r>
      <w:r w:rsidRPr="009E715B">
        <w:rPr>
          <w:rFonts w:ascii="Arial" w:hAnsi="Arial" w:cs="Arial"/>
          <w:color w:val="000000" w:themeColor="text1"/>
          <w:sz w:val="24"/>
          <w:szCs w:val="24"/>
        </w:rPr>
        <w:t>rimary Acts of Parliament can often be regarded, in terms of language and style, confusing. For example, Acts usually have long titles. However, a short title of the Act does usually exist, which provides a more simplified headline of the Act. Acts are then compromised of smaller sections of law and/ or schedules which include specific information such as figures and statistics. Schedules do not always include a notation system, which may be confusing for readers. Furthermore, an Act of Parliament may be problematic in that it may not yet have ‘commenced’ or it has yet to be ‘brought into force.’ It may be difficult to differentiate whether an Act of Parliament, or a particular section of that Act has been implemented yet. Acts oftentimes include repeals and revocations which may change the earlier existing law or remove and revoke a particular section of the Act itself.</w:t>
      </w:r>
    </w:p>
    <w:p w:rsidR="00DD7487" w:rsidRPr="009E715B" w:rsidRDefault="00DD7487" w:rsidP="00DD7487">
      <w:pPr>
        <w:jc w:val="both"/>
        <w:rPr>
          <w:rFonts w:ascii="Arial" w:hAnsi="Arial" w:cs="Arial"/>
          <w:color w:val="000000" w:themeColor="text1"/>
          <w:sz w:val="24"/>
          <w:szCs w:val="24"/>
        </w:rPr>
      </w:pPr>
    </w:p>
    <w:p w:rsidR="00DD7487" w:rsidRPr="002B016B" w:rsidRDefault="00DD7487" w:rsidP="002B016B">
      <w:pPr>
        <w:jc w:val="both"/>
        <w:rPr>
          <w:rFonts w:ascii="Arial" w:hAnsi="Arial" w:cs="Arial"/>
          <w:color w:val="000000" w:themeColor="text1"/>
          <w:sz w:val="24"/>
          <w:szCs w:val="24"/>
        </w:rPr>
      </w:pPr>
    </w:p>
    <w:p w:rsidR="00DD7487" w:rsidRPr="002B016B" w:rsidRDefault="00DD7487" w:rsidP="002B016B">
      <w:pPr>
        <w:jc w:val="both"/>
        <w:rPr>
          <w:rFonts w:ascii="Arial" w:hAnsi="Arial" w:cs="Arial"/>
          <w:color w:val="000000" w:themeColor="text1"/>
          <w:sz w:val="24"/>
          <w:szCs w:val="24"/>
        </w:rPr>
      </w:pPr>
      <w:r w:rsidRPr="009E715B">
        <w:rPr>
          <w:rFonts w:ascii="Arial" w:hAnsi="Arial" w:cs="Arial"/>
          <w:color w:val="000000" w:themeColor="text1"/>
          <w:sz w:val="24"/>
          <w:szCs w:val="24"/>
        </w:rPr>
        <w:t>The Incorporated Council of Law Reporting for England and Wales (2022) define law reports as: ‘a record of a judicial decision on a point of law which sets a precedent.’</w:t>
      </w:r>
      <w:r>
        <w:rPr>
          <w:rFonts w:ascii="Arial" w:hAnsi="Arial" w:cs="Arial"/>
          <w:color w:val="000000" w:themeColor="text1"/>
          <w:sz w:val="24"/>
          <w:szCs w:val="24"/>
        </w:rPr>
        <w:t xml:space="preserve"> Cases can be both reported and unreported.  Several indexes exist which allow the user to find case law. Webb et al., (2022) outlines that the C</w:t>
      </w:r>
      <w:r w:rsidRPr="00C53B86">
        <w:rPr>
          <w:rFonts w:ascii="Arial" w:hAnsi="Arial" w:cs="Arial"/>
          <w:color w:val="000000" w:themeColor="text1"/>
          <w:sz w:val="24"/>
          <w:szCs w:val="24"/>
        </w:rPr>
        <w:t xml:space="preserve">urrent Law </w:t>
      </w:r>
      <w:r>
        <w:rPr>
          <w:rFonts w:ascii="Arial" w:hAnsi="Arial" w:cs="Arial"/>
          <w:color w:val="000000" w:themeColor="text1"/>
          <w:sz w:val="24"/>
          <w:szCs w:val="24"/>
        </w:rPr>
        <w:t xml:space="preserve">report </w:t>
      </w:r>
      <w:r w:rsidRPr="00C53B86">
        <w:rPr>
          <w:rFonts w:ascii="Arial" w:hAnsi="Arial" w:cs="Arial"/>
          <w:color w:val="000000" w:themeColor="text1"/>
          <w:sz w:val="24"/>
          <w:szCs w:val="24"/>
        </w:rPr>
        <w:t xml:space="preserve">is indexed by case name and subject and is published in monthly instalments before it is combined into Current Law Yearbooks. In addition, the Law Reports series offers continuous indexes categorized by case name and topic. These include citations to the Law Reports, Weekly Law Reports, the All England Law Reports, and of specialist </w:t>
      </w:r>
      <w:proofErr w:type="gramStart"/>
      <w:r w:rsidRPr="00C53B86">
        <w:rPr>
          <w:rFonts w:ascii="Arial" w:hAnsi="Arial" w:cs="Arial"/>
          <w:color w:val="000000" w:themeColor="text1"/>
          <w:sz w:val="24"/>
          <w:szCs w:val="24"/>
        </w:rPr>
        <w:t>series'</w:t>
      </w:r>
      <w:proofErr w:type="gramEnd"/>
      <w:r w:rsidRPr="00C53B86">
        <w:rPr>
          <w:rFonts w:ascii="Arial" w:hAnsi="Arial" w:cs="Arial"/>
          <w:color w:val="000000" w:themeColor="text1"/>
          <w:sz w:val="24"/>
          <w:szCs w:val="24"/>
        </w:rPr>
        <w:t>.</w:t>
      </w:r>
      <w:r>
        <w:rPr>
          <w:rFonts w:ascii="Arial" w:hAnsi="Arial" w:cs="Arial"/>
          <w:color w:val="000000" w:themeColor="text1"/>
          <w:sz w:val="24"/>
          <w:szCs w:val="24"/>
        </w:rPr>
        <w:t xml:space="preserve"> The use of law reports such as Current Law may be regarded as beneficial as a contemporary outline of the relevant law and case one wishes to assess. However, </w:t>
      </w:r>
      <w:r>
        <w:rPr>
          <w:rFonts w:ascii="Arial" w:hAnsi="Arial" w:cs="Arial"/>
          <w:color w:val="000000" w:themeColor="text1"/>
          <w:sz w:val="24"/>
          <w:szCs w:val="24"/>
        </w:rPr>
        <w:lastRenderedPageBreak/>
        <w:t xml:space="preserve">on the flip side of this, the difficulties </w:t>
      </w:r>
      <w:r w:rsidRPr="00EF26E7">
        <w:rPr>
          <w:rFonts w:ascii="Arial" w:hAnsi="Arial" w:cs="Arial"/>
          <w:color w:val="000000" w:themeColor="text1"/>
          <w:sz w:val="24"/>
          <w:szCs w:val="24"/>
        </w:rPr>
        <w:t xml:space="preserve">of a precedent-based legal system </w:t>
      </w:r>
      <w:proofErr w:type="gramStart"/>
      <w:r w:rsidRPr="00EF26E7">
        <w:rPr>
          <w:rFonts w:ascii="Arial" w:hAnsi="Arial" w:cs="Arial"/>
          <w:color w:val="000000" w:themeColor="text1"/>
          <w:sz w:val="24"/>
          <w:szCs w:val="24"/>
        </w:rPr>
        <w:t>is</w:t>
      </w:r>
      <w:proofErr w:type="gramEnd"/>
      <w:r w:rsidRPr="00EF26E7">
        <w:rPr>
          <w:rFonts w:ascii="Arial" w:hAnsi="Arial" w:cs="Arial"/>
          <w:color w:val="000000" w:themeColor="text1"/>
          <w:sz w:val="24"/>
          <w:szCs w:val="24"/>
        </w:rPr>
        <w:t xml:space="preserve"> that case law is not documented in a single and central location, thereby making it difficult to locate current and relevant case law.</w:t>
      </w:r>
      <w:r>
        <w:rPr>
          <w:rFonts w:ascii="Arial" w:hAnsi="Arial" w:cs="Arial"/>
          <w:color w:val="000000" w:themeColor="text1"/>
          <w:sz w:val="24"/>
          <w:szCs w:val="24"/>
        </w:rPr>
        <w:t xml:space="preserve"> </w:t>
      </w:r>
      <w:r w:rsidRPr="00597615">
        <w:rPr>
          <w:rFonts w:ascii="Arial" w:hAnsi="Arial" w:cs="Arial"/>
          <w:color w:val="000000" w:themeColor="text1"/>
          <w:sz w:val="24"/>
          <w:szCs w:val="24"/>
        </w:rPr>
        <w:t>In the English legal system,</w:t>
      </w:r>
      <w:r>
        <w:rPr>
          <w:rFonts w:ascii="Arial" w:hAnsi="Arial" w:cs="Arial"/>
          <w:color w:val="000000" w:themeColor="text1"/>
          <w:sz w:val="24"/>
          <w:szCs w:val="24"/>
        </w:rPr>
        <w:t xml:space="preserve"> unlike their French</w:t>
      </w:r>
      <w:r w:rsidRPr="00597615">
        <w:rPr>
          <w:rFonts w:ascii="Arial" w:hAnsi="Arial" w:cs="Arial"/>
          <w:color w:val="000000" w:themeColor="text1"/>
          <w:sz w:val="24"/>
          <w:szCs w:val="24"/>
        </w:rPr>
        <w:t xml:space="preserve"> there is no one 'official' governmental source of law reports.</w:t>
      </w:r>
      <w:r>
        <w:rPr>
          <w:rFonts w:ascii="Arial" w:hAnsi="Arial" w:cs="Arial"/>
          <w:color w:val="000000" w:themeColor="text1"/>
          <w:sz w:val="24"/>
          <w:szCs w:val="24"/>
        </w:rPr>
        <w:t xml:space="preserve"> Webb et al., argue that l</w:t>
      </w:r>
      <w:r w:rsidRPr="00EF26E7">
        <w:rPr>
          <w:rFonts w:ascii="Arial" w:hAnsi="Arial" w:cs="Arial"/>
          <w:color w:val="000000" w:themeColor="text1"/>
          <w:sz w:val="24"/>
          <w:szCs w:val="24"/>
        </w:rPr>
        <w:t>ocating the reference in the Current Law Case Citators is the easiest way to update case law employing paper materials. The first book contains instances recorded from 1947 to 1976, the second book concerns matters from 1977 to 1997, and the third from 1998 to 2001. Here, all reported cases are easily arranged alphabetically by the first-named party to the case. The citator then outlines a list of all citations to that case and a reference to the case summary in the corresponding yearly edition of Current Law Yearbook.</w:t>
      </w:r>
      <w:r>
        <w:rPr>
          <w:rFonts w:ascii="Arial" w:hAnsi="Arial" w:cs="Arial"/>
          <w:color w:val="000000" w:themeColor="text1"/>
          <w:sz w:val="24"/>
          <w:szCs w:val="24"/>
        </w:rPr>
        <w:t xml:space="preserve"> </w:t>
      </w:r>
      <w:r w:rsidR="00453742">
        <w:rPr>
          <w:rFonts w:ascii="Arial" w:hAnsi="Arial" w:cs="Arial"/>
          <w:color w:val="000000" w:themeColor="text1"/>
          <w:sz w:val="24"/>
          <w:szCs w:val="24"/>
        </w:rPr>
        <w:t xml:space="preserve">The </w:t>
      </w:r>
      <w:r w:rsidR="002E1A99">
        <w:rPr>
          <w:rFonts w:ascii="Arial" w:hAnsi="Arial" w:cs="Arial"/>
          <w:color w:val="000000" w:themeColor="text1"/>
          <w:sz w:val="24"/>
          <w:szCs w:val="24"/>
        </w:rPr>
        <w:t xml:space="preserve">use of </w:t>
      </w:r>
      <w:proofErr w:type="spellStart"/>
      <w:r w:rsidR="001921A7">
        <w:rPr>
          <w:rFonts w:ascii="Arial" w:hAnsi="Arial" w:cs="Arial"/>
          <w:color w:val="000000" w:themeColor="text1"/>
          <w:sz w:val="24"/>
          <w:szCs w:val="24"/>
        </w:rPr>
        <w:t>Baili</w:t>
      </w:r>
      <w:proofErr w:type="spellEnd"/>
      <w:r w:rsidR="001921A7">
        <w:rPr>
          <w:rFonts w:ascii="Arial" w:hAnsi="Arial" w:cs="Arial"/>
          <w:color w:val="000000" w:themeColor="text1"/>
          <w:sz w:val="24"/>
          <w:szCs w:val="24"/>
        </w:rPr>
        <w:t>,</w:t>
      </w:r>
      <w:r w:rsidR="000F7967">
        <w:rPr>
          <w:rFonts w:ascii="Arial" w:hAnsi="Arial" w:cs="Arial"/>
          <w:color w:val="000000" w:themeColor="text1"/>
          <w:sz w:val="24"/>
          <w:szCs w:val="24"/>
        </w:rPr>
        <w:t xml:space="preserve"> </w:t>
      </w:r>
      <w:r w:rsidR="001921A7">
        <w:rPr>
          <w:rFonts w:ascii="Arial" w:hAnsi="Arial" w:cs="Arial"/>
          <w:color w:val="000000" w:themeColor="text1"/>
          <w:sz w:val="24"/>
          <w:szCs w:val="24"/>
        </w:rPr>
        <w:t>and west law are other sources of case law and detailed judgement to be used in an online research, Baili</w:t>
      </w:r>
      <w:r w:rsidR="00284831">
        <w:rPr>
          <w:rFonts w:ascii="Arial" w:hAnsi="Arial" w:cs="Arial"/>
          <w:color w:val="000000" w:themeColor="text1"/>
          <w:sz w:val="24"/>
          <w:szCs w:val="24"/>
        </w:rPr>
        <w:t xml:space="preserve">i.org provides </w:t>
      </w:r>
      <w:r w:rsidR="001921A7">
        <w:rPr>
          <w:rFonts w:ascii="Arial" w:hAnsi="Arial" w:cs="Arial"/>
          <w:color w:val="000000" w:themeColor="text1"/>
          <w:sz w:val="24"/>
          <w:szCs w:val="24"/>
        </w:rPr>
        <w:t>a free source</w:t>
      </w:r>
      <w:r w:rsidR="00284831">
        <w:rPr>
          <w:rFonts w:ascii="Arial" w:hAnsi="Arial" w:cs="Arial"/>
          <w:color w:val="000000" w:themeColor="text1"/>
          <w:sz w:val="24"/>
          <w:szCs w:val="24"/>
        </w:rPr>
        <w:t xml:space="preserve"> for statues, SI’s and importantly case reports.</w:t>
      </w:r>
      <w:r w:rsidR="001921A7">
        <w:rPr>
          <w:rFonts w:ascii="Arial" w:hAnsi="Arial" w:cs="Arial"/>
          <w:color w:val="000000" w:themeColor="text1"/>
          <w:sz w:val="24"/>
          <w:szCs w:val="24"/>
        </w:rPr>
        <w:t xml:space="preserve"> </w:t>
      </w:r>
      <w:r w:rsidR="00284831">
        <w:rPr>
          <w:rFonts w:ascii="Arial" w:hAnsi="Arial" w:cs="Arial"/>
          <w:color w:val="000000" w:themeColor="text1"/>
          <w:sz w:val="24"/>
          <w:szCs w:val="24"/>
        </w:rPr>
        <w:t>O</w:t>
      </w:r>
      <w:r w:rsidR="000F7967">
        <w:rPr>
          <w:rFonts w:ascii="Arial" w:hAnsi="Arial" w:cs="Arial"/>
          <w:color w:val="000000" w:themeColor="text1"/>
          <w:sz w:val="24"/>
          <w:szCs w:val="24"/>
        </w:rPr>
        <w:t>t</w:t>
      </w:r>
      <w:r w:rsidR="001921A7">
        <w:rPr>
          <w:rFonts w:ascii="Arial" w:hAnsi="Arial" w:cs="Arial"/>
          <w:color w:val="000000" w:themeColor="text1"/>
          <w:sz w:val="24"/>
          <w:szCs w:val="24"/>
        </w:rPr>
        <w:t>her</w:t>
      </w:r>
      <w:r w:rsidR="00284831">
        <w:rPr>
          <w:rFonts w:ascii="Arial" w:hAnsi="Arial" w:cs="Arial"/>
          <w:color w:val="000000" w:themeColor="text1"/>
          <w:sz w:val="24"/>
          <w:szCs w:val="24"/>
        </w:rPr>
        <w:t xml:space="preserve"> </w:t>
      </w:r>
      <w:r w:rsidR="000F7967">
        <w:rPr>
          <w:rFonts w:ascii="Arial" w:hAnsi="Arial" w:cs="Arial"/>
          <w:color w:val="000000" w:themeColor="text1"/>
          <w:sz w:val="24"/>
          <w:szCs w:val="24"/>
        </w:rPr>
        <w:t>sources (West law)</w:t>
      </w:r>
      <w:r w:rsidR="001921A7">
        <w:rPr>
          <w:rFonts w:ascii="Arial" w:hAnsi="Arial" w:cs="Arial"/>
          <w:color w:val="000000" w:themeColor="text1"/>
          <w:sz w:val="24"/>
          <w:szCs w:val="24"/>
        </w:rPr>
        <w:t xml:space="preserve"> </w:t>
      </w:r>
      <w:r w:rsidR="000F7967">
        <w:rPr>
          <w:rFonts w:ascii="Arial" w:hAnsi="Arial" w:cs="Arial"/>
          <w:color w:val="000000" w:themeColor="text1"/>
          <w:sz w:val="24"/>
          <w:szCs w:val="24"/>
        </w:rPr>
        <w:t xml:space="preserve">and educational institutes </w:t>
      </w:r>
      <w:r w:rsidR="001921A7">
        <w:rPr>
          <w:rFonts w:ascii="Arial" w:hAnsi="Arial" w:cs="Arial"/>
          <w:color w:val="000000" w:themeColor="text1"/>
          <w:sz w:val="24"/>
          <w:szCs w:val="24"/>
        </w:rPr>
        <w:t xml:space="preserve">requires </w:t>
      </w:r>
      <w:r w:rsidR="00284831">
        <w:rPr>
          <w:rFonts w:ascii="Arial" w:hAnsi="Arial" w:cs="Arial"/>
          <w:color w:val="000000" w:themeColor="text1"/>
          <w:sz w:val="24"/>
          <w:szCs w:val="24"/>
        </w:rPr>
        <w:t>subscription</w:t>
      </w:r>
      <w:r w:rsidR="001921A7">
        <w:rPr>
          <w:rFonts w:ascii="Arial" w:hAnsi="Arial" w:cs="Arial"/>
          <w:color w:val="000000" w:themeColor="text1"/>
          <w:sz w:val="24"/>
          <w:szCs w:val="24"/>
        </w:rPr>
        <w:t xml:space="preserve">. </w:t>
      </w:r>
    </w:p>
    <w:p w:rsidR="00DD7487" w:rsidRPr="002D075C" w:rsidRDefault="00DD7487" w:rsidP="00DD7487">
      <w:pPr>
        <w:spacing w:after="0" w:line="240" w:lineRule="auto"/>
        <w:jc w:val="both"/>
        <w:rPr>
          <w:rFonts w:ascii="Source Sans Pro" w:eastAsia="Times New Roman" w:hAnsi="Source Sans Pro" w:cs="Times New Roman"/>
          <w:i/>
          <w:iCs/>
          <w:color w:val="000000" w:themeColor="text1"/>
          <w:sz w:val="26"/>
          <w:szCs w:val="26"/>
          <w:bdr w:val="none" w:sz="0" w:space="0" w:color="auto" w:frame="1"/>
          <w:shd w:val="clear" w:color="auto" w:fill="FFFFFF"/>
          <w:lang w:eastAsia="en-GB"/>
        </w:rPr>
      </w:pPr>
    </w:p>
    <w:p w:rsidR="00DD7487" w:rsidRDefault="00DD7487" w:rsidP="00DD7487">
      <w:pPr>
        <w:spacing w:after="0" w:line="240" w:lineRule="auto"/>
        <w:jc w:val="both"/>
        <w:rPr>
          <w:rFonts w:ascii="Arial" w:hAnsi="Arial" w:cs="Arial"/>
          <w:color w:val="000000" w:themeColor="text1"/>
          <w:sz w:val="24"/>
          <w:szCs w:val="24"/>
        </w:rPr>
      </w:pPr>
      <w:r w:rsidRPr="009E715B">
        <w:rPr>
          <w:rFonts w:ascii="Arial" w:eastAsia="Times New Roman" w:hAnsi="Arial" w:cs="Arial"/>
          <w:color w:val="000000" w:themeColor="text1"/>
          <w:sz w:val="24"/>
          <w:szCs w:val="24"/>
          <w:bdr w:val="none" w:sz="0" w:space="0" w:color="auto" w:frame="1"/>
          <w:shd w:val="clear" w:color="auto" w:fill="FFFFFF"/>
          <w:lang w:eastAsia="en-GB"/>
        </w:rPr>
        <w:t xml:space="preserve">Finch and </w:t>
      </w:r>
      <w:proofErr w:type="spellStart"/>
      <w:r w:rsidRPr="009E715B">
        <w:rPr>
          <w:rFonts w:ascii="Arial" w:eastAsia="Times New Roman" w:hAnsi="Arial" w:cs="Arial"/>
          <w:color w:val="000000" w:themeColor="text1"/>
          <w:sz w:val="24"/>
          <w:szCs w:val="24"/>
          <w:bdr w:val="none" w:sz="0" w:space="0" w:color="auto" w:frame="1"/>
          <w:shd w:val="clear" w:color="auto" w:fill="FFFFFF"/>
          <w:lang w:eastAsia="en-GB"/>
        </w:rPr>
        <w:t>Fafinski</w:t>
      </w:r>
      <w:proofErr w:type="spellEnd"/>
      <w:r w:rsidRPr="009E715B">
        <w:rPr>
          <w:rFonts w:ascii="Arial" w:eastAsia="Times New Roman" w:hAnsi="Arial" w:cs="Arial"/>
          <w:color w:val="000000" w:themeColor="text1"/>
          <w:sz w:val="24"/>
          <w:szCs w:val="24"/>
          <w:bdr w:val="none" w:sz="0" w:space="0" w:color="auto" w:frame="1"/>
          <w:shd w:val="clear" w:color="auto" w:fill="FFFFFF"/>
          <w:lang w:eastAsia="en-GB"/>
        </w:rPr>
        <w:t xml:space="preserve"> (2021: 200) define Hansard as a ‘verbatim transcript of all Parliamentary debates.’</w:t>
      </w:r>
      <w:r w:rsidRPr="009E715B">
        <w:rPr>
          <w:rFonts w:ascii="Arial" w:eastAsia="Times New Roman" w:hAnsi="Arial" w:cs="Arial"/>
          <w:color w:val="000000" w:themeColor="text1"/>
          <w:sz w:val="24"/>
          <w:szCs w:val="24"/>
          <w:lang w:eastAsia="en-GB"/>
        </w:rPr>
        <w:t xml:space="preserve"> </w:t>
      </w:r>
      <w:r w:rsidRPr="009E715B">
        <w:rPr>
          <w:rFonts w:ascii="Arial" w:hAnsi="Arial" w:cs="Arial"/>
          <w:color w:val="000000" w:themeColor="text1"/>
          <w:sz w:val="24"/>
          <w:szCs w:val="24"/>
        </w:rPr>
        <w:t>Following Pepper v Hart (1993), the Courts have had the authority to rely on Official Reports of Proceedings in Parliament in two particular circumstances: the first being that the legislative wording is unclear and vague; and the second is where there is a declaration by the minister that clearly establishes the parliamentary goal behind the unclear or ambiguous terminology. The use of Hansard is beneficial in that it often places an Act in the relevant context and it is free to all user</w:t>
      </w:r>
      <w:r w:rsidR="00453742">
        <w:rPr>
          <w:rFonts w:ascii="Arial" w:hAnsi="Arial" w:cs="Arial"/>
          <w:color w:val="000000" w:themeColor="text1"/>
          <w:sz w:val="24"/>
          <w:szCs w:val="24"/>
        </w:rPr>
        <w:t>s, either online or by subscription that is in this case paid.</w:t>
      </w:r>
    </w:p>
    <w:p w:rsidR="00DD7487" w:rsidRDefault="00DD7487" w:rsidP="00DD7487">
      <w:pPr>
        <w:spacing w:after="0" w:line="240" w:lineRule="auto"/>
        <w:jc w:val="both"/>
        <w:rPr>
          <w:rFonts w:ascii="Arial" w:hAnsi="Arial" w:cs="Arial"/>
          <w:color w:val="000000" w:themeColor="text1"/>
          <w:sz w:val="24"/>
          <w:szCs w:val="24"/>
        </w:rPr>
      </w:pPr>
    </w:p>
    <w:p w:rsidR="00DD7487" w:rsidRPr="002B016B" w:rsidRDefault="00DD7487" w:rsidP="002B016B">
      <w:pPr>
        <w:jc w:val="both"/>
        <w:rPr>
          <w:rFonts w:ascii="Arial" w:hAnsi="Arial" w:cs="Arial"/>
          <w:b/>
          <w:bCs/>
          <w:color w:val="000000" w:themeColor="text1"/>
          <w:sz w:val="24"/>
          <w:szCs w:val="24"/>
        </w:rPr>
      </w:pPr>
    </w:p>
    <w:p w:rsidR="00DD7487" w:rsidRPr="002B016B" w:rsidRDefault="00DD7487" w:rsidP="002B016B">
      <w:pPr>
        <w:jc w:val="both"/>
        <w:rPr>
          <w:rFonts w:ascii="Arial" w:hAnsi="Arial" w:cs="Arial"/>
          <w:color w:val="000000" w:themeColor="text1"/>
          <w:sz w:val="24"/>
          <w:szCs w:val="24"/>
        </w:rPr>
      </w:pPr>
      <w:r w:rsidRPr="00091C56">
        <w:rPr>
          <w:rFonts w:ascii="Arial" w:hAnsi="Arial" w:cs="Arial"/>
          <w:color w:val="000000" w:themeColor="text1"/>
          <w:sz w:val="24"/>
          <w:szCs w:val="24"/>
        </w:rPr>
        <w:t xml:space="preserve">The </w:t>
      </w:r>
      <w:r>
        <w:rPr>
          <w:rFonts w:ascii="Arial" w:hAnsi="Arial" w:cs="Arial"/>
          <w:color w:val="000000" w:themeColor="text1"/>
          <w:sz w:val="24"/>
          <w:szCs w:val="24"/>
        </w:rPr>
        <w:t>UK government often publishes their own Command Papers, which are ‘government publications presented to Parliament’ (Parliament, 2022), these are beneficial in that they may provide useful information concerning a particular area of law, for example White Papers concern policy initiatives and legislative proposals, whilst Green Papers are those which consolidate government information. They are easily accessible via the UK government’s Official Documents Service or can alternatively be requested from the Parliamentary Archives. Such documents can be differentiated from the Law Commission’s Reports. The Law Commission is independent from the UK government itself and are clearly legally trained, thus making their work incredibly authoritative. Law Commission members ‘</w:t>
      </w:r>
      <w:r w:rsidRPr="00652C67">
        <w:rPr>
          <w:rFonts w:ascii="Arial" w:hAnsi="Arial" w:cs="Arial"/>
          <w:color w:val="000000" w:themeColor="text1"/>
          <w:sz w:val="24"/>
          <w:szCs w:val="24"/>
        </w:rPr>
        <w:t>consult widely to help us draw up a new programme of law reform</w:t>
      </w:r>
      <w:r>
        <w:rPr>
          <w:rFonts w:ascii="Arial" w:hAnsi="Arial" w:cs="Arial"/>
          <w:color w:val="000000" w:themeColor="text1"/>
          <w:sz w:val="24"/>
          <w:szCs w:val="24"/>
        </w:rPr>
        <w:t>...</w:t>
      </w:r>
      <w:r w:rsidRPr="00E85200">
        <w:t xml:space="preserve"> </w:t>
      </w:r>
      <w:r w:rsidRPr="00E85200">
        <w:rPr>
          <w:rFonts w:ascii="Arial" w:hAnsi="Arial" w:cs="Arial"/>
          <w:color w:val="000000" w:themeColor="text1"/>
          <w:sz w:val="24"/>
          <w:szCs w:val="24"/>
        </w:rPr>
        <w:t>the Law Commission takes views from judges, lawyers, Government Departments, the voluntary and business sectors, and the general public.</w:t>
      </w:r>
      <w:r>
        <w:rPr>
          <w:rFonts w:ascii="Arial" w:hAnsi="Arial" w:cs="Arial"/>
          <w:color w:val="000000" w:themeColor="text1"/>
          <w:sz w:val="24"/>
          <w:szCs w:val="24"/>
        </w:rPr>
        <w:t>’ (The Law Commission, 2022). The benefit of consulting a Law Commission Report is that their work often ‘</w:t>
      </w:r>
      <w:r w:rsidRPr="00E85200">
        <w:rPr>
          <w:rFonts w:ascii="Arial" w:hAnsi="Arial" w:cs="Arial"/>
          <w:color w:val="000000" w:themeColor="text1"/>
          <w:sz w:val="24"/>
          <w:szCs w:val="24"/>
        </w:rPr>
        <w:t>draws on academic research and is able to work with academics in a variety of ways. The Law Commission of England and Wales and its use of Empirical Research was written to assist the Society of Legal Scholars, the Socio-Legal Studies Association and the Association of Law Teachers in disseminating this information among researchers</w:t>
      </w:r>
      <w:r>
        <w:rPr>
          <w:rFonts w:ascii="Arial" w:hAnsi="Arial" w:cs="Arial"/>
          <w:color w:val="000000" w:themeColor="text1"/>
          <w:sz w:val="24"/>
          <w:szCs w:val="24"/>
        </w:rPr>
        <w:t>’ (The Law Commission,</w:t>
      </w:r>
    </w:p>
    <w:p w:rsidR="00DD7487" w:rsidRPr="00B6678E" w:rsidRDefault="00DD7487" w:rsidP="00DD7487">
      <w:pPr>
        <w:jc w:val="both"/>
        <w:rPr>
          <w:rFonts w:ascii="Arial" w:hAnsi="Arial" w:cs="Arial"/>
          <w:b/>
          <w:bCs/>
          <w:color w:val="000000" w:themeColor="text1"/>
          <w:sz w:val="24"/>
          <w:szCs w:val="24"/>
        </w:rPr>
      </w:pPr>
    </w:p>
    <w:p w:rsidR="00DD7487" w:rsidRPr="009E715B" w:rsidRDefault="00DD7487" w:rsidP="00DD7487">
      <w:pPr>
        <w:jc w:val="both"/>
        <w:rPr>
          <w:rFonts w:ascii="Arial" w:hAnsi="Arial" w:cs="Arial"/>
          <w:color w:val="000000" w:themeColor="text1"/>
          <w:sz w:val="24"/>
          <w:szCs w:val="24"/>
        </w:rPr>
      </w:pPr>
      <w:r w:rsidRPr="009E715B">
        <w:rPr>
          <w:rFonts w:ascii="Arial" w:hAnsi="Arial" w:cs="Arial"/>
          <w:color w:val="000000" w:themeColor="text1"/>
          <w:sz w:val="24"/>
          <w:szCs w:val="24"/>
        </w:rPr>
        <w:lastRenderedPageBreak/>
        <w:t xml:space="preserve">Legal encyclopaedias provide comprehensive and general comments on a variety of legal topics. Such encyclopaedias and dictionaries are often regarded as the first point of call for legal practitioners and researchers because this resource provides a specialist outline of the relevant area of practice. </w:t>
      </w:r>
      <w:r>
        <w:rPr>
          <w:rFonts w:ascii="Arial" w:hAnsi="Arial" w:cs="Arial"/>
          <w:color w:val="000000" w:themeColor="text1"/>
          <w:sz w:val="24"/>
          <w:szCs w:val="24"/>
        </w:rPr>
        <w:t>The benefit of encyclopaedias is that e</w:t>
      </w:r>
      <w:r w:rsidRPr="00E91AA6">
        <w:rPr>
          <w:rFonts w:ascii="Arial" w:hAnsi="Arial" w:cs="Arial"/>
          <w:color w:val="000000" w:themeColor="text1"/>
          <w:sz w:val="24"/>
          <w:szCs w:val="24"/>
        </w:rPr>
        <w:t>ncyclopaedias are typically designed to present a somewhat thorough summary of the current law, but in a succinct format</w:t>
      </w:r>
      <w:r>
        <w:rPr>
          <w:rFonts w:ascii="Arial" w:hAnsi="Arial" w:cs="Arial"/>
          <w:color w:val="000000" w:themeColor="text1"/>
          <w:sz w:val="24"/>
          <w:szCs w:val="24"/>
        </w:rPr>
        <w:t xml:space="preserve"> (Holland and Webb, 2022). </w:t>
      </w:r>
      <w:r w:rsidRPr="009E715B">
        <w:rPr>
          <w:rFonts w:ascii="Arial" w:hAnsi="Arial" w:cs="Arial"/>
          <w:color w:val="000000" w:themeColor="text1"/>
          <w:sz w:val="24"/>
          <w:szCs w:val="24"/>
        </w:rPr>
        <w:t xml:space="preserve">Oxford University (2022) states that legal dictionaries ‘extremely helpful for understanding legal terms and the legal contexts.’ Webb et al., go on to argue that though there may be a general belief that online resources are updated more regularly than their hard copy encyclopaedia and dictionary counterparts, this is in fact the ‘reverse’ in practice with ‘online versions...generally only being updated once the paper version has been published.’ </w:t>
      </w:r>
    </w:p>
    <w:p w:rsidR="00DD7487" w:rsidRPr="002B016B" w:rsidRDefault="00DD7487" w:rsidP="002B016B">
      <w:pPr>
        <w:jc w:val="both"/>
        <w:rPr>
          <w:rFonts w:ascii="Arial" w:hAnsi="Arial" w:cs="Arial"/>
          <w:color w:val="000000" w:themeColor="text1"/>
          <w:sz w:val="24"/>
          <w:szCs w:val="24"/>
        </w:rPr>
      </w:pPr>
      <w:r w:rsidRPr="009E715B">
        <w:rPr>
          <w:rFonts w:ascii="Arial" w:hAnsi="Arial" w:cs="Arial"/>
          <w:color w:val="000000" w:themeColor="text1"/>
          <w:sz w:val="24"/>
          <w:szCs w:val="24"/>
        </w:rPr>
        <w:t>The difficulties associated with interpreting the language of primary sources can be remedied by the existence of specific judicial dictionaries which aid in breaking down and understanding the legislative legal jargon. A clear and accessible dictionary is Stroud’s Judicial Dictionary of Words and Phrases by J. S. James and is commonly used by legal practitioners. The Digest Encyclopaedia is particularly useful when researching historical case law concerning common law jurisdictions (bar the United States), though can be considered as ‘misleading...[and] not the easiest of encyclopaedias to use’ (Web et al., 2022: 88). Webb et al., (2022: 88) and Oxford University (2022) state that the Halsbury's Laws of England, which can be found in a hard copy form, is often regarded as the most authoritative legal encyclopaedia in England and Wales. However, because Halsbury's Laws is divided between 4th and 5th edition volumes, an individual must use find and use the appropriate subsequent supplements to ensure that they are adhering to the most contemporary version of the law.</w:t>
      </w:r>
    </w:p>
    <w:p w:rsidR="00DD7487" w:rsidRDefault="00DD7487" w:rsidP="00DD7487">
      <w:pPr>
        <w:jc w:val="both"/>
        <w:rPr>
          <w:rFonts w:ascii="Arial" w:hAnsi="Arial" w:cs="Arial"/>
          <w:b/>
          <w:bCs/>
          <w:color w:val="000000" w:themeColor="text1"/>
          <w:sz w:val="24"/>
          <w:szCs w:val="24"/>
        </w:rPr>
      </w:pPr>
    </w:p>
    <w:p w:rsidR="00DD7487" w:rsidRDefault="00DD7487" w:rsidP="00DD7487">
      <w:pPr>
        <w:jc w:val="both"/>
        <w:rPr>
          <w:rFonts w:ascii="Arial" w:hAnsi="Arial" w:cs="Arial"/>
          <w:color w:val="000000" w:themeColor="text1"/>
          <w:sz w:val="24"/>
          <w:szCs w:val="24"/>
        </w:rPr>
      </w:pPr>
      <w:r w:rsidRPr="0072641A">
        <w:rPr>
          <w:rFonts w:ascii="Arial" w:hAnsi="Arial" w:cs="Arial"/>
          <w:color w:val="000000" w:themeColor="text1"/>
          <w:sz w:val="24"/>
          <w:szCs w:val="24"/>
        </w:rPr>
        <w:t>Holland</w:t>
      </w:r>
      <w:r>
        <w:rPr>
          <w:rFonts w:ascii="Arial" w:hAnsi="Arial" w:cs="Arial"/>
          <w:color w:val="000000" w:themeColor="text1"/>
          <w:sz w:val="24"/>
          <w:szCs w:val="24"/>
        </w:rPr>
        <w:t xml:space="preserve"> and Webb (2022) define literary sources as: ‘</w:t>
      </w:r>
      <w:r w:rsidRPr="0072641A">
        <w:rPr>
          <w:rFonts w:ascii="Arial" w:hAnsi="Arial" w:cs="Arial"/>
          <w:color w:val="000000" w:themeColor="text1"/>
          <w:sz w:val="24"/>
          <w:szCs w:val="24"/>
        </w:rPr>
        <w:t>books about law, as opposed to those books of law, which contain ‘official’ copies of legislation or case reports.</w:t>
      </w:r>
      <w:r>
        <w:rPr>
          <w:rFonts w:ascii="Arial" w:hAnsi="Arial" w:cs="Arial"/>
          <w:color w:val="000000" w:themeColor="text1"/>
          <w:sz w:val="24"/>
          <w:szCs w:val="24"/>
        </w:rPr>
        <w:t xml:space="preserve">’ Law journals and textbooks are broad in their nature, some journals, for example are largely practitioner based which focus on the substantive nature of the law, rather than normative considerations.  An example of this would be the English and Welsh Law Society Gazette. Other journals, such as </w:t>
      </w:r>
      <w:r w:rsidRPr="000723B6">
        <w:rPr>
          <w:rFonts w:ascii="Arial" w:hAnsi="Arial" w:cs="Arial"/>
          <w:color w:val="000000" w:themeColor="text1"/>
          <w:sz w:val="24"/>
          <w:szCs w:val="24"/>
        </w:rPr>
        <w:t>Modern Law Review, Oxford Journal of Legal Studies</w:t>
      </w:r>
      <w:r>
        <w:rPr>
          <w:rFonts w:ascii="Arial" w:hAnsi="Arial" w:cs="Arial"/>
          <w:color w:val="000000" w:themeColor="text1"/>
          <w:sz w:val="24"/>
          <w:szCs w:val="24"/>
        </w:rPr>
        <w:t xml:space="preserve"> appeal to both legal practitioners and legal academics. They may be wide ranging in their subject matter or focus on a sole legal area. Journal articles can be said to have three associated benefits, as outlined by Holland and Webb (2022): </w:t>
      </w:r>
      <w:r w:rsidRPr="000723B6">
        <w:rPr>
          <w:rFonts w:ascii="Arial" w:hAnsi="Arial" w:cs="Arial"/>
          <w:color w:val="000000" w:themeColor="text1"/>
          <w:sz w:val="24"/>
          <w:szCs w:val="24"/>
        </w:rPr>
        <w:t>the first being the examination of new legal advancements that have not yet been considered in University based legal textbooks, the second being the recognition of  opposing perspectives and contrasting viewpoints on the intention and relative impact of the legal concept an individual is examining, and finally, being able to discovering empirical data and actual case studies regarding how the law functions outside of an academic environment.</w:t>
      </w:r>
    </w:p>
    <w:p w:rsidR="00DD7487" w:rsidRDefault="00DD7487" w:rsidP="00DD7487">
      <w:pPr>
        <w:jc w:val="both"/>
        <w:rPr>
          <w:rFonts w:ascii="Arial" w:hAnsi="Arial" w:cs="Arial"/>
          <w:color w:val="000000" w:themeColor="text1"/>
          <w:sz w:val="24"/>
          <w:szCs w:val="24"/>
        </w:rPr>
      </w:pPr>
    </w:p>
    <w:p w:rsidR="00DD7487" w:rsidRDefault="00DD7487" w:rsidP="00DD7487">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However, there has been discussion about the relevant authoritativeness of such sources. </w:t>
      </w:r>
      <w:r w:rsidRPr="00E91AA6">
        <w:rPr>
          <w:rFonts w:ascii="Arial" w:hAnsi="Arial" w:cs="Arial"/>
          <w:color w:val="000000" w:themeColor="text1"/>
          <w:sz w:val="24"/>
          <w:szCs w:val="24"/>
        </w:rPr>
        <w:t>A literary source outlines the writer's own perception the, in addition to normative discussion concerning on how the law may and should be reformed. This in essence, is the opposite of the</w:t>
      </w:r>
      <w:r>
        <w:rPr>
          <w:rFonts w:ascii="Arial" w:hAnsi="Arial" w:cs="Arial"/>
          <w:color w:val="000000" w:themeColor="text1"/>
          <w:sz w:val="24"/>
          <w:szCs w:val="24"/>
        </w:rPr>
        <w:t xml:space="preserve"> purpose and</w:t>
      </w:r>
      <w:r w:rsidRPr="00E91AA6">
        <w:rPr>
          <w:rFonts w:ascii="Arial" w:hAnsi="Arial" w:cs="Arial"/>
          <w:color w:val="000000" w:themeColor="text1"/>
          <w:sz w:val="24"/>
          <w:szCs w:val="24"/>
        </w:rPr>
        <w:t xml:space="preserve"> existence of Courts.</w:t>
      </w:r>
      <w:r>
        <w:rPr>
          <w:rFonts w:ascii="Arial" w:hAnsi="Arial" w:cs="Arial"/>
          <w:color w:val="000000" w:themeColor="text1"/>
          <w:sz w:val="24"/>
          <w:szCs w:val="24"/>
        </w:rPr>
        <w:t xml:space="preserve"> As </w:t>
      </w:r>
      <w:r w:rsidRPr="00B6678E">
        <w:rPr>
          <w:rFonts w:ascii="Arial" w:hAnsi="Arial" w:cs="Arial"/>
          <w:color w:val="000000" w:themeColor="text1"/>
          <w:sz w:val="24"/>
          <w:szCs w:val="24"/>
        </w:rPr>
        <w:t xml:space="preserve">Justice Andrew </w:t>
      </w:r>
      <w:proofErr w:type="spellStart"/>
      <w:r w:rsidRPr="00B6678E">
        <w:rPr>
          <w:rFonts w:ascii="Arial" w:hAnsi="Arial" w:cs="Arial"/>
          <w:color w:val="000000" w:themeColor="text1"/>
          <w:sz w:val="24"/>
          <w:szCs w:val="24"/>
        </w:rPr>
        <w:t>Phang</w:t>
      </w:r>
      <w:proofErr w:type="spellEnd"/>
      <w:r w:rsidRPr="00B6678E">
        <w:rPr>
          <w:rFonts w:ascii="Arial" w:hAnsi="Arial" w:cs="Arial"/>
          <w:color w:val="000000" w:themeColor="text1"/>
          <w:sz w:val="24"/>
          <w:szCs w:val="24"/>
        </w:rPr>
        <w:t xml:space="preserve"> </w:t>
      </w:r>
      <w:r>
        <w:rPr>
          <w:rFonts w:ascii="Arial" w:hAnsi="Arial" w:cs="Arial"/>
          <w:color w:val="000000" w:themeColor="text1"/>
          <w:sz w:val="24"/>
          <w:szCs w:val="24"/>
        </w:rPr>
        <w:t xml:space="preserve">in </w:t>
      </w:r>
      <w:r w:rsidRPr="00B6678E">
        <w:rPr>
          <w:rFonts w:ascii="Arial" w:hAnsi="Arial" w:cs="Arial"/>
          <w:color w:val="000000" w:themeColor="text1"/>
          <w:sz w:val="24"/>
          <w:szCs w:val="24"/>
        </w:rPr>
        <w:t xml:space="preserve">Bom v </w:t>
      </w:r>
      <w:proofErr w:type="spellStart"/>
      <w:r w:rsidRPr="00B6678E">
        <w:rPr>
          <w:rFonts w:ascii="Arial" w:hAnsi="Arial" w:cs="Arial"/>
          <w:color w:val="000000" w:themeColor="text1"/>
          <w:sz w:val="24"/>
          <w:szCs w:val="24"/>
        </w:rPr>
        <w:t>Bak</w:t>
      </w:r>
      <w:proofErr w:type="spellEnd"/>
      <w:r w:rsidRPr="00B6678E">
        <w:rPr>
          <w:rFonts w:ascii="Arial" w:hAnsi="Arial" w:cs="Arial"/>
          <w:color w:val="000000" w:themeColor="text1"/>
          <w:sz w:val="24"/>
          <w:szCs w:val="24"/>
        </w:rPr>
        <w:t xml:space="preserve"> [2018] SGCA 83 </w:t>
      </w:r>
      <w:r>
        <w:rPr>
          <w:rFonts w:ascii="Arial" w:hAnsi="Arial" w:cs="Arial"/>
          <w:color w:val="000000" w:themeColor="text1"/>
          <w:sz w:val="24"/>
          <w:szCs w:val="24"/>
        </w:rPr>
        <w:t>at [15] contends: ‘</w:t>
      </w:r>
      <w:r w:rsidRPr="00B6678E">
        <w:rPr>
          <w:rFonts w:ascii="Arial" w:hAnsi="Arial" w:cs="Arial"/>
          <w:color w:val="000000" w:themeColor="text1"/>
          <w:sz w:val="24"/>
          <w:szCs w:val="24"/>
        </w:rPr>
        <w:t>Unlike academic articles which float ideas as well as concepts of every stripe with no immediate or direct practical consequences, the law laid down by the courts constitutes the law of the land which carries with it immediate and direct practical consequences and implications on those bound by the law and the parties before the court.</w:t>
      </w:r>
      <w:r>
        <w:rPr>
          <w:rFonts w:ascii="Arial" w:hAnsi="Arial" w:cs="Arial"/>
          <w:color w:val="000000" w:themeColor="text1"/>
          <w:sz w:val="24"/>
          <w:szCs w:val="24"/>
        </w:rPr>
        <w:t xml:space="preserve">’ </w:t>
      </w:r>
      <w:r w:rsidRPr="00FB31BF">
        <w:rPr>
          <w:rFonts w:ascii="Arial" w:hAnsi="Arial" w:cs="Arial"/>
          <w:color w:val="000000" w:themeColor="text1"/>
          <w:sz w:val="24"/>
          <w:szCs w:val="24"/>
        </w:rPr>
        <w:t xml:space="preserve">Webb and Holland (2022) argue that such a take is mirrored throughout the way in which English and Welsh common law courts have historically adopted a relatively limited and perhaps minimal use of academic literature.  Furthermore, it should be outlined that it was actually formerly the custom that no living writer could be cited in English courts. This could be regarded as a 'rather arbitrary rule, which seemed to suggest that death gives an author authority that he or she may never have had when alive!' (Webb and Holland, 2022: 46).  This is appreciatively no longer the accepted </w:t>
      </w:r>
      <w:proofErr w:type="gramStart"/>
      <w:r w:rsidRPr="00FB31BF">
        <w:rPr>
          <w:rFonts w:ascii="Arial" w:hAnsi="Arial" w:cs="Arial"/>
          <w:color w:val="000000" w:themeColor="text1"/>
          <w:sz w:val="24"/>
          <w:szCs w:val="24"/>
        </w:rPr>
        <w:t>custom  has</w:t>
      </w:r>
      <w:proofErr w:type="gramEnd"/>
      <w:r w:rsidRPr="00FB31BF">
        <w:rPr>
          <w:rFonts w:ascii="Arial" w:hAnsi="Arial" w:cs="Arial"/>
          <w:color w:val="000000" w:themeColor="text1"/>
          <w:sz w:val="24"/>
          <w:szCs w:val="24"/>
        </w:rPr>
        <w:t xml:space="preserve"> mostly gone out of favour, and many texts are now extensively referenced in English Courts.</w:t>
      </w:r>
      <w:r>
        <w:rPr>
          <w:rFonts w:ascii="Arial" w:hAnsi="Arial" w:cs="Arial"/>
          <w:color w:val="000000" w:themeColor="text1"/>
          <w:sz w:val="24"/>
          <w:szCs w:val="24"/>
        </w:rPr>
        <w:t xml:space="preserve"> However, as Webb and Holland (2002: 46) note: ‘a</w:t>
      </w:r>
      <w:r w:rsidRPr="00FB31BF">
        <w:rPr>
          <w:rFonts w:ascii="Arial" w:hAnsi="Arial" w:cs="Arial"/>
          <w:color w:val="000000" w:themeColor="text1"/>
          <w:sz w:val="24"/>
          <w:szCs w:val="24"/>
        </w:rPr>
        <w:t>lthough academic journal articles and books are increasingly being cited, it is not so much as authoritative texts in and of themselves, but more as an influence on the court’s thinking and reasoning.</w:t>
      </w:r>
      <w:r>
        <w:rPr>
          <w:rFonts w:ascii="Arial" w:hAnsi="Arial" w:cs="Arial"/>
          <w:color w:val="000000" w:themeColor="text1"/>
          <w:sz w:val="24"/>
          <w:szCs w:val="24"/>
        </w:rPr>
        <w:t xml:space="preserve">’ Interestingly, in some cases, judges themselves have even </w:t>
      </w:r>
      <w:proofErr w:type="gramStart"/>
      <w:r>
        <w:rPr>
          <w:rFonts w:ascii="Arial" w:hAnsi="Arial" w:cs="Arial"/>
          <w:color w:val="000000" w:themeColor="text1"/>
          <w:sz w:val="24"/>
          <w:szCs w:val="24"/>
        </w:rPr>
        <w:t>made reference</w:t>
      </w:r>
      <w:proofErr w:type="gramEnd"/>
      <w:r>
        <w:rPr>
          <w:rFonts w:ascii="Arial" w:hAnsi="Arial" w:cs="Arial"/>
          <w:color w:val="000000" w:themeColor="text1"/>
          <w:sz w:val="24"/>
          <w:szCs w:val="24"/>
        </w:rPr>
        <w:t xml:space="preserve"> to their own extra- judicial writings.</w:t>
      </w:r>
    </w:p>
    <w:p w:rsidR="00DD7487" w:rsidRDefault="00DD7487" w:rsidP="00DD7487">
      <w:pPr>
        <w:jc w:val="both"/>
        <w:rPr>
          <w:rFonts w:ascii="Arial" w:hAnsi="Arial" w:cs="Arial"/>
          <w:color w:val="000000" w:themeColor="text1"/>
          <w:sz w:val="24"/>
          <w:szCs w:val="24"/>
        </w:rPr>
      </w:pPr>
    </w:p>
    <w:p w:rsidR="00DD7487" w:rsidRDefault="00DD7487" w:rsidP="00DD7487">
      <w:pPr>
        <w:jc w:val="both"/>
        <w:rPr>
          <w:rFonts w:ascii="Arial" w:hAnsi="Arial" w:cs="Arial"/>
          <w:color w:val="000000" w:themeColor="text1"/>
          <w:sz w:val="24"/>
          <w:szCs w:val="24"/>
        </w:rPr>
      </w:pPr>
      <w:r>
        <w:rPr>
          <w:rFonts w:ascii="Arial" w:hAnsi="Arial" w:cs="Arial"/>
          <w:color w:val="000000" w:themeColor="text1"/>
          <w:sz w:val="24"/>
          <w:szCs w:val="24"/>
        </w:rPr>
        <w:t>Furthermore, it should be noted that a</w:t>
      </w:r>
      <w:r w:rsidRPr="00E47956">
        <w:rPr>
          <w:rFonts w:ascii="Arial" w:hAnsi="Arial" w:cs="Arial"/>
          <w:color w:val="000000" w:themeColor="text1"/>
          <w:sz w:val="24"/>
          <w:szCs w:val="24"/>
        </w:rPr>
        <w:t>cademia now</w:t>
      </w:r>
      <w:r>
        <w:rPr>
          <w:rFonts w:ascii="Arial" w:hAnsi="Arial" w:cs="Arial"/>
          <w:color w:val="000000" w:themeColor="text1"/>
          <w:sz w:val="24"/>
          <w:szCs w:val="24"/>
        </w:rPr>
        <w:t xml:space="preserve"> largely </w:t>
      </w:r>
      <w:r w:rsidRPr="00E47956">
        <w:rPr>
          <w:rFonts w:ascii="Arial" w:hAnsi="Arial" w:cs="Arial"/>
          <w:color w:val="000000" w:themeColor="text1"/>
          <w:sz w:val="24"/>
          <w:szCs w:val="24"/>
        </w:rPr>
        <w:t>employs a contextual perspective on law, meaning that such academics place the law in a social, political, or economic dimension rather than concentrating exclusively on 'black-letter' law.</w:t>
      </w:r>
      <w:r>
        <w:rPr>
          <w:rFonts w:ascii="Arial" w:hAnsi="Arial" w:cs="Arial"/>
          <w:color w:val="000000" w:themeColor="text1"/>
          <w:sz w:val="24"/>
          <w:szCs w:val="24"/>
        </w:rPr>
        <w:t xml:space="preserve"> Thus, </w:t>
      </w:r>
      <w:proofErr w:type="gramStart"/>
      <w:r w:rsidRPr="00E47956">
        <w:rPr>
          <w:rFonts w:ascii="Arial" w:hAnsi="Arial" w:cs="Arial"/>
          <w:color w:val="000000" w:themeColor="text1"/>
          <w:sz w:val="24"/>
          <w:szCs w:val="24"/>
        </w:rPr>
        <w:t>As</w:t>
      </w:r>
      <w:proofErr w:type="gramEnd"/>
      <w:r w:rsidRPr="00E47956">
        <w:rPr>
          <w:rFonts w:ascii="Arial" w:hAnsi="Arial" w:cs="Arial"/>
          <w:color w:val="000000" w:themeColor="text1"/>
          <w:sz w:val="24"/>
          <w:szCs w:val="24"/>
        </w:rPr>
        <w:t xml:space="preserve"> a result, the responses obtained from journal articles or text books, may likely mirror the purpose of the academic text in addition to the writer's perspective, perhaps bias opinion, on the matter</w:t>
      </w:r>
      <w:r>
        <w:rPr>
          <w:rFonts w:ascii="Arial" w:hAnsi="Arial" w:cs="Arial"/>
          <w:color w:val="000000" w:themeColor="text1"/>
          <w:sz w:val="24"/>
          <w:szCs w:val="24"/>
        </w:rPr>
        <w:t xml:space="preserve"> (Holland and Webb, 2022).</w:t>
      </w:r>
    </w:p>
    <w:p w:rsidR="00DD7487" w:rsidRPr="009E715B" w:rsidRDefault="00DD7487" w:rsidP="00DD7487">
      <w:pPr>
        <w:jc w:val="both"/>
        <w:rPr>
          <w:rFonts w:ascii="Arial" w:hAnsi="Arial" w:cs="Arial"/>
          <w:color w:val="000000" w:themeColor="text1"/>
          <w:sz w:val="24"/>
          <w:szCs w:val="24"/>
        </w:rPr>
      </w:pPr>
    </w:p>
    <w:p w:rsidR="00DD7487" w:rsidRDefault="00DD7487" w:rsidP="00DD7487">
      <w:pPr>
        <w:jc w:val="both"/>
        <w:rPr>
          <w:rFonts w:ascii="Arial" w:hAnsi="Arial" w:cs="Arial"/>
          <w:color w:val="000000" w:themeColor="text1"/>
          <w:sz w:val="24"/>
          <w:szCs w:val="24"/>
        </w:rPr>
      </w:pPr>
      <w:r w:rsidRPr="009E715B">
        <w:rPr>
          <w:rFonts w:ascii="Arial" w:hAnsi="Arial" w:cs="Arial"/>
          <w:color w:val="000000" w:themeColor="text1"/>
          <w:sz w:val="24"/>
          <w:szCs w:val="24"/>
        </w:rPr>
        <w:t>To conclude, this essay sought to outline the several non-electronic based legal research methods and evaluate their benefits. It is clear from the aforementioned that there are both benefits and respective disadvantages of associated with primary and secondary methods of non-electronic research, though, despite given the rise and relative ease of access and convenience of electronic methods, such aforementioned non-electronic methods should not be disregarded in assessing their relative usefulness in legal research.</w:t>
      </w:r>
    </w:p>
    <w:p w:rsidR="00DD7487" w:rsidRDefault="00DD7487" w:rsidP="00DD7487">
      <w:pPr>
        <w:jc w:val="both"/>
        <w:rPr>
          <w:rFonts w:ascii="Arial" w:hAnsi="Arial" w:cs="Arial"/>
          <w:color w:val="000000" w:themeColor="text1"/>
          <w:sz w:val="24"/>
          <w:szCs w:val="24"/>
        </w:rPr>
      </w:pPr>
    </w:p>
    <w:p w:rsidR="00DD7487" w:rsidRPr="00E85200" w:rsidRDefault="00DD7487" w:rsidP="00DD7487">
      <w:pPr>
        <w:jc w:val="both"/>
        <w:rPr>
          <w:rFonts w:ascii="Arial" w:hAnsi="Arial" w:cs="Arial"/>
          <w:b/>
          <w:bCs/>
          <w:color w:val="000000" w:themeColor="text1"/>
          <w:sz w:val="24"/>
          <w:szCs w:val="24"/>
        </w:rPr>
      </w:pPr>
    </w:p>
    <w:p w:rsidR="00DD7487" w:rsidRPr="00E85200" w:rsidRDefault="00DD7487" w:rsidP="00DD7487">
      <w:pPr>
        <w:autoSpaceDE w:val="0"/>
        <w:autoSpaceDN w:val="0"/>
        <w:adjustRightInd w:val="0"/>
        <w:spacing w:after="0" w:line="240" w:lineRule="auto"/>
        <w:rPr>
          <w:rFonts w:ascii="Arial" w:hAnsi="Arial" w:cs="Arial"/>
          <w:b/>
          <w:bCs/>
          <w:sz w:val="24"/>
          <w:szCs w:val="24"/>
        </w:rPr>
      </w:pPr>
      <w:r w:rsidRPr="00E85200">
        <w:rPr>
          <w:rFonts w:ascii="Arial" w:hAnsi="Arial" w:cs="Arial"/>
          <w:b/>
          <w:bCs/>
          <w:sz w:val="24"/>
          <w:szCs w:val="24"/>
        </w:rPr>
        <w:t>References List</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xml:space="preserve">Boon, A. </w:t>
      </w:r>
      <w:r w:rsidRPr="00E85200">
        <w:rPr>
          <w:rFonts w:ascii="Arial" w:hAnsi="Arial" w:cs="Arial"/>
          <w:i/>
          <w:iCs/>
          <w:sz w:val="24"/>
          <w:szCs w:val="24"/>
        </w:rPr>
        <w:t>et al.</w:t>
      </w:r>
      <w:r w:rsidRPr="00E85200">
        <w:rPr>
          <w:rFonts w:ascii="Arial" w:hAnsi="Arial" w:cs="Arial"/>
          <w:sz w:val="24"/>
          <w:szCs w:val="24"/>
        </w:rPr>
        <w:t xml:space="preserve"> (2019) </w:t>
      </w:r>
      <w:r w:rsidRPr="00E85200">
        <w:rPr>
          <w:rFonts w:ascii="Arial" w:hAnsi="Arial" w:cs="Arial"/>
          <w:i/>
          <w:iCs/>
          <w:sz w:val="24"/>
          <w:szCs w:val="24"/>
        </w:rPr>
        <w:t>Lawyers' skills</w:t>
      </w:r>
      <w:r w:rsidRPr="00E85200">
        <w:rPr>
          <w:rFonts w:ascii="Arial" w:hAnsi="Arial" w:cs="Arial"/>
          <w:sz w:val="24"/>
          <w:szCs w:val="24"/>
        </w:rPr>
        <w:t xml:space="preserve">. Oxford: Oxford University Press.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lastRenderedPageBreak/>
        <w:t xml:space="preserve">Finch, E. and </w:t>
      </w:r>
      <w:proofErr w:type="spellStart"/>
      <w:r w:rsidRPr="00E85200">
        <w:rPr>
          <w:rFonts w:ascii="Arial" w:hAnsi="Arial" w:cs="Arial"/>
          <w:sz w:val="24"/>
          <w:szCs w:val="24"/>
        </w:rPr>
        <w:t>Fafinski</w:t>
      </w:r>
      <w:proofErr w:type="spellEnd"/>
      <w:r w:rsidRPr="00E85200">
        <w:rPr>
          <w:rFonts w:ascii="Arial" w:hAnsi="Arial" w:cs="Arial"/>
          <w:sz w:val="24"/>
          <w:szCs w:val="24"/>
        </w:rPr>
        <w:t xml:space="preserve">, S. (2021) </w:t>
      </w:r>
      <w:r w:rsidRPr="00E85200">
        <w:rPr>
          <w:rFonts w:ascii="Arial" w:hAnsi="Arial" w:cs="Arial"/>
          <w:i/>
          <w:iCs/>
          <w:sz w:val="24"/>
          <w:szCs w:val="24"/>
        </w:rPr>
        <w:t>Legal skills</w:t>
      </w:r>
      <w:r w:rsidRPr="00E85200">
        <w:rPr>
          <w:rFonts w:ascii="Arial" w:hAnsi="Arial" w:cs="Arial"/>
          <w:sz w:val="24"/>
          <w:szCs w:val="24"/>
        </w:rPr>
        <w:t xml:space="preserve">. Oxford: Oxford University Press.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xml:space="preserve">Holland, J.A. and Webb, J.S. (2022) </w:t>
      </w:r>
      <w:r w:rsidRPr="00E85200">
        <w:rPr>
          <w:rFonts w:ascii="Arial" w:hAnsi="Arial" w:cs="Arial"/>
          <w:i/>
          <w:iCs/>
          <w:sz w:val="24"/>
          <w:szCs w:val="24"/>
        </w:rPr>
        <w:t>Learning legal rules: A students' guide to legal method and Reasoning</w:t>
      </w:r>
      <w:r w:rsidRPr="00E85200">
        <w:rPr>
          <w:rFonts w:ascii="Arial" w:hAnsi="Arial" w:cs="Arial"/>
          <w:sz w:val="24"/>
          <w:szCs w:val="24"/>
        </w:rPr>
        <w:t xml:space="preserve">. Oxford, United Kingdom: Oxford University Press.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xml:space="preserve">Greenberg, D. and Stroud, F. (2022) </w:t>
      </w:r>
      <w:r w:rsidRPr="00E85200">
        <w:rPr>
          <w:rFonts w:ascii="Arial" w:hAnsi="Arial" w:cs="Arial"/>
          <w:i/>
          <w:iCs/>
          <w:sz w:val="24"/>
          <w:szCs w:val="24"/>
        </w:rPr>
        <w:t>Stroud's judicial dictionary of words and phrases</w:t>
      </w:r>
      <w:r w:rsidRPr="00E85200">
        <w:rPr>
          <w:rFonts w:ascii="Arial" w:hAnsi="Arial" w:cs="Arial"/>
          <w:sz w:val="24"/>
          <w:szCs w:val="24"/>
        </w:rPr>
        <w:t xml:space="preserve">. London: Sweet &amp; Maxwell.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Legal research: A guide to secondary resources: Articles</w:t>
      </w:r>
      <w:r w:rsidRPr="00E85200">
        <w:rPr>
          <w:rFonts w:ascii="Arial" w:hAnsi="Arial" w:cs="Arial"/>
          <w:sz w:val="24"/>
          <w:szCs w:val="24"/>
        </w:rPr>
        <w:t xml:space="preserve"> (no date) </w:t>
      </w:r>
      <w:r w:rsidRPr="00E85200">
        <w:rPr>
          <w:rFonts w:ascii="Arial" w:hAnsi="Arial" w:cs="Arial"/>
          <w:i/>
          <w:iCs/>
          <w:sz w:val="24"/>
          <w:szCs w:val="24"/>
        </w:rPr>
        <w:t>Research Guides</w:t>
      </w:r>
      <w:r w:rsidRPr="00E85200">
        <w:rPr>
          <w:rFonts w:ascii="Arial" w:hAnsi="Arial" w:cs="Arial"/>
          <w:sz w:val="24"/>
          <w:szCs w:val="24"/>
        </w:rPr>
        <w:t xml:space="preserve">. Available at: https://guides.loc.gov/law-secondary-resources/articles (Accessed: November 6, 2022).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Sources of information</w:t>
      </w:r>
      <w:r w:rsidRPr="00E85200">
        <w:rPr>
          <w:rFonts w:ascii="Arial" w:hAnsi="Arial" w:cs="Arial"/>
          <w:sz w:val="24"/>
          <w:szCs w:val="24"/>
        </w:rPr>
        <w:t xml:space="preserve"> (no date) </w:t>
      </w:r>
      <w:r w:rsidRPr="00E85200">
        <w:rPr>
          <w:rFonts w:ascii="Arial" w:hAnsi="Arial" w:cs="Arial"/>
          <w:i/>
          <w:iCs/>
          <w:sz w:val="24"/>
          <w:szCs w:val="24"/>
        </w:rPr>
        <w:t>Faculty of Law</w:t>
      </w:r>
      <w:r w:rsidRPr="00E85200">
        <w:rPr>
          <w:rFonts w:ascii="Arial" w:hAnsi="Arial" w:cs="Arial"/>
          <w:sz w:val="24"/>
          <w:szCs w:val="24"/>
        </w:rPr>
        <w:t xml:space="preserve">. Available at: https://www.law.ox.ac.uk/legal-research-and-mooting-skills-programme/sources-information (Accessed: November 4, 2022).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 </w:t>
      </w: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What is a law report?</w:t>
      </w:r>
      <w:r w:rsidRPr="00E85200">
        <w:rPr>
          <w:rFonts w:ascii="Arial" w:hAnsi="Arial" w:cs="Arial"/>
          <w:sz w:val="24"/>
          <w:szCs w:val="24"/>
        </w:rPr>
        <w:t xml:space="preserve"> (2019) </w:t>
      </w:r>
      <w:r w:rsidRPr="00E85200">
        <w:rPr>
          <w:rFonts w:ascii="Arial" w:hAnsi="Arial" w:cs="Arial"/>
          <w:i/>
          <w:iCs/>
          <w:sz w:val="24"/>
          <w:szCs w:val="24"/>
        </w:rPr>
        <w:t>ICLR</w:t>
      </w:r>
      <w:r w:rsidRPr="00E85200">
        <w:rPr>
          <w:rFonts w:ascii="Arial" w:hAnsi="Arial" w:cs="Arial"/>
          <w:sz w:val="24"/>
          <w:szCs w:val="24"/>
        </w:rPr>
        <w:t xml:space="preserve">. Available at: https://www.iclr.co.uk/knowledge/case-law/what-is-a-law-report/#:~:text=A%20law%20report%20is%20a,the%20case%20or%20its%20consequences (Accessed: November 3, 2022). </w:t>
      </w:r>
    </w:p>
    <w:p w:rsidR="00DD7487" w:rsidRPr="00E85200" w:rsidRDefault="00DD7487" w:rsidP="00DD7487">
      <w:pPr>
        <w:autoSpaceDE w:val="0"/>
        <w:autoSpaceDN w:val="0"/>
        <w:adjustRightInd w:val="0"/>
        <w:spacing w:after="0" w:line="240" w:lineRule="auto"/>
        <w:rPr>
          <w:rFonts w:ascii="Arial" w:hAnsi="Arial" w:cs="Arial"/>
          <w:sz w:val="24"/>
          <w:szCs w:val="24"/>
        </w:rPr>
      </w:pP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Research Briefings Publications - House of Commons Library</w:t>
      </w:r>
      <w:r w:rsidRPr="00E85200">
        <w:rPr>
          <w:rFonts w:ascii="Arial" w:hAnsi="Arial" w:cs="Arial"/>
          <w:sz w:val="24"/>
          <w:szCs w:val="24"/>
        </w:rPr>
        <w:t xml:space="preserve"> (no date). Available at: https://commonslibrary.parliament.uk/research-briefings/ (Accessed: November 1, 2022). </w:t>
      </w:r>
    </w:p>
    <w:p w:rsidR="00DD7487" w:rsidRPr="00E85200" w:rsidRDefault="00DD7487" w:rsidP="00DD7487">
      <w:pPr>
        <w:autoSpaceDE w:val="0"/>
        <w:autoSpaceDN w:val="0"/>
        <w:adjustRightInd w:val="0"/>
        <w:spacing w:after="0" w:line="240" w:lineRule="auto"/>
        <w:rPr>
          <w:rFonts w:ascii="Arial" w:hAnsi="Arial" w:cs="Arial"/>
          <w:sz w:val="24"/>
          <w:szCs w:val="24"/>
        </w:rPr>
      </w:pP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About command papers - UK parliament</w:t>
      </w:r>
      <w:r w:rsidRPr="00E85200">
        <w:rPr>
          <w:rFonts w:ascii="Arial" w:hAnsi="Arial" w:cs="Arial"/>
          <w:sz w:val="24"/>
          <w:szCs w:val="24"/>
        </w:rPr>
        <w:t xml:space="preserve"> (no date). Available at: https://www.parliament.uk/about/how/publications/government/ (Accessed: November 2, 2022). </w:t>
      </w:r>
    </w:p>
    <w:p w:rsidR="00DD7487" w:rsidRPr="00E85200" w:rsidRDefault="00DD7487" w:rsidP="00DD7487">
      <w:pPr>
        <w:autoSpaceDE w:val="0"/>
        <w:autoSpaceDN w:val="0"/>
        <w:adjustRightInd w:val="0"/>
        <w:spacing w:after="0" w:line="240" w:lineRule="auto"/>
        <w:rPr>
          <w:rFonts w:ascii="Arial" w:hAnsi="Arial" w:cs="Arial"/>
          <w:sz w:val="24"/>
          <w:szCs w:val="24"/>
        </w:rPr>
      </w:pP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How we work</w:t>
      </w:r>
      <w:r w:rsidRPr="00E85200">
        <w:rPr>
          <w:rFonts w:ascii="Arial" w:hAnsi="Arial" w:cs="Arial"/>
          <w:sz w:val="24"/>
          <w:szCs w:val="24"/>
        </w:rPr>
        <w:t xml:space="preserve"> (no date) </w:t>
      </w:r>
      <w:r w:rsidRPr="00E85200">
        <w:rPr>
          <w:rFonts w:ascii="Arial" w:hAnsi="Arial" w:cs="Arial"/>
          <w:i/>
          <w:iCs/>
          <w:sz w:val="24"/>
          <w:szCs w:val="24"/>
        </w:rPr>
        <w:t>Law Commission How we work Comments</w:t>
      </w:r>
      <w:r w:rsidRPr="00E85200">
        <w:rPr>
          <w:rFonts w:ascii="Arial" w:hAnsi="Arial" w:cs="Arial"/>
          <w:sz w:val="24"/>
          <w:szCs w:val="24"/>
        </w:rPr>
        <w:t xml:space="preserve">. Available at: https://www.lawcom.gov.uk/about/how-we-work/ (Accessed: November 2, 2022). </w:t>
      </w:r>
    </w:p>
    <w:p w:rsidR="00DD7487" w:rsidRPr="00E85200" w:rsidRDefault="00DD7487" w:rsidP="00DD7487">
      <w:pPr>
        <w:autoSpaceDE w:val="0"/>
        <w:autoSpaceDN w:val="0"/>
        <w:adjustRightInd w:val="0"/>
        <w:spacing w:after="0" w:line="240" w:lineRule="auto"/>
        <w:rPr>
          <w:rFonts w:ascii="Arial" w:hAnsi="Arial" w:cs="Arial"/>
          <w:sz w:val="24"/>
          <w:szCs w:val="24"/>
        </w:rPr>
      </w:pP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sz w:val="24"/>
          <w:szCs w:val="24"/>
        </w:rPr>
        <w:t>Pepper v Hart [1993] 1 All ER 42</w:t>
      </w:r>
    </w:p>
    <w:p w:rsidR="00DD7487" w:rsidRPr="00E85200" w:rsidRDefault="00DD7487" w:rsidP="00DD7487">
      <w:pPr>
        <w:autoSpaceDE w:val="0"/>
        <w:autoSpaceDN w:val="0"/>
        <w:adjustRightInd w:val="0"/>
        <w:spacing w:after="0" w:line="240" w:lineRule="auto"/>
        <w:rPr>
          <w:rFonts w:ascii="Arial" w:hAnsi="Arial" w:cs="Arial"/>
          <w:b/>
          <w:bCs/>
          <w:sz w:val="24"/>
          <w:szCs w:val="24"/>
        </w:rPr>
      </w:pPr>
    </w:p>
    <w:p w:rsidR="00DD7487" w:rsidRPr="00E85200" w:rsidRDefault="00DD7487" w:rsidP="00DD7487">
      <w:pPr>
        <w:autoSpaceDE w:val="0"/>
        <w:autoSpaceDN w:val="0"/>
        <w:adjustRightInd w:val="0"/>
        <w:spacing w:after="0" w:line="240" w:lineRule="auto"/>
        <w:rPr>
          <w:rFonts w:ascii="Arial" w:hAnsi="Arial" w:cs="Arial"/>
          <w:sz w:val="24"/>
          <w:szCs w:val="24"/>
        </w:rPr>
      </w:pPr>
      <w:r w:rsidRPr="00E85200">
        <w:rPr>
          <w:rFonts w:ascii="Arial" w:hAnsi="Arial" w:cs="Arial"/>
          <w:i/>
          <w:iCs/>
          <w:sz w:val="24"/>
          <w:szCs w:val="24"/>
        </w:rPr>
        <w:t>Bom</w:t>
      </w:r>
      <w:r w:rsidRPr="00E85200">
        <w:rPr>
          <w:rFonts w:ascii="Arial" w:hAnsi="Arial" w:cs="Arial"/>
          <w:sz w:val="24"/>
          <w:szCs w:val="24"/>
        </w:rPr>
        <w:t> v </w:t>
      </w:r>
      <w:proofErr w:type="spellStart"/>
      <w:r w:rsidRPr="00E85200">
        <w:rPr>
          <w:rFonts w:ascii="Arial" w:hAnsi="Arial" w:cs="Arial"/>
          <w:i/>
          <w:iCs/>
          <w:sz w:val="24"/>
          <w:szCs w:val="24"/>
        </w:rPr>
        <w:t>Bak</w:t>
      </w:r>
      <w:proofErr w:type="spellEnd"/>
      <w:r w:rsidRPr="00E85200">
        <w:rPr>
          <w:rFonts w:ascii="Arial" w:hAnsi="Arial" w:cs="Arial"/>
          <w:sz w:val="24"/>
          <w:szCs w:val="24"/>
        </w:rPr>
        <w:t xml:space="preserve"> [2018] SGCA 83 </w:t>
      </w:r>
    </w:p>
    <w:p w:rsidR="00953B1C" w:rsidRDefault="00953B1C"/>
    <w:sectPr w:rsidR="00953B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9E4D5C"/>
    <w:multiLevelType w:val="hybridMultilevel"/>
    <w:tmpl w:val="0C624E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0D2A92"/>
    <w:multiLevelType w:val="hybridMultilevel"/>
    <w:tmpl w:val="E8D83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B670F"/>
    <w:multiLevelType w:val="hybridMultilevel"/>
    <w:tmpl w:val="021E93F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7D34ECF"/>
    <w:multiLevelType w:val="hybridMultilevel"/>
    <w:tmpl w:val="021E93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487"/>
    <w:rsid w:val="000F7967"/>
    <w:rsid w:val="001921A7"/>
    <w:rsid w:val="00284831"/>
    <w:rsid w:val="002B016B"/>
    <w:rsid w:val="002E1A99"/>
    <w:rsid w:val="00453742"/>
    <w:rsid w:val="008655B3"/>
    <w:rsid w:val="00895551"/>
    <w:rsid w:val="00953B1C"/>
    <w:rsid w:val="00AE6E46"/>
    <w:rsid w:val="00DD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B49E6"/>
  <w15:chartTrackingRefBased/>
  <w15:docId w15:val="{60A1AEF9-8A91-4566-B217-1DAF776F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4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1</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4</cp:revision>
  <dcterms:created xsi:type="dcterms:W3CDTF">2022-11-10T09:31:00Z</dcterms:created>
  <dcterms:modified xsi:type="dcterms:W3CDTF">2022-11-11T22:48:00Z</dcterms:modified>
</cp:coreProperties>
</file>