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6DB5EF" w14:textId="532EE61D" w:rsidR="00764FA7" w:rsidRDefault="00764FA7" w:rsidP="00764FA7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val="en-US"/>
        </w:rPr>
        <w:drawing>
          <wp:inline distT="0" distB="0" distL="0" distR="0" wp14:anchorId="0E9C4E1F" wp14:editId="330147DE">
            <wp:extent cx="1905000" cy="635000"/>
            <wp:effectExtent l="25400" t="25400" r="25400" b="2540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4E94DEB" w14:textId="77777777" w:rsidR="00764FA7" w:rsidRDefault="00764FA7" w:rsidP="00764FA7">
      <w:pPr>
        <w:pStyle w:val="NormalWeb"/>
        <w:spacing w:before="0" w:beforeAutospacing="0" w:after="0" w:afterAutospacing="0"/>
        <w:ind w:left="-180" w:right="-334"/>
      </w:pPr>
    </w:p>
    <w:p w14:paraId="555EFDC5" w14:textId="77777777" w:rsidR="00764FA7" w:rsidRDefault="00764FA7" w:rsidP="00764FA7">
      <w:pPr>
        <w:pStyle w:val="NormalWeb"/>
        <w:spacing w:before="0" w:beforeAutospacing="0" w:after="0" w:afterAutospacing="0"/>
        <w:ind w:left="-180" w:right="-334"/>
      </w:pPr>
    </w:p>
    <w:p w14:paraId="383A60C2" w14:textId="77777777" w:rsidR="00764FA7" w:rsidRDefault="00764FA7" w:rsidP="00764FA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29EC56C" w14:textId="77777777" w:rsidR="00764FA7" w:rsidRPr="00230F35" w:rsidRDefault="00764FA7" w:rsidP="00764FA7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10089D00" w14:textId="77777777" w:rsidR="00764FA7" w:rsidRPr="00230F35" w:rsidRDefault="00764FA7" w:rsidP="00764FA7">
      <w:pPr>
        <w:rPr>
          <w:rFonts w:ascii="Arial" w:hAnsi="Arial" w:cs="Arial"/>
          <w:sz w:val="28"/>
          <w:szCs w:val="28"/>
          <w:lang w:val="cy-GB"/>
        </w:rPr>
      </w:pPr>
    </w:p>
    <w:p w14:paraId="357BB788" w14:textId="77777777" w:rsidR="00764FA7" w:rsidRDefault="00764FA7" w:rsidP="00764FA7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663CAE87" w14:textId="77777777" w:rsidR="00764FA7" w:rsidRDefault="00764FA7" w:rsidP="00764FA7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7"/>
        <w:gridCol w:w="415"/>
        <w:gridCol w:w="1490"/>
        <w:gridCol w:w="276"/>
        <w:gridCol w:w="1778"/>
      </w:tblGrid>
      <w:tr w:rsidR="00764FA7" w:rsidRPr="00230F35" w14:paraId="43B88C9A" w14:textId="77777777" w:rsidTr="008D5EA7">
        <w:trPr>
          <w:trHeight w:val="614"/>
        </w:trPr>
        <w:tc>
          <w:tcPr>
            <w:tcW w:w="8856" w:type="dxa"/>
            <w:gridSpan w:val="5"/>
          </w:tcPr>
          <w:p w14:paraId="41004DE1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764FA7" w:rsidRPr="00230F35" w14:paraId="5935B47D" w14:textId="77777777" w:rsidTr="008D5EA7">
        <w:trPr>
          <w:trHeight w:val="718"/>
        </w:trPr>
        <w:tc>
          <w:tcPr>
            <w:tcW w:w="8856" w:type="dxa"/>
            <w:gridSpan w:val="5"/>
          </w:tcPr>
          <w:p w14:paraId="19F6BDF3" w14:textId="493ED7E7" w:rsidR="00764FA7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GABRIELLE JOANNE MOONEY</w:t>
            </w:r>
          </w:p>
          <w:p w14:paraId="29E1CA20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61405F7" w14:textId="0AED8BF1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1905543@student.uwtsd.ac.uk</w:t>
            </w:r>
          </w:p>
        </w:tc>
      </w:tr>
      <w:tr w:rsidR="00764FA7" w:rsidRPr="00230F35" w14:paraId="1D955B86" w14:textId="77777777" w:rsidTr="008D5EA7">
        <w:trPr>
          <w:trHeight w:val="849"/>
        </w:trPr>
        <w:tc>
          <w:tcPr>
            <w:tcW w:w="4788" w:type="dxa"/>
          </w:tcPr>
          <w:p w14:paraId="7C59FE7E" w14:textId="561E59EB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CLCL7003</w:t>
            </w:r>
          </w:p>
          <w:p w14:paraId="238514DF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37E7478" w14:textId="77777777" w:rsidR="00764FA7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14:paraId="6547080B" w14:textId="656C5D24" w:rsidR="00764FA7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Theory and Methodology for the Study of Ancient Religions</w:t>
            </w:r>
          </w:p>
          <w:p w14:paraId="710C6FC6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52900B6" w14:textId="093E26F1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1905543</w:t>
            </w:r>
          </w:p>
        </w:tc>
        <w:tc>
          <w:tcPr>
            <w:tcW w:w="1802" w:type="dxa"/>
          </w:tcPr>
          <w:p w14:paraId="110CEA50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785A846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764FA7">
              <w:rPr>
                <w:rFonts w:ascii="Arial" w:hAnsi="Arial" w:cs="Arial"/>
                <w:b/>
                <w:sz w:val="22"/>
                <w:szCs w:val="22"/>
              </w:rPr>
              <w:t>Yes</w:t>
            </w:r>
            <w:r w:rsidRPr="00230F35">
              <w:rPr>
                <w:rFonts w:ascii="Arial" w:hAnsi="Arial" w:cs="Arial"/>
                <w:sz w:val="22"/>
                <w:szCs w:val="22"/>
              </w:rPr>
              <w:t>/</w:t>
            </w:r>
            <w:r w:rsidRPr="00764FA7">
              <w:rPr>
                <w:rFonts w:ascii="Arial" w:hAnsi="Arial" w:cs="Arial"/>
                <w:dstrike/>
                <w:sz w:val="22"/>
                <w:szCs w:val="22"/>
              </w:rPr>
              <w:t>No</w:t>
            </w:r>
          </w:p>
        </w:tc>
      </w:tr>
      <w:tr w:rsidR="00764FA7" w:rsidRPr="00230F35" w14:paraId="1488C291" w14:textId="77777777" w:rsidTr="008D5EA7">
        <w:trPr>
          <w:trHeight w:val="1139"/>
        </w:trPr>
        <w:tc>
          <w:tcPr>
            <w:tcW w:w="8856" w:type="dxa"/>
            <w:gridSpan w:val="5"/>
          </w:tcPr>
          <w:p w14:paraId="05E4F235" w14:textId="54249D51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Book Review – The Sacred and the Profane</w:t>
            </w:r>
          </w:p>
          <w:p w14:paraId="3B2C9C84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97D55CF" w14:textId="77777777" w:rsidR="00764FA7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851C895" w14:textId="1BB410D5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 24/01/20</w:t>
            </w:r>
          </w:p>
        </w:tc>
      </w:tr>
      <w:tr w:rsidR="00764FA7" w:rsidRPr="00230F35" w14:paraId="660782E9" w14:textId="77777777" w:rsidTr="008D5EA7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D9CDE42" w14:textId="145AA6B0" w:rsidR="00764FA7" w:rsidRPr="00230F35" w:rsidRDefault="00764FA7" w:rsidP="00764FA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764FA7" w:rsidRPr="00230F35" w14:paraId="06554FAB" w14:textId="77777777" w:rsidTr="008D5EA7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493604ED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867E199" w14:textId="35E39110" w:rsidR="00764FA7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</w:t>
            </w:r>
            <w:r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inline distT="0" distB="0" distL="0" distR="0" wp14:anchorId="7640F677" wp14:editId="0176E008">
                  <wp:extent cx="2687674" cy="355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bbysig2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629" cy="355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</w:t>
            </w:r>
          </w:p>
          <w:p w14:paraId="04467AD6" w14:textId="77777777" w:rsidR="00764FA7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1EE30576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764FA7" w:rsidRPr="00230F35" w14:paraId="6C12C49D" w14:textId="77777777" w:rsidTr="008D5EA7">
        <w:trPr>
          <w:trHeight w:val="3972"/>
        </w:trPr>
        <w:tc>
          <w:tcPr>
            <w:tcW w:w="8856" w:type="dxa"/>
            <w:gridSpan w:val="5"/>
          </w:tcPr>
          <w:p w14:paraId="11DE17C2" w14:textId="77777777" w:rsidR="00764FA7" w:rsidRDefault="00764FA7" w:rsidP="008D5EA7">
            <w:pPr>
              <w:rPr>
                <w:rFonts w:ascii="Arial" w:hAnsi="Arial"/>
                <w:b/>
              </w:rPr>
            </w:pPr>
          </w:p>
          <w:p w14:paraId="10422FA4" w14:textId="77777777" w:rsidR="00764FA7" w:rsidRPr="00116CE6" w:rsidRDefault="00764FA7" w:rsidP="008D5EA7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707"/>
              <w:gridCol w:w="1583"/>
            </w:tblGrid>
            <w:tr w:rsidR="00764FA7" w:rsidRPr="00116CE6" w14:paraId="0D38463A" w14:textId="77777777" w:rsidTr="008D5EA7">
              <w:tc>
                <w:tcPr>
                  <w:tcW w:w="6970" w:type="dxa"/>
                </w:tcPr>
                <w:p w14:paraId="562A68F7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409A306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0BFE81B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64FA7" w:rsidRPr="00116CE6" w14:paraId="1EAF9E75" w14:textId="77777777" w:rsidTr="008D5EA7">
              <w:tc>
                <w:tcPr>
                  <w:tcW w:w="6970" w:type="dxa"/>
                </w:tcPr>
                <w:p w14:paraId="42EAE0A2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7B87E38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0BCEFC3E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64FA7" w:rsidRPr="00116CE6" w14:paraId="1FAFA470" w14:textId="77777777" w:rsidTr="008D5EA7">
              <w:tc>
                <w:tcPr>
                  <w:tcW w:w="6970" w:type="dxa"/>
                </w:tcPr>
                <w:p w14:paraId="525EB05D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5A0D307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55CC74F4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64FA7" w:rsidRPr="00116CE6" w14:paraId="0F29C477" w14:textId="77777777" w:rsidTr="008D5EA7">
              <w:tc>
                <w:tcPr>
                  <w:tcW w:w="6970" w:type="dxa"/>
                </w:tcPr>
                <w:p w14:paraId="30441077" w14:textId="77777777" w:rsidR="00764FA7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E386C6A" w14:textId="77777777" w:rsidR="00764FA7" w:rsidRPr="00022345" w:rsidRDefault="00764FA7" w:rsidP="008D5EA7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15A3E76A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BF19D3B" w14:textId="77777777" w:rsidR="00764FA7" w:rsidRPr="00116CE6" w:rsidRDefault="00764FA7" w:rsidP="008D5EA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5062CF83" w14:textId="77777777" w:rsidR="00764FA7" w:rsidRDefault="00764FA7" w:rsidP="008D5EA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BFBCF6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4BC12A8B" w14:textId="77777777" w:rsidR="00764FA7" w:rsidRDefault="00764FA7" w:rsidP="008D5EA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89F607" w14:textId="77777777" w:rsidR="00764FA7" w:rsidRDefault="00764FA7" w:rsidP="008D5EA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B05B15" w14:textId="77777777" w:rsidR="00764FA7" w:rsidRDefault="00764FA7" w:rsidP="008D5EA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A32E16" w14:textId="77777777" w:rsidR="00764FA7" w:rsidRDefault="00764FA7" w:rsidP="008D5EA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2BECB1" w14:textId="77777777" w:rsidR="00764FA7" w:rsidRDefault="00764FA7" w:rsidP="008D5EA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240EF3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345E7983" w14:textId="77777777" w:rsidR="00764FA7" w:rsidRDefault="00764FA7" w:rsidP="008D5EA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7686C62" w14:textId="77777777" w:rsidR="00764FA7" w:rsidRPr="00001C3B" w:rsidRDefault="00764FA7" w:rsidP="008D5EA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4FA7" w:rsidRPr="00230F35" w14:paraId="00A9CC74" w14:textId="77777777" w:rsidTr="008D5EA7">
        <w:trPr>
          <w:trHeight w:val="492"/>
        </w:trPr>
        <w:tc>
          <w:tcPr>
            <w:tcW w:w="6768" w:type="dxa"/>
            <w:gridSpan w:val="3"/>
          </w:tcPr>
          <w:p w14:paraId="270DB326" w14:textId="77777777" w:rsidR="00764FA7" w:rsidRPr="00230F35" w:rsidRDefault="00764FA7" w:rsidP="008D5EA7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539E72E0" w14:textId="77777777" w:rsidR="00764FA7" w:rsidRPr="00230F35" w:rsidRDefault="00764FA7" w:rsidP="008D5EA7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764FA7" w:rsidRPr="002F467C" w14:paraId="27005B48" w14:textId="77777777" w:rsidTr="008D5EA7">
        <w:tc>
          <w:tcPr>
            <w:tcW w:w="8856" w:type="dxa"/>
            <w:gridSpan w:val="5"/>
          </w:tcPr>
          <w:p w14:paraId="0D151FC9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7E712AD9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5685C173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5B4FB0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1E0CF6E5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686E81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64375C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AC9EDC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F5740F9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64959B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CC2C9C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D81339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662E2C" w14:textId="77777777" w:rsidR="00764FA7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063E3B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8E14CD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C10598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64FA7" w:rsidRPr="002F467C" w14:paraId="3E08F041" w14:textId="77777777" w:rsidTr="008D5EA7">
        <w:trPr>
          <w:trHeight w:val="720"/>
        </w:trPr>
        <w:tc>
          <w:tcPr>
            <w:tcW w:w="5211" w:type="dxa"/>
            <w:gridSpan w:val="2"/>
          </w:tcPr>
          <w:p w14:paraId="53BAA26F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9F66EE4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764FA7" w:rsidRPr="002F467C" w14:paraId="6601D34F" w14:textId="77777777" w:rsidTr="008D5EA7">
        <w:trPr>
          <w:trHeight w:val="720"/>
        </w:trPr>
        <w:tc>
          <w:tcPr>
            <w:tcW w:w="8856" w:type="dxa"/>
            <w:gridSpan w:val="5"/>
          </w:tcPr>
          <w:p w14:paraId="77F5B5C4" w14:textId="77777777" w:rsidR="00764FA7" w:rsidRPr="00B34964" w:rsidRDefault="00764FA7" w:rsidP="008D5EA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284B1D56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B12CE7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1490C0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02191A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A94956" w14:textId="77777777" w:rsidR="00764FA7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6F3679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896559" w14:textId="77777777" w:rsidR="00764FA7" w:rsidRPr="00230F35" w:rsidRDefault="00764FA7" w:rsidP="008D5EA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64FA7" w:rsidRPr="002F467C" w14:paraId="113F0BF3" w14:textId="77777777" w:rsidTr="008D5EA7">
        <w:trPr>
          <w:trHeight w:val="720"/>
        </w:trPr>
        <w:tc>
          <w:tcPr>
            <w:tcW w:w="5211" w:type="dxa"/>
            <w:gridSpan w:val="2"/>
          </w:tcPr>
          <w:p w14:paraId="6F145E94" w14:textId="77777777" w:rsidR="00764FA7" w:rsidRPr="00230F35" w:rsidRDefault="00764FA7" w:rsidP="008D5EA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B7D4EA5" w14:textId="77777777" w:rsidR="00764FA7" w:rsidRPr="00230F35" w:rsidRDefault="00764FA7" w:rsidP="008D5EA7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3ABA346E" w14:textId="77777777" w:rsidR="00764FA7" w:rsidRPr="00D67BF8" w:rsidRDefault="00764FA7" w:rsidP="00764FA7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648E932" w14:textId="77777777" w:rsidR="00482D82" w:rsidRDefault="00482D82"/>
    <w:p w14:paraId="175D6602" w14:textId="77777777" w:rsidR="00457681" w:rsidRDefault="00457681"/>
    <w:p w14:paraId="751F292C" w14:textId="77777777" w:rsidR="00457681" w:rsidRDefault="00457681"/>
    <w:p w14:paraId="1E0F3308" w14:textId="65B8FBBF" w:rsidR="00482D82" w:rsidRPr="00EB53CF" w:rsidRDefault="009078D5">
      <w:r>
        <w:t>B</w:t>
      </w:r>
      <w:r w:rsidR="001A7765">
        <w:t xml:space="preserve">ook review of </w:t>
      </w:r>
      <w:r w:rsidR="001A7765" w:rsidRPr="00B54A42">
        <w:rPr>
          <w:i/>
        </w:rPr>
        <w:t>The Sacred and the Profane</w:t>
      </w:r>
      <w:r w:rsidR="00EB53CF">
        <w:rPr>
          <w:i/>
        </w:rPr>
        <w:t xml:space="preserve"> </w:t>
      </w:r>
      <w:r w:rsidR="00EB53CF">
        <w:t>by Mircea Eliade</w:t>
      </w:r>
    </w:p>
    <w:p w14:paraId="482575B3" w14:textId="77777777" w:rsidR="001A7765" w:rsidRDefault="001A7765"/>
    <w:p w14:paraId="273A2C56" w14:textId="4B0F6727" w:rsidR="000807FE" w:rsidRDefault="006D225A">
      <w:r>
        <w:t>Word count: 1550</w:t>
      </w:r>
      <w:bookmarkStart w:id="6" w:name="_GoBack"/>
      <w:bookmarkEnd w:id="6"/>
    </w:p>
    <w:p w14:paraId="12B11D15" w14:textId="77777777" w:rsidR="00B54A42" w:rsidRPr="00C90386" w:rsidRDefault="00B54A42" w:rsidP="00CA705B">
      <w:pPr>
        <w:spacing w:line="480" w:lineRule="auto"/>
        <w:rPr>
          <w:i/>
        </w:rPr>
      </w:pPr>
    </w:p>
    <w:p w14:paraId="67A9317F" w14:textId="7C81D3B5" w:rsidR="00F273E1" w:rsidRPr="00C90386" w:rsidRDefault="001A7765" w:rsidP="00CA705B">
      <w:pPr>
        <w:spacing w:line="480" w:lineRule="auto"/>
        <w:rPr>
          <w:i/>
        </w:rPr>
      </w:pPr>
      <w:r w:rsidRPr="00C90386">
        <w:rPr>
          <w:i/>
        </w:rPr>
        <w:t>Intro</w:t>
      </w:r>
      <w:r w:rsidR="00F273E1" w:rsidRPr="00C90386">
        <w:rPr>
          <w:i/>
        </w:rPr>
        <w:t>duction</w:t>
      </w:r>
    </w:p>
    <w:p w14:paraId="739EB2AE" w14:textId="6ABD7289" w:rsidR="001A7765" w:rsidRDefault="00540FB4" w:rsidP="00CA705B">
      <w:pPr>
        <w:spacing w:line="480" w:lineRule="auto"/>
      </w:pPr>
      <w:r>
        <w:t xml:space="preserve">Eliade’s </w:t>
      </w:r>
      <w:r w:rsidR="00406130">
        <w:t>ground-breaking</w:t>
      </w:r>
      <w:r w:rsidR="001A7765">
        <w:t xml:space="preserve"> work on the nature of rel</w:t>
      </w:r>
      <w:r w:rsidR="00B54A42">
        <w:t>i</w:t>
      </w:r>
      <w:r w:rsidR="001A7765">
        <w:t>gio</w:t>
      </w:r>
      <w:r w:rsidR="00FF24E2">
        <w:t xml:space="preserve">n </w:t>
      </w:r>
      <w:r w:rsidR="003571AA">
        <w:t>s</w:t>
      </w:r>
      <w:r w:rsidR="006E45D4">
        <w:t xml:space="preserve">ought </w:t>
      </w:r>
      <w:r w:rsidR="00E544B2">
        <w:t>to a</w:t>
      </w:r>
      <w:r w:rsidR="006E45D4">
        <w:t xml:space="preserve">ddress </w:t>
      </w:r>
      <w:r w:rsidR="003571AA">
        <w:t>how humankind engages</w:t>
      </w:r>
      <w:r w:rsidR="00E544B2">
        <w:t xml:space="preserve"> with the spiritual in their nature and experience.  Building on Otto</w:t>
      </w:r>
      <w:r w:rsidR="00261C92">
        <w:t>’s</w:t>
      </w:r>
      <w:r w:rsidR="006E45D4">
        <w:rPr>
          <w:rStyle w:val="FootnoteReference"/>
        </w:rPr>
        <w:footnoteReference w:id="1"/>
      </w:r>
      <w:r w:rsidR="00261C92">
        <w:t xml:space="preserve"> work</w:t>
      </w:r>
      <w:r w:rsidR="00E544B2">
        <w:t xml:space="preserve"> and questioning Durkhiem’s</w:t>
      </w:r>
      <w:r w:rsidR="006E45D4">
        <w:rPr>
          <w:rStyle w:val="FootnoteReference"/>
        </w:rPr>
        <w:footnoteReference w:id="2"/>
      </w:r>
      <w:r w:rsidR="00E544B2">
        <w:t xml:space="preserve"> concept of the sacred</w:t>
      </w:r>
      <w:r w:rsidR="003571AA">
        <w:t xml:space="preserve"> as a purely </w:t>
      </w:r>
      <w:r w:rsidR="006E45D4">
        <w:t>cultural entity, Eliade proposed</w:t>
      </w:r>
      <w:r w:rsidR="00E544B2">
        <w:t xml:space="preserve"> a separation of the sacred from the profane in terms of space and time.  The most striking </w:t>
      </w:r>
      <w:r w:rsidR="006E45D4">
        <w:t xml:space="preserve">proposal </w:t>
      </w:r>
      <w:r w:rsidR="00716C49">
        <w:t xml:space="preserve">was </w:t>
      </w:r>
      <w:r w:rsidR="00AE30C0">
        <w:t>that sacredness was revealed by a</w:t>
      </w:r>
      <w:r w:rsidR="00431A27">
        <w:t xml:space="preserve"> “</w:t>
      </w:r>
      <w:r w:rsidR="00E544B2">
        <w:t>hierophany</w:t>
      </w:r>
      <w:r w:rsidR="00431A27">
        <w:t>”</w:t>
      </w:r>
      <w:r w:rsidR="00431A27">
        <w:rPr>
          <w:rStyle w:val="FootnoteReference"/>
        </w:rPr>
        <w:footnoteReference w:id="3"/>
      </w:r>
      <w:r w:rsidR="00AE30C0">
        <w:t>,</w:t>
      </w:r>
      <w:r w:rsidR="00716C49">
        <w:t xml:space="preserve"> defined</w:t>
      </w:r>
      <w:r w:rsidR="00431A27">
        <w:t xml:space="preserve"> as an “</w:t>
      </w:r>
      <w:r w:rsidR="00E544B2">
        <w:t>iruption of the sacred</w:t>
      </w:r>
      <w:r w:rsidR="00431A27">
        <w:t>”</w:t>
      </w:r>
      <w:r w:rsidR="00431A27">
        <w:rPr>
          <w:rStyle w:val="FootnoteReference"/>
        </w:rPr>
        <w:footnoteReference w:id="4"/>
      </w:r>
      <w:r w:rsidR="00E544B2">
        <w:t xml:space="preserve">.  </w:t>
      </w:r>
      <w:r w:rsidR="003571AA">
        <w:t>The hieropha</w:t>
      </w:r>
      <w:r w:rsidR="00716C49">
        <w:t>ny both marked and created</w:t>
      </w:r>
      <w:r w:rsidR="00FF24E2">
        <w:t xml:space="preserve"> a</w:t>
      </w:r>
      <w:r w:rsidR="003571AA">
        <w:t xml:space="preserve"> division</w:t>
      </w:r>
      <w:r w:rsidR="00FF24E2">
        <w:t xml:space="preserve"> from profane space</w:t>
      </w:r>
      <w:r w:rsidR="00716C49">
        <w:t>.  E</w:t>
      </w:r>
      <w:r w:rsidR="003571AA">
        <w:t xml:space="preserve">liade </w:t>
      </w:r>
      <w:r w:rsidR="00716C49">
        <w:t>considered a</w:t>
      </w:r>
      <w:r w:rsidR="00E544B2">
        <w:t xml:space="preserve"> hierophany to be evidence of the numinous, the </w:t>
      </w:r>
      <w:r w:rsidR="001A1C56">
        <w:t>presence of the divine</w:t>
      </w:r>
      <w:r w:rsidR="00FF24E2">
        <w:t>.</w:t>
      </w:r>
    </w:p>
    <w:p w14:paraId="6ADB8482" w14:textId="77777777" w:rsidR="00431A27" w:rsidRDefault="00431A27" w:rsidP="00CA705B">
      <w:pPr>
        <w:spacing w:line="480" w:lineRule="auto"/>
      </w:pPr>
    </w:p>
    <w:p w14:paraId="2B86233D" w14:textId="159F193A" w:rsidR="00431A27" w:rsidRDefault="00431A27" w:rsidP="00CA705B">
      <w:pPr>
        <w:spacing w:line="480" w:lineRule="auto"/>
      </w:pPr>
      <w:r>
        <w:t>Sacred</w:t>
      </w:r>
      <w:r w:rsidR="00FF24E2">
        <w:t xml:space="preserve"> time was</w:t>
      </w:r>
      <w:r>
        <w:t xml:space="preserve"> declared to be separate from historical, profane time</w:t>
      </w:r>
      <w:r>
        <w:rPr>
          <w:rStyle w:val="FootnoteReference"/>
        </w:rPr>
        <w:footnoteReference w:id="5"/>
      </w:r>
      <w:r w:rsidR="00AE30C0">
        <w:t xml:space="preserve"> and its flow</w:t>
      </w:r>
      <w:r>
        <w:t xml:space="preserve">. </w:t>
      </w:r>
      <w:r w:rsidR="009B6637">
        <w:t xml:space="preserve"> T</w:t>
      </w:r>
      <w:r>
        <w:t>his happe</w:t>
      </w:r>
      <w:r w:rsidR="00C90386">
        <w:t>ned</w:t>
      </w:r>
      <w:r>
        <w:t xml:space="preserve"> through the “myth of the eternal return”</w:t>
      </w:r>
      <w:r>
        <w:rPr>
          <w:rStyle w:val="FootnoteReference"/>
        </w:rPr>
        <w:footnoteReference w:id="6"/>
      </w:r>
      <w:r>
        <w:t xml:space="preserve">, the longing for sacred man through right and rituals to return to the point where the </w:t>
      </w:r>
      <w:r w:rsidR="00AE30C0">
        <w:t>divine</w:t>
      </w:r>
      <w:r>
        <w:t xml:space="preserve"> created the world – a re-creation of </w:t>
      </w:r>
      <w:r w:rsidR="00AE30C0">
        <w:t>cosmic time.  The hypothesis</w:t>
      </w:r>
      <w:r w:rsidR="009B6637">
        <w:t xml:space="preserve"> was</w:t>
      </w:r>
      <w:r>
        <w:t xml:space="preserve"> that</w:t>
      </w:r>
      <w:r w:rsidR="00C90386">
        <w:t xml:space="preserve"> </w:t>
      </w:r>
      <w:r w:rsidR="00AE30C0">
        <w:t>sacred space and time represent</w:t>
      </w:r>
      <w:r>
        <w:t xml:space="preserve"> a paradigm for creation and stand as a blueprint for </w:t>
      </w:r>
      <w:r w:rsidR="00FF24E2">
        <w:t xml:space="preserve">spiritual </w:t>
      </w:r>
      <w:r>
        <w:t>human behaviour</w:t>
      </w:r>
      <w:r w:rsidR="00F273E1">
        <w:t>.</w:t>
      </w:r>
    </w:p>
    <w:p w14:paraId="53F7F9AA" w14:textId="77777777" w:rsidR="00914EEE" w:rsidRDefault="00914EEE" w:rsidP="00CA705B">
      <w:pPr>
        <w:spacing w:line="480" w:lineRule="auto"/>
      </w:pPr>
    </w:p>
    <w:p w14:paraId="095DBDEC" w14:textId="23F99C7C" w:rsidR="00FF5A29" w:rsidRDefault="00FF5A29" w:rsidP="00CA705B">
      <w:pPr>
        <w:spacing w:line="480" w:lineRule="auto"/>
      </w:pPr>
      <w:r>
        <w:rPr>
          <w:i/>
        </w:rPr>
        <w:t>The Author</w:t>
      </w:r>
    </w:p>
    <w:p w14:paraId="472650E1" w14:textId="4E2C7222" w:rsidR="0010308E" w:rsidRPr="00261C92" w:rsidRDefault="00AE30C0" w:rsidP="00CA705B">
      <w:pPr>
        <w:spacing w:line="480" w:lineRule="auto"/>
      </w:pPr>
      <w:r>
        <w:t>Mircea Eliade,</w:t>
      </w:r>
      <w:r w:rsidR="00FF5A29">
        <w:t xml:space="preserve"> </w:t>
      </w:r>
      <w:r>
        <w:t>born in Romania in 1907 and dying</w:t>
      </w:r>
      <w:r w:rsidR="00FF5A29">
        <w:t xml:space="preserve"> in Chicago in 1986</w:t>
      </w:r>
      <w:r>
        <w:t>,</w:t>
      </w:r>
      <w:r w:rsidR="00FF5A29">
        <w:t xml:space="preserve"> was professor of history of religions at the University of Chicago.</w:t>
      </w:r>
      <w:r w:rsidR="00F407D6">
        <w:t xml:space="preserve"> </w:t>
      </w:r>
      <w:r>
        <w:t xml:space="preserve">Considered </w:t>
      </w:r>
      <w:r w:rsidR="000807FE">
        <w:t>a</w:t>
      </w:r>
      <w:r w:rsidR="00FE7620">
        <w:t xml:space="preserve"> foremost</w:t>
      </w:r>
      <w:r w:rsidR="000807FE">
        <w:t xml:space="preserve"> scholar </w:t>
      </w:r>
      <w:r w:rsidR="00FE7620">
        <w:t>of religious history</w:t>
      </w:r>
      <w:r>
        <w:t>, and especially</w:t>
      </w:r>
      <w:r w:rsidR="00FE7620">
        <w:t xml:space="preserve"> the phenomenologist interpretation</w:t>
      </w:r>
      <w:r>
        <w:t>, h</w:t>
      </w:r>
      <w:r w:rsidR="00FE7620">
        <w:t>is views were highly influential</w:t>
      </w:r>
      <w:r w:rsidR="00FE7620">
        <w:rPr>
          <w:rStyle w:val="FootnoteReference"/>
        </w:rPr>
        <w:footnoteReference w:id="7"/>
      </w:r>
      <w:r w:rsidR="00FE7620">
        <w:t>.  He wrote many books and sought to marry the empiricist and intuitive approaches in order to evidence what he termed an “archaic on</w:t>
      </w:r>
      <w:r w:rsidR="00EE4FDC">
        <w:t xml:space="preserve">tology” (the </w:t>
      </w:r>
      <w:r w:rsidR="00FE7620">
        <w:t>paradigm discussed above)</w:t>
      </w:r>
      <w:r w:rsidR="00FE7620">
        <w:rPr>
          <w:rStyle w:val="FootnoteReference"/>
        </w:rPr>
        <w:footnoteReference w:id="8"/>
      </w:r>
      <w:r w:rsidR="00FE7620">
        <w:t xml:space="preserve">.  </w:t>
      </w:r>
      <w:r w:rsidR="00EE4FDC">
        <w:t>Towards the end</w:t>
      </w:r>
      <w:r w:rsidR="00FE7620">
        <w:t xml:space="preserve"> of the last century, his approach and claims were challenged but his influence persists</w:t>
      </w:r>
      <w:r w:rsidR="00A617A4">
        <w:rPr>
          <w:rStyle w:val="FootnoteReference"/>
        </w:rPr>
        <w:footnoteReference w:id="9"/>
      </w:r>
      <w:r w:rsidR="00FE7620">
        <w:t xml:space="preserve">. </w:t>
      </w:r>
      <w:r w:rsidR="009B6637">
        <w:t>T</w:t>
      </w:r>
      <w:r w:rsidR="00A617A4">
        <w:t xml:space="preserve">here was vocal criticism of his youthful right-wing political </w:t>
      </w:r>
      <w:r w:rsidR="00CA705B">
        <w:t>views</w:t>
      </w:r>
      <w:r w:rsidR="00F407D6">
        <w:t xml:space="preserve">. The </w:t>
      </w:r>
      <w:r w:rsidR="001A1C56">
        <w:t>d</w:t>
      </w:r>
      <w:r w:rsidR="00CA705B">
        <w:t>ebate - between his politics</w:t>
      </w:r>
      <w:r w:rsidR="00A617A4">
        <w:t xml:space="preserve"> and his </w:t>
      </w:r>
      <w:r w:rsidR="001A1C56">
        <w:t>academic success</w:t>
      </w:r>
      <w:r w:rsidR="00A617A4">
        <w:t xml:space="preserve"> </w:t>
      </w:r>
      <w:r w:rsidR="00CA705B">
        <w:t>-</w:t>
      </w:r>
      <w:r w:rsidR="00A617A4">
        <w:t xml:space="preserve"> continues.</w:t>
      </w:r>
      <w:r w:rsidR="00A617A4">
        <w:rPr>
          <w:rStyle w:val="FootnoteReference"/>
        </w:rPr>
        <w:footnoteReference w:id="10"/>
      </w:r>
      <w:r w:rsidR="00A617A4">
        <w:t xml:space="preserve"> </w:t>
      </w:r>
      <w:r w:rsidR="00261C92">
        <w:t xml:space="preserve"> </w:t>
      </w:r>
    </w:p>
    <w:p w14:paraId="3CCEE35F" w14:textId="77777777" w:rsidR="001F21F4" w:rsidRDefault="001F21F4" w:rsidP="00CA705B">
      <w:pPr>
        <w:spacing w:line="480" w:lineRule="auto"/>
        <w:rPr>
          <w:i/>
        </w:rPr>
      </w:pPr>
    </w:p>
    <w:p w14:paraId="00C221AA" w14:textId="2FA424D8" w:rsidR="006E09E3" w:rsidRDefault="00914EEE" w:rsidP="00CA705B">
      <w:pPr>
        <w:spacing w:line="480" w:lineRule="auto"/>
        <w:rPr>
          <w:i/>
        </w:rPr>
      </w:pPr>
      <w:r>
        <w:rPr>
          <w:i/>
        </w:rPr>
        <w:t>Summary</w:t>
      </w:r>
    </w:p>
    <w:p w14:paraId="413390D4" w14:textId="5DAACE46" w:rsidR="00914EEE" w:rsidRDefault="00882842" w:rsidP="006E09E3">
      <w:pPr>
        <w:spacing w:line="480" w:lineRule="auto"/>
      </w:pPr>
      <w:r>
        <w:t xml:space="preserve">The </w:t>
      </w:r>
      <w:r w:rsidR="000807FE">
        <w:t xml:space="preserve">book’s </w:t>
      </w:r>
      <w:r w:rsidR="00EC06B1">
        <w:t>method</w:t>
      </w:r>
      <w:r w:rsidR="00C90386">
        <w:t>ology</w:t>
      </w:r>
      <w:r w:rsidR="00EC06B1">
        <w:t xml:space="preserve"> wa</w:t>
      </w:r>
      <w:r w:rsidR="00914EEE">
        <w:t>s phenomenological</w:t>
      </w:r>
      <w:r w:rsidR="00EC06B1">
        <w:t>.</w:t>
      </w:r>
      <w:r w:rsidR="00914EEE">
        <w:t xml:space="preserve"> </w:t>
      </w:r>
      <w:r w:rsidR="00EC06B1">
        <w:t xml:space="preserve">The </w:t>
      </w:r>
      <w:r w:rsidR="00D24CAC">
        <w:t xml:space="preserve">‘evidence’ </w:t>
      </w:r>
      <w:r w:rsidR="00C90386">
        <w:t>came</w:t>
      </w:r>
      <w:r w:rsidR="00716C49">
        <w:t xml:space="preserve"> mainly</w:t>
      </w:r>
      <w:r w:rsidR="00D24CAC">
        <w:t xml:space="preserve"> from two sources</w:t>
      </w:r>
      <w:r w:rsidR="009B6637">
        <w:t xml:space="preserve"> -</w:t>
      </w:r>
      <w:r w:rsidR="00EC06B1">
        <w:t xml:space="preserve"> </w:t>
      </w:r>
      <w:r w:rsidR="009B6637">
        <w:t>k</w:t>
      </w:r>
      <w:r w:rsidR="00C90386">
        <w:t xml:space="preserve">nowledge of </w:t>
      </w:r>
      <w:r w:rsidR="00D24CAC">
        <w:t xml:space="preserve">archaic societies and </w:t>
      </w:r>
      <w:r w:rsidR="00C90386">
        <w:t>observations of</w:t>
      </w:r>
      <w:r w:rsidR="00D24CAC">
        <w:t xml:space="preserve"> native (</w:t>
      </w:r>
      <w:r w:rsidR="00EC06B1">
        <w:t>he</w:t>
      </w:r>
      <w:r w:rsidR="000807FE">
        <w:t xml:space="preserve"> called</w:t>
      </w:r>
      <w:r w:rsidR="00D24CAC">
        <w:t xml:space="preserve"> ‘primitive’</w:t>
      </w:r>
      <w:r w:rsidR="00D24CAC">
        <w:rPr>
          <w:rStyle w:val="FootnoteReference"/>
        </w:rPr>
        <w:footnoteReference w:id="11"/>
      </w:r>
      <w:r>
        <w:t xml:space="preserve">) </w:t>
      </w:r>
      <w:r w:rsidR="00D24CAC">
        <w:t xml:space="preserve">tribes such as </w:t>
      </w:r>
      <w:r>
        <w:t xml:space="preserve">the </w:t>
      </w:r>
      <w:r w:rsidR="00D24CAC">
        <w:t>Achilpa</w:t>
      </w:r>
      <w:r>
        <w:t xml:space="preserve"> of Australia</w:t>
      </w:r>
      <w:r w:rsidR="00EC06B1">
        <w:rPr>
          <w:rStyle w:val="FootnoteReference"/>
        </w:rPr>
        <w:footnoteReference w:id="12"/>
      </w:r>
      <w:r w:rsidR="00F407D6">
        <w:t xml:space="preserve">. </w:t>
      </w:r>
      <w:r w:rsidR="00231FB2">
        <w:t>T</w:t>
      </w:r>
      <w:r w:rsidR="00EC06B1">
        <w:t>his evidence</w:t>
      </w:r>
      <w:r w:rsidR="006E09E3">
        <w:t>,</w:t>
      </w:r>
      <w:r w:rsidR="00EC06B1">
        <w:t xml:space="preserve"> </w:t>
      </w:r>
      <w:r w:rsidR="00231FB2">
        <w:t xml:space="preserve">he argued, </w:t>
      </w:r>
      <w:r w:rsidR="00F407D6">
        <w:t>could</w:t>
      </w:r>
      <w:r w:rsidR="00D24CAC">
        <w:t xml:space="preserve"> be used </w:t>
      </w:r>
      <w:r w:rsidR="000807FE">
        <w:t>emp</w:t>
      </w:r>
      <w:r w:rsidR="00AE30C0">
        <w:t>i</w:t>
      </w:r>
      <w:r w:rsidR="000807FE">
        <w:t>rically</w:t>
      </w:r>
      <w:r w:rsidR="00D24CAC">
        <w:t xml:space="preserve"> to ascertain a sacred ontology based on belief and experience of the sacred</w:t>
      </w:r>
      <w:r w:rsidR="00EC06B1">
        <w:t xml:space="preserve"> as something inherently ‘other’ from the ordinary</w:t>
      </w:r>
      <w:r w:rsidR="00EC06B1">
        <w:rPr>
          <w:rStyle w:val="FootnoteReference"/>
        </w:rPr>
        <w:footnoteReference w:id="13"/>
      </w:r>
      <w:r w:rsidR="00231FB2">
        <w:t>.  There was an</w:t>
      </w:r>
      <w:r w:rsidR="00D24CAC">
        <w:t xml:space="preserve"> assumption</w:t>
      </w:r>
      <w:r w:rsidR="00F407D6">
        <w:t xml:space="preserve"> </w:t>
      </w:r>
      <w:r w:rsidR="00D24CAC">
        <w:t xml:space="preserve">that this </w:t>
      </w:r>
      <w:r w:rsidR="006E09E3">
        <w:t>association</w:t>
      </w:r>
      <w:r w:rsidR="009B6637">
        <w:t xml:space="preserve"> of archaic with </w:t>
      </w:r>
      <w:r w:rsidR="00D24CAC">
        <w:t>native was valid</w:t>
      </w:r>
      <w:r w:rsidR="006E09E3">
        <w:t xml:space="preserve"> if “man’s reactions to nature are…conditioned by his culture and…history”</w:t>
      </w:r>
      <w:r w:rsidR="00D24CAC">
        <w:rPr>
          <w:rStyle w:val="FootnoteReference"/>
        </w:rPr>
        <w:footnoteReference w:id="14"/>
      </w:r>
      <w:r w:rsidR="00EC06B1">
        <w:t xml:space="preserve">.  </w:t>
      </w:r>
      <w:r w:rsidR="00AE30C0">
        <w:t>Eliade</w:t>
      </w:r>
      <w:r w:rsidR="00EC06B1">
        <w:t xml:space="preserve"> also </w:t>
      </w:r>
      <w:r w:rsidR="009B6637">
        <w:t>employed</w:t>
      </w:r>
      <w:r w:rsidR="00EC06B1">
        <w:t xml:space="preserve"> comparisons with the religious</w:t>
      </w:r>
      <w:r w:rsidR="00F407D6">
        <w:t xml:space="preserve"> </w:t>
      </w:r>
      <w:r w:rsidR="00EC06B1">
        <w:t>activities of the</w:t>
      </w:r>
      <w:r w:rsidR="006E09E3">
        <w:t xml:space="preserve"> monotheistic religions.</w:t>
      </w:r>
    </w:p>
    <w:p w14:paraId="4BA67F25" w14:textId="77777777" w:rsidR="006E09E3" w:rsidRDefault="006E09E3" w:rsidP="006E09E3">
      <w:pPr>
        <w:spacing w:line="480" w:lineRule="auto"/>
      </w:pPr>
    </w:p>
    <w:p w14:paraId="1069BC25" w14:textId="77777777" w:rsidR="00A92873" w:rsidRDefault="006E09E3" w:rsidP="006E09E3">
      <w:pPr>
        <w:spacing w:line="480" w:lineRule="auto"/>
      </w:pPr>
      <w:r>
        <w:t xml:space="preserve">In </w:t>
      </w:r>
      <w:r w:rsidR="00F407D6">
        <w:t xml:space="preserve">the </w:t>
      </w:r>
      <w:r>
        <w:t xml:space="preserve">Introduction, </w:t>
      </w:r>
      <w:r w:rsidR="001A1C56">
        <w:t>the</w:t>
      </w:r>
      <w:r w:rsidR="00EC06B1">
        <w:t xml:space="preserve"> </w:t>
      </w:r>
      <w:r w:rsidR="001A1C56">
        <w:t>influence of</w:t>
      </w:r>
      <w:r w:rsidR="001F21F4">
        <w:t xml:space="preserve"> Otto and</w:t>
      </w:r>
      <w:r w:rsidR="00AE30C0">
        <w:t xml:space="preserve"> his concept of the numinous were</w:t>
      </w:r>
      <w:r w:rsidR="001F21F4">
        <w:t xml:space="preserve"> </w:t>
      </w:r>
      <w:r w:rsidR="001A1C56">
        <w:t>obvious</w:t>
      </w:r>
      <w:r w:rsidR="00D24CAC">
        <w:rPr>
          <w:rStyle w:val="FootnoteReference"/>
        </w:rPr>
        <w:footnoteReference w:id="15"/>
      </w:r>
      <w:r w:rsidR="001A1C56">
        <w:t>.</w:t>
      </w:r>
      <w:r w:rsidR="00D24CAC">
        <w:t xml:space="preserve"> </w:t>
      </w:r>
      <w:r w:rsidR="001F21F4">
        <w:t xml:space="preserve"> The reaction that Otto called </w:t>
      </w:r>
      <w:r w:rsidR="008E414C">
        <w:t xml:space="preserve">a </w:t>
      </w:r>
      <w:r w:rsidR="008E414C" w:rsidRPr="006E09E3">
        <w:rPr>
          <w:i/>
        </w:rPr>
        <w:t>mysterium tremednum</w:t>
      </w:r>
      <w:r w:rsidR="001F21F4">
        <w:t>, Eliade interpreted</w:t>
      </w:r>
      <w:r>
        <w:t xml:space="preserve"> as “awe-inspiring mystery”</w:t>
      </w:r>
      <w:r>
        <w:rPr>
          <w:rStyle w:val="FootnoteReference"/>
        </w:rPr>
        <w:footnoteReference w:id="16"/>
      </w:r>
      <w:r>
        <w:t>.</w:t>
      </w:r>
      <w:r w:rsidR="009B6637">
        <w:t xml:space="preserve">  </w:t>
      </w:r>
    </w:p>
    <w:p w14:paraId="5DF49E1C" w14:textId="77777777" w:rsidR="00A92873" w:rsidRDefault="00A92873" w:rsidP="006E09E3">
      <w:pPr>
        <w:spacing w:line="480" w:lineRule="auto"/>
      </w:pPr>
    </w:p>
    <w:p w14:paraId="4200A419" w14:textId="43639269" w:rsidR="006935C7" w:rsidRDefault="009B6637" w:rsidP="006E09E3">
      <w:pPr>
        <w:spacing w:line="480" w:lineRule="auto"/>
      </w:pPr>
      <w:r>
        <w:t>T</w:t>
      </w:r>
      <w:r w:rsidR="00231FB2">
        <w:t xml:space="preserve">he book’s </w:t>
      </w:r>
      <w:r>
        <w:t>core principle</w:t>
      </w:r>
      <w:r w:rsidR="00231FB2">
        <w:t xml:space="preserve"> is </w:t>
      </w:r>
      <w:r w:rsidR="006E09E3">
        <w:t xml:space="preserve">that the sacred manifests </w:t>
      </w:r>
      <w:r w:rsidR="001A1C56">
        <w:t xml:space="preserve">as something </w:t>
      </w:r>
      <w:r w:rsidR="006E09E3">
        <w:t xml:space="preserve">wholly different from the profane.  </w:t>
      </w:r>
      <w:r w:rsidR="001F21F4">
        <w:t>This Eliade</w:t>
      </w:r>
      <w:r w:rsidR="00F407D6">
        <w:t xml:space="preserve"> termed a</w:t>
      </w:r>
      <w:r w:rsidR="006935C7">
        <w:t xml:space="preserve"> “hierophany”</w:t>
      </w:r>
      <w:r w:rsidR="006935C7">
        <w:rPr>
          <w:rStyle w:val="FootnoteReference"/>
        </w:rPr>
        <w:footnoteReference w:id="17"/>
      </w:r>
      <w:r>
        <w:t>.  It</w:t>
      </w:r>
      <w:r w:rsidR="006935C7">
        <w:t xml:space="preserve"> can be in someth</w:t>
      </w:r>
      <w:r w:rsidR="001F21F4">
        <w:t xml:space="preserve">ing </w:t>
      </w:r>
      <w:r w:rsidR="00AE30C0">
        <w:t>as ordinary</w:t>
      </w:r>
      <w:r w:rsidR="001F21F4">
        <w:t xml:space="preserve"> as </w:t>
      </w:r>
      <w:r w:rsidR="00AE30C0">
        <w:t xml:space="preserve">a </w:t>
      </w:r>
      <w:r w:rsidR="001F21F4">
        <w:t>stone or in</w:t>
      </w:r>
      <w:r w:rsidR="006935C7">
        <w:t xml:space="preserve"> what Eliade called a “supreme hierophany”, the incarnation of Jesus Christ</w:t>
      </w:r>
      <w:r w:rsidR="006935C7">
        <w:rPr>
          <w:rStyle w:val="FootnoteReference"/>
        </w:rPr>
        <w:footnoteReference w:id="18"/>
      </w:r>
      <w:r w:rsidR="001A1C56">
        <w:t>.  Eliade</w:t>
      </w:r>
      <w:r w:rsidR="006935C7">
        <w:t xml:space="preserve"> made an important point about the sacred/profane dichotomy – “by manifesting the sacred, any object becomes </w:t>
      </w:r>
      <w:r w:rsidR="006935C7">
        <w:rPr>
          <w:i/>
        </w:rPr>
        <w:t>something else</w:t>
      </w:r>
      <w:r w:rsidR="006935C7">
        <w:t>, yet it continues to</w:t>
      </w:r>
      <w:r w:rsidR="00F407D6">
        <w:t xml:space="preserve"> be itself</w:t>
      </w:r>
      <w:r w:rsidR="006935C7">
        <w:t>”</w:t>
      </w:r>
      <w:r w:rsidR="00F407D6">
        <w:rPr>
          <w:rStyle w:val="FootnoteReference"/>
        </w:rPr>
        <w:footnoteReference w:id="19"/>
      </w:r>
      <w:r w:rsidR="00F407D6">
        <w:t>.</w:t>
      </w:r>
      <w:r w:rsidR="006935C7">
        <w:t xml:space="preserve">  For the spirit</w:t>
      </w:r>
      <w:r w:rsidR="00F407D6">
        <w:t xml:space="preserve">ual person, </w:t>
      </w:r>
      <w:r w:rsidR="00402D66">
        <w:t>the whole cosmos could</w:t>
      </w:r>
      <w:r w:rsidR="001A1C56">
        <w:t xml:space="preserve"> become a hierophany and</w:t>
      </w:r>
      <w:r w:rsidR="0039128D">
        <w:t xml:space="preserve"> that</w:t>
      </w:r>
      <w:r>
        <w:t xml:space="preserve"> </w:t>
      </w:r>
      <w:r w:rsidR="001F21F4">
        <w:t>the goal was</w:t>
      </w:r>
      <w:r w:rsidR="006935C7">
        <w:t xml:space="preserve"> to live as closely as possible </w:t>
      </w:r>
      <w:r w:rsidR="006935C7">
        <w:rPr>
          <w:i/>
        </w:rPr>
        <w:t xml:space="preserve">in </w:t>
      </w:r>
      <w:r w:rsidR="006935C7">
        <w:t>the sacred space or near sacred obj</w:t>
      </w:r>
      <w:r w:rsidR="001F21F4">
        <w:t xml:space="preserve">ects. </w:t>
      </w:r>
      <w:r w:rsidR="00AE30C0">
        <w:t>Eliade</w:t>
      </w:r>
      <w:r w:rsidR="001F21F4">
        <w:t xml:space="preserve"> equated that </w:t>
      </w:r>
      <w:r w:rsidR="006935C7">
        <w:t>with a power that expressed reality</w:t>
      </w:r>
      <w:r w:rsidR="006935C7">
        <w:rPr>
          <w:rStyle w:val="FootnoteReference"/>
        </w:rPr>
        <w:footnoteReference w:id="20"/>
      </w:r>
      <w:r w:rsidR="006935C7">
        <w:t xml:space="preserve">. </w:t>
      </w:r>
      <w:r>
        <w:t>T</w:t>
      </w:r>
      <w:r w:rsidR="00402D66">
        <w:t xml:space="preserve">he </w:t>
      </w:r>
      <w:r w:rsidR="00AE30C0">
        <w:t xml:space="preserve">book’s </w:t>
      </w:r>
      <w:r w:rsidR="00561516">
        <w:t xml:space="preserve">main concern </w:t>
      </w:r>
      <w:r w:rsidR="00AE30C0">
        <w:t>w</w:t>
      </w:r>
      <w:r w:rsidR="00561516">
        <w:t>as:</w:t>
      </w:r>
    </w:p>
    <w:p w14:paraId="5ABDF44D" w14:textId="70E0A302" w:rsidR="00402D66" w:rsidRDefault="00402D66" w:rsidP="006E09E3">
      <w:pPr>
        <w:spacing w:line="480" w:lineRule="auto"/>
      </w:pPr>
      <w:r>
        <w:t>“to show in what ways religious man attempts to remain as long as possible in a sacred universe…”</w:t>
      </w:r>
      <w:r>
        <w:rPr>
          <w:rStyle w:val="FootnoteReference"/>
        </w:rPr>
        <w:footnoteReference w:id="21"/>
      </w:r>
      <w:r>
        <w:t>.</w:t>
      </w:r>
    </w:p>
    <w:p w14:paraId="72A50650" w14:textId="77777777" w:rsidR="0039128D" w:rsidRDefault="0039128D" w:rsidP="006E09E3">
      <w:pPr>
        <w:spacing w:line="480" w:lineRule="auto"/>
      </w:pPr>
    </w:p>
    <w:p w14:paraId="582804DF" w14:textId="6BA41ED1" w:rsidR="00402D66" w:rsidRDefault="00402D66" w:rsidP="006E09E3">
      <w:pPr>
        <w:spacing w:line="480" w:lineRule="auto"/>
      </w:pPr>
      <w:r>
        <w:t xml:space="preserve">Chapter 1 </w:t>
      </w:r>
      <w:r w:rsidR="001A1C56">
        <w:t>investigated</w:t>
      </w:r>
      <w:r w:rsidR="00F96EB8">
        <w:t xml:space="preserve"> how hierophanies marked sacred space, distinguished it from profane, and how</w:t>
      </w:r>
      <w:r w:rsidR="0039702D">
        <w:t xml:space="preserve"> they </w:t>
      </w:r>
      <w:r w:rsidR="0039128D">
        <w:t>made the</w:t>
      </w:r>
      <w:r w:rsidR="00F96EB8">
        <w:t xml:space="preserve"> world sacred. </w:t>
      </w:r>
      <w:r w:rsidR="009B6637">
        <w:t xml:space="preserve"> N</w:t>
      </w:r>
      <w:r w:rsidR="00F96EB8">
        <w:t>on-sacred space was amorphous, whereas sacred space provided a break in that</w:t>
      </w:r>
      <w:r w:rsidR="009A1B78" w:rsidRPr="009A1B78">
        <w:t xml:space="preserve"> </w:t>
      </w:r>
      <w:r w:rsidR="009A1B78">
        <w:t xml:space="preserve">homogeneity </w:t>
      </w:r>
      <w:r w:rsidR="00F96EB8">
        <w:rPr>
          <w:rStyle w:val="FootnoteReference"/>
        </w:rPr>
        <w:footnoteReference w:id="22"/>
      </w:r>
      <w:r w:rsidR="009A1B78">
        <w:t>.</w:t>
      </w:r>
      <w:r w:rsidR="00F96EB8">
        <w:t xml:space="preserve">  </w:t>
      </w:r>
      <w:r w:rsidR="009A1B78">
        <w:t xml:space="preserve">Eliade </w:t>
      </w:r>
      <w:r w:rsidR="00F96EB8">
        <w:t>went further</w:t>
      </w:r>
      <w:r w:rsidR="00A73C8D">
        <w:t xml:space="preserve"> </w:t>
      </w:r>
      <w:r w:rsidR="009A1B78">
        <w:t xml:space="preserve">- </w:t>
      </w:r>
      <w:r w:rsidR="00A73C8D">
        <w:t>the break was</w:t>
      </w:r>
      <w:r w:rsidR="00F96EB8">
        <w:t xml:space="preserve"> “homologizable to a founding of a world.”</w:t>
      </w:r>
      <w:r w:rsidR="00F96EB8">
        <w:rPr>
          <w:rStyle w:val="FootnoteReference"/>
        </w:rPr>
        <w:footnoteReference w:id="23"/>
      </w:r>
      <w:r w:rsidR="00231FB2">
        <w:t xml:space="preserve"> T</w:t>
      </w:r>
      <w:r w:rsidR="00F96EB8">
        <w:t>h</w:t>
      </w:r>
      <w:r w:rsidR="00A73C8D">
        <w:t>e break revealed</w:t>
      </w:r>
      <w:r w:rsidR="00F96EB8">
        <w:t xml:space="preserve"> a fixed point, a central axis for sacred </w:t>
      </w:r>
      <w:r w:rsidR="009A1B78">
        <w:t xml:space="preserve">around which man could orient. </w:t>
      </w:r>
      <w:r w:rsidR="00F96EB8">
        <w:t xml:space="preserve">This revelation </w:t>
      </w:r>
      <w:r w:rsidR="00231FB2">
        <w:t>is one of an absolute reality</w:t>
      </w:r>
      <w:r w:rsidR="00F96EB8">
        <w:t>, “the sacred ontologically founds the world.”</w:t>
      </w:r>
      <w:r w:rsidR="0094111D">
        <w:rPr>
          <w:rStyle w:val="FootnoteReference"/>
        </w:rPr>
        <w:footnoteReference w:id="24"/>
      </w:r>
      <w:r w:rsidR="0094111D">
        <w:t xml:space="preserve">  </w:t>
      </w:r>
      <w:r w:rsidR="00231FB2">
        <w:t>But</w:t>
      </w:r>
      <w:r w:rsidR="0094111D">
        <w:t>, profane experience could imitate or recall the character of sacred space</w:t>
      </w:r>
      <w:r w:rsidR="00D724B5">
        <w:t>, e.g.,</w:t>
      </w:r>
      <w:r w:rsidR="0094111D">
        <w:t xml:space="preserve"> the idea of privileged spaces such as a birthplace.  </w:t>
      </w:r>
    </w:p>
    <w:p w14:paraId="64895FAC" w14:textId="77777777" w:rsidR="0094111D" w:rsidRDefault="0094111D" w:rsidP="006E09E3">
      <w:pPr>
        <w:spacing w:line="480" w:lineRule="auto"/>
      </w:pPr>
    </w:p>
    <w:p w14:paraId="4BE7AA76" w14:textId="5245A18C" w:rsidR="0094111D" w:rsidRDefault="0094111D" w:rsidP="006E09E3">
      <w:pPr>
        <w:spacing w:line="480" w:lineRule="auto"/>
      </w:pPr>
      <w:r>
        <w:t>Using a church</w:t>
      </w:r>
      <w:r w:rsidR="00C90386">
        <w:t xml:space="preserve"> as illustration</w:t>
      </w:r>
      <w:r>
        <w:t xml:space="preserve">, Eliade </w:t>
      </w:r>
      <w:r w:rsidR="00C90386">
        <w:t>explained</w:t>
      </w:r>
      <w:r w:rsidR="00D724B5">
        <w:t xml:space="preserve"> </w:t>
      </w:r>
      <w:r>
        <w:t>that the expe</w:t>
      </w:r>
      <w:r w:rsidR="00C90386">
        <w:t>rience of a sacred place implied</w:t>
      </w:r>
      <w:r>
        <w:t xml:space="preserve"> the creation of a boundary or threshold between </w:t>
      </w:r>
      <w:r w:rsidR="009A1B78">
        <w:t>sacred and profane</w:t>
      </w:r>
      <w:r>
        <w:t>, and that numerous rites and rituals had developed over time to recognise and honour the threshold</w:t>
      </w:r>
      <w:r>
        <w:rPr>
          <w:rStyle w:val="FootnoteReference"/>
        </w:rPr>
        <w:footnoteReference w:id="25"/>
      </w:r>
      <w:r>
        <w:t xml:space="preserve">. </w:t>
      </w:r>
      <w:r w:rsidR="00D724B5">
        <w:t xml:space="preserve">He </w:t>
      </w:r>
      <w:r w:rsidR="00C90386">
        <w:t xml:space="preserve">also </w:t>
      </w:r>
      <w:r w:rsidR="00D724B5">
        <w:t>argued that</w:t>
      </w:r>
      <w:r w:rsidR="00452B07">
        <w:t xml:space="preserve">, in the absence of a hierophany, a sign of something </w:t>
      </w:r>
      <w:r w:rsidR="00C90386">
        <w:t>“other”</w:t>
      </w:r>
      <w:r w:rsidR="00452B07">
        <w:t xml:space="preserve"> would be sufficient to point to the sacredness of a place</w:t>
      </w:r>
      <w:r w:rsidR="00452B07">
        <w:rPr>
          <w:rStyle w:val="FootnoteReference"/>
        </w:rPr>
        <w:footnoteReference w:id="26"/>
      </w:r>
      <w:r w:rsidR="00452B07">
        <w:t xml:space="preserve">.  </w:t>
      </w:r>
    </w:p>
    <w:p w14:paraId="3EEA4439" w14:textId="77777777" w:rsidR="00B069EC" w:rsidRDefault="00B069EC" w:rsidP="006E09E3">
      <w:pPr>
        <w:spacing w:line="480" w:lineRule="auto"/>
      </w:pPr>
    </w:p>
    <w:p w14:paraId="54829FD2" w14:textId="711EA7F1" w:rsidR="00452B07" w:rsidRDefault="00EF497A" w:rsidP="006E09E3">
      <w:pPr>
        <w:spacing w:line="480" w:lineRule="auto"/>
      </w:pPr>
      <w:r>
        <w:t xml:space="preserve">The rest of the chapter </w:t>
      </w:r>
      <w:r w:rsidR="00452B07">
        <w:t xml:space="preserve">focused on showing that the sign, the fixed point was used to found a world, a cosmos that is differentiated from everything else </w:t>
      </w:r>
      <w:r w:rsidR="00716C49">
        <w:t>which</w:t>
      </w:r>
      <w:r w:rsidR="00452B07">
        <w:t xml:space="preserve"> </w:t>
      </w:r>
      <w:r w:rsidR="00716C49">
        <w:t xml:space="preserve">becomes </w:t>
      </w:r>
      <w:r w:rsidR="00452B07">
        <w:t>chaos</w:t>
      </w:r>
      <w:r w:rsidR="00452B07">
        <w:rPr>
          <w:rStyle w:val="FootnoteReference"/>
        </w:rPr>
        <w:footnoteReference w:id="27"/>
      </w:r>
      <w:r w:rsidR="00716C49">
        <w:t>.</w:t>
      </w:r>
      <w:r w:rsidR="00452B07">
        <w:t xml:space="preserve"> </w:t>
      </w:r>
      <w:r w:rsidR="00707B7C">
        <w:t xml:space="preserve">This point was always at the centre of religious or spiritual man’s existence.  </w:t>
      </w:r>
      <w:r w:rsidR="00452B07">
        <w:t xml:space="preserve">The founding was a repetition and a consecration of the </w:t>
      </w:r>
      <w:r w:rsidR="00716C49">
        <w:t xml:space="preserve">Gods’ </w:t>
      </w:r>
      <w:r w:rsidR="00452B07">
        <w:t>work– a cosmogony.   This cosmogony, by creating the break be</w:t>
      </w:r>
      <w:r w:rsidR="00707B7C">
        <w:t>tween sacred and profane, allowed</w:t>
      </w:r>
      <w:r w:rsidR="009A1B78">
        <w:t xml:space="preserve"> for</w:t>
      </w:r>
      <w:r w:rsidR="00452B07">
        <w:t xml:space="preserve"> communication </w:t>
      </w:r>
      <w:r w:rsidR="00707B7C">
        <w:t xml:space="preserve">between </w:t>
      </w:r>
      <w:r w:rsidR="00B069EC">
        <w:t>planes, e.g</w:t>
      </w:r>
      <w:r w:rsidR="00716C49">
        <w:t>.</w:t>
      </w:r>
      <w:r w:rsidR="009A1B78">
        <w:t xml:space="preserve"> earth and heaven. T</w:t>
      </w:r>
      <w:r w:rsidR="00707B7C">
        <w:t xml:space="preserve">he founding provided an orientation, a centre or </w:t>
      </w:r>
      <w:r w:rsidR="00707B7C">
        <w:rPr>
          <w:i/>
        </w:rPr>
        <w:t>axis mundi</w:t>
      </w:r>
      <w:r w:rsidR="00524F9B">
        <w:t xml:space="preserve"> as Eliade called</w:t>
      </w:r>
      <w:r w:rsidR="00707B7C">
        <w:t xml:space="preserve"> it. </w:t>
      </w:r>
      <w:r w:rsidR="00524F9B">
        <w:t xml:space="preserve"> For sacred man, this made</w:t>
      </w:r>
      <w:r w:rsidR="00707B7C">
        <w:t xml:space="preserve"> the world apprehensible</w:t>
      </w:r>
      <w:r w:rsidR="00707B7C">
        <w:rPr>
          <w:rStyle w:val="FootnoteReference"/>
        </w:rPr>
        <w:footnoteReference w:id="28"/>
      </w:r>
      <w:r w:rsidR="00707B7C">
        <w:t xml:space="preserve">. </w:t>
      </w:r>
    </w:p>
    <w:p w14:paraId="2227CAFB" w14:textId="77777777" w:rsidR="00707B7C" w:rsidRDefault="00707B7C" w:rsidP="006E09E3">
      <w:pPr>
        <w:spacing w:line="480" w:lineRule="auto"/>
      </w:pPr>
    </w:p>
    <w:p w14:paraId="19130D0A" w14:textId="78C4D1EC" w:rsidR="00707B7C" w:rsidRDefault="009A1B78" w:rsidP="006E09E3">
      <w:pPr>
        <w:spacing w:line="480" w:lineRule="auto"/>
      </w:pPr>
      <w:r>
        <w:t>In chapter 2, the sacred was</w:t>
      </w:r>
      <w:r w:rsidR="00B069EC">
        <w:t xml:space="preserve"> examined </w:t>
      </w:r>
      <w:r w:rsidR="00EF497A">
        <w:t>from the t</w:t>
      </w:r>
      <w:r w:rsidR="00B069EC">
        <w:t>emporal</w:t>
      </w:r>
      <w:r w:rsidR="00EF497A">
        <w:t>.  If the world is founded on cosmic, sacred acts, then sacred man honoured the original cosmogony through rites and festivals.  Eliade argued that there are two kinds of time – sacred and profane</w:t>
      </w:r>
      <w:r w:rsidR="00EF497A">
        <w:rPr>
          <w:rStyle w:val="FootnoteReference"/>
        </w:rPr>
        <w:footnoteReference w:id="29"/>
      </w:r>
      <w:r w:rsidR="00EF497A">
        <w:t>.  Profane is ordinary time as experienced daily, sacred time is that exp</w:t>
      </w:r>
      <w:r w:rsidR="00B069EC">
        <w:t>erienced through festivals</w:t>
      </w:r>
      <w:r>
        <w:t xml:space="preserve"> -</w:t>
      </w:r>
      <w:r w:rsidR="00EF497A">
        <w:t xml:space="preserve"> the replaying of events that took place in a mythical past.  Thus, sacred time was thought to be ‘reversible’, </w:t>
      </w:r>
      <w:r w:rsidR="00716C49">
        <w:t>as</w:t>
      </w:r>
      <w:r w:rsidR="00EF497A">
        <w:t xml:space="preserve"> it is a primordial time recreated and made present</w:t>
      </w:r>
      <w:r w:rsidR="00EF497A">
        <w:rPr>
          <w:rStyle w:val="FootnoteReference"/>
        </w:rPr>
        <w:footnoteReference w:id="30"/>
      </w:r>
      <w:r w:rsidR="00B069EC">
        <w:t>.</w:t>
      </w:r>
    </w:p>
    <w:p w14:paraId="3DF6C4D7" w14:textId="77777777" w:rsidR="00B069EC" w:rsidRDefault="00B069EC" w:rsidP="006E09E3">
      <w:pPr>
        <w:spacing w:line="480" w:lineRule="auto"/>
      </w:pPr>
    </w:p>
    <w:p w14:paraId="34126B4D" w14:textId="1BDB5258" w:rsidR="00F47C30" w:rsidRDefault="00F47C30" w:rsidP="006E09E3">
      <w:pPr>
        <w:spacing w:line="480" w:lineRule="auto"/>
      </w:pPr>
      <w:r>
        <w:t xml:space="preserve">This </w:t>
      </w:r>
      <w:r w:rsidR="00150B40">
        <w:t xml:space="preserve">was important for </w:t>
      </w:r>
      <w:r>
        <w:t xml:space="preserve">together, sacred time and space, create a paradigm for every creation or construction.  </w:t>
      </w:r>
      <w:r w:rsidR="00B069EC">
        <w:t>Eliade</w:t>
      </w:r>
      <w:r>
        <w:t xml:space="preserve"> explained that the sacred calendar of festivals flows in a cycle of repetition</w:t>
      </w:r>
      <w:r>
        <w:rPr>
          <w:rStyle w:val="FootnoteReference"/>
        </w:rPr>
        <w:footnoteReference w:id="31"/>
      </w:r>
      <w:r>
        <w:t xml:space="preserve">. </w:t>
      </w:r>
      <w:r w:rsidR="00B069EC">
        <w:t xml:space="preserve"> </w:t>
      </w:r>
      <w:r w:rsidR="009A1B78">
        <w:t>The</w:t>
      </w:r>
      <w:r>
        <w:t xml:space="preserve"> commemoration of New Year would be an important re-creation of the mythical ‘</w:t>
      </w:r>
      <w:r w:rsidR="00B069EC">
        <w:t>first time’.   Everything was</w:t>
      </w:r>
      <w:r w:rsidR="009A1B78">
        <w:t xml:space="preserve"> renewed</w:t>
      </w:r>
      <w:r>
        <w:t xml:space="preserve"> with that festival</w:t>
      </w:r>
      <w:r w:rsidR="00524F9B">
        <w:t>. T</w:t>
      </w:r>
      <w:r w:rsidR="00B069EC">
        <w:t>here was</w:t>
      </w:r>
      <w:r>
        <w:t xml:space="preserve"> an actualisation of the myth of return.  As Eliade noted “by symbolically becoming contemporary with the creation”</w:t>
      </w:r>
      <w:r w:rsidR="00524F9B">
        <w:rPr>
          <w:rStyle w:val="FootnoteReference"/>
        </w:rPr>
        <w:footnoteReference w:id="32"/>
      </w:r>
      <w:r w:rsidR="00150B40">
        <w:t xml:space="preserve"> one can take part of the original beginning</w:t>
      </w:r>
      <w:r w:rsidR="009A1B78">
        <w:t>’s richness</w:t>
      </w:r>
      <w:r w:rsidR="00150B40">
        <w:t xml:space="preserve">.  This is </w:t>
      </w:r>
      <w:r w:rsidR="00B069EC">
        <w:t xml:space="preserve">also </w:t>
      </w:r>
      <w:r w:rsidR="00150B40">
        <w:t>why creation myths were incorporated into healing rituals in archaic and traditional societies.</w:t>
      </w:r>
    </w:p>
    <w:p w14:paraId="464AB1D9" w14:textId="77777777" w:rsidR="00022E4A" w:rsidRDefault="00022E4A" w:rsidP="006E09E3">
      <w:pPr>
        <w:spacing w:line="480" w:lineRule="auto"/>
      </w:pPr>
    </w:p>
    <w:p w14:paraId="73943EDB" w14:textId="2F83AA6C" w:rsidR="00150B40" w:rsidRDefault="009A1B78" w:rsidP="006E09E3">
      <w:pPr>
        <w:spacing w:line="480" w:lineRule="auto"/>
      </w:pPr>
      <w:r>
        <w:t>Two further points made</w:t>
      </w:r>
      <w:r w:rsidR="00FF24E2" w:rsidRPr="00FF24E2">
        <w:t xml:space="preserve"> are first, </w:t>
      </w:r>
      <w:r w:rsidR="00150B40" w:rsidRPr="00FF24E2">
        <w:t>when the religious aspect of the cosmos becomes lost and time becomes desacralized</w:t>
      </w:r>
      <w:r w:rsidR="00DA4B12">
        <w:t>.  There was</w:t>
      </w:r>
      <w:r w:rsidR="00022E4A">
        <w:t xml:space="preserve"> still a </w:t>
      </w:r>
      <w:r w:rsidR="00DA4B12">
        <w:t xml:space="preserve">view of the </w:t>
      </w:r>
      <w:r w:rsidR="00150B40">
        <w:t xml:space="preserve">eternal </w:t>
      </w:r>
      <w:r w:rsidR="00DA4B12">
        <w:t xml:space="preserve">cosmic </w:t>
      </w:r>
      <w:r w:rsidR="00150B40">
        <w:t xml:space="preserve">return of creation-destruction-creation and so on but </w:t>
      </w:r>
      <w:r w:rsidR="00DA4B12">
        <w:t>it was emptied of its sacredness</w:t>
      </w:r>
      <w:r w:rsidR="00DA4B12">
        <w:rPr>
          <w:rStyle w:val="FootnoteReference"/>
        </w:rPr>
        <w:footnoteReference w:id="33"/>
      </w:r>
      <w:r w:rsidR="00FF24E2">
        <w:t>.  Second,</w:t>
      </w:r>
      <w:r w:rsidR="00DA4B12">
        <w:t xml:space="preserve"> </w:t>
      </w:r>
      <w:r w:rsidR="00716C49">
        <w:t xml:space="preserve">the </w:t>
      </w:r>
      <w:r w:rsidR="00DA4B12">
        <w:t>impact of Judeo-Christian religious beliefs</w:t>
      </w:r>
      <w:r w:rsidR="00B069EC">
        <w:t xml:space="preserve"> was examined</w:t>
      </w:r>
      <w:r w:rsidR="00231FB2">
        <w:t>.</w:t>
      </w:r>
      <w:r w:rsidR="00DA4B12">
        <w:t xml:space="preserve"> </w:t>
      </w:r>
      <w:r w:rsidR="00231FB2">
        <w:t xml:space="preserve"> B</w:t>
      </w:r>
      <w:r w:rsidR="00DA4B12">
        <w:t>oth Judaism and Christianity valorised historical (ordinary) time not cosmic (sacred</w:t>
      </w:r>
      <w:r w:rsidR="00524F9B">
        <w:t>) time</w:t>
      </w:r>
      <w:r w:rsidR="00DA4B12">
        <w:t xml:space="preserve"> through</w:t>
      </w:r>
      <w:r w:rsidR="0010308E">
        <w:t>, for example,</w:t>
      </w:r>
      <w:r w:rsidR="00DA4B12">
        <w:t xml:space="preserve"> the manifestation in history of Yahweh and Jesus Christ</w:t>
      </w:r>
      <w:r w:rsidR="00DA4B12">
        <w:rPr>
          <w:rStyle w:val="FootnoteReference"/>
        </w:rPr>
        <w:footnoteReference w:id="34"/>
      </w:r>
      <w:r w:rsidR="00DA4B12">
        <w:t>.</w:t>
      </w:r>
    </w:p>
    <w:p w14:paraId="173E52B4" w14:textId="77777777" w:rsidR="009313D7" w:rsidRDefault="009313D7" w:rsidP="006E09E3">
      <w:pPr>
        <w:spacing w:line="480" w:lineRule="auto"/>
      </w:pPr>
    </w:p>
    <w:p w14:paraId="7C316FCB" w14:textId="2387310E" w:rsidR="008848F3" w:rsidRDefault="00231FB2" w:rsidP="006E09E3">
      <w:pPr>
        <w:spacing w:line="480" w:lineRule="auto"/>
      </w:pPr>
      <w:r>
        <w:t xml:space="preserve">In chapter 3, </w:t>
      </w:r>
      <w:r w:rsidR="009A1B78">
        <w:t>Eliade discussed</w:t>
      </w:r>
      <w:r w:rsidR="008848F3">
        <w:t xml:space="preserve"> the sacredness of nature and cosmic religion.  </w:t>
      </w:r>
      <w:r w:rsidR="009A1B78">
        <w:t>He</w:t>
      </w:r>
      <w:r w:rsidR="009313D7">
        <w:t xml:space="preserve"> was trying to “understand…how sacrality is revealed through t</w:t>
      </w:r>
      <w:r w:rsidR="006D225A">
        <w:t>he very structures of the world,</w:t>
      </w:r>
      <w:r w:rsidR="00524F9B">
        <w:t>”</w:t>
      </w:r>
      <w:r w:rsidR="009313D7">
        <w:rPr>
          <w:rStyle w:val="FootnoteReference"/>
        </w:rPr>
        <w:footnoteReference w:id="35"/>
      </w:r>
      <w:r w:rsidR="006D225A">
        <w:t xml:space="preserve"> </w:t>
      </w:r>
      <w:r w:rsidR="009313D7">
        <w:t>b</w:t>
      </w:r>
      <w:r w:rsidR="006D225A">
        <w:t>y exploring a number of aspects. F</w:t>
      </w:r>
      <w:r w:rsidR="009313D7">
        <w:t xml:space="preserve">or example:  the celestial sacred and the notion of Sky gods; </w:t>
      </w:r>
      <w:r w:rsidR="00524F9B">
        <w:t xml:space="preserve">the concept of the ‘remote God’ - the </w:t>
      </w:r>
      <w:r w:rsidR="009313D7">
        <w:t>belief that the creator God has withdrawn from human activity; the enduring importance of celestial symbols, i.e. the fac</w:t>
      </w:r>
      <w:r w:rsidR="001F21F4">
        <w:t>t that ‘above’, ‘high’ continue</w:t>
      </w:r>
      <w:r w:rsidR="009313D7">
        <w:t xml:space="preserve"> to be associated with transcendence and the centre of the world; the structure of aquatic and earth</w:t>
      </w:r>
      <w:r w:rsidR="001F21F4">
        <w:t>ly</w:t>
      </w:r>
      <w:r w:rsidR="009313D7">
        <w:t xml:space="preserve"> symbolism; and a discussion of hierogamy betwe</w:t>
      </w:r>
      <w:r w:rsidR="00524F9B">
        <w:t xml:space="preserve">en the Sky-God and </w:t>
      </w:r>
      <w:r w:rsidR="0039702D">
        <w:t>Mother Earth</w:t>
      </w:r>
      <w:r w:rsidR="0039702D">
        <w:rPr>
          <w:rStyle w:val="FootnoteReference"/>
        </w:rPr>
        <w:footnoteReference w:id="36"/>
      </w:r>
      <w:r w:rsidR="0039702D">
        <w:t>.</w:t>
      </w:r>
    </w:p>
    <w:p w14:paraId="6C2C63B4" w14:textId="77777777" w:rsidR="0039702D" w:rsidRDefault="0039702D" w:rsidP="006E09E3">
      <w:pPr>
        <w:spacing w:line="480" w:lineRule="auto"/>
      </w:pPr>
    </w:p>
    <w:p w14:paraId="06C8BEFD" w14:textId="7C84D748" w:rsidR="0039702D" w:rsidRDefault="0039702D" w:rsidP="006E09E3">
      <w:pPr>
        <w:spacing w:line="480" w:lineRule="auto"/>
      </w:pPr>
      <w:r>
        <w:t xml:space="preserve">In chapter 4, Eliade looked to </w:t>
      </w:r>
      <w:r w:rsidR="006D225A">
        <w:t>European</w:t>
      </w:r>
      <w:r>
        <w:t xml:space="preserve"> folklore, as well as the behaviour of native and archaic societies to garner knowledge of what it means to </w:t>
      </w:r>
      <w:r w:rsidR="006D225A">
        <w:t>have</w:t>
      </w:r>
      <w:r>
        <w:t xml:space="preserve"> a sanctified life</w:t>
      </w:r>
      <w:r>
        <w:rPr>
          <w:rStyle w:val="FootnoteReference"/>
        </w:rPr>
        <w:footnoteReference w:id="37"/>
      </w:r>
      <w:r>
        <w:t>.  The author m</w:t>
      </w:r>
      <w:r w:rsidR="00716C49">
        <w:t>aintained that for these</w:t>
      </w:r>
      <w:r w:rsidR="00724FB0">
        <w:t xml:space="preserve"> groups, “the whole of life is a capable of being sanctified”</w:t>
      </w:r>
      <w:r w:rsidR="00724FB0">
        <w:rPr>
          <w:rStyle w:val="FootnoteReference"/>
        </w:rPr>
        <w:footnoteReference w:id="38"/>
      </w:r>
      <w:r w:rsidR="00724FB0">
        <w:t xml:space="preserve">.  This point led him to propose a homology (i.e. a </w:t>
      </w:r>
      <w:r w:rsidR="006D225A">
        <w:t>correspondence</w:t>
      </w:r>
      <w:r w:rsidR="00724FB0">
        <w:t>) of body-house-cosmos using Indian religious thought as an explanation. For example, the spine is equivalent to the cosmic pillar.  Other aspects of the sanctified</w:t>
      </w:r>
      <w:r w:rsidR="0038663A">
        <w:t xml:space="preserve"> covered were</w:t>
      </w:r>
      <w:r w:rsidR="006D225A">
        <w:t>, e.g.</w:t>
      </w:r>
      <w:r w:rsidR="00724FB0">
        <w:t xml:space="preserve">: rites of passage; the phenomenology of initiation; death and sacred rebirth; and the sacred and profane in modern, i.e. mid-20th century, life. </w:t>
      </w:r>
      <w:r w:rsidR="0038663A">
        <w:t xml:space="preserve">One conclusion </w:t>
      </w:r>
      <w:r w:rsidR="00022E4A">
        <w:t xml:space="preserve">made </w:t>
      </w:r>
      <w:r w:rsidR="0038663A">
        <w:t>was that modern human</w:t>
      </w:r>
      <w:r w:rsidR="00022E4A">
        <w:t>s without spirituality or religions still “hold to pseudo-religions and degenerated mythologies”</w:t>
      </w:r>
      <w:r w:rsidR="00022E4A">
        <w:rPr>
          <w:rStyle w:val="FootnoteReference"/>
        </w:rPr>
        <w:footnoteReference w:id="39"/>
      </w:r>
      <w:r w:rsidR="00022E4A">
        <w:t>.</w:t>
      </w:r>
    </w:p>
    <w:p w14:paraId="6945A3A7" w14:textId="77777777" w:rsidR="0010308E" w:rsidRDefault="0010308E" w:rsidP="006E09E3">
      <w:pPr>
        <w:spacing w:line="480" w:lineRule="auto"/>
      </w:pPr>
    </w:p>
    <w:p w14:paraId="7B4B1335" w14:textId="26A99535" w:rsidR="00022E4A" w:rsidRDefault="00022E4A" w:rsidP="006E09E3">
      <w:pPr>
        <w:spacing w:line="480" w:lineRule="auto"/>
      </w:pPr>
      <w:r>
        <w:t xml:space="preserve">One strength of the book is the argument </w:t>
      </w:r>
      <w:r w:rsidR="00716C49">
        <w:t>regarding</w:t>
      </w:r>
      <w:r>
        <w:t xml:space="preserve"> the phenomenological experience of the sacred.  The concept of </w:t>
      </w:r>
      <w:r w:rsidR="006D225A">
        <w:t xml:space="preserve">the </w:t>
      </w:r>
      <w:r>
        <w:t>hierophany and of sacred time as being etern</w:t>
      </w:r>
      <w:r w:rsidR="00C5781F">
        <w:t xml:space="preserve">al and recoverable leads Eliade to his </w:t>
      </w:r>
      <w:r w:rsidR="006D225A">
        <w:t>view</w:t>
      </w:r>
      <w:r w:rsidR="00C5781F">
        <w:t xml:space="preserve"> of sacred time and space </w:t>
      </w:r>
      <w:r w:rsidR="006D225A">
        <w:t>as a paradigmatic c</w:t>
      </w:r>
      <w:r w:rsidR="00C5781F">
        <w:t xml:space="preserve">osmogony and blueprint for sanctified life. </w:t>
      </w:r>
    </w:p>
    <w:p w14:paraId="52CDCB46" w14:textId="77777777" w:rsidR="006D225A" w:rsidRDefault="006D225A" w:rsidP="006E09E3">
      <w:pPr>
        <w:spacing w:line="480" w:lineRule="auto"/>
      </w:pPr>
    </w:p>
    <w:p w14:paraId="7B9828E6" w14:textId="11E5F032" w:rsidR="00C5781F" w:rsidRDefault="009078D5" w:rsidP="006E09E3">
      <w:pPr>
        <w:spacing w:line="480" w:lineRule="auto"/>
      </w:pPr>
      <w:r>
        <w:t>One</w:t>
      </w:r>
      <w:r w:rsidR="00716C49">
        <w:t xml:space="preserve"> weakness is</w:t>
      </w:r>
      <w:r w:rsidR="00C5781F">
        <w:t xml:space="preserve"> his treatment of the Sky God-Mother Nature </w:t>
      </w:r>
      <w:r w:rsidR="0038663A">
        <w:t>nexus</w:t>
      </w:r>
      <w:r w:rsidR="00C5781F">
        <w:t xml:space="preserve">.  He ignores the obvious example that does not fit </w:t>
      </w:r>
      <w:r w:rsidR="006D225A">
        <w:t>the Sky God male, Mother N</w:t>
      </w:r>
      <w:r w:rsidR="00C5781F">
        <w:t>ature female</w:t>
      </w:r>
      <w:r w:rsidR="006D225A">
        <w:t xml:space="preserve"> theory</w:t>
      </w:r>
      <w:r w:rsidR="00C5781F">
        <w:t xml:space="preserve">.   That is </w:t>
      </w:r>
      <w:r w:rsidR="006D225A">
        <w:t>Pharaonic Egypt where the s</w:t>
      </w:r>
      <w:r w:rsidR="00C5781F">
        <w:t>ky is female, Nut, and the earth is represented by different male Gods - Geb, Osiris – depending on their ro</w:t>
      </w:r>
      <w:r w:rsidR="0038663A">
        <w:t xml:space="preserve">le. Apparently, he thought the </w:t>
      </w:r>
      <w:r w:rsidR="00C5781F">
        <w:t>demurring Egyptian view was a matter of grammar!</w:t>
      </w:r>
      <w:r w:rsidR="00C5781F">
        <w:rPr>
          <w:rStyle w:val="FootnoteReference"/>
        </w:rPr>
        <w:footnoteReference w:id="40"/>
      </w:r>
      <w:r w:rsidR="00C5781F">
        <w:t xml:space="preserve"> He does</w:t>
      </w:r>
      <w:r>
        <w:t xml:space="preserve"> accept in a footnote that his view of the cosmic hierogamy is not universal</w:t>
      </w:r>
      <w:r>
        <w:rPr>
          <w:rStyle w:val="FootnoteReference"/>
        </w:rPr>
        <w:footnoteReference w:id="41"/>
      </w:r>
      <w:r>
        <w:t>.</w:t>
      </w:r>
    </w:p>
    <w:p w14:paraId="398EEBBD" w14:textId="77777777" w:rsidR="009078D5" w:rsidRPr="009078D5" w:rsidRDefault="009078D5" w:rsidP="006E09E3">
      <w:pPr>
        <w:spacing w:line="480" w:lineRule="auto"/>
        <w:rPr>
          <w:i/>
        </w:rPr>
      </w:pPr>
    </w:p>
    <w:p w14:paraId="1B2328B2" w14:textId="3970DB04" w:rsidR="009078D5" w:rsidRPr="009078D5" w:rsidRDefault="009078D5" w:rsidP="006E09E3">
      <w:pPr>
        <w:spacing w:line="480" w:lineRule="auto"/>
        <w:rPr>
          <w:i/>
        </w:rPr>
      </w:pPr>
      <w:r w:rsidRPr="009078D5">
        <w:rPr>
          <w:i/>
        </w:rPr>
        <w:t>Conclusions</w:t>
      </w:r>
    </w:p>
    <w:p w14:paraId="3AF68FD8" w14:textId="1EA42D06" w:rsidR="009078D5" w:rsidRDefault="00F407D6" w:rsidP="006E09E3">
      <w:pPr>
        <w:spacing w:line="480" w:lineRule="auto"/>
      </w:pPr>
      <w:r>
        <w:t xml:space="preserve">This book is </w:t>
      </w:r>
      <w:r w:rsidR="00C30D58">
        <w:t xml:space="preserve">still worth reading for any student of the History of Religions and anyone interested in human experience of the sacred.  </w:t>
      </w:r>
      <w:r w:rsidR="006D225A">
        <w:t>Eliade’s</w:t>
      </w:r>
      <w:r w:rsidR="00C30D58">
        <w:t xml:space="preserve"> capability to express and </w:t>
      </w:r>
      <w:r w:rsidR="006D225A">
        <w:t xml:space="preserve">interpret </w:t>
      </w:r>
      <w:r w:rsidR="00C30D58">
        <w:t>the breadth of the subject matter is impressive.  Since its publication, his view of the sacred has been challenged not least by his successor and mentee at Chicago, Jonathan Z Smith</w:t>
      </w:r>
      <w:r w:rsidR="00C30D58">
        <w:rPr>
          <w:rStyle w:val="FootnoteReference"/>
        </w:rPr>
        <w:footnoteReference w:id="42"/>
      </w:r>
      <w:r w:rsidR="00C30D58">
        <w:t>, and others who take a more Durkheimian view of sacredness, or steer a middle path</w:t>
      </w:r>
      <w:r w:rsidR="00C30D58">
        <w:rPr>
          <w:rStyle w:val="FootnoteReference"/>
        </w:rPr>
        <w:footnoteReference w:id="43"/>
      </w:r>
      <w:r w:rsidR="00C30D58">
        <w:t xml:space="preserve">.  The primary conclusion of the book, that for spiritual humans, there is a cosmogony based on a view of space and time as sacred </w:t>
      </w:r>
      <w:r w:rsidR="006D225A">
        <w:t>still has</w:t>
      </w:r>
      <w:r w:rsidR="00B54A42">
        <w:t xml:space="preserve"> merit.</w:t>
      </w:r>
    </w:p>
    <w:p w14:paraId="1A58B445" w14:textId="77777777" w:rsidR="00B54A42" w:rsidRDefault="00B54A42" w:rsidP="006E09E3">
      <w:pPr>
        <w:spacing w:line="480" w:lineRule="auto"/>
      </w:pPr>
    </w:p>
    <w:p w14:paraId="36D99208" w14:textId="53C420DC" w:rsidR="009078D5" w:rsidRDefault="009078D5" w:rsidP="006E09E3">
      <w:pPr>
        <w:spacing w:line="480" w:lineRule="auto"/>
      </w:pPr>
      <w:r>
        <w:rPr>
          <w:i/>
        </w:rPr>
        <w:t>References</w:t>
      </w:r>
    </w:p>
    <w:p w14:paraId="3FAA9DE3" w14:textId="7674FFA8" w:rsidR="000D0BFB" w:rsidRPr="000D0BFB" w:rsidRDefault="000D0BFB" w:rsidP="00B54A42">
      <w:r>
        <w:t>Allen, Douglas, “</w:t>
      </w:r>
      <w:r w:rsidRPr="000D0BFB">
        <w:t>Mircea Eliade</w:t>
      </w:r>
      <w:r>
        <w:rPr>
          <w:i/>
        </w:rPr>
        <w:t>”</w:t>
      </w:r>
      <w:r>
        <w:t xml:space="preserve"> at </w:t>
      </w:r>
      <w:r>
        <w:rPr>
          <w:i/>
        </w:rPr>
        <w:t>Encyclopaedia Britannica</w:t>
      </w:r>
      <w:r>
        <w:t xml:space="preserve"> </w:t>
      </w:r>
    </w:p>
    <w:p w14:paraId="0F77D9BF" w14:textId="0180BC15" w:rsidR="000D0BFB" w:rsidRDefault="000D0BFB" w:rsidP="00B54A42">
      <w:hyperlink r:id="rId10" w:history="1">
        <w:r w:rsidRPr="00BF3D5F">
          <w:rPr>
            <w:rStyle w:val="Hyperlink"/>
          </w:rPr>
          <w:t>https://www.britannica.com/biography/Mircea-Eliade</w:t>
        </w:r>
      </w:hyperlink>
      <w:r>
        <w:t xml:space="preserve">  accessed 22</w:t>
      </w:r>
      <w:r w:rsidRPr="000D0BFB">
        <w:rPr>
          <w:vertAlign w:val="superscript"/>
        </w:rPr>
        <w:t>nd</w:t>
      </w:r>
      <w:r>
        <w:t xml:space="preserve"> January 2019.</w:t>
      </w:r>
    </w:p>
    <w:p w14:paraId="736714C0" w14:textId="77777777" w:rsidR="000D0BFB" w:rsidRDefault="000D0BFB" w:rsidP="00B54A42"/>
    <w:p w14:paraId="6BAC64CB" w14:textId="7F0B3813" w:rsidR="00B54A42" w:rsidRDefault="0010308E" w:rsidP="00B54A42">
      <w:r w:rsidRPr="0010308E">
        <w:t xml:space="preserve">Baird, </w:t>
      </w:r>
      <w:r>
        <w:t>Robert D,</w:t>
      </w:r>
      <w:r w:rsidRPr="0010308E">
        <w:t xml:space="preserve"> </w:t>
      </w:r>
      <w:r w:rsidRPr="0010308E">
        <w:rPr>
          <w:i/>
        </w:rPr>
        <w:t>Category Formation and the History of Religions</w:t>
      </w:r>
      <w:r w:rsidRPr="0010308E">
        <w:t xml:space="preserve"> (The Hagu</w:t>
      </w:r>
      <w:r>
        <w:t>e: Mouton and Co., 1971)</w:t>
      </w:r>
      <w:r w:rsidRPr="0010308E">
        <w:t>.</w:t>
      </w:r>
    </w:p>
    <w:p w14:paraId="7DF408BE" w14:textId="77777777" w:rsidR="0038663A" w:rsidRDefault="0038663A" w:rsidP="003B4ECE"/>
    <w:p w14:paraId="738EC836" w14:textId="2247E2A8" w:rsidR="003B4ECE" w:rsidRDefault="003B4ECE" w:rsidP="003B4ECE">
      <w:r>
        <w:t>Dudley III, G, “Mircea Eliade as the "Anti-Historian" of Religions”</w:t>
      </w:r>
    </w:p>
    <w:p w14:paraId="5D8FAB53" w14:textId="18C35D5C" w:rsidR="00B54A42" w:rsidRDefault="003B4ECE" w:rsidP="003B4ECE">
      <w:r w:rsidRPr="003B4ECE">
        <w:rPr>
          <w:i/>
        </w:rPr>
        <w:t>Journal of the American Academy of Religion</w:t>
      </w:r>
      <w:r>
        <w:t>, Vol. 44, No. 2 (Jun., 1976), pp. 345-359.</w:t>
      </w:r>
    </w:p>
    <w:p w14:paraId="3ACF0EF7" w14:textId="77777777" w:rsidR="003B4ECE" w:rsidRDefault="003B4ECE" w:rsidP="003B4ECE"/>
    <w:p w14:paraId="7F2912FF" w14:textId="77777777" w:rsidR="003B4ECE" w:rsidRDefault="00B54A42" w:rsidP="003B4ECE">
      <w:r>
        <w:t xml:space="preserve">Durkheim, Emile, </w:t>
      </w:r>
      <w:r w:rsidRPr="003B4ECE">
        <w:rPr>
          <w:i/>
        </w:rPr>
        <w:t>The Elementary Forms of Religious Life</w:t>
      </w:r>
      <w:r>
        <w:t xml:space="preserve"> (originally published as </w:t>
      </w:r>
      <w:r w:rsidRPr="003B4ECE">
        <w:rPr>
          <w:i/>
        </w:rPr>
        <w:t>Les Formes élémentaires de la vie religieuse</w:t>
      </w:r>
      <w:r>
        <w:t xml:space="preserve"> (Paris, France: Alcan, 1912)), translated by Karen Fields (New York: The Free Press, 1995), chapter 1.</w:t>
      </w:r>
      <w:r w:rsidR="003B4ECE" w:rsidRPr="003B4ECE">
        <w:t xml:space="preserve"> </w:t>
      </w:r>
    </w:p>
    <w:p w14:paraId="2DB3D119" w14:textId="77777777" w:rsidR="003B4ECE" w:rsidRDefault="003B4ECE" w:rsidP="003B4ECE"/>
    <w:p w14:paraId="625899D9" w14:textId="6C732EEE" w:rsidR="003B4ECE" w:rsidRDefault="003B4ECE" w:rsidP="003B4ECE">
      <w:r w:rsidRPr="003B4ECE">
        <w:t>Eliade, Mircea</w:t>
      </w:r>
      <w:r>
        <w:t>,</w:t>
      </w:r>
      <w:r w:rsidRPr="003B4ECE">
        <w:rPr>
          <w:i/>
        </w:rPr>
        <w:t xml:space="preserve"> </w:t>
      </w:r>
      <w:r w:rsidR="0010308E">
        <w:rPr>
          <w:i/>
        </w:rPr>
        <w:t xml:space="preserve"> </w:t>
      </w:r>
      <w:r w:rsidRPr="003B4ECE">
        <w:rPr>
          <w:i/>
        </w:rPr>
        <w:t>Cosmos and History</w:t>
      </w:r>
      <w:r w:rsidRPr="003B4ECE">
        <w:t>, Willard R. Trask, trans. (New York: Harper Torchbooks, 1959</w:t>
      </w:r>
      <w:r>
        <w:t>)</w:t>
      </w:r>
      <w:r w:rsidRPr="003B4ECE">
        <w:t>.</w:t>
      </w:r>
    </w:p>
    <w:p w14:paraId="11C3783D" w14:textId="77777777" w:rsidR="00B54A42" w:rsidRDefault="00B54A42" w:rsidP="00B54A42"/>
    <w:p w14:paraId="7E6660D5" w14:textId="63BB1669" w:rsidR="00941810" w:rsidRPr="00941810" w:rsidRDefault="00B54A42" w:rsidP="00941810">
      <w:r>
        <w:t xml:space="preserve">Eliade, Mircea, </w:t>
      </w:r>
      <w:r w:rsidRPr="003B4ECE">
        <w:rPr>
          <w:i/>
        </w:rPr>
        <w:t>The Sacred and the Profane: The Nature of Religion</w:t>
      </w:r>
      <w:r>
        <w:t xml:space="preserve"> </w:t>
      </w:r>
      <w:r w:rsidR="00C9502D">
        <w:t>(New York: Harcourt Inc., 1959)</w:t>
      </w:r>
      <w:r>
        <w:t>.</w:t>
      </w:r>
    </w:p>
    <w:p w14:paraId="389DBADF" w14:textId="77777777" w:rsidR="00941810" w:rsidRPr="00941810" w:rsidRDefault="00941810" w:rsidP="00941810">
      <w:pPr>
        <w:rPr>
          <w:lang w:val="en-US"/>
        </w:rPr>
      </w:pPr>
      <w:r w:rsidRPr="00941810">
        <w:rPr>
          <w:lang w:val="en-US"/>
        </w:rPr>
        <w:t xml:space="preserve"> </w:t>
      </w:r>
    </w:p>
    <w:p w14:paraId="1616E1A5" w14:textId="1D404974" w:rsidR="00941810" w:rsidRPr="00941810" w:rsidRDefault="00941810" w:rsidP="00941810">
      <w:pPr>
        <w:rPr>
          <w:lang w:val="en-US"/>
        </w:rPr>
      </w:pPr>
      <w:r w:rsidRPr="00941810">
        <w:rPr>
          <w:lang w:val="en-US"/>
        </w:rPr>
        <w:t>Hollis</w:t>
      </w:r>
      <w:r>
        <w:rPr>
          <w:lang w:val="en-US"/>
        </w:rPr>
        <w:t>,</w:t>
      </w:r>
      <w:r w:rsidRPr="00941810">
        <w:rPr>
          <w:lang w:val="en-US"/>
        </w:rPr>
        <w:t xml:space="preserve"> Susan Tower</w:t>
      </w:r>
      <w:r>
        <w:rPr>
          <w:lang w:val="en-US"/>
        </w:rPr>
        <w:t>, “</w:t>
      </w:r>
      <w:r w:rsidRPr="00941810">
        <w:rPr>
          <w:lang w:val="en-US"/>
        </w:rPr>
        <w:t>Women of Ancient Egypt and the Sky Goddess Nut</w:t>
      </w:r>
      <w:r>
        <w:rPr>
          <w:lang w:val="en-US"/>
        </w:rPr>
        <w:t>”</w:t>
      </w:r>
    </w:p>
    <w:p w14:paraId="1CF4D47C" w14:textId="464EA58E" w:rsidR="00941810" w:rsidRDefault="00941810" w:rsidP="00941810">
      <w:r w:rsidRPr="00941810">
        <w:rPr>
          <w:i/>
          <w:lang w:val="en-US"/>
        </w:rPr>
        <w:t>The Journal of American Folklore</w:t>
      </w:r>
      <w:r w:rsidRPr="00941810">
        <w:rPr>
          <w:lang w:val="en-US"/>
        </w:rPr>
        <w:t>, Vol. 100, No. 398, Folklore and Feminism (Oct. -Dec., 1987), pp. 496-503</w:t>
      </w:r>
      <w:r>
        <w:rPr>
          <w:lang w:val="en-US"/>
        </w:rPr>
        <w:t>.</w:t>
      </w:r>
    </w:p>
    <w:p w14:paraId="59A54F23" w14:textId="77777777" w:rsidR="00B54A42" w:rsidRDefault="00B54A42" w:rsidP="00B54A42"/>
    <w:p w14:paraId="7B4732C2" w14:textId="77777777" w:rsidR="00B54A42" w:rsidRDefault="00B54A42" w:rsidP="00B54A42">
      <w:pPr>
        <w:rPr>
          <w:lang w:val="en-US"/>
        </w:rPr>
      </w:pPr>
      <w:r>
        <w:rPr>
          <w:lang w:val="en-US"/>
        </w:rPr>
        <w:t>Lane, Belden C,</w:t>
      </w:r>
      <w:r>
        <w:rPr>
          <w:i/>
          <w:lang w:val="en-US"/>
        </w:rPr>
        <w:t xml:space="preserve"> Landscapes of the Sacred:  Geography and Narrative in American </w:t>
      </w:r>
      <w:r w:rsidRPr="00871386">
        <w:rPr>
          <w:lang w:val="en-US"/>
        </w:rPr>
        <w:t>Spirituality</w:t>
      </w:r>
      <w:r>
        <w:rPr>
          <w:lang w:val="en-US"/>
        </w:rPr>
        <w:t xml:space="preserve"> (Baltimore, MD: The John Hopkins University Press, 2002).</w:t>
      </w:r>
    </w:p>
    <w:p w14:paraId="2BF57A0C" w14:textId="77777777" w:rsidR="002E4BFF" w:rsidRDefault="002E4BFF" w:rsidP="00B54A42">
      <w:pPr>
        <w:rPr>
          <w:lang w:val="en-US"/>
        </w:rPr>
      </w:pPr>
    </w:p>
    <w:p w14:paraId="0357F402" w14:textId="0CC04A8D" w:rsidR="002E4BFF" w:rsidRPr="0010308E" w:rsidRDefault="002E4BFF" w:rsidP="00B54A42">
      <w:pPr>
        <w:rPr>
          <w:lang w:val="en-US"/>
        </w:rPr>
      </w:pPr>
      <w:r w:rsidRPr="0010308E">
        <w:t xml:space="preserve">Lupas, M, </w:t>
      </w:r>
      <w:r w:rsidR="0010308E">
        <w:t>“</w:t>
      </w:r>
      <w:r w:rsidRPr="0010308E">
        <w:t>Early Resistance to Fascism in Eugène Ionesco's Interwar Romanian Journalism</w:t>
      </w:r>
      <w:r w:rsidR="0010308E">
        <w:t>”</w:t>
      </w:r>
      <w:r w:rsidRPr="0010308E">
        <w:t xml:space="preserve"> </w:t>
      </w:r>
      <w:r w:rsidRPr="0010308E">
        <w:rPr>
          <w:i/>
        </w:rPr>
        <w:t>Journal of Modern Literature</w:t>
      </w:r>
      <w:r w:rsidRPr="0010308E">
        <w:t>, Vol. 37, No. 3 (Spring 2014), pp. 74-91.</w:t>
      </w:r>
    </w:p>
    <w:p w14:paraId="342AECAF" w14:textId="77777777" w:rsidR="00B54A42" w:rsidRDefault="00B54A42" w:rsidP="00B54A42"/>
    <w:p w14:paraId="03E510BA" w14:textId="48401D4A" w:rsidR="00B54A42" w:rsidRDefault="00B54A42" w:rsidP="00B54A42">
      <w:pPr>
        <w:rPr>
          <w:lang w:val="en-US"/>
        </w:rPr>
      </w:pPr>
      <w:r>
        <w:rPr>
          <w:lang w:val="en-US"/>
        </w:rPr>
        <w:t>Otto,</w:t>
      </w:r>
      <w:r w:rsidR="0010308E">
        <w:rPr>
          <w:lang w:val="en-US"/>
        </w:rPr>
        <w:t xml:space="preserve"> </w:t>
      </w:r>
      <w:r>
        <w:t>Rudolph</w:t>
      </w:r>
      <w:r w:rsidR="0010308E">
        <w:rPr>
          <w:lang w:val="en-US"/>
        </w:rPr>
        <w:t xml:space="preserve">, </w:t>
      </w:r>
      <w:r>
        <w:rPr>
          <w:i/>
          <w:lang w:val="en-US"/>
        </w:rPr>
        <w:t>The Idea of the Holy</w:t>
      </w:r>
      <w:r w:rsidR="0010308E">
        <w:rPr>
          <w:lang w:val="en-US"/>
        </w:rPr>
        <w:t xml:space="preserve"> (NY:OUP, </w:t>
      </w:r>
      <w:r>
        <w:rPr>
          <w:lang w:val="en-US"/>
        </w:rPr>
        <w:t>1958 [1917]).</w:t>
      </w:r>
    </w:p>
    <w:p w14:paraId="40FAFA1C" w14:textId="77777777" w:rsidR="00D83C05" w:rsidRDefault="00D83C05" w:rsidP="00B54A42">
      <w:pPr>
        <w:rPr>
          <w:lang w:val="en-US"/>
        </w:rPr>
      </w:pPr>
    </w:p>
    <w:p w14:paraId="7759DFBB" w14:textId="0E587440" w:rsidR="00D83C05" w:rsidRPr="00D04AD5" w:rsidRDefault="00D83C05" w:rsidP="00B54A42">
      <w:pPr>
        <w:rPr>
          <w:bCs/>
          <w:lang w:val="en-CA"/>
        </w:rPr>
      </w:pPr>
      <w:r>
        <w:rPr>
          <w:bCs/>
          <w:lang w:val="en-CA"/>
        </w:rPr>
        <w:t xml:space="preserve">Smith, Jonathan, Z </w:t>
      </w:r>
      <w:r w:rsidRPr="00D83C05">
        <w:rPr>
          <w:bCs/>
          <w:i/>
          <w:lang w:val="en-CA"/>
        </w:rPr>
        <w:t>Map is not Territory: Studies in the History of Religions</w:t>
      </w:r>
      <w:r w:rsidRPr="00D83C05">
        <w:rPr>
          <w:bCs/>
          <w:lang w:val="en-CA"/>
        </w:rPr>
        <w:t xml:space="preserve"> </w:t>
      </w:r>
      <w:r w:rsidR="00D04AD5">
        <w:rPr>
          <w:bCs/>
          <w:lang w:val="en-CA"/>
        </w:rPr>
        <w:t>(Chicago: University of Chigaco Press, 1993 [1978]).</w:t>
      </w:r>
    </w:p>
    <w:p w14:paraId="75734405" w14:textId="77777777" w:rsidR="00B54A42" w:rsidRDefault="00B54A42" w:rsidP="00B54A42"/>
    <w:p w14:paraId="18B80703" w14:textId="5EB06C02" w:rsidR="00B54A42" w:rsidRDefault="00B54A42" w:rsidP="00B54A42">
      <w:r w:rsidRPr="006F1522">
        <w:t xml:space="preserve">Tilley, Christopher, </w:t>
      </w:r>
      <w:r w:rsidRPr="006F1522">
        <w:rPr>
          <w:i/>
        </w:rPr>
        <w:t>A Phenomenology of Landscape</w:t>
      </w:r>
      <w:r w:rsidRPr="006F1522">
        <w:t xml:space="preserve"> (Oxford: Berg, 1994</w:t>
      </w:r>
      <w:r w:rsidR="0010308E" w:rsidRPr="006F1522">
        <w:t>)</w:t>
      </w:r>
      <w:r w:rsidRPr="006F1522">
        <w:t>.</w:t>
      </w:r>
    </w:p>
    <w:p w14:paraId="40990F34" w14:textId="77777777" w:rsidR="00B54A42" w:rsidRDefault="00B54A42" w:rsidP="00B54A42"/>
    <w:p w14:paraId="6CF51EF2" w14:textId="77777777" w:rsidR="00B54A42" w:rsidRDefault="00B54A42" w:rsidP="00B54A42"/>
    <w:p w14:paraId="12E872F0" w14:textId="77777777" w:rsidR="00B54A42" w:rsidRPr="009078D5" w:rsidRDefault="00B54A42" w:rsidP="00B54A42"/>
    <w:p w14:paraId="449A5F56" w14:textId="77777777" w:rsidR="009078D5" w:rsidRDefault="009078D5" w:rsidP="006E09E3">
      <w:pPr>
        <w:spacing w:line="480" w:lineRule="auto"/>
      </w:pPr>
    </w:p>
    <w:p w14:paraId="4C4DA081" w14:textId="77777777" w:rsidR="0039702D" w:rsidRDefault="0039702D" w:rsidP="006E09E3">
      <w:pPr>
        <w:spacing w:line="480" w:lineRule="auto"/>
      </w:pPr>
    </w:p>
    <w:p w14:paraId="710EC6C6" w14:textId="77777777" w:rsidR="00150B40" w:rsidRDefault="00150B40" w:rsidP="006E09E3">
      <w:pPr>
        <w:spacing w:line="480" w:lineRule="auto"/>
      </w:pPr>
    </w:p>
    <w:p w14:paraId="3446CE85" w14:textId="77777777" w:rsidR="00150B40" w:rsidRDefault="00150B40" w:rsidP="006E09E3">
      <w:pPr>
        <w:spacing w:line="480" w:lineRule="auto"/>
      </w:pPr>
    </w:p>
    <w:p w14:paraId="41AB4B6E" w14:textId="77777777" w:rsidR="00F47C30" w:rsidRDefault="00F47C30" w:rsidP="006E09E3">
      <w:pPr>
        <w:spacing w:line="480" w:lineRule="auto"/>
      </w:pPr>
    </w:p>
    <w:p w14:paraId="124FC0DF" w14:textId="77777777" w:rsidR="00402D66" w:rsidRPr="006935C7" w:rsidRDefault="00402D66" w:rsidP="006E09E3">
      <w:pPr>
        <w:spacing w:line="480" w:lineRule="auto"/>
      </w:pPr>
    </w:p>
    <w:p w14:paraId="0D56972E" w14:textId="77777777" w:rsidR="006935C7" w:rsidRPr="006935C7" w:rsidRDefault="006935C7" w:rsidP="006E09E3">
      <w:pPr>
        <w:spacing w:line="480" w:lineRule="auto"/>
      </w:pPr>
    </w:p>
    <w:p w14:paraId="5223826B" w14:textId="77777777" w:rsidR="00D24CAC" w:rsidRPr="00914EEE" w:rsidRDefault="00D24CAC" w:rsidP="006E09E3">
      <w:pPr>
        <w:spacing w:line="480" w:lineRule="auto"/>
      </w:pPr>
    </w:p>
    <w:p w14:paraId="009DB8D1" w14:textId="77777777" w:rsidR="00FF5A29" w:rsidRDefault="00FF5A29" w:rsidP="003571AA"/>
    <w:p w14:paraId="588A11DA" w14:textId="77777777" w:rsidR="003571AA" w:rsidRDefault="003571AA" w:rsidP="003571AA"/>
    <w:p w14:paraId="750A6F93" w14:textId="77777777" w:rsidR="003F50DD" w:rsidRDefault="003F50DD" w:rsidP="003F50DD"/>
    <w:p w14:paraId="361A343A" w14:textId="77777777" w:rsidR="00540FB4" w:rsidRDefault="00540FB4" w:rsidP="00587FE6"/>
    <w:p w14:paraId="77C8D54E" w14:textId="77777777" w:rsidR="003F50DD" w:rsidRDefault="003F50DD" w:rsidP="00587FE6"/>
    <w:p w14:paraId="73F9DA3C" w14:textId="77777777" w:rsidR="00587FE6" w:rsidRDefault="00587FE6" w:rsidP="00587FE6"/>
    <w:p w14:paraId="63825624" w14:textId="77777777" w:rsidR="00587FE6" w:rsidRDefault="00587FE6" w:rsidP="00587FE6"/>
    <w:sectPr w:rsidR="00587FE6" w:rsidSect="00483B7A">
      <w:head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BCE41" w14:textId="77777777" w:rsidR="00457681" w:rsidRDefault="00457681" w:rsidP="006E45D4">
      <w:r>
        <w:separator/>
      </w:r>
    </w:p>
  </w:endnote>
  <w:endnote w:type="continuationSeparator" w:id="0">
    <w:p w14:paraId="65B8DC02" w14:textId="77777777" w:rsidR="00457681" w:rsidRDefault="00457681" w:rsidP="006E4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F8FA3" w14:textId="77777777" w:rsidR="00457681" w:rsidRDefault="00457681" w:rsidP="006E45D4">
      <w:r>
        <w:separator/>
      </w:r>
    </w:p>
  </w:footnote>
  <w:footnote w:type="continuationSeparator" w:id="0">
    <w:p w14:paraId="36B3F0C5" w14:textId="77777777" w:rsidR="00457681" w:rsidRDefault="00457681" w:rsidP="006E45D4">
      <w:r>
        <w:continuationSeparator/>
      </w:r>
    </w:p>
  </w:footnote>
  <w:footnote w:id="1">
    <w:p w14:paraId="024F73A2" w14:textId="47D5E9F8" w:rsidR="00457681" w:rsidRPr="006E45D4" w:rsidRDefault="00457681" w:rsidP="002A1EFE">
      <w:pPr>
        <w:rPr>
          <w:lang w:val="en-US"/>
        </w:rPr>
      </w:pPr>
      <w:r>
        <w:rPr>
          <w:rStyle w:val="FootnoteReference"/>
        </w:rPr>
        <w:footnoteRef/>
      </w:r>
      <w:r>
        <w:t xml:space="preserve"> Rudolph</w:t>
      </w:r>
      <w:r>
        <w:rPr>
          <w:lang w:val="en-US"/>
        </w:rPr>
        <w:t xml:space="preserve"> Otto,</w:t>
      </w:r>
      <w:r w:rsidRPr="00A05A22">
        <w:t xml:space="preserve"> </w:t>
      </w:r>
      <w:r>
        <w:rPr>
          <w:i/>
          <w:lang w:val="en-US"/>
        </w:rPr>
        <w:t>The Idea of the Holy</w:t>
      </w:r>
      <w:r>
        <w:rPr>
          <w:lang w:val="en-US"/>
        </w:rPr>
        <w:t xml:space="preserve"> (NY:OUP, 1958 [1917]), pp. 1-5.</w:t>
      </w:r>
    </w:p>
  </w:footnote>
  <w:footnote w:id="2">
    <w:p w14:paraId="65B2835A" w14:textId="6996EE1D" w:rsidR="00457681" w:rsidRPr="006E45D4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Emile Durkheim, </w:t>
      </w:r>
      <w:r w:rsidRPr="003B4ECE">
        <w:rPr>
          <w:i/>
        </w:rPr>
        <w:t>The Elementary Forms of Religious Life</w:t>
      </w:r>
      <w:r>
        <w:t xml:space="preserve"> (originally published as </w:t>
      </w:r>
      <w:r w:rsidRPr="003B4ECE">
        <w:rPr>
          <w:i/>
        </w:rPr>
        <w:t>Les Formes élémentaires de la vie religieuse</w:t>
      </w:r>
      <w:r>
        <w:t xml:space="preserve"> (Paris, France: Alcan, 1912)), translated by Karen Fields (New York: The Free Press, 1995), chapter 1.</w:t>
      </w:r>
    </w:p>
  </w:footnote>
  <w:footnote w:id="3">
    <w:p w14:paraId="054AB5D8" w14:textId="2EF45772" w:rsidR="00457681" w:rsidRPr="00EA6770" w:rsidRDefault="00457681" w:rsidP="002A1EFE">
      <w:pPr>
        <w:rPr>
          <w:lang w:val="en-US"/>
        </w:rPr>
      </w:pPr>
      <w:r>
        <w:rPr>
          <w:rStyle w:val="FootnoteReference"/>
        </w:rPr>
        <w:footnoteRef/>
      </w:r>
      <w:r>
        <w:t xml:space="preserve"> Mircea Eliade, </w:t>
      </w:r>
      <w:r w:rsidRPr="003B4ECE">
        <w:rPr>
          <w:i/>
        </w:rPr>
        <w:t>The Sacred and the Profane: The Nature of Religion</w:t>
      </w:r>
      <w:r>
        <w:t xml:space="preserve"> (New York: Harcourt Inc., 1959)</w:t>
      </w:r>
      <w:r>
        <w:rPr>
          <w:lang w:val="en-US"/>
        </w:rPr>
        <w:t>, p. 26.</w:t>
      </w:r>
    </w:p>
  </w:footnote>
  <w:footnote w:id="4">
    <w:p w14:paraId="24EB068F" w14:textId="07ADBB3A" w:rsidR="00457681" w:rsidRPr="006F1522" w:rsidRDefault="00457681">
      <w:pPr>
        <w:pStyle w:val="FootnoteText"/>
      </w:pPr>
      <w:r>
        <w:rPr>
          <w:rStyle w:val="FootnoteReference"/>
        </w:rPr>
        <w:footnoteRef/>
      </w:r>
      <w:r>
        <w:t xml:space="preserve"> Eliade, </w:t>
      </w:r>
      <w:r>
        <w:rPr>
          <w:i/>
        </w:rPr>
        <w:t>Sacred/</w:t>
      </w:r>
      <w:r w:rsidRPr="00402D66">
        <w:rPr>
          <w:i/>
        </w:rPr>
        <w:t>Profane</w:t>
      </w:r>
      <w:r>
        <w:t xml:space="preserve">, </w:t>
      </w:r>
      <w:r w:rsidRPr="00402D66">
        <w:t>p</w:t>
      </w:r>
      <w:r>
        <w:t>. 26.</w:t>
      </w:r>
    </w:p>
  </w:footnote>
  <w:footnote w:id="5">
    <w:p w14:paraId="0C4EC04C" w14:textId="62EA56AB" w:rsidR="00457681" w:rsidRPr="007248D8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 w:rsidRPr="006F1522">
        <w:t>, p. 68.</w:t>
      </w:r>
    </w:p>
  </w:footnote>
  <w:footnote w:id="6">
    <w:p w14:paraId="5ADC7106" w14:textId="399AA745" w:rsidR="00457681" w:rsidRPr="007248D8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t>, p. 75.</w:t>
      </w:r>
    </w:p>
  </w:footnote>
  <w:footnote w:id="7">
    <w:p w14:paraId="013376BC" w14:textId="32B55698" w:rsidR="00457681" w:rsidRPr="000D0BFB" w:rsidRDefault="00457681" w:rsidP="000D0BFB">
      <w:r>
        <w:rPr>
          <w:rStyle w:val="FootnoteReference"/>
        </w:rPr>
        <w:footnoteRef/>
      </w:r>
      <w:r>
        <w:t xml:space="preserve"> Douglas Allen, “</w:t>
      </w:r>
      <w:r w:rsidRPr="000D0BFB">
        <w:t>Mircea Eliade</w:t>
      </w:r>
      <w:r>
        <w:rPr>
          <w:i/>
        </w:rPr>
        <w:t>”</w:t>
      </w:r>
      <w:r>
        <w:t xml:space="preserve"> at </w:t>
      </w:r>
      <w:r>
        <w:rPr>
          <w:i/>
        </w:rPr>
        <w:t>Encyclopaedia Britannica</w:t>
      </w:r>
      <w:r>
        <w:t xml:space="preserve"> </w:t>
      </w:r>
    </w:p>
    <w:p w14:paraId="6A29D2B0" w14:textId="71C7E3DA" w:rsidR="00457681" w:rsidRPr="003B4ECE" w:rsidRDefault="00457681" w:rsidP="003B4ECE">
      <w:hyperlink r:id="rId1" w:history="1">
        <w:r w:rsidRPr="00BF3D5F">
          <w:rPr>
            <w:rStyle w:val="Hyperlink"/>
          </w:rPr>
          <w:t>https://www.britannica.com/biography/Mircea-Eliade</w:t>
        </w:r>
      </w:hyperlink>
      <w:r>
        <w:rPr>
          <w:lang w:val="en-US"/>
        </w:rPr>
        <w:t xml:space="preserve">; </w:t>
      </w:r>
      <w:r>
        <w:t xml:space="preserve">Guilford Dudley III, “Mircea Eliade as the "Anti-Historian" of Religions” </w:t>
      </w:r>
      <w:r w:rsidRPr="003B4ECE">
        <w:rPr>
          <w:i/>
        </w:rPr>
        <w:t>Journal of the American Academy of Religion</w:t>
      </w:r>
      <w:r>
        <w:t>, Vol. 44, No. 2 (Jun., 1976), p. 345.</w:t>
      </w:r>
    </w:p>
  </w:footnote>
  <w:footnote w:id="8">
    <w:p w14:paraId="05EA41AC" w14:textId="5BC8EEC9" w:rsidR="00457681" w:rsidRPr="00FE7620" w:rsidRDefault="00457681">
      <w:pPr>
        <w:pStyle w:val="FootnoteText"/>
        <w:rPr>
          <w:i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B4ECE">
        <w:t xml:space="preserve">Mircea Eliade, </w:t>
      </w:r>
      <w:r w:rsidRPr="003B4ECE">
        <w:rPr>
          <w:i/>
        </w:rPr>
        <w:t>Cosmos and History</w:t>
      </w:r>
      <w:r w:rsidRPr="003B4ECE">
        <w:t>, Willard R. Trask, trans. (New York: Harper Torchbooks, 1959), p. 3.</w:t>
      </w:r>
    </w:p>
  </w:footnote>
  <w:footnote w:id="9">
    <w:p w14:paraId="7725B101" w14:textId="18B39448" w:rsidR="00457681" w:rsidRPr="00A617A4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Dudley, </w:t>
      </w:r>
      <w:r>
        <w:rPr>
          <w:i/>
          <w:lang w:val="en-US"/>
        </w:rPr>
        <w:t>Anti-Historian</w:t>
      </w:r>
      <w:r>
        <w:rPr>
          <w:lang w:val="en-US"/>
        </w:rPr>
        <w:t xml:space="preserve">, p.346; </w:t>
      </w:r>
      <w:r w:rsidRPr="0010308E">
        <w:rPr>
          <w:lang w:val="en-US"/>
        </w:rPr>
        <w:t xml:space="preserve">Robert D. Baird, </w:t>
      </w:r>
      <w:r w:rsidRPr="0010308E">
        <w:rPr>
          <w:i/>
          <w:lang w:val="en-US"/>
        </w:rPr>
        <w:t xml:space="preserve">Category Formation and the History of Religions </w:t>
      </w:r>
      <w:r w:rsidRPr="0010308E">
        <w:rPr>
          <w:lang w:val="en-US"/>
        </w:rPr>
        <w:t>(The Hague: Mouton and Co., 1971), p. 153.</w:t>
      </w:r>
    </w:p>
  </w:footnote>
  <w:footnote w:id="10">
    <w:p w14:paraId="5011F023" w14:textId="2C62B902" w:rsidR="00457681" w:rsidRPr="00A617A4" w:rsidRDefault="00457681" w:rsidP="002E4BFF">
      <w:pPr>
        <w:rPr>
          <w:lang w:val="en-US"/>
        </w:rPr>
      </w:pPr>
      <w:r>
        <w:rPr>
          <w:rStyle w:val="FootnoteReference"/>
        </w:rPr>
        <w:footnoteRef/>
      </w:r>
      <w:r>
        <w:t xml:space="preserve"> Maria Lupas</w:t>
      </w:r>
      <w:r w:rsidRPr="002E4BFF">
        <w:t xml:space="preserve">, Early Resistance to Fascism in Eugène Ionesco's Interwar Romanian Journalism </w:t>
      </w:r>
      <w:r w:rsidRPr="002E4BFF">
        <w:rPr>
          <w:i/>
        </w:rPr>
        <w:t>Journal of Modern Literature</w:t>
      </w:r>
      <w:r w:rsidRPr="002E4BFF">
        <w:t xml:space="preserve">, Vol. </w:t>
      </w:r>
      <w:r>
        <w:t>37, No. 3 (Spring 2014), pp. 78-79</w:t>
      </w:r>
      <w:r w:rsidRPr="002E4BFF">
        <w:t>.</w:t>
      </w:r>
    </w:p>
  </w:footnote>
  <w:footnote w:id="11">
    <w:p w14:paraId="065B3032" w14:textId="7001CEDC" w:rsidR="00457681" w:rsidRPr="00D24CAC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 xml:space="preserve"> </w:t>
      </w:r>
      <w:r w:rsidRPr="00A92873">
        <w:rPr>
          <w:lang w:val="en-US"/>
        </w:rPr>
        <w:t>p. 15.</w:t>
      </w:r>
    </w:p>
  </w:footnote>
  <w:footnote w:id="12">
    <w:p w14:paraId="71F0C7E1" w14:textId="16BA460B" w:rsidR="00457681" w:rsidRPr="00EC06B1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i/>
          <w:lang w:val="en-US"/>
        </w:rPr>
        <w:t xml:space="preserve">, </w:t>
      </w:r>
      <w:r>
        <w:rPr>
          <w:lang w:val="en-US"/>
        </w:rPr>
        <w:t>p33; p.36.</w:t>
      </w:r>
    </w:p>
  </w:footnote>
  <w:footnote w:id="13">
    <w:p w14:paraId="7EC341A7" w14:textId="0C5E0EE6" w:rsidR="00457681" w:rsidRPr="00EC06B1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>, Intro.</w:t>
      </w:r>
    </w:p>
  </w:footnote>
  <w:footnote w:id="14">
    <w:p w14:paraId="7802A1C5" w14:textId="4D173A3B" w:rsidR="00457681" w:rsidRPr="00D24CAC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>, p.16</w:t>
      </w:r>
    </w:p>
  </w:footnote>
  <w:footnote w:id="15">
    <w:p w14:paraId="56A70F0A" w14:textId="6E05D2B9" w:rsidR="00457681" w:rsidRPr="00D24CAC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Otto, </w:t>
      </w:r>
      <w:r w:rsidRPr="002E4BFF">
        <w:rPr>
          <w:i/>
          <w:lang w:val="en-US"/>
        </w:rPr>
        <w:t>Holy</w:t>
      </w:r>
      <w:r>
        <w:rPr>
          <w:lang w:val="en-US"/>
        </w:rPr>
        <w:t>, p.1</w:t>
      </w:r>
    </w:p>
  </w:footnote>
  <w:footnote w:id="16">
    <w:p w14:paraId="22869405" w14:textId="5B807461" w:rsidR="00457681" w:rsidRPr="006E09E3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Otto, </w:t>
      </w:r>
      <w:r w:rsidRPr="002E4BFF">
        <w:rPr>
          <w:i/>
          <w:lang w:val="en-US"/>
        </w:rPr>
        <w:t>Holy</w:t>
      </w:r>
      <w:r>
        <w:rPr>
          <w:lang w:val="en-US"/>
        </w:rPr>
        <w:t xml:space="preserve">, </w:t>
      </w:r>
      <w:r w:rsidRPr="002E4BFF">
        <w:rPr>
          <w:lang w:val="en-US"/>
        </w:rPr>
        <w:t>p</w:t>
      </w:r>
      <w:r>
        <w:rPr>
          <w:lang w:val="en-US"/>
        </w:rPr>
        <w:t xml:space="preserve">.5; Eliade, </w:t>
      </w:r>
      <w:r>
        <w:rPr>
          <w:i/>
        </w:rPr>
        <w:t>Sacred/</w:t>
      </w:r>
      <w:r w:rsidRPr="00402D66">
        <w:rPr>
          <w:i/>
        </w:rPr>
        <w:t>Profane</w:t>
      </w:r>
      <w:r>
        <w:t>,</w:t>
      </w:r>
      <w:r>
        <w:rPr>
          <w:lang w:val="en-US"/>
        </w:rPr>
        <w:t xml:space="preserve"> p.9.</w:t>
      </w:r>
    </w:p>
  </w:footnote>
  <w:footnote w:id="17">
    <w:p w14:paraId="3FA0B117" w14:textId="70D19123" w:rsidR="00457681" w:rsidRPr="006935C7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>, p. 9</w:t>
      </w:r>
    </w:p>
  </w:footnote>
  <w:footnote w:id="18">
    <w:p w14:paraId="49B6E4B5" w14:textId="32B9CCE6" w:rsidR="00457681" w:rsidRPr="006935C7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>, p. 11</w:t>
      </w:r>
    </w:p>
  </w:footnote>
  <w:footnote w:id="19">
    <w:p w14:paraId="444D6C71" w14:textId="0398A3FF" w:rsidR="00457681" w:rsidRPr="00F407D6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12.</w:t>
      </w:r>
    </w:p>
  </w:footnote>
  <w:footnote w:id="20">
    <w:p w14:paraId="28982E74" w14:textId="493DC20E" w:rsidR="00457681" w:rsidRPr="006935C7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>, p. 12.</w:t>
      </w:r>
    </w:p>
  </w:footnote>
  <w:footnote w:id="21">
    <w:p w14:paraId="74DA8799" w14:textId="0491604C" w:rsidR="00457681" w:rsidRPr="00402D66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lang w:val="en-US"/>
        </w:rPr>
        <w:t>, p. 15.</w:t>
      </w:r>
    </w:p>
  </w:footnote>
  <w:footnote w:id="22">
    <w:p w14:paraId="213AFCDA" w14:textId="70EB79B6" w:rsidR="00457681" w:rsidRPr="00F96EB8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rPr>
          <w:i/>
        </w:rPr>
        <w:t xml:space="preserve">, </w:t>
      </w:r>
      <w:r>
        <w:t xml:space="preserve">p. 20. </w:t>
      </w:r>
    </w:p>
  </w:footnote>
  <w:footnote w:id="23">
    <w:p w14:paraId="2810CE77" w14:textId="3666B186" w:rsidR="00457681" w:rsidRPr="00F96EB8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</w:rPr>
        <w:t>Sacred/</w:t>
      </w:r>
      <w:r w:rsidRPr="00402D66">
        <w:rPr>
          <w:i/>
        </w:rPr>
        <w:t>Profane</w:t>
      </w:r>
      <w:r>
        <w:t>, p. 21.</w:t>
      </w:r>
    </w:p>
  </w:footnote>
  <w:footnote w:id="24">
    <w:p w14:paraId="3432F02E" w14:textId="31518A00" w:rsidR="00457681" w:rsidRPr="0094111D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22.</w:t>
      </w:r>
    </w:p>
  </w:footnote>
  <w:footnote w:id="25">
    <w:p w14:paraId="08AC1E56" w14:textId="77777777" w:rsidR="00457681" w:rsidRPr="0094111D" w:rsidRDefault="00457681" w:rsidP="0094111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25.</w:t>
      </w:r>
    </w:p>
  </w:footnote>
  <w:footnote w:id="26">
    <w:p w14:paraId="30967762" w14:textId="189CDACD" w:rsidR="00457681" w:rsidRPr="00452B07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27.</w:t>
      </w:r>
    </w:p>
  </w:footnote>
  <w:footnote w:id="27">
    <w:p w14:paraId="0333A17F" w14:textId="061E5D81" w:rsidR="00457681" w:rsidRPr="00452B07" w:rsidRDefault="00457681">
      <w:pPr>
        <w:pStyle w:val="FootnoteText"/>
        <w:rPr>
          <w:i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pp. 29-30.</w:t>
      </w:r>
    </w:p>
  </w:footnote>
  <w:footnote w:id="28">
    <w:p w14:paraId="5A213EA9" w14:textId="0A0FFB49" w:rsidR="00457681" w:rsidRPr="00707B7C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pp. 63-65.</w:t>
      </w:r>
    </w:p>
  </w:footnote>
  <w:footnote w:id="29">
    <w:p w14:paraId="3B60921D" w14:textId="6E46C75A" w:rsidR="00457681" w:rsidRPr="00EF497A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68.</w:t>
      </w:r>
    </w:p>
  </w:footnote>
  <w:footnote w:id="30">
    <w:p w14:paraId="2226026F" w14:textId="06E8042B" w:rsidR="00457681" w:rsidRPr="00EF497A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pp. 68-69.</w:t>
      </w:r>
    </w:p>
  </w:footnote>
  <w:footnote w:id="31">
    <w:p w14:paraId="482A6DB1" w14:textId="66DC419B" w:rsidR="00457681" w:rsidRPr="00F47C30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104.</w:t>
      </w:r>
    </w:p>
  </w:footnote>
  <w:footnote w:id="32">
    <w:p w14:paraId="07FE4AF3" w14:textId="3A7A7D91" w:rsidR="00457681" w:rsidRPr="00524F9B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 xml:space="preserve">, </w:t>
      </w:r>
      <w:r w:rsidRPr="009B756C">
        <w:rPr>
          <w:lang w:val="en-US"/>
        </w:rPr>
        <w:t>p. 105.</w:t>
      </w:r>
    </w:p>
  </w:footnote>
  <w:footnote w:id="33">
    <w:p w14:paraId="1FC819AE" w14:textId="2ACDC8D4" w:rsidR="00457681" w:rsidRPr="00DA4B12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pp. 108.</w:t>
      </w:r>
    </w:p>
  </w:footnote>
  <w:footnote w:id="34">
    <w:p w14:paraId="2BD25087" w14:textId="7AFB6DE2" w:rsidR="00457681" w:rsidRPr="00DA4B12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Eliade, </w:t>
      </w:r>
      <w:r>
        <w:rPr>
          <w:i/>
        </w:rPr>
        <w:t>Sacred/Profane</w:t>
      </w:r>
      <w:r>
        <w:t>, pp</w:t>
      </w:r>
      <w:r w:rsidRPr="009B756C">
        <w:t>. 110-111.</w:t>
      </w:r>
    </w:p>
  </w:footnote>
  <w:footnote w:id="35">
    <w:p w14:paraId="5A3894FE" w14:textId="5F787638" w:rsidR="00457681" w:rsidRPr="009313D7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117.</w:t>
      </w:r>
    </w:p>
  </w:footnote>
  <w:footnote w:id="36">
    <w:p w14:paraId="231050E7" w14:textId="2EFADC96" w:rsidR="00457681" w:rsidRPr="0039702D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pp. 118-147.</w:t>
      </w:r>
    </w:p>
  </w:footnote>
  <w:footnote w:id="37">
    <w:p w14:paraId="69C60A0F" w14:textId="27B6AAD0" w:rsidR="00457681" w:rsidRPr="0039702D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pp. 162-164.</w:t>
      </w:r>
    </w:p>
  </w:footnote>
  <w:footnote w:id="38">
    <w:p w14:paraId="78AEDD5E" w14:textId="1C436831" w:rsidR="00457681" w:rsidRPr="00724FB0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Eliade, </w:t>
      </w:r>
      <w:r>
        <w:rPr>
          <w:i/>
          <w:lang w:val="en-US"/>
        </w:rPr>
        <w:t>Sacred/Profane</w:t>
      </w:r>
      <w:r>
        <w:rPr>
          <w:lang w:val="en-US"/>
        </w:rPr>
        <w:t>, p. 167.</w:t>
      </w:r>
    </w:p>
  </w:footnote>
  <w:footnote w:id="39">
    <w:p w14:paraId="25D1D9BF" w14:textId="6C70DE7D" w:rsidR="00457681" w:rsidRPr="00022E4A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Eliade, </w:t>
      </w:r>
      <w:r>
        <w:rPr>
          <w:i/>
          <w:lang w:val="en-US"/>
        </w:rPr>
        <w:t>Sacred/Profane</w:t>
      </w:r>
      <w:r>
        <w:rPr>
          <w:lang w:val="en-US"/>
        </w:rPr>
        <w:t>, p. 209.</w:t>
      </w:r>
    </w:p>
  </w:footnote>
  <w:footnote w:id="40">
    <w:p w14:paraId="4E312A07" w14:textId="77777777" w:rsidR="00457681" w:rsidRPr="00941810" w:rsidRDefault="00457681" w:rsidP="00941810">
      <w:pPr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41810">
        <w:rPr>
          <w:lang w:val="en-US"/>
        </w:rPr>
        <w:t>Susan Tower Hollis</w:t>
      </w:r>
      <w:r>
        <w:rPr>
          <w:lang w:val="en-US"/>
        </w:rPr>
        <w:t>, “</w:t>
      </w:r>
      <w:r w:rsidRPr="00941810">
        <w:rPr>
          <w:lang w:val="en-US"/>
        </w:rPr>
        <w:t>Women of Ancient Egypt and the Sky Goddess Nut</w:t>
      </w:r>
      <w:r>
        <w:rPr>
          <w:lang w:val="en-US"/>
        </w:rPr>
        <w:t>”</w:t>
      </w:r>
    </w:p>
    <w:p w14:paraId="27CF1897" w14:textId="08970A5E" w:rsidR="00457681" w:rsidRPr="00C5781F" w:rsidRDefault="00457681" w:rsidP="00941810">
      <w:pPr>
        <w:pStyle w:val="FootnoteText"/>
        <w:rPr>
          <w:lang w:val="en-US"/>
        </w:rPr>
      </w:pPr>
      <w:r w:rsidRPr="00941810">
        <w:rPr>
          <w:i/>
          <w:lang w:val="en-US"/>
        </w:rPr>
        <w:t>The Journal of American Folklore</w:t>
      </w:r>
      <w:r w:rsidRPr="00941810">
        <w:rPr>
          <w:lang w:val="en-US"/>
        </w:rPr>
        <w:t>, Vol. 100, No. 398, Folklore and Feminism (Oct. -Dec., 1987),</w:t>
      </w:r>
      <w:r>
        <w:rPr>
          <w:lang w:val="en-US"/>
        </w:rPr>
        <w:t xml:space="preserve"> p.496.</w:t>
      </w:r>
    </w:p>
  </w:footnote>
  <w:footnote w:id="41">
    <w:p w14:paraId="7C1F17FE" w14:textId="7F6ACB2C" w:rsidR="00457681" w:rsidRPr="009078D5" w:rsidRDefault="004576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Eliade, </w:t>
      </w:r>
      <w:r>
        <w:rPr>
          <w:i/>
        </w:rPr>
        <w:t>Sacred/Profane</w:t>
      </w:r>
      <w:r>
        <w:t>, p. 145, footnote 27.</w:t>
      </w:r>
    </w:p>
  </w:footnote>
  <w:footnote w:id="42">
    <w:p w14:paraId="28FF1221" w14:textId="5663D9EF" w:rsidR="00457681" w:rsidRPr="00D04AD5" w:rsidRDefault="00457681" w:rsidP="00D04AD5">
      <w:pPr>
        <w:rPr>
          <w:bCs/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bCs/>
          <w:lang w:val="en-CA"/>
        </w:rPr>
        <w:t xml:space="preserve">Jonathan Z Smith, </w:t>
      </w:r>
      <w:r w:rsidRPr="00D83C05">
        <w:rPr>
          <w:bCs/>
          <w:i/>
          <w:lang w:val="en-CA"/>
        </w:rPr>
        <w:t>Map is not Territory: Studies in the History of Religions</w:t>
      </w:r>
      <w:r w:rsidRPr="00D83C05">
        <w:rPr>
          <w:bCs/>
          <w:lang w:val="en-CA"/>
        </w:rPr>
        <w:t xml:space="preserve"> </w:t>
      </w:r>
      <w:r>
        <w:rPr>
          <w:bCs/>
          <w:lang w:val="en-CA"/>
        </w:rPr>
        <w:t>(Chicago: University of Chigaco Press, 1993 [1978]), p.308.</w:t>
      </w:r>
    </w:p>
  </w:footnote>
  <w:footnote w:id="43">
    <w:p w14:paraId="40D0493A" w14:textId="3E1D15C8" w:rsidR="00457681" w:rsidRDefault="00457681" w:rsidP="006F1522">
      <w:r>
        <w:rPr>
          <w:rStyle w:val="FootnoteReference"/>
        </w:rPr>
        <w:footnoteRef/>
      </w:r>
      <w:r>
        <w:t xml:space="preserve">  </w:t>
      </w:r>
      <w:r w:rsidRPr="0010308E">
        <w:t xml:space="preserve">Belden C Lane, </w:t>
      </w:r>
      <w:r w:rsidRPr="0010308E">
        <w:rPr>
          <w:i/>
        </w:rPr>
        <w:t>Landscapes of the Sacred:  Geography and Narrative in American Spirituality</w:t>
      </w:r>
      <w:r w:rsidRPr="0010308E">
        <w:t xml:space="preserve"> (Baltimore, MD: The John </w:t>
      </w:r>
      <w:r>
        <w:t xml:space="preserve">Hopkins University Press, 2002), </w:t>
      </w:r>
      <w:r w:rsidRPr="006F1522">
        <w:t>p.19;</w:t>
      </w:r>
      <w:r>
        <w:t xml:space="preserve"> </w:t>
      </w:r>
      <w:r w:rsidRPr="006F1522">
        <w:t xml:space="preserve">Christopher </w:t>
      </w:r>
      <w:r>
        <w:t>Tilley,</w:t>
      </w:r>
      <w:r w:rsidRPr="006F1522">
        <w:t xml:space="preserve"> </w:t>
      </w:r>
      <w:r w:rsidRPr="006F1522">
        <w:rPr>
          <w:i/>
        </w:rPr>
        <w:t>A Phenomenology of Landscape</w:t>
      </w:r>
      <w:r w:rsidRPr="006F1522">
        <w:t xml:space="preserve"> (Oxford: Berg, 1994)</w:t>
      </w:r>
      <w:r>
        <w:t>, p.17</w:t>
      </w:r>
      <w:r w:rsidRPr="006F1522">
        <w:t>.</w:t>
      </w:r>
    </w:p>
    <w:p w14:paraId="08640B2F" w14:textId="3B1C1EA4" w:rsidR="00457681" w:rsidRPr="00C30D58" w:rsidRDefault="00457681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0508A" w14:textId="400AF3C4" w:rsidR="00EB53CF" w:rsidRDefault="00EB53CF">
    <w:pPr>
      <w:pStyle w:val="Header"/>
    </w:pPr>
    <w:r>
      <w:t xml:space="preserve">Gabrielle Mooney 1905543    </w:t>
    </w:r>
    <w:r>
      <w:tab/>
    </w:r>
    <w:r>
      <w:tab/>
    </w:r>
    <w:r>
      <w:rPr>
        <w:rFonts w:ascii="Times New Roman" w:hAnsi="Times New Roman" w:cs="Times New Roman"/>
        <w:lang w:val="en-US"/>
      </w:rPr>
      <w:t xml:space="preserve">Page </w:t>
    </w:r>
    <w:r>
      <w:rPr>
        <w:rFonts w:ascii="Times New Roman" w:hAnsi="Times New Roman" w:cs="Times New Roman"/>
        <w:lang w:val="en-US"/>
      </w:rPr>
      <w:fldChar w:fldCharType="begin"/>
    </w:r>
    <w:r>
      <w:rPr>
        <w:rFonts w:ascii="Times New Roman" w:hAnsi="Times New Roman" w:cs="Times New Roman"/>
        <w:lang w:val="en-US"/>
      </w:rPr>
      <w:instrText xml:space="preserve"> PAGE </w:instrText>
    </w:r>
    <w:r>
      <w:rPr>
        <w:rFonts w:ascii="Times New Roman" w:hAnsi="Times New Roman" w:cs="Times New Roman"/>
        <w:lang w:val="en-US"/>
      </w:rPr>
      <w:fldChar w:fldCharType="separate"/>
    </w:r>
    <w:r>
      <w:rPr>
        <w:rFonts w:ascii="Times New Roman" w:hAnsi="Times New Roman" w:cs="Times New Roman"/>
        <w:noProof/>
        <w:lang w:val="en-US"/>
      </w:rPr>
      <w:t>1</w:t>
    </w:r>
    <w:r>
      <w:rPr>
        <w:rFonts w:ascii="Times New Roman" w:hAnsi="Times New Roman" w:cs="Times New Roman"/>
        <w:lang w:val="en-US"/>
      </w:rPr>
      <w:fldChar w:fldCharType="end"/>
    </w:r>
    <w:r>
      <w:rPr>
        <w:rFonts w:ascii="Times New Roman" w:hAnsi="Times New Roman" w:cs="Times New Roman"/>
        <w:lang w:val="en-US"/>
      </w:rPr>
      <w:t xml:space="preserve"> of </w:t>
    </w:r>
    <w:r>
      <w:rPr>
        <w:rFonts w:ascii="Times New Roman" w:hAnsi="Times New Roman" w:cs="Times New Roman"/>
        <w:lang w:val="en-US"/>
      </w:rPr>
      <w:fldChar w:fldCharType="begin"/>
    </w:r>
    <w:r>
      <w:rPr>
        <w:rFonts w:ascii="Times New Roman" w:hAnsi="Times New Roman" w:cs="Times New Roman"/>
        <w:lang w:val="en-US"/>
      </w:rPr>
      <w:instrText xml:space="preserve"> NUMPAGES </w:instrText>
    </w:r>
    <w:r>
      <w:rPr>
        <w:rFonts w:ascii="Times New Roman" w:hAnsi="Times New Roman" w:cs="Times New Roman"/>
        <w:lang w:val="en-US"/>
      </w:rPr>
      <w:fldChar w:fldCharType="separate"/>
    </w:r>
    <w:r>
      <w:rPr>
        <w:rFonts w:ascii="Times New Roman" w:hAnsi="Times New Roman" w:cs="Times New Roman"/>
        <w:noProof/>
        <w:lang w:val="en-US"/>
      </w:rPr>
      <w:t>2</w:t>
    </w:r>
    <w:r>
      <w:rPr>
        <w:rFonts w:ascii="Times New Roman" w:hAnsi="Times New Roman" w:cs="Times New Roman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E5E"/>
    <w:multiLevelType w:val="hybridMultilevel"/>
    <w:tmpl w:val="0D220CCE"/>
    <w:lvl w:ilvl="0" w:tplc="8C6A339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A5749"/>
    <w:multiLevelType w:val="hybridMultilevel"/>
    <w:tmpl w:val="628CFFF8"/>
    <w:lvl w:ilvl="0" w:tplc="2230F70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66558F"/>
    <w:multiLevelType w:val="hybridMultilevel"/>
    <w:tmpl w:val="D9423D0E"/>
    <w:lvl w:ilvl="0" w:tplc="92FC7A7E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D82"/>
    <w:rsid w:val="00022E4A"/>
    <w:rsid w:val="000807FE"/>
    <w:rsid w:val="000D0BFB"/>
    <w:rsid w:val="0010308E"/>
    <w:rsid w:val="00150B40"/>
    <w:rsid w:val="001A1C56"/>
    <w:rsid w:val="001A7765"/>
    <w:rsid w:val="001F21F4"/>
    <w:rsid w:val="00231FB2"/>
    <w:rsid w:val="00261C92"/>
    <w:rsid w:val="002A1EFE"/>
    <w:rsid w:val="002E4BFF"/>
    <w:rsid w:val="00313933"/>
    <w:rsid w:val="003571AA"/>
    <w:rsid w:val="0038663A"/>
    <w:rsid w:val="0039128D"/>
    <w:rsid w:val="0039702D"/>
    <w:rsid w:val="003B4ECE"/>
    <w:rsid w:val="003F50DD"/>
    <w:rsid w:val="00402D66"/>
    <w:rsid w:val="00406130"/>
    <w:rsid w:val="00431A27"/>
    <w:rsid w:val="00452B07"/>
    <w:rsid w:val="00457681"/>
    <w:rsid w:val="00482D82"/>
    <w:rsid w:val="00483B7A"/>
    <w:rsid w:val="00524F9B"/>
    <w:rsid w:val="00540FB4"/>
    <w:rsid w:val="00561516"/>
    <w:rsid w:val="00587FE6"/>
    <w:rsid w:val="006510D4"/>
    <w:rsid w:val="006931EA"/>
    <w:rsid w:val="006935C7"/>
    <w:rsid w:val="006D225A"/>
    <w:rsid w:val="006E09E3"/>
    <w:rsid w:val="006E45D4"/>
    <w:rsid w:val="006F1522"/>
    <w:rsid w:val="00707B7C"/>
    <w:rsid w:val="00716C49"/>
    <w:rsid w:val="007248D8"/>
    <w:rsid w:val="00724FB0"/>
    <w:rsid w:val="00764FA7"/>
    <w:rsid w:val="00882842"/>
    <w:rsid w:val="008848F3"/>
    <w:rsid w:val="008E414C"/>
    <w:rsid w:val="009078D5"/>
    <w:rsid w:val="00914EEE"/>
    <w:rsid w:val="009313D7"/>
    <w:rsid w:val="0094111D"/>
    <w:rsid w:val="00941810"/>
    <w:rsid w:val="009A1B78"/>
    <w:rsid w:val="009B6637"/>
    <w:rsid w:val="009B756C"/>
    <w:rsid w:val="00A336BB"/>
    <w:rsid w:val="00A617A4"/>
    <w:rsid w:val="00A73C8D"/>
    <w:rsid w:val="00A92873"/>
    <w:rsid w:val="00AE30C0"/>
    <w:rsid w:val="00B069EC"/>
    <w:rsid w:val="00B54A42"/>
    <w:rsid w:val="00C30D58"/>
    <w:rsid w:val="00C5781F"/>
    <w:rsid w:val="00C65FD0"/>
    <w:rsid w:val="00C90386"/>
    <w:rsid w:val="00C9502D"/>
    <w:rsid w:val="00CA705B"/>
    <w:rsid w:val="00D04AD5"/>
    <w:rsid w:val="00D24CAC"/>
    <w:rsid w:val="00D724B5"/>
    <w:rsid w:val="00D83C05"/>
    <w:rsid w:val="00DA4B12"/>
    <w:rsid w:val="00E544B2"/>
    <w:rsid w:val="00EA6770"/>
    <w:rsid w:val="00EB53CF"/>
    <w:rsid w:val="00EC06B1"/>
    <w:rsid w:val="00EE4FDC"/>
    <w:rsid w:val="00EF497A"/>
    <w:rsid w:val="00F273E1"/>
    <w:rsid w:val="00F407D6"/>
    <w:rsid w:val="00F45CAB"/>
    <w:rsid w:val="00F47C30"/>
    <w:rsid w:val="00F96EB8"/>
    <w:rsid w:val="00FE7620"/>
    <w:rsid w:val="00FF24E2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2C78E2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764FA7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82D8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CA"/>
    </w:rPr>
  </w:style>
  <w:style w:type="character" w:styleId="Strong">
    <w:name w:val="Strong"/>
    <w:basedOn w:val="DefaultParagraphFont"/>
    <w:uiPriority w:val="22"/>
    <w:qFormat/>
    <w:rsid w:val="00482D82"/>
    <w:rPr>
      <w:b/>
      <w:bCs/>
    </w:rPr>
  </w:style>
  <w:style w:type="paragraph" w:styleId="ListParagraph">
    <w:name w:val="List Paragraph"/>
    <w:basedOn w:val="Normal"/>
    <w:uiPriority w:val="34"/>
    <w:qFormat/>
    <w:rsid w:val="003571A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E45D4"/>
  </w:style>
  <w:style w:type="character" w:customStyle="1" w:styleId="FootnoteTextChar">
    <w:name w:val="Footnote Text Char"/>
    <w:basedOn w:val="DefaultParagraphFont"/>
    <w:link w:val="FootnoteText"/>
    <w:uiPriority w:val="99"/>
    <w:rsid w:val="006E45D4"/>
  </w:style>
  <w:style w:type="character" w:styleId="FootnoteReference">
    <w:name w:val="footnote reference"/>
    <w:basedOn w:val="DefaultParagraphFont"/>
    <w:uiPriority w:val="99"/>
    <w:unhideWhenUsed/>
    <w:rsid w:val="006E45D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D0BFB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764FA7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F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FA7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5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3CF"/>
  </w:style>
  <w:style w:type="paragraph" w:styleId="Footer">
    <w:name w:val="footer"/>
    <w:basedOn w:val="Normal"/>
    <w:link w:val="FooterChar"/>
    <w:uiPriority w:val="99"/>
    <w:unhideWhenUsed/>
    <w:rsid w:val="00EB53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3C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764FA7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82D8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CA"/>
    </w:rPr>
  </w:style>
  <w:style w:type="character" w:styleId="Strong">
    <w:name w:val="Strong"/>
    <w:basedOn w:val="DefaultParagraphFont"/>
    <w:uiPriority w:val="22"/>
    <w:qFormat/>
    <w:rsid w:val="00482D82"/>
    <w:rPr>
      <w:b/>
      <w:bCs/>
    </w:rPr>
  </w:style>
  <w:style w:type="paragraph" w:styleId="ListParagraph">
    <w:name w:val="List Paragraph"/>
    <w:basedOn w:val="Normal"/>
    <w:uiPriority w:val="34"/>
    <w:qFormat/>
    <w:rsid w:val="003571A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E45D4"/>
  </w:style>
  <w:style w:type="character" w:customStyle="1" w:styleId="FootnoteTextChar">
    <w:name w:val="Footnote Text Char"/>
    <w:basedOn w:val="DefaultParagraphFont"/>
    <w:link w:val="FootnoteText"/>
    <w:uiPriority w:val="99"/>
    <w:rsid w:val="006E45D4"/>
  </w:style>
  <w:style w:type="character" w:styleId="FootnoteReference">
    <w:name w:val="footnote reference"/>
    <w:basedOn w:val="DefaultParagraphFont"/>
    <w:uiPriority w:val="99"/>
    <w:unhideWhenUsed/>
    <w:rsid w:val="006E45D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D0BFB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764FA7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F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FA7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5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3CF"/>
  </w:style>
  <w:style w:type="paragraph" w:styleId="Footer">
    <w:name w:val="footer"/>
    <w:basedOn w:val="Normal"/>
    <w:link w:val="FooterChar"/>
    <w:uiPriority w:val="99"/>
    <w:unhideWhenUsed/>
    <w:rsid w:val="00EB53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s://www.britannica.com/biography/Mircea-Eliade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ritannica.com/biography/Mircea-Eli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12</Pages>
  <Words>2112</Words>
  <Characters>10751</Characters>
  <Application>Microsoft Macintosh Word</Application>
  <DocSecurity>0</DocSecurity>
  <Lines>244</Lines>
  <Paragraphs>51</Paragraphs>
  <ScaleCrop>false</ScaleCrop>
  <Company/>
  <LinksUpToDate>false</LinksUpToDate>
  <CharactersWithSpaces>12812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Gabby Mooney</dc:creator>
  <cp:keywords/>
  <dc:description/>
  <cp:lastModifiedBy>Gabby Mooney</cp:lastModifiedBy>
  <cp:revision>28</cp:revision>
  <dcterms:created xsi:type="dcterms:W3CDTF">2020-01-23T13:23:00Z</dcterms:created>
  <dcterms:modified xsi:type="dcterms:W3CDTF">2020-01-24T20:28:00Z</dcterms:modified>
</cp:coreProperties>
</file>