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B4D394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51845">
              <w:rPr>
                <w:rFonts w:ascii="Times New Roman" w:hAnsi="Times New Roman" w:cs="Times New Roman"/>
                <w:b/>
                <w:color w:val="auto"/>
                <w:sz w:val="48"/>
              </w:rPr>
              <w:t>Robert Poustie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02B49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51845">
              <w:rPr>
                <w:rFonts w:ascii="Times New Roman" w:hAnsi="Times New Roman" w:cs="Times New Roman"/>
                <w:b/>
                <w:color w:val="auto"/>
                <w:sz w:val="48"/>
              </w:rPr>
              <w:t xml:space="preserve"> robpoustie@live.com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9E9FB79" w14:textId="77777777" w:rsidR="0025184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497ADFD6" w:rsidR="00F927A1" w:rsidRPr="005D3F07" w:rsidRDefault="0025184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2421759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74E5421" w14:textId="2B1E3235" w:rsidR="00AF64DF" w:rsidRDefault="00151DA6" w:rsidP="00D60CD6">
      <w:pPr>
        <w:keepNext/>
        <w:spacing w:before="240" w:after="60"/>
        <w:jc w:val="both"/>
        <w:rPr>
          <w:b/>
          <w:sz w:val="28"/>
          <w:szCs w:val="28"/>
        </w:rPr>
      </w:pPr>
      <w:r>
        <w:rPr>
          <w:b/>
          <w:sz w:val="28"/>
          <w:szCs w:val="28"/>
        </w:rPr>
        <w:lastRenderedPageBreak/>
        <w:t>Reference List</w:t>
      </w:r>
    </w:p>
    <w:p w14:paraId="4078E356" w14:textId="77777777" w:rsidR="00D60CD6" w:rsidRDefault="00D60CD6" w:rsidP="00D60CD6">
      <w:pPr>
        <w:keepNext/>
        <w:spacing w:before="240" w:after="60"/>
        <w:jc w:val="both"/>
        <w:rPr>
          <w:b/>
          <w:sz w:val="28"/>
          <w:szCs w:val="28"/>
        </w:rPr>
      </w:pPr>
    </w:p>
    <w:p w14:paraId="42FE76F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Allen, N., Butler-Cole, Heanden, A., V., Mant, P. and Ruck-Keane, A. (2024), </w:t>
      </w:r>
      <w:r w:rsidRPr="00AF64DF">
        <w:rPr>
          <w:rFonts w:eastAsia="Calibri"/>
          <w:i/>
          <w:color w:val="auto"/>
          <w:sz w:val="24"/>
          <w:szCs w:val="24"/>
          <w:lang w:eastAsia="en-US"/>
        </w:rPr>
        <w:t>39 Essex Chambers. Using Inherent Jurisdiction in relation to adults</w:t>
      </w:r>
      <w:r w:rsidRPr="00AF64DF">
        <w:rPr>
          <w:rFonts w:eastAsia="Calibri"/>
          <w:color w:val="auto"/>
          <w:sz w:val="24"/>
          <w:szCs w:val="24"/>
          <w:lang w:eastAsia="en-US"/>
        </w:rPr>
        <w:t xml:space="preserve">. Available from: </w:t>
      </w:r>
      <w:hyperlink r:id="rId11" w:history="1">
        <w:r w:rsidRPr="00AF64DF">
          <w:rPr>
            <w:rFonts w:eastAsia="Calibri"/>
            <w:color w:val="0563C1"/>
            <w:sz w:val="24"/>
            <w:szCs w:val="24"/>
            <w:u w:val="single"/>
            <w:lang w:eastAsia="en-US"/>
          </w:rPr>
          <w:t>https://www.39essex.com/sites/default/files/2024-</w:t>
        </w:r>
      </w:hyperlink>
      <w:r w:rsidRPr="00AF64DF">
        <w:rPr>
          <w:rFonts w:eastAsia="Calibri"/>
          <w:color w:val="auto"/>
          <w:sz w:val="24"/>
          <w:szCs w:val="24"/>
          <w:lang w:eastAsia="en-US"/>
        </w:rPr>
        <w:t>. (Accessed  7 September 2025).</w:t>
      </w:r>
    </w:p>
    <w:p w14:paraId="3725C62E"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Arnstein, S.R. (1969), ‘A ladder of citizen participation’, </w:t>
      </w:r>
      <w:r w:rsidRPr="00AF64DF">
        <w:rPr>
          <w:rFonts w:eastAsia="Calibri"/>
          <w:i/>
          <w:color w:val="auto"/>
          <w:sz w:val="24"/>
          <w:szCs w:val="24"/>
          <w:lang w:eastAsia="en-US"/>
        </w:rPr>
        <w:t>Journal of the American Institute of Planners</w:t>
      </w:r>
      <w:r w:rsidRPr="00AF64DF">
        <w:rPr>
          <w:rFonts w:eastAsia="Calibri"/>
          <w:color w:val="auto"/>
          <w:sz w:val="24"/>
          <w:szCs w:val="24"/>
          <w:lang w:eastAsia="en-US"/>
        </w:rPr>
        <w:t>, Volume 35, Issue 4, pp. 216–224.</w:t>
      </w:r>
    </w:p>
    <w:p w14:paraId="3F30A94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Beresford, P. and Croft, S. (2001), ‘Service Users’ Knowledge and the Social Construction of Social Work’, </w:t>
      </w:r>
      <w:r w:rsidRPr="00AF64DF">
        <w:rPr>
          <w:rFonts w:eastAsia="Calibri"/>
          <w:i/>
          <w:color w:val="auto"/>
          <w:sz w:val="24"/>
          <w:szCs w:val="24"/>
          <w:lang w:eastAsia="en-US"/>
        </w:rPr>
        <w:t>Journal of Social Work,</w:t>
      </w:r>
      <w:r w:rsidRPr="00AF64DF">
        <w:rPr>
          <w:rFonts w:eastAsia="Calibri"/>
          <w:color w:val="auto"/>
          <w:sz w:val="24"/>
          <w:szCs w:val="24"/>
          <w:lang w:eastAsia="en-US"/>
        </w:rPr>
        <w:t xml:space="preserve"> Vol 1, No. 3, pp. 295-316.</w:t>
      </w:r>
    </w:p>
    <w:p w14:paraId="48D9F49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Bester, K.L., McGlade A. and Darragh, E. (2022), ‘Is co-production working well in recovery colleges? Emergent themes from a systematic narrative review’, </w:t>
      </w:r>
      <w:r w:rsidRPr="00AF64DF">
        <w:rPr>
          <w:rFonts w:eastAsia="Calibri"/>
          <w:i/>
          <w:color w:val="auto"/>
          <w:sz w:val="24"/>
          <w:szCs w:val="24"/>
          <w:lang w:eastAsia="en-US"/>
        </w:rPr>
        <w:t>Journal of Mental Health Training, Education &amp; Practice,</w:t>
      </w:r>
      <w:r w:rsidRPr="00AF64DF">
        <w:rPr>
          <w:rFonts w:eastAsia="Calibri"/>
          <w:color w:val="auto"/>
          <w:sz w:val="24"/>
          <w:szCs w:val="24"/>
          <w:lang w:eastAsia="en-US"/>
        </w:rPr>
        <w:t xml:space="preserve"> Volume 17, Issue 1, pp. 48–60.</w:t>
      </w:r>
    </w:p>
    <w:p w14:paraId="6C88ED6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Braye, S. (2000), Participation and involvement in social care: An overview, in Kemshall, H. and Littlechild, R.(eds.), </w:t>
      </w:r>
      <w:r w:rsidRPr="00AF64DF">
        <w:rPr>
          <w:rFonts w:eastAsia="Calibri"/>
          <w:i/>
          <w:color w:val="auto"/>
          <w:sz w:val="24"/>
          <w:szCs w:val="24"/>
          <w:lang w:eastAsia="en-US"/>
        </w:rPr>
        <w:t>User Involvement and Participation in Social Care</w:t>
      </w:r>
      <w:r w:rsidRPr="00AF64DF">
        <w:rPr>
          <w:rFonts w:eastAsia="Calibri"/>
          <w:color w:val="auto"/>
          <w:sz w:val="24"/>
          <w:szCs w:val="24"/>
          <w:lang w:eastAsia="en-US"/>
        </w:rPr>
        <w:t>: Research Informing Practice: London: Jessica Kingsley, pp. 9-28.</w:t>
      </w:r>
    </w:p>
    <w:p w14:paraId="5C07F96E"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Bronfenbrenner, U. [1979], </w:t>
      </w:r>
      <w:r w:rsidRPr="00AF64DF">
        <w:rPr>
          <w:rFonts w:eastAsia="Calibri"/>
          <w:i/>
          <w:color w:val="auto"/>
          <w:sz w:val="24"/>
          <w:szCs w:val="24"/>
          <w:lang w:eastAsia="en-US"/>
        </w:rPr>
        <w:t>The Ecology of Human Development. Experiments by nature and Design</w:t>
      </w:r>
      <w:r w:rsidRPr="00AF64DF">
        <w:rPr>
          <w:rFonts w:eastAsia="Calibri"/>
          <w:color w:val="auto"/>
          <w:sz w:val="24"/>
          <w:szCs w:val="24"/>
          <w:lang w:eastAsia="en-US"/>
        </w:rPr>
        <w:t>. London: Harvard University Press.</w:t>
      </w:r>
    </w:p>
    <w:p w14:paraId="38F8E493" w14:textId="47F76F4B"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Brookfield, S. 1987), </w:t>
      </w:r>
      <w:r w:rsidRPr="00AF64DF">
        <w:rPr>
          <w:rFonts w:eastAsia="Calibri"/>
          <w:i/>
          <w:color w:val="auto"/>
          <w:sz w:val="24"/>
          <w:szCs w:val="24"/>
          <w:lang w:eastAsia="en-US"/>
        </w:rPr>
        <w:t>Developing critical thinkers</w:t>
      </w:r>
      <w:r w:rsidRPr="00AF64DF">
        <w:rPr>
          <w:rFonts w:eastAsia="Calibri"/>
          <w:color w:val="auto"/>
          <w:sz w:val="24"/>
          <w:szCs w:val="24"/>
          <w:lang w:eastAsia="en-US"/>
        </w:rPr>
        <w:t>. Milton Keynes: Open University Press.</w:t>
      </w:r>
    </w:p>
    <w:p w14:paraId="7A75612A" w14:textId="56E7E332" w:rsidR="00240658" w:rsidRPr="00AF64DF" w:rsidRDefault="00240658" w:rsidP="00AF64DF">
      <w:pPr>
        <w:overflowPunct/>
        <w:autoSpaceDE/>
        <w:autoSpaceDN/>
        <w:adjustRightInd/>
        <w:spacing w:after="160" w:line="360" w:lineRule="auto"/>
        <w:jc w:val="both"/>
        <w:textAlignment w:val="auto"/>
        <w:rPr>
          <w:rFonts w:eastAsia="Calibri"/>
          <w:color w:val="auto"/>
          <w:sz w:val="24"/>
          <w:szCs w:val="24"/>
          <w:lang w:eastAsia="en-US"/>
        </w:rPr>
      </w:pPr>
      <w:r w:rsidRPr="00240658">
        <w:rPr>
          <w:rFonts w:eastAsia="Calibri"/>
          <w:color w:val="auto"/>
          <w:sz w:val="24"/>
          <w:szCs w:val="24"/>
          <w:lang w:eastAsia="en-US"/>
        </w:rPr>
        <w:t xml:space="preserve">Burt, M. and Worsley, A. (2008), ‘Social work, professionalism and the regulatory framework’ in Fraser, S. and Mathews, S. (eds.), </w:t>
      </w:r>
      <w:r w:rsidRPr="00240658">
        <w:rPr>
          <w:rFonts w:eastAsia="Calibri"/>
          <w:i/>
          <w:color w:val="auto"/>
          <w:sz w:val="24"/>
          <w:szCs w:val="24"/>
          <w:lang w:eastAsia="en-US"/>
        </w:rPr>
        <w:t>The Critical Practitioner in Social Work and Health Care.</w:t>
      </w:r>
      <w:r w:rsidRPr="00240658">
        <w:rPr>
          <w:rFonts w:eastAsia="Calibri"/>
          <w:color w:val="auto"/>
          <w:sz w:val="24"/>
          <w:szCs w:val="24"/>
          <w:lang w:eastAsia="en-US"/>
        </w:rPr>
        <w:t xml:space="preserve">  London: Sage Publications Ltd. pp. 27-42</w:t>
      </w:r>
    </w:p>
    <w:p w14:paraId="3F65BFA8"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Calder, C., M. (2016), </w:t>
      </w:r>
      <w:r w:rsidRPr="00AF64DF">
        <w:rPr>
          <w:rFonts w:eastAsia="Calibri"/>
          <w:i/>
          <w:color w:val="auto"/>
          <w:sz w:val="24"/>
          <w:szCs w:val="24"/>
          <w:lang w:eastAsia="en-US"/>
        </w:rPr>
        <w:t>Risk in Child Protection</w:t>
      </w:r>
      <w:r w:rsidRPr="00AF64DF">
        <w:rPr>
          <w:rFonts w:eastAsia="Calibri"/>
          <w:color w:val="auto"/>
          <w:sz w:val="24"/>
          <w:szCs w:val="24"/>
          <w:lang w:eastAsia="en-US"/>
        </w:rPr>
        <w:t>. London: Jessica Kingsley Publishers.</w:t>
      </w:r>
    </w:p>
    <w:p w14:paraId="3D766B38" w14:textId="59908F63"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Cameron, C., Molloy-Graham, J. and</w:t>
      </w:r>
      <w:r w:rsidR="000F571C">
        <w:rPr>
          <w:rFonts w:eastAsia="Calibri"/>
          <w:color w:val="auto"/>
          <w:sz w:val="24"/>
          <w:szCs w:val="24"/>
          <w:lang w:eastAsia="en-US"/>
        </w:rPr>
        <w:t xml:space="preserve"> Cameron, M. (2021), ‘A Matter o</w:t>
      </w:r>
      <w:r w:rsidRPr="00AF64DF">
        <w:rPr>
          <w:rFonts w:eastAsia="Calibri"/>
          <w:color w:val="auto"/>
          <w:sz w:val="24"/>
          <w:szCs w:val="24"/>
          <w:lang w:eastAsia="en-US"/>
        </w:rPr>
        <w:t xml:space="preserve">f Power’, in McLaughlin, H., Beresford, P., Cameron, C., Casey, H. and Duffy, J. (2022), </w:t>
      </w:r>
      <w:r w:rsidRPr="00AF64DF">
        <w:rPr>
          <w:rFonts w:eastAsia="Calibri"/>
          <w:i/>
          <w:color w:val="auto"/>
          <w:sz w:val="24"/>
          <w:szCs w:val="24"/>
          <w:lang w:eastAsia="en-US"/>
        </w:rPr>
        <w:t>The Routledge Handbook of Service User Involvement in Human Services Research and Education</w:t>
      </w:r>
      <w:r w:rsidRPr="00AF64DF">
        <w:rPr>
          <w:rFonts w:eastAsia="Calibri"/>
          <w:color w:val="auto"/>
          <w:sz w:val="24"/>
          <w:szCs w:val="24"/>
          <w:lang w:eastAsia="en-US"/>
        </w:rPr>
        <w:t>. Abingdon: Routledge.</w:t>
      </w:r>
    </w:p>
    <w:p w14:paraId="02FC1F5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Children Act 1989. (1989). London: HMSO. Available from: http://www.legislation.gov.uk/ukpga/2004/31/contents. (Accessed  8 August 2025).</w:t>
      </w:r>
    </w:p>
    <w:p w14:paraId="1D4BC200"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lastRenderedPageBreak/>
        <w:t>Children Act 2004. (2004). London</w:t>
      </w:r>
      <w:r w:rsidRPr="00AF64DF">
        <w:rPr>
          <w:rFonts w:eastAsia="Calibri"/>
          <w:color w:val="auto"/>
          <w:sz w:val="24"/>
          <w:szCs w:val="24"/>
          <w:lang w:eastAsia="en-US"/>
        </w:rPr>
        <w:t>: HMSO. Available from: legislation.gov.uk. (Accessed  7 September 2025).</w:t>
      </w:r>
    </w:p>
    <w:p w14:paraId="7E5E289B" w14:textId="537C13C0"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Children’s commissioner for Wales (2024), </w:t>
      </w:r>
      <w:r w:rsidRPr="00AF64DF">
        <w:rPr>
          <w:rFonts w:eastAsia="Calibri"/>
          <w:i/>
          <w:color w:val="auto"/>
          <w:sz w:val="24"/>
          <w:szCs w:val="24"/>
          <w:lang w:eastAsia="en-US"/>
        </w:rPr>
        <w:t>The Right Way A children rights approach for social care in Wales</w:t>
      </w:r>
      <w:r w:rsidRPr="00AF64DF">
        <w:rPr>
          <w:rFonts w:eastAsia="Calibri"/>
          <w:color w:val="auto"/>
          <w:sz w:val="24"/>
          <w:szCs w:val="24"/>
          <w:lang w:eastAsia="en-US"/>
        </w:rPr>
        <w:t xml:space="preserve">. Available from: </w:t>
      </w:r>
      <w:hyperlink r:id="rId12" w:history="1">
        <w:r w:rsidRPr="00AF64DF">
          <w:rPr>
            <w:rFonts w:eastAsia="Calibri"/>
            <w:color w:val="0563C1"/>
            <w:sz w:val="24"/>
            <w:szCs w:val="24"/>
            <w:u w:val="single"/>
            <w:lang w:eastAsia="en-US"/>
          </w:rPr>
          <w:t>https://www.childcomwales.org.uk/resources/the-right-way-a-childrens-rights-approach/</w:t>
        </w:r>
      </w:hyperlink>
      <w:r w:rsidRPr="00AF64DF">
        <w:rPr>
          <w:rFonts w:eastAsia="Calibri"/>
          <w:color w:val="auto"/>
          <w:sz w:val="24"/>
          <w:szCs w:val="24"/>
          <w:lang w:eastAsia="en-US"/>
        </w:rPr>
        <w:t xml:space="preserve">. (Accessed 4 </w:t>
      </w:r>
      <w:r w:rsidR="000F571C" w:rsidRPr="00AF64DF">
        <w:rPr>
          <w:rFonts w:eastAsia="Calibri"/>
          <w:color w:val="auto"/>
          <w:sz w:val="24"/>
          <w:szCs w:val="24"/>
          <w:lang w:eastAsia="en-US"/>
        </w:rPr>
        <w:t>September</w:t>
      </w:r>
      <w:r w:rsidRPr="00AF64DF">
        <w:rPr>
          <w:rFonts w:eastAsia="Calibri"/>
          <w:color w:val="auto"/>
          <w:sz w:val="24"/>
          <w:szCs w:val="24"/>
          <w:lang w:eastAsia="en-US"/>
        </w:rPr>
        <w:t xml:space="preserve"> 2025).</w:t>
      </w:r>
    </w:p>
    <w:p w14:paraId="7D48B26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Connolly, M. (2017), </w:t>
      </w:r>
      <w:r w:rsidRPr="00AF64DF">
        <w:rPr>
          <w:rFonts w:eastAsia="Calibri"/>
          <w:i/>
          <w:color w:val="auto"/>
          <w:sz w:val="24"/>
          <w:szCs w:val="24"/>
          <w:lang w:eastAsia="en-US"/>
        </w:rPr>
        <w:t>Beyond the Risk Paradigm in Child Protection</w:t>
      </w:r>
      <w:r w:rsidRPr="00AF64DF">
        <w:rPr>
          <w:rFonts w:eastAsia="Calibri"/>
          <w:color w:val="auto"/>
          <w:sz w:val="24"/>
          <w:szCs w:val="24"/>
          <w:lang w:eastAsia="en-US"/>
        </w:rPr>
        <w:t>. London: Palgrave.</w:t>
      </w:r>
    </w:p>
    <w:p w14:paraId="68F0E91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Council of Europe (1950) Convention for the Protection of Human Rights and Fundamental Freedoms Rome, Council of Europe. Available from: </w:t>
      </w:r>
      <w:hyperlink r:id="rId13" w:history="1">
        <w:r w:rsidRPr="00AF64DF">
          <w:rPr>
            <w:rFonts w:eastAsia="Calibri"/>
            <w:color w:val="0563C1"/>
            <w:sz w:val="24"/>
            <w:szCs w:val="24"/>
            <w:u w:val="single"/>
            <w:lang w:eastAsia="en-US"/>
          </w:rPr>
          <w:t>https://www.echr.coe.int/documents/d/echr/convention_ENG</w:t>
        </w:r>
      </w:hyperlink>
      <w:r w:rsidRPr="00AF64DF">
        <w:rPr>
          <w:rFonts w:eastAsia="Calibri"/>
          <w:color w:val="0563C1"/>
          <w:sz w:val="24"/>
          <w:szCs w:val="24"/>
          <w:u w:val="single"/>
          <w:lang w:eastAsia="en-US"/>
        </w:rPr>
        <w:t>.</w:t>
      </w:r>
      <w:r w:rsidRPr="00AF64DF">
        <w:rPr>
          <w:rFonts w:eastAsia="Calibri"/>
          <w:color w:val="auto"/>
          <w:sz w:val="24"/>
          <w:szCs w:val="24"/>
          <w:lang w:eastAsia="en-US"/>
        </w:rPr>
        <w:t xml:space="preserve"> (Accessed 10 December 2024).</w:t>
      </w:r>
    </w:p>
    <w:p w14:paraId="7D2A0E4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Dalrymple, J. and Boylan, J. (2013), </w:t>
      </w:r>
      <w:r w:rsidRPr="00AF64DF">
        <w:rPr>
          <w:rFonts w:eastAsia="Calibri"/>
          <w:i/>
          <w:color w:val="auto"/>
          <w:sz w:val="24"/>
          <w:szCs w:val="24"/>
          <w:lang w:eastAsia="en-US"/>
        </w:rPr>
        <w:t>Effective Advocacy in Social Work</w:t>
      </w:r>
      <w:r w:rsidRPr="00AF64DF">
        <w:rPr>
          <w:rFonts w:eastAsia="Calibri"/>
          <w:color w:val="auto"/>
          <w:sz w:val="24"/>
          <w:szCs w:val="24"/>
          <w:lang w:eastAsia="en-US"/>
        </w:rPr>
        <w:t>. London: Sage Publications Inc.</w:t>
      </w:r>
    </w:p>
    <w:p w14:paraId="5173E46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Davies, J. (2014), </w:t>
      </w:r>
      <w:r w:rsidRPr="00AF64DF">
        <w:rPr>
          <w:rFonts w:eastAsia="Calibri"/>
          <w:i/>
          <w:color w:val="auto"/>
          <w:sz w:val="24"/>
          <w:szCs w:val="24"/>
          <w:lang w:eastAsia="en-US"/>
        </w:rPr>
        <w:t>The Welsh Language – A History</w:t>
      </w:r>
      <w:r w:rsidRPr="00AF64DF">
        <w:rPr>
          <w:rFonts w:eastAsia="Calibri"/>
          <w:color w:val="auto"/>
          <w:sz w:val="24"/>
          <w:szCs w:val="24"/>
          <w:lang w:eastAsia="en-US"/>
        </w:rPr>
        <w:t>. Cardiff: University of Wales Press.</w:t>
      </w:r>
    </w:p>
    <w:p w14:paraId="660F5A5A"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D’Cruz, H., Gillingham, P. and Melendez, S. (2007), ‘Reflexivity, its meaning and relevance for social work: A critical review of the literature’, </w:t>
      </w:r>
      <w:r w:rsidRPr="00AF64DF">
        <w:rPr>
          <w:rFonts w:eastAsia="Calibri"/>
          <w:i/>
          <w:color w:val="auto"/>
          <w:sz w:val="24"/>
          <w:szCs w:val="24"/>
          <w:lang w:eastAsia="en-US"/>
        </w:rPr>
        <w:t>British Journal of Social Work</w:t>
      </w:r>
      <w:r w:rsidRPr="00AF64DF">
        <w:rPr>
          <w:rFonts w:eastAsia="Calibri"/>
          <w:color w:val="auto"/>
          <w:sz w:val="24"/>
          <w:szCs w:val="24"/>
          <w:lang w:eastAsia="en-US"/>
        </w:rPr>
        <w:t>, Vol. 37, pp. 73-90.</w:t>
      </w:r>
    </w:p>
    <w:p w14:paraId="760A1B5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Doel, M. (2016), </w:t>
      </w:r>
      <w:r w:rsidRPr="00AF64DF">
        <w:rPr>
          <w:rFonts w:eastAsia="Calibri"/>
          <w:i/>
          <w:color w:val="auto"/>
          <w:sz w:val="24"/>
          <w:szCs w:val="24"/>
          <w:lang w:eastAsia="en-US"/>
        </w:rPr>
        <w:t>Rights and Wrongs in Social Work</w:t>
      </w:r>
      <w:r w:rsidRPr="00AF64DF">
        <w:rPr>
          <w:rFonts w:eastAsia="Calibri"/>
          <w:color w:val="auto"/>
          <w:sz w:val="24"/>
          <w:szCs w:val="24"/>
          <w:lang w:eastAsia="en-US"/>
        </w:rPr>
        <w:t>. London: Palgrave.</w:t>
      </w:r>
    </w:p>
    <w:p w14:paraId="7CC7C0FA"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Douglas, H. and Barlow, H. (2023), 'A joint children and adult approach to safeguarding' in Livingston, W., Redcliffe, J. and Quinn-Aziz, A. (eds.), </w:t>
      </w:r>
      <w:r w:rsidRPr="00AF64DF">
        <w:rPr>
          <w:rFonts w:eastAsia="Calibri"/>
          <w:i/>
          <w:color w:val="auto"/>
          <w:sz w:val="24"/>
          <w:szCs w:val="24"/>
          <w:lang w:eastAsia="en-US"/>
        </w:rPr>
        <w:t>Social Work in Wales: Understanding Practice in a Devolved Context</w:t>
      </w:r>
      <w:r w:rsidRPr="00AF64DF">
        <w:rPr>
          <w:rFonts w:eastAsia="Calibri"/>
          <w:color w:val="auto"/>
          <w:sz w:val="24"/>
          <w:szCs w:val="24"/>
          <w:lang w:eastAsia="en-US"/>
        </w:rPr>
        <w:t>. Policy Press: Bristol. pp. 105-117.</w:t>
      </w:r>
    </w:p>
    <w:p w14:paraId="16433813"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Disability Wales. (2021), </w:t>
      </w:r>
      <w:r w:rsidRPr="00AF64DF">
        <w:rPr>
          <w:rFonts w:eastAsia="Calibri"/>
          <w:i/>
          <w:color w:val="auto"/>
          <w:sz w:val="24"/>
          <w:szCs w:val="24"/>
          <w:lang w:eastAsia="en-US"/>
        </w:rPr>
        <w:t>The Social Model of Disability</w:t>
      </w:r>
      <w:r w:rsidRPr="00AF64DF">
        <w:rPr>
          <w:rFonts w:eastAsia="Calibri"/>
          <w:color w:val="auto"/>
          <w:sz w:val="24"/>
          <w:szCs w:val="24"/>
          <w:lang w:eastAsia="en-US"/>
        </w:rPr>
        <w:t xml:space="preserve">. Available from: </w:t>
      </w:r>
      <w:hyperlink r:id="rId14" w:history="1">
        <w:r w:rsidRPr="00AF64DF">
          <w:rPr>
            <w:rFonts w:eastAsia="Calibri"/>
            <w:color w:val="0563C1"/>
            <w:sz w:val="24"/>
            <w:szCs w:val="24"/>
            <w:u w:val="single"/>
            <w:lang w:eastAsia="en-US"/>
          </w:rPr>
          <w:t>https://www.disabilitywales.org/social-mode</w:t>
        </w:r>
      </w:hyperlink>
      <w:r w:rsidRPr="00AF64DF">
        <w:rPr>
          <w:rFonts w:eastAsia="Calibri"/>
          <w:color w:val="0563C1"/>
          <w:sz w:val="24"/>
          <w:szCs w:val="24"/>
          <w:u w:val="single"/>
          <w:lang w:eastAsia="en-US"/>
        </w:rPr>
        <w:t>.</w:t>
      </w:r>
      <w:r w:rsidRPr="00AF64DF">
        <w:rPr>
          <w:rFonts w:eastAsia="Calibri"/>
          <w:color w:val="auto"/>
          <w:sz w:val="24"/>
          <w:szCs w:val="24"/>
          <w:lang w:eastAsia="en-US"/>
        </w:rPr>
        <w:t xml:space="preserve"> (Accessed 30 September 2025).</w:t>
      </w:r>
    </w:p>
    <w:p w14:paraId="2BCAF11E" w14:textId="7DDD3B30"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Dixon, J. (2023), </w:t>
      </w:r>
      <w:r w:rsidRPr="00AF64DF">
        <w:rPr>
          <w:rFonts w:eastAsia="Calibri"/>
          <w:i/>
          <w:color w:val="auto"/>
          <w:sz w:val="24"/>
          <w:szCs w:val="24"/>
          <w:lang w:eastAsia="en-US"/>
        </w:rPr>
        <w:t>Adult Safeguarding Observed. How Social Workers Assess and Manage Risk and Uncertainty</w:t>
      </w:r>
      <w:r w:rsidRPr="00AF64DF">
        <w:rPr>
          <w:rFonts w:eastAsia="Calibri"/>
          <w:color w:val="auto"/>
          <w:sz w:val="24"/>
          <w:szCs w:val="24"/>
          <w:lang w:eastAsia="en-US"/>
        </w:rPr>
        <w:t>. Bristol University Press: Bristol.</w:t>
      </w:r>
    </w:p>
    <w:p w14:paraId="2B34AF07" w14:textId="170A5849" w:rsidR="00DA31BC" w:rsidRPr="00AF64DF" w:rsidRDefault="00DA31BC" w:rsidP="00AF64DF">
      <w:pPr>
        <w:overflowPunct/>
        <w:autoSpaceDE/>
        <w:autoSpaceDN/>
        <w:adjustRightInd/>
        <w:spacing w:after="160" w:line="360" w:lineRule="auto"/>
        <w:jc w:val="both"/>
        <w:textAlignment w:val="auto"/>
        <w:rPr>
          <w:rFonts w:eastAsia="Calibri"/>
          <w:color w:val="auto"/>
          <w:sz w:val="24"/>
          <w:szCs w:val="24"/>
          <w:lang w:eastAsia="en-US"/>
        </w:rPr>
      </w:pPr>
      <w:r w:rsidRPr="00DA31BC">
        <w:rPr>
          <w:rFonts w:eastAsia="Calibri"/>
          <w:color w:val="auto"/>
          <w:sz w:val="24"/>
          <w:szCs w:val="24"/>
          <w:lang w:eastAsia="en-US"/>
        </w:rPr>
        <w:t xml:space="preserve">Douglas, H. and Barlow, H. (2023), ‘A joint children and adult approach to safeguarding’ in Livingston, W., Redcliffe, J. and Quinn-Aziz, A. (2023), </w:t>
      </w:r>
      <w:r w:rsidRPr="00DA31BC">
        <w:rPr>
          <w:rFonts w:eastAsia="Calibri"/>
          <w:i/>
          <w:color w:val="auto"/>
          <w:sz w:val="24"/>
          <w:szCs w:val="24"/>
          <w:lang w:eastAsia="en-US"/>
        </w:rPr>
        <w:t xml:space="preserve">Social Work in Wales: Understanding Practice in a Devolved Context. </w:t>
      </w:r>
      <w:r w:rsidRPr="00DA31BC">
        <w:rPr>
          <w:rFonts w:eastAsia="Calibri"/>
          <w:color w:val="auto"/>
          <w:sz w:val="24"/>
          <w:szCs w:val="24"/>
          <w:lang w:eastAsia="en-US"/>
        </w:rPr>
        <w:t>Policy Press: Bristol.</w:t>
      </w:r>
    </w:p>
    <w:p w14:paraId="2390D8E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Douglas, M, (1992), </w:t>
      </w:r>
      <w:r w:rsidRPr="00AF64DF">
        <w:rPr>
          <w:rFonts w:eastAsia="Calibri"/>
          <w:i/>
          <w:color w:val="auto"/>
          <w:sz w:val="24"/>
          <w:szCs w:val="24"/>
          <w:lang w:eastAsia="en-US"/>
        </w:rPr>
        <w:t>Risk and Blame: Essays in Cultural Theory</w:t>
      </w:r>
      <w:r w:rsidRPr="00AF64DF">
        <w:rPr>
          <w:rFonts w:eastAsia="Calibri"/>
          <w:color w:val="auto"/>
          <w:sz w:val="24"/>
          <w:szCs w:val="24"/>
          <w:lang w:eastAsia="en-US"/>
        </w:rPr>
        <w:t>. Routledge: London.</w:t>
      </w:r>
    </w:p>
    <w:p w14:paraId="06DECB73"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Driscoll, J. (2007), Practising clinical supervision: a reflective approach for healthcare professionals. 2nd ed. Edinburgh: Bailliere Tindall Elsevier</w:t>
      </w:r>
    </w:p>
    <w:p w14:paraId="2C2FBBF7" w14:textId="1E88E962"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Dreyfus, S. E. and Dreyfus, H. L. (1986), </w:t>
      </w:r>
      <w:r w:rsidR="000F571C">
        <w:rPr>
          <w:rFonts w:eastAsia="Calibri"/>
          <w:i/>
          <w:color w:val="auto"/>
          <w:sz w:val="24"/>
          <w:szCs w:val="24"/>
          <w:lang w:eastAsia="en-US"/>
        </w:rPr>
        <w:t>Mind o</w:t>
      </w:r>
      <w:r w:rsidRPr="00AF64DF">
        <w:rPr>
          <w:rFonts w:eastAsia="Calibri"/>
          <w:i/>
          <w:color w:val="auto"/>
          <w:sz w:val="24"/>
          <w:szCs w:val="24"/>
          <w:lang w:eastAsia="en-US"/>
        </w:rPr>
        <w:t>ver Machine: The Art of Human-Computer Relations</w:t>
      </w:r>
      <w:r w:rsidRPr="00AF64DF">
        <w:rPr>
          <w:rFonts w:eastAsia="Calibri"/>
          <w:color w:val="auto"/>
          <w:sz w:val="24"/>
          <w:szCs w:val="24"/>
          <w:lang w:eastAsia="en-US"/>
        </w:rPr>
        <w:t>. New York: Free Press</w:t>
      </w:r>
    </w:p>
    <w:p w14:paraId="3E4ACD9E"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Dyke, C. (2016), </w:t>
      </w:r>
      <w:r w:rsidRPr="00AF64DF">
        <w:rPr>
          <w:rFonts w:eastAsia="Calibri"/>
          <w:i/>
          <w:color w:val="auto"/>
          <w:sz w:val="24"/>
          <w:szCs w:val="24"/>
          <w:lang w:eastAsia="en-US"/>
        </w:rPr>
        <w:t>Writing Analytical Assessments in Social Work</w:t>
      </w:r>
      <w:r w:rsidRPr="00AF64DF">
        <w:rPr>
          <w:rFonts w:eastAsia="Calibri"/>
          <w:color w:val="auto"/>
          <w:sz w:val="24"/>
          <w:szCs w:val="24"/>
          <w:lang w:eastAsia="en-US"/>
        </w:rPr>
        <w:t>. Northwich: Critical Publishing.</w:t>
      </w:r>
    </w:p>
    <w:p w14:paraId="56BF0CE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Equality Act 2010, c. 7. Available from: https://www.legislation.gov.uk/ukpga/2010/7 (Accessed 28 September 2025).</w:t>
      </w:r>
    </w:p>
    <w:p w14:paraId="7A5EBFF9"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Equality Act 2010 (Statutory Duties) (Wales) Regulations 2011. Available from: </w:t>
      </w:r>
      <w:hyperlink r:id="rId15" w:history="1">
        <w:r w:rsidRPr="00AF64DF">
          <w:rPr>
            <w:rFonts w:eastAsia="Calibri"/>
            <w:color w:val="0563C1"/>
            <w:sz w:val="24"/>
            <w:szCs w:val="24"/>
            <w:u w:val="single"/>
            <w:lang w:eastAsia="en-US"/>
          </w:rPr>
          <w:t>https://www.legislation.gov.uk/wsi/2011/1064</w:t>
        </w:r>
      </w:hyperlink>
      <w:r w:rsidRPr="00AF64DF">
        <w:rPr>
          <w:rFonts w:eastAsia="Calibri"/>
          <w:color w:val="0563C1"/>
          <w:sz w:val="24"/>
          <w:szCs w:val="24"/>
          <w:u w:val="single"/>
          <w:lang w:eastAsia="en-US"/>
        </w:rPr>
        <w:t>.</w:t>
      </w:r>
      <w:r w:rsidRPr="00AF64DF">
        <w:rPr>
          <w:rFonts w:eastAsia="Calibri"/>
          <w:color w:val="auto"/>
          <w:sz w:val="24"/>
          <w:szCs w:val="24"/>
          <w:lang w:eastAsia="en-US"/>
        </w:rPr>
        <w:t xml:space="preserve"> (Accessed 30 September 2025).</w:t>
      </w:r>
    </w:p>
    <w:p w14:paraId="1FF7AD4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Fook, J. and Gardner, F. (2013), </w:t>
      </w:r>
      <w:r w:rsidRPr="00AF64DF">
        <w:rPr>
          <w:rFonts w:eastAsia="Calibri"/>
          <w:i/>
          <w:iCs/>
          <w:color w:val="auto"/>
          <w:sz w:val="24"/>
          <w:szCs w:val="24"/>
          <w:lang w:eastAsia="en-US"/>
        </w:rPr>
        <w:t>Critical Reflections in Context. Applications in Health and Social Care</w:t>
      </w:r>
      <w:r w:rsidRPr="00AF64DF">
        <w:rPr>
          <w:rFonts w:eastAsia="Calibri"/>
          <w:color w:val="auto"/>
          <w:sz w:val="24"/>
          <w:szCs w:val="24"/>
          <w:lang w:eastAsia="en-US"/>
        </w:rPr>
        <w:t>. Oxon: Routledge.</w:t>
      </w:r>
    </w:p>
    <w:p w14:paraId="7BBFD735" w14:textId="4F0BCD15"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Fortin, J. (2003), </w:t>
      </w:r>
      <w:r w:rsidRPr="00AF64DF">
        <w:rPr>
          <w:rFonts w:eastAsia="Calibri"/>
          <w:i/>
          <w:color w:val="auto"/>
          <w:sz w:val="24"/>
          <w:szCs w:val="24"/>
          <w:lang w:eastAsia="en-US"/>
        </w:rPr>
        <w:t>Children's Rights and the Developing Law.</w:t>
      </w:r>
      <w:r w:rsidRPr="00AF64DF">
        <w:rPr>
          <w:rFonts w:eastAsia="Calibri"/>
          <w:color w:val="auto"/>
          <w:sz w:val="24"/>
          <w:szCs w:val="24"/>
          <w:lang w:eastAsia="en-US"/>
        </w:rPr>
        <w:t xml:space="preserve"> Cambridge: University Press.</w:t>
      </w:r>
    </w:p>
    <w:p w14:paraId="12C77DF1" w14:textId="29655997" w:rsidR="002C0CE7" w:rsidRDefault="002C0CE7" w:rsidP="00AF64DF">
      <w:pPr>
        <w:overflowPunct/>
        <w:autoSpaceDE/>
        <w:autoSpaceDN/>
        <w:adjustRightInd/>
        <w:spacing w:after="160" w:line="360" w:lineRule="auto"/>
        <w:jc w:val="both"/>
        <w:textAlignment w:val="auto"/>
        <w:rPr>
          <w:rFonts w:eastAsia="Calibri"/>
          <w:color w:val="auto"/>
          <w:sz w:val="24"/>
          <w:szCs w:val="24"/>
          <w:lang w:eastAsia="en-US"/>
        </w:rPr>
      </w:pPr>
      <w:r w:rsidRPr="002C0CE7">
        <w:rPr>
          <w:rFonts w:eastAsia="Calibri"/>
          <w:color w:val="auto"/>
          <w:sz w:val="24"/>
          <w:szCs w:val="24"/>
          <w:lang w:eastAsia="en-US"/>
        </w:rPr>
        <w:t xml:space="preserve">Fraser, S. and Mathews, S. (2008), </w:t>
      </w:r>
      <w:r w:rsidRPr="002C0CE7">
        <w:rPr>
          <w:rFonts w:eastAsia="Calibri"/>
          <w:i/>
          <w:color w:val="auto"/>
          <w:sz w:val="24"/>
          <w:szCs w:val="24"/>
          <w:lang w:eastAsia="en-US"/>
        </w:rPr>
        <w:t>The Critical Practitioner in Social Work and Health Care</w:t>
      </w:r>
      <w:r w:rsidRPr="002C0CE7">
        <w:rPr>
          <w:rFonts w:eastAsia="Calibri"/>
          <w:color w:val="auto"/>
          <w:sz w:val="24"/>
          <w:szCs w:val="24"/>
          <w:lang w:eastAsia="en-US"/>
        </w:rPr>
        <w:t>. London: Sage Publications Ltd</w:t>
      </w:r>
    </w:p>
    <w:p w14:paraId="12FC67DF" w14:textId="6FBFE0FD" w:rsidR="0007642C" w:rsidRPr="00AF64DF" w:rsidRDefault="0007642C" w:rsidP="00AF64DF">
      <w:pPr>
        <w:overflowPunct/>
        <w:autoSpaceDE/>
        <w:autoSpaceDN/>
        <w:adjustRightInd/>
        <w:spacing w:after="160" w:line="360" w:lineRule="auto"/>
        <w:jc w:val="both"/>
        <w:textAlignment w:val="auto"/>
        <w:rPr>
          <w:rFonts w:eastAsia="Calibri"/>
          <w:color w:val="auto"/>
          <w:sz w:val="24"/>
          <w:szCs w:val="24"/>
          <w:lang w:eastAsia="en-US"/>
        </w:rPr>
      </w:pPr>
      <w:r w:rsidRPr="0007642C">
        <w:rPr>
          <w:rFonts w:eastAsia="Calibri"/>
          <w:i/>
          <w:color w:val="auto"/>
          <w:sz w:val="24"/>
          <w:szCs w:val="24"/>
          <w:lang w:eastAsia="en-US"/>
        </w:rPr>
        <w:t>Freedom of Information Act 2000</w:t>
      </w:r>
      <w:r>
        <w:rPr>
          <w:rFonts w:eastAsia="Calibri"/>
          <w:color w:val="auto"/>
          <w:sz w:val="24"/>
          <w:szCs w:val="24"/>
          <w:lang w:eastAsia="en-US"/>
        </w:rPr>
        <w:t>, c. 36. Available from</w:t>
      </w:r>
      <w:r w:rsidRPr="0007642C">
        <w:rPr>
          <w:rFonts w:eastAsia="Calibri"/>
          <w:color w:val="auto"/>
          <w:sz w:val="24"/>
          <w:szCs w:val="24"/>
          <w:lang w:eastAsia="en-US"/>
        </w:rPr>
        <w:t>: </w:t>
      </w:r>
      <w:hyperlink r:id="rId16" w:history="1">
        <w:r w:rsidRPr="0007642C">
          <w:rPr>
            <w:rStyle w:val="Hyperlink"/>
            <w:rFonts w:eastAsia="Calibri"/>
            <w:sz w:val="24"/>
            <w:szCs w:val="24"/>
            <w:lang w:eastAsia="en-US"/>
          </w:rPr>
          <w:t>https://www.legislation.gov.uk/ukpga/2000/36/contents</w:t>
        </w:r>
      </w:hyperlink>
      <w:r>
        <w:rPr>
          <w:rFonts w:eastAsia="Calibri"/>
          <w:color w:val="auto"/>
          <w:sz w:val="24"/>
          <w:szCs w:val="24"/>
          <w:lang w:eastAsia="en-US"/>
        </w:rPr>
        <w:t>. (Accessed</w:t>
      </w:r>
      <w:r w:rsidRPr="0007642C">
        <w:rPr>
          <w:rFonts w:eastAsia="Calibri"/>
          <w:color w:val="auto"/>
          <w:sz w:val="24"/>
          <w:szCs w:val="24"/>
          <w:lang w:eastAsia="en-US"/>
        </w:rPr>
        <w:t xml:space="preserve"> 6 October 2025</w:t>
      </w:r>
      <w:r>
        <w:rPr>
          <w:rFonts w:eastAsia="Calibri"/>
          <w:color w:val="auto"/>
          <w:sz w:val="24"/>
          <w:szCs w:val="24"/>
          <w:lang w:eastAsia="en-US"/>
        </w:rPr>
        <w:t>).</w:t>
      </w:r>
    </w:p>
    <w:p w14:paraId="09AFF89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General Data Protection Regulation 2018</w:t>
      </w:r>
      <w:r w:rsidRPr="00AF64DF">
        <w:rPr>
          <w:rFonts w:eastAsia="Calibri"/>
          <w:color w:val="auto"/>
          <w:sz w:val="24"/>
          <w:szCs w:val="24"/>
          <w:lang w:eastAsia="en-US"/>
        </w:rPr>
        <w:t xml:space="preserve">. Available from: </w:t>
      </w:r>
      <w:hyperlink r:id="rId17" w:history="1">
        <w:r w:rsidRPr="00AF64DF">
          <w:rPr>
            <w:rFonts w:eastAsia="Calibri"/>
            <w:color w:val="0563C1"/>
            <w:sz w:val="24"/>
            <w:szCs w:val="24"/>
            <w:u w:val="single"/>
            <w:lang w:eastAsia="en-US"/>
          </w:rPr>
          <w:t>https://gdpr-info.eu/</w:t>
        </w:r>
      </w:hyperlink>
      <w:r w:rsidRPr="00AF64DF">
        <w:rPr>
          <w:rFonts w:eastAsia="Calibri"/>
          <w:color w:val="auto"/>
          <w:sz w:val="24"/>
          <w:szCs w:val="24"/>
          <w:lang w:eastAsia="en-US"/>
        </w:rPr>
        <w:t>. (Accessed 22 September 2025).</w:t>
      </w:r>
    </w:p>
    <w:p w14:paraId="3EE0F899"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Gibbs, G. (1988), </w:t>
      </w:r>
      <w:r w:rsidRPr="00AF64DF">
        <w:rPr>
          <w:rFonts w:eastAsia="Calibri"/>
          <w:i/>
          <w:color w:val="auto"/>
          <w:sz w:val="24"/>
          <w:szCs w:val="24"/>
          <w:lang w:eastAsia="en-US"/>
        </w:rPr>
        <w:t>Learning by Doing: A Guide to Teaching and Learning Methods.</w:t>
      </w:r>
      <w:r w:rsidRPr="00AF64DF">
        <w:rPr>
          <w:rFonts w:eastAsia="Calibri"/>
          <w:color w:val="auto"/>
          <w:sz w:val="24"/>
          <w:szCs w:val="24"/>
          <w:lang w:eastAsia="en-US"/>
        </w:rPr>
        <w:t xml:space="preserve"> Oxford: Oxford Further Education Unit.</w:t>
      </w:r>
    </w:p>
    <w:p w14:paraId="57ADD87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Glaister, A. (2008), ‘Introducing critical practice’, in S. Fraser and S. Mathews (eds.).</w:t>
      </w:r>
      <w:r w:rsidRPr="00AF64DF">
        <w:rPr>
          <w:rFonts w:eastAsia="Calibri"/>
          <w:i/>
          <w:color w:val="auto"/>
          <w:sz w:val="24"/>
          <w:szCs w:val="24"/>
          <w:lang w:eastAsia="en-US"/>
        </w:rPr>
        <w:t xml:space="preserve">The Critical Practitioner Social Work and Health Care, </w:t>
      </w:r>
      <w:r w:rsidRPr="00AF64DF">
        <w:rPr>
          <w:rFonts w:eastAsia="Calibri"/>
          <w:color w:val="auto"/>
          <w:sz w:val="24"/>
          <w:szCs w:val="24"/>
          <w:lang w:eastAsia="en-US"/>
        </w:rPr>
        <w:t>London: Sage. pp. 102-113.</w:t>
      </w:r>
    </w:p>
    <w:p w14:paraId="4355AFE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Gwilym, H., (2023), ‘The social policy context for social work in Wales’ in Livingston, W., Redcliffe, J. and Quinn-Aziz, A. (2023), </w:t>
      </w:r>
      <w:r w:rsidRPr="00AF64DF">
        <w:rPr>
          <w:rFonts w:eastAsia="Calibri"/>
          <w:i/>
          <w:color w:val="auto"/>
          <w:sz w:val="24"/>
          <w:szCs w:val="24"/>
          <w:lang w:eastAsia="en-US"/>
        </w:rPr>
        <w:t>Social Work in Wales</w:t>
      </w:r>
      <w:r w:rsidRPr="00AF64DF">
        <w:rPr>
          <w:rFonts w:eastAsia="Calibri"/>
          <w:color w:val="auto"/>
          <w:sz w:val="24"/>
          <w:szCs w:val="24"/>
          <w:lang w:eastAsia="en-US"/>
        </w:rPr>
        <w:t>. Policy Press: Bristol. p. 5 – p.16.</w:t>
      </w:r>
    </w:p>
    <w:p w14:paraId="494B3CD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 xml:space="preserve">Hewitt, d. (2009), The Vulnerable Adult and the Mental Capacity Act 2005 in </w:t>
      </w:r>
      <w:r w:rsidRPr="00AF64DF">
        <w:rPr>
          <w:rFonts w:eastAsia="Calibri"/>
          <w:i/>
          <w:color w:val="auto"/>
          <w:sz w:val="24"/>
          <w:szCs w:val="24"/>
          <w:lang w:eastAsia="en-US"/>
        </w:rPr>
        <w:t xml:space="preserve">Good Practice in the law and Safeguarding Adults </w:t>
      </w:r>
      <w:r w:rsidRPr="00AF64DF">
        <w:rPr>
          <w:rFonts w:eastAsia="Calibri"/>
          <w:color w:val="auto"/>
          <w:sz w:val="24"/>
          <w:szCs w:val="24"/>
          <w:lang w:eastAsia="en-US"/>
        </w:rPr>
        <w:t>(ed.) Pritchard. J. London: Jessica Kingsley Publishers, pp.105-121.</w:t>
      </w:r>
    </w:p>
    <w:p w14:paraId="6669D5DA"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Higham, p. (2006), </w:t>
      </w:r>
      <w:r w:rsidRPr="00AF64DF">
        <w:rPr>
          <w:rFonts w:eastAsia="Calibri"/>
          <w:i/>
          <w:color w:val="auto"/>
          <w:sz w:val="24"/>
          <w:szCs w:val="24"/>
          <w:lang w:eastAsia="en-US"/>
        </w:rPr>
        <w:t>Social Work: introducing professional practice</w:t>
      </w:r>
      <w:r w:rsidRPr="00AF64DF">
        <w:rPr>
          <w:rFonts w:eastAsia="Calibri"/>
          <w:color w:val="auto"/>
          <w:sz w:val="24"/>
          <w:szCs w:val="24"/>
          <w:lang w:eastAsia="en-US"/>
        </w:rPr>
        <w:t>. London: Sage.</w:t>
      </w:r>
    </w:p>
    <w:p w14:paraId="053DEC8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Human Rights Act 1998. London: HMSO. Available from: https://www.legislation.gov.uk/ukpga/1998/42/contents. (Accessed 7 September 2025).</w:t>
      </w:r>
    </w:p>
    <w:p w14:paraId="33A8CDB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Howe, D. (2008), </w:t>
      </w:r>
      <w:r w:rsidRPr="00AF64DF">
        <w:rPr>
          <w:rFonts w:eastAsia="Calibri"/>
          <w:i/>
          <w:color w:val="auto"/>
          <w:sz w:val="24"/>
          <w:szCs w:val="24"/>
          <w:lang w:eastAsia="en-US"/>
        </w:rPr>
        <w:t>The Emotionally Intelligent Social Worker</w:t>
      </w:r>
      <w:r w:rsidRPr="00AF64DF">
        <w:rPr>
          <w:rFonts w:eastAsia="Calibri"/>
          <w:color w:val="auto"/>
          <w:sz w:val="24"/>
          <w:szCs w:val="24"/>
          <w:lang w:eastAsia="en-US"/>
        </w:rPr>
        <w:t>. London:  Palgrave MacMillan.</w:t>
      </w:r>
    </w:p>
    <w:p w14:paraId="6DE7CB6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Human Rights Act 1998.</w:t>
      </w:r>
      <w:r w:rsidRPr="00AF64DF">
        <w:rPr>
          <w:rFonts w:eastAsia="Calibri"/>
          <w:color w:val="auto"/>
          <w:sz w:val="24"/>
          <w:szCs w:val="24"/>
          <w:lang w:eastAsia="en-US"/>
        </w:rPr>
        <w:t xml:space="preserve"> Available from: https://www.legislation.gov.uk/ukpga/1998/42/contents. Accessed 27th September 2025.</w:t>
      </w:r>
    </w:p>
    <w:p w14:paraId="7074036A"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Jacob, R., Gunn, M. and Holland, A. (2013), </w:t>
      </w:r>
      <w:r w:rsidRPr="00AF64DF">
        <w:rPr>
          <w:rFonts w:eastAsia="Calibri"/>
          <w:i/>
          <w:color w:val="auto"/>
          <w:sz w:val="24"/>
          <w:szCs w:val="24"/>
          <w:lang w:eastAsia="en-US"/>
        </w:rPr>
        <w:t>Mental Capacity Legislation: Principles and Practice</w:t>
      </w:r>
      <w:r w:rsidRPr="00AF64DF">
        <w:rPr>
          <w:rFonts w:eastAsia="Calibri"/>
          <w:color w:val="auto"/>
          <w:sz w:val="24"/>
          <w:szCs w:val="24"/>
          <w:lang w:eastAsia="en-US"/>
        </w:rPr>
        <w:t>. London: RCPych Publications.</w:t>
      </w:r>
    </w:p>
    <w:p w14:paraId="114A6B03" w14:textId="471F3041" w:rsidR="00823B7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Kadushin, A. and Kadushin, G. (1997), </w:t>
      </w:r>
      <w:r w:rsidRPr="00AF64DF">
        <w:rPr>
          <w:rFonts w:eastAsia="Calibri"/>
          <w:i/>
          <w:color w:val="auto"/>
          <w:sz w:val="24"/>
          <w:szCs w:val="24"/>
          <w:lang w:eastAsia="en-US"/>
        </w:rPr>
        <w:t>The Social Work Interview: A Guide for Human Service Professionals</w:t>
      </w:r>
      <w:r w:rsidRPr="00AF64DF">
        <w:rPr>
          <w:rFonts w:eastAsia="Calibri"/>
          <w:color w:val="auto"/>
          <w:sz w:val="24"/>
          <w:szCs w:val="24"/>
          <w:lang w:eastAsia="en-US"/>
        </w:rPr>
        <w:t>. (4th ed). New York: Columbia University Press.</w:t>
      </w:r>
    </w:p>
    <w:p w14:paraId="6A7A242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Kline, R. and Preston-Shoot, M. (2012), </w:t>
      </w:r>
      <w:r w:rsidRPr="00AF64DF">
        <w:rPr>
          <w:rFonts w:eastAsia="Calibri"/>
          <w:i/>
          <w:color w:val="auto"/>
          <w:sz w:val="24"/>
          <w:szCs w:val="24"/>
          <w:lang w:eastAsia="en-US"/>
        </w:rPr>
        <w:t>Professional Accountability in Social Care and Health</w:t>
      </w:r>
      <w:r w:rsidRPr="00AF64DF">
        <w:rPr>
          <w:rFonts w:eastAsia="Calibri"/>
          <w:color w:val="auto"/>
          <w:sz w:val="24"/>
          <w:szCs w:val="24"/>
          <w:lang w:eastAsia="en-US"/>
        </w:rPr>
        <w:t>. London: Sage Publications Inc.</w:t>
      </w:r>
    </w:p>
    <w:p w14:paraId="6AC9665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Killick, C. and Taylor, B.J. (2020), </w:t>
      </w:r>
      <w:r w:rsidRPr="00AF64DF">
        <w:rPr>
          <w:rFonts w:eastAsia="Calibri"/>
          <w:i/>
          <w:color w:val="auto"/>
          <w:sz w:val="24"/>
          <w:szCs w:val="24"/>
          <w:lang w:eastAsia="en-US"/>
        </w:rPr>
        <w:t>Assessment, Risk, Decision Making in Social Work</w:t>
      </w:r>
      <w:r w:rsidRPr="00AF64DF">
        <w:rPr>
          <w:rFonts w:eastAsia="Calibri"/>
          <w:color w:val="auto"/>
          <w:sz w:val="24"/>
          <w:szCs w:val="24"/>
          <w:lang w:eastAsia="en-US"/>
        </w:rPr>
        <w:t>. London: Sage.</w:t>
      </w:r>
    </w:p>
    <w:p w14:paraId="4B67518C" w14:textId="6D1E9BA8"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Kolb, D.A.)1984), </w:t>
      </w:r>
      <w:r w:rsidRPr="00AF64DF">
        <w:rPr>
          <w:rFonts w:eastAsia="Calibri"/>
          <w:i/>
          <w:color w:val="auto"/>
          <w:sz w:val="24"/>
          <w:szCs w:val="24"/>
          <w:lang w:eastAsia="en-US"/>
        </w:rPr>
        <w:t>Experiential Learning</w:t>
      </w:r>
      <w:r w:rsidRPr="00AF64DF">
        <w:rPr>
          <w:rFonts w:eastAsia="Calibri"/>
          <w:color w:val="auto"/>
          <w:sz w:val="24"/>
          <w:szCs w:val="24"/>
          <w:lang w:eastAsia="en-US"/>
        </w:rPr>
        <w:t xml:space="preserve">. New Jersey: Prentice Hall. </w:t>
      </w:r>
    </w:p>
    <w:p w14:paraId="4A467F75" w14:textId="52A0028B" w:rsidR="00823B7F" w:rsidRPr="00AF64DF" w:rsidRDefault="00823B7F" w:rsidP="00AF64DF">
      <w:pPr>
        <w:overflowPunct/>
        <w:autoSpaceDE/>
        <w:autoSpaceDN/>
        <w:adjustRightInd/>
        <w:spacing w:after="160" w:line="360" w:lineRule="auto"/>
        <w:jc w:val="both"/>
        <w:textAlignment w:val="auto"/>
        <w:rPr>
          <w:rFonts w:eastAsia="Calibri"/>
          <w:color w:val="auto"/>
          <w:sz w:val="24"/>
          <w:szCs w:val="24"/>
          <w:lang w:eastAsia="en-US"/>
        </w:rPr>
      </w:pPr>
      <w:r w:rsidRPr="00823B7F">
        <w:rPr>
          <w:rFonts w:eastAsia="Calibri"/>
          <w:color w:val="auto"/>
          <w:sz w:val="24"/>
          <w:szCs w:val="24"/>
          <w:lang w:eastAsia="en-US"/>
        </w:rPr>
        <w:t xml:space="preserve">Koprowska, J, (2020), </w:t>
      </w:r>
      <w:r w:rsidRPr="00823B7F">
        <w:rPr>
          <w:rFonts w:eastAsia="Calibri"/>
          <w:i/>
          <w:color w:val="auto"/>
          <w:sz w:val="24"/>
          <w:szCs w:val="24"/>
          <w:lang w:eastAsia="en-US"/>
        </w:rPr>
        <w:t>5th ed. Communication and Interpersonal Skills in Social Work</w:t>
      </w:r>
      <w:r w:rsidRPr="00823B7F">
        <w:rPr>
          <w:rFonts w:eastAsia="Calibri"/>
          <w:color w:val="auto"/>
          <w:sz w:val="24"/>
          <w:szCs w:val="24"/>
          <w:lang w:eastAsia="en-US"/>
        </w:rPr>
        <w:t>. London: Sage Publications Ltd.</w:t>
      </w:r>
    </w:p>
    <w:p w14:paraId="55B0482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Lambert, M. J. (1992) ‘Implications of outcome research for psychotherapy integration’, in </w:t>
      </w:r>
      <w:r w:rsidRPr="00AF64DF">
        <w:rPr>
          <w:rFonts w:eastAsia="Calibri"/>
          <w:i/>
          <w:color w:val="auto"/>
          <w:sz w:val="24"/>
          <w:szCs w:val="24"/>
          <w:lang w:eastAsia="en-US"/>
        </w:rPr>
        <w:t>Handbook of Psychotherapy Integration</w:t>
      </w:r>
      <w:r w:rsidRPr="00AF64DF">
        <w:rPr>
          <w:rFonts w:eastAsia="Calibri"/>
          <w:color w:val="auto"/>
          <w:sz w:val="24"/>
          <w:szCs w:val="24"/>
          <w:lang w:eastAsia="en-US"/>
        </w:rPr>
        <w:t>, (eds.), Norcross, J., C. and Goldfield, M., R. Basic Books: New York.</w:t>
      </w:r>
    </w:p>
    <w:p w14:paraId="66CC7693" w14:textId="58B659D7"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Laming, H. (2009), </w:t>
      </w:r>
      <w:r w:rsidRPr="00AF64DF">
        <w:rPr>
          <w:rFonts w:eastAsia="Calibri"/>
          <w:i/>
          <w:color w:val="auto"/>
          <w:sz w:val="24"/>
          <w:szCs w:val="24"/>
          <w:lang w:eastAsia="en-US"/>
        </w:rPr>
        <w:t>The Protection of Children in England. A Progress Report.</w:t>
      </w:r>
      <w:r w:rsidRPr="00AF64DF">
        <w:rPr>
          <w:rFonts w:eastAsia="Calibri"/>
          <w:color w:val="auto"/>
          <w:sz w:val="24"/>
          <w:szCs w:val="24"/>
          <w:lang w:eastAsia="en-US"/>
        </w:rPr>
        <w:t xml:space="preserve"> London: The Stationary Office Ltd. Available from: https://dera.ioe.ac.uk/8646/1/12_03_09_children.pdf. (Accessed 30 September 2025).</w:t>
      </w:r>
    </w:p>
    <w:p w14:paraId="66A17D7F" w14:textId="589C6A48" w:rsidR="00F04B06" w:rsidRPr="00AF64DF" w:rsidRDefault="00F04B06" w:rsidP="00AF64DF">
      <w:pPr>
        <w:overflowPunct/>
        <w:autoSpaceDE/>
        <w:autoSpaceDN/>
        <w:adjustRightInd/>
        <w:spacing w:after="160" w:line="360" w:lineRule="auto"/>
        <w:jc w:val="both"/>
        <w:textAlignment w:val="auto"/>
        <w:rPr>
          <w:rFonts w:eastAsia="Calibri"/>
          <w:color w:val="auto"/>
          <w:sz w:val="24"/>
          <w:szCs w:val="24"/>
          <w:lang w:eastAsia="en-US"/>
        </w:rPr>
      </w:pPr>
      <w:r w:rsidRPr="00F04B06">
        <w:rPr>
          <w:rFonts w:eastAsia="Calibri"/>
          <w:color w:val="auto"/>
          <w:sz w:val="24"/>
          <w:szCs w:val="24"/>
          <w:lang w:eastAsia="en-US"/>
        </w:rPr>
        <w:lastRenderedPageBreak/>
        <w:t xml:space="preserve">Leadbetter, C. (2004), </w:t>
      </w:r>
      <w:r w:rsidRPr="00F04B06">
        <w:rPr>
          <w:rFonts w:eastAsia="Calibri"/>
          <w:i/>
          <w:color w:val="auto"/>
          <w:sz w:val="24"/>
          <w:szCs w:val="24"/>
          <w:lang w:eastAsia="en-US"/>
        </w:rPr>
        <w:t>Personalisation through Participation</w:t>
      </w:r>
      <w:r w:rsidRPr="00F04B06">
        <w:rPr>
          <w:rFonts w:eastAsia="Calibri"/>
          <w:color w:val="auto"/>
          <w:sz w:val="24"/>
          <w:szCs w:val="24"/>
          <w:lang w:eastAsia="en-US"/>
        </w:rPr>
        <w:t>. London: Demos</w:t>
      </w:r>
    </w:p>
    <w:p w14:paraId="4CEDDC03"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Lefroy, L. (2023), ‘Applying the Principles of Coproduction’ in Livingston, W., Redcliffe, J. and Quinn-Aziz, A. (eds.) (2023), </w:t>
      </w:r>
      <w:r w:rsidRPr="00AF64DF">
        <w:rPr>
          <w:rFonts w:eastAsia="Calibri"/>
          <w:i/>
          <w:color w:val="auto"/>
          <w:sz w:val="24"/>
          <w:szCs w:val="24"/>
          <w:lang w:eastAsia="en-US"/>
        </w:rPr>
        <w:t xml:space="preserve">Social Work in Wales: Understanding Practice in a Devolved Context. </w:t>
      </w:r>
      <w:r w:rsidRPr="00AF64DF">
        <w:rPr>
          <w:rFonts w:eastAsia="Calibri"/>
          <w:color w:val="auto"/>
          <w:sz w:val="24"/>
          <w:szCs w:val="24"/>
          <w:lang w:eastAsia="en-US"/>
        </w:rPr>
        <w:t xml:space="preserve">Policy Press: Bristol. pp. 79-88. </w:t>
      </w:r>
    </w:p>
    <w:p w14:paraId="5C1E4D88"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Lishman, J. (2009), </w:t>
      </w:r>
      <w:r w:rsidRPr="00AF64DF">
        <w:rPr>
          <w:rFonts w:eastAsia="Calibri"/>
          <w:i/>
          <w:color w:val="auto"/>
          <w:sz w:val="24"/>
          <w:szCs w:val="24"/>
          <w:lang w:eastAsia="en-US"/>
        </w:rPr>
        <w:t>Communication in Social Work</w:t>
      </w:r>
      <w:r w:rsidRPr="00AF64DF">
        <w:rPr>
          <w:rFonts w:eastAsia="Calibri"/>
          <w:color w:val="auto"/>
          <w:sz w:val="24"/>
          <w:szCs w:val="24"/>
          <w:lang w:eastAsia="en-US"/>
        </w:rPr>
        <w:t>. 2nd ed. London: Palgrave MacMillan.</w:t>
      </w:r>
    </w:p>
    <w:p w14:paraId="1191509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Livingston, W. (2017), ‘</w:t>
      </w:r>
      <w:r w:rsidRPr="00AF64DF">
        <w:rPr>
          <w:rFonts w:eastAsia="Calibri"/>
          <w:i/>
          <w:color w:val="auto"/>
          <w:sz w:val="24"/>
          <w:szCs w:val="24"/>
          <w:lang w:eastAsia="en-US"/>
        </w:rPr>
        <w:t>Learning about Alcohol: Personal Experiences Taken into Social Work Practice’, Practice</w:t>
      </w:r>
      <w:r w:rsidRPr="00AF64DF">
        <w:rPr>
          <w:rFonts w:eastAsia="Calibri"/>
          <w:color w:val="auto"/>
          <w:sz w:val="24"/>
          <w:szCs w:val="24"/>
          <w:lang w:eastAsia="en-US"/>
        </w:rPr>
        <w:t>, Vol. 29, No.1, pp. 3-18. (Available from: http://www.tandfonline.com/doi/full/10.1080/095031) (Accessed 28th May 2025).</w:t>
      </w:r>
    </w:p>
    <w:p w14:paraId="0ECCB5A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Manthorpe, J., Klee, D., Williams, C. and Cooper, A. (2014), ‘Making safeguarding personal: developing responses and enhancing skills’, </w:t>
      </w:r>
      <w:r w:rsidRPr="00AF64DF">
        <w:rPr>
          <w:rFonts w:eastAsia="Calibri"/>
          <w:i/>
          <w:color w:val="auto"/>
          <w:sz w:val="24"/>
          <w:szCs w:val="24"/>
          <w:lang w:eastAsia="en-US"/>
        </w:rPr>
        <w:t>Journal for Adult Protection</w:t>
      </w:r>
      <w:r w:rsidRPr="00AF64DF">
        <w:rPr>
          <w:rFonts w:eastAsia="Calibri"/>
          <w:color w:val="auto"/>
          <w:sz w:val="24"/>
          <w:szCs w:val="24"/>
          <w:lang w:eastAsia="en-US"/>
        </w:rPr>
        <w:t xml:space="preserve">, Vol.16, No. 2, pp. 96-103. </w:t>
      </w:r>
    </w:p>
    <w:p w14:paraId="5E62700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Mental Capacity Act 2005. London: HMSO. Available from: https://www.legislation.gov.uk/ukpga/2005/9/contents. (Accessed 7 September 2025).</w:t>
      </w:r>
    </w:p>
    <w:p w14:paraId="016FE57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Mental Capacity Act Code of Practice (2007).</w:t>
      </w:r>
      <w:r w:rsidRPr="00AF64DF">
        <w:rPr>
          <w:rFonts w:eastAsia="Calibri"/>
          <w:color w:val="auto"/>
          <w:sz w:val="24"/>
          <w:szCs w:val="24"/>
          <w:lang w:eastAsia="en-US"/>
        </w:rPr>
        <w:t xml:space="preserve"> London: Office of the Public Guardian. Available from:  https://www.gov.uk/government/publications/mental-capacity-act-code-of-practice. (Accessed 10 September 2025).</w:t>
      </w:r>
    </w:p>
    <w:p w14:paraId="3CC3509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Mathew, J. (2018), </w:t>
      </w:r>
      <w:r w:rsidRPr="00AF64DF">
        <w:rPr>
          <w:rFonts w:eastAsia="Calibri"/>
          <w:i/>
          <w:color w:val="auto"/>
          <w:sz w:val="24"/>
          <w:szCs w:val="24"/>
          <w:lang w:eastAsia="en-US"/>
        </w:rPr>
        <w:t>Working with Troubled Teenagers and Children</w:t>
      </w:r>
      <w:r w:rsidRPr="00AF64DF">
        <w:rPr>
          <w:rFonts w:eastAsia="Calibri"/>
          <w:color w:val="auto"/>
          <w:sz w:val="24"/>
          <w:szCs w:val="24"/>
          <w:lang w:eastAsia="en-US"/>
        </w:rPr>
        <w:t>. London: Jessica Kingsley Publishers.</w:t>
      </w:r>
    </w:p>
    <w:p w14:paraId="2BF861F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Maclean, S., Finch, J. and Tedam, P. (2018), </w:t>
      </w:r>
      <w:r w:rsidRPr="00AF64DF">
        <w:rPr>
          <w:rFonts w:eastAsia="Calibri"/>
          <w:i/>
          <w:color w:val="auto"/>
          <w:sz w:val="24"/>
          <w:szCs w:val="24"/>
          <w:lang w:eastAsia="en-US"/>
        </w:rPr>
        <w:t>Share : A New Model For Social Work.</w:t>
      </w:r>
      <w:r w:rsidRPr="00AF64DF">
        <w:rPr>
          <w:rFonts w:eastAsia="Calibri"/>
          <w:color w:val="auto"/>
          <w:sz w:val="24"/>
          <w:szCs w:val="24"/>
          <w:lang w:eastAsia="en-US"/>
        </w:rPr>
        <w:t xml:space="preserve"> Kirwin Maclean Associates.</w:t>
      </w:r>
    </w:p>
    <w:p w14:paraId="72D3183E"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Morris, K. and Burford, G. (2017), ‘Engaging Families and Managing Risk in Practice’ in Connolly, M. (ed.), </w:t>
      </w:r>
      <w:r w:rsidRPr="00AF64DF">
        <w:rPr>
          <w:rFonts w:eastAsia="Calibri"/>
          <w:i/>
          <w:color w:val="auto"/>
          <w:sz w:val="24"/>
          <w:szCs w:val="24"/>
          <w:lang w:eastAsia="en-US"/>
        </w:rPr>
        <w:t>Beyond the Risk Paradigm in Child Protection</w:t>
      </w:r>
      <w:r w:rsidRPr="00AF64DF">
        <w:rPr>
          <w:rFonts w:eastAsia="Calibri"/>
          <w:color w:val="auto"/>
          <w:sz w:val="24"/>
          <w:szCs w:val="24"/>
          <w:lang w:eastAsia="en-US"/>
        </w:rPr>
        <w:t>. London: Palgrave. pp. 91-110.</w:t>
      </w:r>
    </w:p>
    <w:p w14:paraId="275608B9" w14:textId="4EA853A9"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Munro, E. (2011), </w:t>
      </w:r>
      <w:r w:rsidRPr="00AF64DF">
        <w:rPr>
          <w:rFonts w:eastAsia="Calibri"/>
          <w:i/>
          <w:color w:val="auto"/>
          <w:sz w:val="24"/>
          <w:szCs w:val="24"/>
          <w:lang w:eastAsia="en-US"/>
        </w:rPr>
        <w:t xml:space="preserve">The Munro Review of Child Protection: Final Report. A Child Centred System. </w:t>
      </w:r>
      <w:r w:rsidRPr="00AF64DF">
        <w:rPr>
          <w:rFonts w:eastAsia="Calibri"/>
          <w:color w:val="auto"/>
          <w:sz w:val="24"/>
          <w:szCs w:val="24"/>
          <w:lang w:eastAsia="en-US"/>
        </w:rPr>
        <w:t>London: The Stationery Office Limited. Available at:  www.gov.uk/official-documents. (Accessed:  7</w:t>
      </w:r>
      <w:r w:rsidR="000F571C">
        <w:rPr>
          <w:rFonts w:eastAsia="Calibri"/>
          <w:color w:val="auto"/>
          <w:sz w:val="24"/>
          <w:szCs w:val="24"/>
          <w:lang w:eastAsia="en-US"/>
        </w:rPr>
        <w:t xml:space="preserve"> </w:t>
      </w:r>
      <w:r w:rsidRPr="00AF64DF">
        <w:rPr>
          <w:rFonts w:eastAsia="Calibri"/>
          <w:color w:val="auto"/>
          <w:sz w:val="24"/>
          <w:szCs w:val="24"/>
          <w:lang w:eastAsia="en-US"/>
        </w:rPr>
        <w:t>September 2025)</w:t>
      </w:r>
      <w:r w:rsidR="000F571C">
        <w:rPr>
          <w:rFonts w:eastAsia="Calibri"/>
          <w:color w:val="auto"/>
          <w:sz w:val="24"/>
          <w:szCs w:val="24"/>
          <w:lang w:eastAsia="en-US"/>
        </w:rPr>
        <w:t>.</w:t>
      </w:r>
    </w:p>
    <w:p w14:paraId="2A9E50DD" w14:textId="7BCAFB10" w:rsidR="007B4607" w:rsidRPr="00AF64DF" w:rsidRDefault="007B4607" w:rsidP="00AF64DF">
      <w:pPr>
        <w:overflowPunct/>
        <w:autoSpaceDE/>
        <w:autoSpaceDN/>
        <w:adjustRightInd/>
        <w:spacing w:after="160" w:line="360" w:lineRule="auto"/>
        <w:jc w:val="both"/>
        <w:textAlignment w:val="auto"/>
        <w:rPr>
          <w:rFonts w:eastAsia="Calibri"/>
          <w:color w:val="auto"/>
          <w:sz w:val="24"/>
          <w:szCs w:val="24"/>
          <w:lang w:eastAsia="en-US"/>
        </w:rPr>
      </w:pPr>
      <w:r w:rsidRPr="007B4607">
        <w:rPr>
          <w:rFonts w:eastAsia="Calibri"/>
          <w:color w:val="auto"/>
          <w:sz w:val="24"/>
          <w:szCs w:val="24"/>
          <w:lang w:eastAsia="en-US"/>
        </w:rPr>
        <w:lastRenderedPageBreak/>
        <w:t>Neal, D., Regan, A., and Doel, M. (2016). ‘Observations of Student Practice: What Difference Does</w:t>
      </w:r>
      <w:r>
        <w:rPr>
          <w:rFonts w:eastAsia="Calibri"/>
          <w:color w:val="auto"/>
          <w:sz w:val="24"/>
          <w:szCs w:val="24"/>
          <w:lang w:eastAsia="en-US"/>
        </w:rPr>
        <w:t xml:space="preserve"> Observer Qualification Make?’ i</w:t>
      </w:r>
      <w:r w:rsidRPr="007B4607">
        <w:rPr>
          <w:rFonts w:eastAsia="Calibri"/>
          <w:color w:val="auto"/>
          <w:sz w:val="24"/>
          <w:szCs w:val="24"/>
          <w:lang w:eastAsia="en-US"/>
        </w:rPr>
        <w:t>n A. Bellinger &amp; D. Ford (ed</w:t>
      </w:r>
      <w:r>
        <w:rPr>
          <w:rFonts w:eastAsia="Calibri"/>
          <w:color w:val="auto"/>
          <w:sz w:val="24"/>
          <w:szCs w:val="24"/>
          <w:lang w:eastAsia="en-US"/>
        </w:rPr>
        <w:t>.</w:t>
      </w:r>
      <w:r w:rsidRPr="007B4607">
        <w:rPr>
          <w:rFonts w:eastAsia="Calibri"/>
          <w:color w:val="auto"/>
          <w:sz w:val="24"/>
          <w:szCs w:val="24"/>
          <w:lang w:eastAsia="en-US"/>
        </w:rPr>
        <w:t>)</w:t>
      </w:r>
      <w:r>
        <w:rPr>
          <w:rFonts w:eastAsia="Calibri"/>
          <w:color w:val="auto"/>
          <w:sz w:val="24"/>
          <w:szCs w:val="24"/>
          <w:lang w:eastAsia="en-US"/>
        </w:rPr>
        <w:t>,</w:t>
      </w:r>
      <w:r w:rsidRPr="007B4607">
        <w:rPr>
          <w:rFonts w:eastAsia="Calibri"/>
          <w:color w:val="auto"/>
          <w:sz w:val="24"/>
          <w:szCs w:val="24"/>
          <w:lang w:eastAsia="en-US"/>
        </w:rPr>
        <w:t xml:space="preserve"> </w:t>
      </w:r>
      <w:bookmarkStart w:id="0" w:name="_GoBack"/>
      <w:r w:rsidRPr="007B4607">
        <w:rPr>
          <w:rFonts w:eastAsia="Calibri"/>
          <w:i/>
          <w:color w:val="auto"/>
          <w:sz w:val="24"/>
          <w:szCs w:val="24"/>
          <w:lang w:eastAsia="en-US"/>
        </w:rPr>
        <w:t>Practice Placement in Social Work: Innovative Approaches for Effective Teaching and Learning</w:t>
      </w:r>
      <w:bookmarkEnd w:id="0"/>
      <w:r w:rsidRPr="007B4607">
        <w:rPr>
          <w:rFonts w:eastAsia="Calibri"/>
          <w:color w:val="auto"/>
          <w:sz w:val="24"/>
          <w:szCs w:val="24"/>
          <w:lang w:eastAsia="en-US"/>
        </w:rPr>
        <w:t>. Bristol: University Press</w:t>
      </w:r>
    </w:p>
    <w:p w14:paraId="2A9960F9" w14:textId="44B4D469"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NSPCC (2022.b), Gillick competency and Fraser guidelines. Available from: https://learning.nspcc.org.uk/child-protection-system/gillick-competence-fraser-guidelines#case-history-legislation-and-guidance. (Accessed 7 September, 2025)</w:t>
      </w:r>
      <w:r w:rsidR="000F571C">
        <w:rPr>
          <w:rFonts w:eastAsia="Calibri"/>
          <w:color w:val="auto"/>
          <w:sz w:val="24"/>
          <w:szCs w:val="24"/>
          <w:lang w:eastAsia="en-US"/>
        </w:rPr>
        <w:t>.</w:t>
      </w:r>
    </w:p>
    <w:p w14:paraId="5929FA09"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NSPCC (2024), Child Protection Systems in Wales. Available from: https://www.childcomwales.org.uk/wp-content/uploads/2024/02/202402-Childrens-Commissioner-for-Wales-Right-Way-Social-Care-English.pdf. (Accessed 4 September, 2025).</w:t>
      </w:r>
    </w:p>
    <w:p w14:paraId="3A6A1358"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Oko, J. (2011), </w:t>
      </w:r>
      <w:r w:rsidRPr="00AF64DF">
        <w:rPr>
          <w:rFonts w:eastAsia="Calibri"/>
          <w:i/>
          <w:color w:val="auto"/>
          <w:sz w:val="24"/>
          <w:szCs w:val="24"/>
          <w:lang w:eastAsia="en-US"/>
        </w:rPr>
        <w:t>Understanding and Using Theory in Social Work</w:t>
      </w:r>
      <w:r w:rsidRPr="00AF64DF">
        <w:rPr>
          <w:rFonts w:eastAsia="Calibri"/>
          <w:color w:val="auto"/>
          <w:sz w:val="24"/>
          <w:szCs w:val="24"/>
          <w:lang w:eastAsia="en-US"/>
        </w:rPr>
        <w:t>.  2ND ed. Exeter: Learning Matters.</w:t>
      </w:r>
    </w:p>
    <w:p w14:paraId="1274FC4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Older People’s Commissioner for Wales. (2024), Welsh Government: Self-Neglect Policy Guidance. Available from: </w:t>
      </w:r>
      <w:hyperlink r:id="rId18" w:history="1">
        <w:r w:rsidRPr="00AF64DF">
          <w:rPr>
            <w:rFonts w:eastAsia="Calibri"/>
            <w:color w:val="0563C1"/>
            <w:sz w:val="24"/>
            <w:szCs w:val="24"/>
            <w:u w:val="single"/>
            <w:lang w:eastAsia="en-US"/>
          </w:rPr>
          <w:t>https://olderpeople.wales/welsh-government-self-neglect-practice-guide/</w:t>
        </w:r>
      </w:hyperlink>
      <w:r w:rsidRPr="00AF64DF">
        <w:rPr>
          <w:rFonts w:eastAsia="Calibri"/>
          <w:color w:val="auto"/>
          <w:sz w:val="24"/>
          <w:szCs w:val="24"/>
          <w:lang w:eastAsia="en-US"/>
        </w:rPr>
        <w:t xml:space="preserve">. (Accessed 12 September 2025). </w:t>
      </w:r>
    </w:p>
    <w:p w14:paraId="2CFED31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Oliver, M. (1996). </w:t>
      </w:r>
      <w:r w:rsidRPr="00AF64DF">
        <w:rPr>
          <w:rFonts w:eastAsia="Calibri"/>
          <w:i/>
          <w:color w:val="auto"/>
          <w:sz w:val="24"/>
          <w:szCs w:val="24"/>
          <w:lang w:eastAsia="en-US"/>
        </w:rPr>
        <w:t>Understanding Disability: From Theory to Practice.</w:t>
      </w:r>
      <w:r w:rsidRPr="00AF64DF">
        <w:rPr>
          <w:rFonts w:eastAsia="Calibri"/>
          <w:color w:val="auto"/>
          <w:sz w:val="24"/>
          <w:szCs w:val="24"/>
          <w:lang w:eastAsia="en-US"/>
        </w:rPr>
        <w:t xml:space="preserve"> New York: St. Martin's Press.</w:t>
      </w:r>
    </w:p>
    <w:p w14:paraId="46F4BBA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Parker. J, and Bradley, G. (2010), </w:t>
      </w:r>
      <w:r w:rsidRPr="00AF64DF">
        <w:rPr>
          <w:rFonts w:eastAsia="Calibri"/>
          <w:i/>
          <w:color w:val="auto"/>
          <w:sz w:val="24"/>
          <w:szCs w:val="24"/>
          <w:lang w:eastAsia="en-US"/>
        </w:rPr>
        <w:t>Assessment, Planning, Intervention and Review.</w:t>
      </w:r>
      <w:r w:rsidRPr="00AF64DF">
        <w:rPr>
          <w:rFonts w:eastAsia="Calibri"/>
          <w:color w:val="auto"/>
          <w:sz w:val="24"/>
          <w:szCs w:val="24"/>
          <w:lang w:eastAsia="en-US"/>
        </w:rPr>
        <w:t xml:space="preserve"> 3rd ed. Exeter: Learning Matters Ltd.</w:t>
      </w:r>
    </w:p>
    <w:p w14:paraId="35D096A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Penhale, B. and Young, J. (2015), </w:t>
      </w:r>
      <w:r w:rsidRPr="00AF64DF">
        <w:rPr>
          <w:rFonts w:eastAsia="Calibri"/>
          <w:i/>
          <w:color w:val="auto"/>
          <w:sz w:val="24"/>
          <w:szCs w:val="24"/>
          <w:lang w:eastAsia="en-US"/>
        </w:rPr>
        <w:t>Review of the literature concerning what the public and users of social work in England think about the conduct and competence of social workers</w:t>
      </w:r>
      <w:r w:rsidRPr="00AF64DF">
        <w:rPr>
          <w:rFonts w:eastAsia="Calibri"/>
          <w:color w:val="auto"/>
          <w:sz w:val="24"/>
          <w:szCs w:val="24"/>
          <w:lang w:eastAsia="en-US"/>
        </w:rPr>
        <w:t>. Norwich: UEA Consulting Ltd. Available from: https://academic.oup.com/bjsw/article/52/2/1110/6279240) (Accessed 24 August 2025).</w:t>
      </w:r>
    </w:p>
    <w:p w14:paraId="1E30E82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Parrott, L. (2014), </w:t>
      </w:r>
      <w:r w:rsidRPr="00AF64DF">
        <w:rPr>
          <w:rFonts w:eastAsia="Calibri"/>
          <w:i/>
          <w:color w:val="auto"/>
          <w:sz w:val="24"/>
          <w:szCs w:val="24"/>
          <w:lang w:eastAsia="en-US"/>
        </w:rPr>
        <w:t>Values and Ethics in Social Work Practice.</w:t>
      </w:r>
      <w:r w:rsidRPr="00AF64DF">
        <w:rPr>
          <w:rFonts w:eastAsia="Calibri"/>
          <w:color w:val="auto"/>
          <w:sz w:val="24"/>
          <w:szCs w:val="24"/>
          <w:lang w:eastAsia="en-US"/>
        </w:rPr>
        <w:t xml:space="preserve"> 3rd ed. London: SAGE Publications Ltd.</w:t>
      </w:r>
    </w:p>
    <w:p w14:paraId="5546E553"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Pavlenko, A. (2006), ‘Bilingual Selves’ in Pavlenko, A (ed) Bilingual Minds: </w:t>
      </w:r>
      <w:r w:rsidRPr="00AF64DF">
        <w:rPr>
          <w:rFonts w:eastAsia="Calibri"/>
          <w:i/>
          <w:color w:val="auto"/>
          <w:sz w:val="24"/>
          <w:szCs w:val="24"/>
          <w:lang w:eastAsia="en-US"/>
        </w:rPr>
        <w:t>Emotional Experience, Expression and Representation</w:t>
      </w:r>
      <w:r w:rsidRPr="00AF64DF">
        <w:rPr>
          <w:rFonts w:eastAsia="Calibri"/>
          <w:color w:val="auto"/>
          <w:sz w:val="24"/>
          <w:szCs w:val="24"/>
          <w:lang w:eastAsia="en-US"/>
        </w:rPr>
        <w:t>. Clevedon: Multilingual Matters</w:t>
      </w:r>
    </w:p>
    <w:p w14:paraId="1BD89418" w14:textId="675343C7"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 xml:space="preserve">Payne, C. (1991), ‘The systems approach’ in J. Lishman (ed.), </w:t>
      </w:r>
      <w:r w:rsidRPr="00AF64DF">
        <w:rPr>
          <w:rFonts w:eastAsia="Calibri"/>
          <w:i/>
          <w:color w:val="auto"/>
          <w:sz w:val="24"/>
          <w:szCs w:val="24"/>
          <w:lang w:eastAsia="en-US"/>
        </w:rPr>
        <w:t xml:space="preserve">Handbook of Theory for Practice Teachers in Social Work. </w:t>
      </w:r>
      <w:r w:rsidRPr="00AF64DF">
        <w:rPr>
          <w:rFonts w:eastAsia="Calibri"/>
          <w:color w:val="auto"/>
          <w:sz w:val="24"/>
          <w:szCs w:val="24"/>
          <w:lang w:eastAsia="en-US"/>
        </w:rPr>
        <w:t>London: Jessica Kingsley</w:t>
      </w:r>
    </w:p>
    <w:p w14:paraId="005C06A8" w14:textId="1B1D2044" w:rsidR="00CD0513" w:rsidRPr="00AF64DF" w:rsidRDefault="00CD0513" w:rsidP="00AF64DF">
      <w:pPr>
        <w:overflowPunct/>
        <w:autoSpaceDE/>
        <w:autoSpaceDN/>
        <w:adjustRightInd/>
        <w:spacing w:after="160" w:line="360" w:lineRule="auto"/>
        <w:jc w:val="both"/>
        <w:textAlignment w:val="auto"/>
        <w:rPr>
          <w:rFonts w:eastAsia="Calibri"/>
          <w:color w:val="auto"/>
          <w:sz w:val="24"/>
          <w:szCs w:val="24"/>
          <w:lang w:eastAsia="en-US"/>
        </w:rPr>
      </w:pPr>
      <w:r w:rsidRPr="00CD0513">
        <w:rPr>
          <w:rFonts w:eastAsia="Calibri"/>
          <w:color w:val="auto"/>
          <w:sz w:val="24"/>
          <w:szCs w:val="24"/>
          <w:lang w:eastAsia="en-US"/>
        </w:rPr>
        <w:t>Pomeroy,</w:t>
      </w:r>
      <w:r>
        <w:rPr>
          <w:rFonts w:eastAsia="Calibri"/>
          <w:color w:val="auto"/>
          <w:sz w:val="24"/>
          <w:szCs w:val="24"/>
          <w:lang w:eastAsia="en-US"/>
        </w:rPr>
        <w:t xml:space="preserve"> E .C. and </w:t>
      </w:r>
      <w:r w:rsidRPr="00CD0513">
        <w:rPr>
          <w:rFonts w:eastAsia="Calibri"/>
          <w:color w:val="auto"/>
          <w:sz w:val="24"/>
          <w:szCs w:val="24"/>
          <w:lang w:eastAsia="en-US"/>
        </w:rPr>
        <w:t>Nonaka,</w:t>
      </w:r>
      <w:r>
        <w:rPr>
          <w:rFonts w:eastAsia="Calibri"/>
          <w:color w:val="auto"/>
          <w:sz w:val="24"/>
          <w:szCs w:val="24"/>
          <w:lang w:eastAsia="en-US"/>
        </w:rPr>
        <w:t xml:space="preserve"> C. (2013),</w:t>
      </w:r>
      <w:r w:rsidRPr="00CD0513">
        <w:rPr>
          <w:rFonts w:eastAsia="Calibri"/>
          <w:color w:val="auto"/>
          <w:sz w:val="24"/>
          <w:szCs w:val="24"/>
          <w:lang w:eastAsia="en-US"/>
        </w:rPr>
        <w:t xml:space="preserve"> Language and Social Work: Are We Re</w:t>
      </w:r>
      <w:r w:rsidR="00EA66E0">
        <w:rPr>
          <w:rFonts w:eastAsia="Calibri"/>
          <w:color w:val="auto"/>
          <w:sz w:val="24"/>
          <w:szCs w:val="24"/>
          <w:lang w:eastAsia="en-US"/>
        </w:rPr>
        <w:t>ally Communicating Effectively.</w:t>
      </w:r>
      <w:r w:rsidRPr="00CD0513">
        <w:rPr>
          <w:rFonts w:eastAsia="Calibri"/>
          <w:color w:val="auto"/>
          <w:sz w:val="24"/>
          <w:szCs w:val="24"/>
          <w:lang w:eastAsia="en-US"/>
        </w:rPr>
        <w:t xml:space="preserve"> </w:t>
      </w:r>
      <w:r w:rsidRPr="00CD0513">
        <w:rPr>
          <w:rFonts w:eastAsia="Calibri"/>
          <w:i/>
          <w:color w:val="auto"/>
          <w:sz w:val="24"/>
          <w:szCs w:val="24"/>
          <w:lang w:eastAsia="en-US"/>
        </w:rPr>
        <w:t>Social Work</w:t>
      </w:r>
      <w:r>
        <w:rPr>
          <w:rFonts w:eastAsia="Calibri"/>
          <w:color w:val="auto"/>
          <w:sz w:val="24"/>
          <w:szCs w:val="24"/>
          <w:lang w:eastAsia="en-US"/>
        </w:rPr>
        <w:t xml:space="preserve">, Vol. 58, No. 2, pp. </w:t>
      </w:r>
      <w:r w:rsidRPr="00CD0513">
        <w:rPr>
          <w:rFonts w:eastAsia="Calibri"/>
          <w:color w:val="auto"/>
          <w:sz w:val="24"/>
          <w:szCs w:val="24"/>
          <w:lang w:eastAsia="en-US"/>
        </w:rPr>
        <w:t>101–104</w:t>
      </w:r>
      <w:r>
        <w:rPr>
          <w:rFonts w:eastAsia="Calibri"/>
          <w:color w:val="auto"/>
          <w:sz w:val="24"/>
          <w:szCs w:val="24"/>
          <w:lang w:eastAsia="en-US"/>
        </w:rPr>
        <w:t>.</w:t>
      </w:r>
    </w:p>
    <w:p w14:paraId="5EB6289F" w14:textId="77777777" w:rsidR="00AF64DF" w:rsidRPr="00AF64DF" w:rsidRDefault="00AF64DF" w:rsidP="00AF64DF">
      <w:pPr>
        <w:overflowPunct/>
        <w:autoSpaceDE/>
        <w:autoSpaceDN/>
        <w:adjustRightInd/>
        <w:spacing w:after="160" w:line="360" w:lineRule="auto"/>
        <w:jc w:val="both"/>
        <w:textAlignment w:val="auto"/>
        <w:rPr>
          <w:rFonts w:eastAsia="Calibri"/>
          <w:color w:val="3A3A3A"/>
          <w:sz w:val="24"/>
          <w:szCs w:val="24"/>
          <w:shd w:val="clear" w:color="auto" w:fill="FFFFFF"/>
          <w:lang w:eastAsia="en-US"/>
        </w:rPr>
      </w:pPr>
      <w:r w:rsidRPr="00AF64DF">
        <w:rPr>
          <w:rFonts w:eastAsia="Calibri"/>
          <w:color w:val="3A3A3A"/>
          <w:sz w:val="24"/>
          <w:szCs w:val="24"/>
          <w:shd w:val="clear" w:color="auto" w:fill="FFFFFF"/>
          <w:lang w:eastAsia="en-US"/>
        </w:rPr>
        <w:t>Preston-Shoot, M. (2020). Safeguarding adult reviews: informing and enriching policy and practice on self-neglect. </w:t>
      </w:r>
      <w:r w:rsidRPr="00AF64DF">
        <w:rPr>
          <w:rFonts w:eastAsia="Calibri"/>
          <w:i/>
          <w:iCs/>
          <w:color w:val="3A3A3A"/>
          <w:sz w:val="24"/>
          <w:szCs w:val="24"/>
          <w:shd w:val="clear" w:color="auto" w:fill="FFFFFF"/>
          <w:lang w:eastAsia="en-US"/>
        </w:rPr>
        <w:t>The Journal of Adult Protection</w:t>
      </w:r>
      <w:r w:rsidRPr="00AF64DF">
        <w:rPr>
          <w:rFonts w:eastAsia="Calibri"/>
          <w:color w:val="3A3A3A"/>
          <w:sz w:val="24"/>
          <w:szCs w:val="24"/>
          <w:shd w:val="clear" w:color="auto" w:fill="FFFFFF"/>
          <w:lang w:eastAsia="en-US"/>
        </w:rPr>
        <w:t xml:space="preserve">, Vol. </w:t>
      </w:r>
      <w:r w:rsidRPr="00AF64DF">
        <w:rPr>
          <w:rFonts w:eastAsia="Calibri"/>
          <w:i/>
          <w:iCs/>
          <w:color w:val="3A3A3A"/>
          <w:sz w:val="24"/>
          <w:szCs w:val="24"/>
          <w:shd w:val="clear" w:color="auto" w:fill="FFFFFF"/>
          <w:lang w:eastAsia="en-US"/>
        </w:rPr>
        <w:t xml:space="preserve">22, No. </w:t>
      </w:r>
      <w:r w:rsidRPr="00AF64DF">
        <w:rPr>
          <w:rFonts w:eastAsia="Calibri"/>
          <w:color w:val="3A3A3A"/>
          <w:sz w:val="24"/>
          <w:szCs w:val="24"/>
          <w:shd w:val="clear" w:color="auto" w:fill="FFFFFF"/>
          <w:lang w:eastAsia="en-US"/>
        </w:rPr>
        <w:t xml:space="preserve">4, pp. 199–215. </w:t>
      </w:r>
    </w:p>
    <w:p w14:paraId="0D4135AE" w14:textId="77777777" w:rsidR="00AF64DF" w:rsidRPr="00AF64DF" w:rsidRDefault="00AF64DF" w:rsidP="00AF64DF">
      <w:pPr>
        <w:overflowPunct/>
        <w:autoSpaceDE/>
        <w:autoSpaceDN/>
        <w:adjustRightInd/>
        <w:spacing w:after="160" w:line="360" w:lineRule="auto"/>
        <w:jc w:val="both"/>
        <w:textAlignment w:val="auto"/>
        <w:rPr>
          <w:rFonts w:eastAsia="Calibri"/>
          <w:color w:val="3A3A3A"/>
          <w:sz w:val="24"/>
          <w:szCs w:val="24"/>
          <w:shd w:val="clear" w:color="auto" w:fill="FFFFFF"/>
          <w:lang w:eastAsia="en-US"/>
        </w:rPr>
      </w:pPr>
      <w:r w:rsidRPr="00AF64DF">
        <w:rPr>
          <w:rFonts w:eastAsia="Calibri"/>
          <w:color w:val="3A3A3A"/>
          <w:sz w:val="24"/>
          <w:szCs w:val="24"/>
          <w:shd w:val="clear" w:color="auto" w:fill="FFFFFF"/>
          <w:lang w:eastAsia="en-US"/>
        </w:rPr>
        <w:t xml:space="preserve">Pritchard, J. (2009), </w:t>
      </w:r>
      <w:r w:rsidRPr="00AF64DF">
        <w:rPr>
          <w:rFonts w:eastAsia="Calibri"/>
          <w:i/>
          <w:color w:val="3A3A3A"/>
          <w:sz w:val="24"/>
          <w:szCs w:val="24"/>
          <w:shd w:val="clear" w:color="auto" w:fill="FFFFFF"/>
          <w:lang w:eastAsia="en-US"/>
        </w:rPr>
        <w:t>Good Practice in the Law and Safeguarding Adults</w:t>
      </w:r>
      <w:r w:rsidRPr="00AF64DF">
        <w:rPr>
          <w:rFonts w:eastAsia="Calibri"/>
          <w:color w:val="3A3A3A"/>
          <w:sz w:val="24"/>
          <w:szCs w:val="24"/>
          <w:shd w:val="clear" w:color="auto" w:fill="FFFFFF"/>
          <w:lang w:eastAsia="en-US"/>
        </w:rPr>
        <w:t>. London: Jessica Kingsley Publishers.</w:t>
      </w:r>
    </w:p>
    <w:p w14:paraId="7DDBA1F1" w14:textId="10B6D81B" w:rsidR="00D60CD6" w:rsidRDefault="00AF64DF" w:rsidP="00AF64DF">
      <w:pPr>
        <w:overflowPunct/>
        <w:autoSpaceDE/>
        <w:autoSpaceDN/>
        <w:adjustRightInd/>
        <w:spacing w:after="160" w:line="360" w:lineRule="auto"/>
        <w:jc w:val="both"/>
        <w:textAlignment w:val="auto"/>
        <w:rPr>
          <w:rFonts w:eastAsia="Calibri"/>
          <w:color w:val="3A3A3A"/>
          <w:sz w:val="24"/>
          <w:szCs w:val="24"/>
          <w:shd w:val="clear" w:color="auto" w:fill="FFFFFF"/>
          <w:lang w:eastAsia="en-US"/>
        </w:rPr>
      </w:pPr>
      <w:r w:rsidRPr="00AF64DF">
        <w:rPr>
          <w:rFonts w:eastAsia="Calibri"/>
          <w:color w:val="3A3A3A"/>
          <w:sz w:val="24"/>
          <w:szCs w:val="24"/>
          <w:shd w:val="clear" w:color="auto" w:fill="FFFFFF"/>
          <w:lang w:eastAsia="en-US"/>
        </w:rPr>
        <w:t xml:space="preserve">Prochaska, J. O. and DiClemente C.C. (1986), ‘Towards a comprehensive model of change’ in W. N. Miller, and N. Heather (eds.), </w:t>
      </w:r>
      <w:r w:rsidRPr="00AF64DF">
        <w:rPr>
          <w:rFonts w:eastAsia="Calibri"/>
          <w:i/>
          <w:color w:val="3A3A3A"/>
          <w:sz w:val="24"/>
          <w:szCs w:val="24"/>
          <w:shd w:val="clear" w:color="auto" w:fill="FFFFFF"/>
          <w:lang w:eastAsia="en-US"/>
        </w:rPr>
        <w:t xml:space="preserve">Treating Addictive Behaviours: Processes of Change. </w:t>
      </w:r>
      <w:r w:rsidRPr="00AF64DF">
        <w:rPr>
          <w:rFonts w:eastAsia="Calibri"/>
          <w:color w:val="3A3A3A"/>
          <w:sz w:val="24"/>
          <w:szCs w:val="24"/>
          <w:shd w:val="clear" w:color="auto" w:fill="FFFFFF"/>
          <w:lang w:eastAsia="en-US"/>
        </w:rPr>
        <w:t>pp 3-27. New York: Plenum Press.</w:t>
      </w:r>
    </w:p>
    <w:p w14:paraId="518D4C43" w14:textId="63294F87" w:rsidR="00D60CD6" w:rsidRPr="00AF64DF" w:rsidRDefault="00D60CD6" w:rsidP="00AF64DF">
      <w:pPr>
        <w:overflowPunct/>
        <w:autoSpaceDE/>
        <w:autoSpaceDN/>
        <w:adjustRightInd/>
        <w:spacing w:after="160" w:line="360" w:lineRule="auto"/>
        <w:jc w:val="both"/>
        <w:textAlignment w:val="auto"/>
        <w:rPr>
          <w:rFonts w:eastAsia="Calibri"/>
          <w:color w:val="3A3A3A"/>
          <w:sz w:val="24"/>
          <w:szCs w:val="24"/>
          <w:shd w:val="clear" w:color="auto" w:fill="FFFFFF"/>
          <w:lang w:eastAsia="en-US"/>
        </w:rPr>
      </w:pPr>
      <w:r w:rsidRPr="00D60CD6">
        <w:rPr>
          <w:rFonts w:eastAsia="Calibri"/>
          <w:color w:val="3A3A3A"/>
          <w:sz w:val="24"/>
          <w:szCs w:val="24"/>
          <w:shd w:val="clear" w:color="auto" w:fill="FFFFFF"/>
          <w:lang w:eastAsia="en-US"/>
        </w:rPr>
        <w:t xml:space="preserve">Public Health Wales. (2021), </w:t>
      </w:r>
      <w:r w:rsidRPr="00D60CD6">
        <w:rPr>
          <w:rFonts w:eastAsia="Calibri"/>
          <w:i/>
          <w:color w:val="3A3A3A"/>
          <w:sz w:val="24"/>
          <w:szCs w:val="24"/>
          <w:shd w:val="clear" w:color="auto" w:fill="FFFFFF"/>
          <w:lang w:eastAsia="en-US"/>
        </w:rPr>
        <w:t>Safeguarding Policy</w:t>
      </w:r>
      <w:r w:rsidRPr="00D60CD6">
        <w:rPr>
          <w:rFonts w:eastAsia="Calibri"/>
          <w:color w:val="3A3A3A"/>
          <w:sz w:val="24"/>
          <w:szCs w:val="24"/>
          <w:shd w:val="clear" w:color="auto" w:fill="FFFFFF"/>
          <w:lang w:eastAsia="en-US"/>
        </w:rPr>
        <w:t>. Available from: https://phw.nhs.wales/about-us/policies-and-procedures/policies-and-procedures-documents/safeguarding-vulnerable-children-and-adults-policies/safeguarding-policy. (Accessed 13 August 2025).</w:t>
      </w:r>
    </w:p>
    <w:p w14:paraId="738DE7C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Rees, A., Dehaghani, R., Slater, T. and Swann, R. (2021), Findings from a thematic analysis of Adult Practice Reviews in Wales. Available from: </w:t>
      </w:r>
      <w:hyperlink r:id="rId19" w:history="1">
        <w:r w:rsidRPr="00AF64DF">
          <w:rPr>
            <w:rFonts w:eastAsia="Calibri"/>
            <w:color w:val="0563C1"/>
            <w:sz w:val="24"/>
            <w:szCs w:val="24"/>
            <w:u w:val="single"/>
            <w:lang w:eastAsia="en-US"/>
          </w:rPr>
          <w:t>https://safeguardingboard.wales/wp-content/uploads/sites/8/2021/06/Thematic-Review-of-Adult-Practice-Reviews-August-2021-V2.pdf</w:t>
        </w:r>
      </w:hyperlink>
      <w:r w:rsidRPr="00AF64DF">
        <w:rPr>
          <w:rFonts w:eastAsia="Calibri"/>
          <w:color w:val="auto"/>
          <w:sz w:val="24"/>
          <w:szCs w:val="24"/>
          <w:lang w:eastAsia="en-US"/>
        </w:rPr>
        <w:t>. (Accessed  11 September 2025).</w:t>
      </w:r>
    </w:p>
    <w:p w14:paraId="2602DEC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Reid, J. and Reynolds, J. (1996), </w:t>
      </w:r>
      <w:r w:rsidRPr="00AF64DF">
        <w:rPr>
          <w:rFonts w:eastAsia="Calibri"/>
          <w:i/>
          <w:color w:val="auto"/>
          <w:sz w:val="24"/>
          <w:szCs w:val="24"/>
          <w:lang w:eastAsia="en-US"/>
        </w:rPr>
        <w:t>Speaking our Minds: An Anthology of Personal Experiences of Mental Distress and its Consequences.</w:t>
      </w:r>
      <w:r w:rsidRPr="00AF64DF">
        <w:rPr>
          <w:rFonts w:eastAsia="Calibri"/>
          <w:color w:val="auto"/>
          <w:sz w:val="24"/>
          <w:szCs w:val="24"/>
          <w:lang w:eastAsia="en-US"/>
        </w:rPr>
        <w:t xml:space="preserve"> Basingstoke: MacMillan.</w:t>
      </w:r>
    </w:p>
    <w:p w14:paraId="5729EF7B" w14:textId="33CF8BC1" w:rsid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Rights of Children and Young Persons (Wales) Measure 2011</w:t>
      </w:r>
      <w:r w:rsidRPr="00AF64DF">
        <w:rPr>
          <w:rFonts w:eastAsia="Calibri"/>
          <w:color w:val="auto"/>
          <w:sz w:val="24"/>
          <w:szCs w:val="24"/>
          <w:lang w:eastAsia="en-US"/>
        </w:rPr>
        <w:t>. Available from: https://www.legislation.gov.uk/mwa/2011/2/contents. (Accessed 12 September 2025).</w:t>
      </w:r>
    </w:p>
    <w:p w14:paraId="3C313837" w14:textId="2F52399C" w:rsidR="00687DEF" w:rsidRPr="00AF64DF" w:rsidRDefault="00687DEF" w:rsidP="00AF64DF">
      <w:pPr>
        <w:overflowPunct/>
        <w:autoSpaceDE/>
        <w:autoSpaceDN/>
        <w:adjustRightInd/>
        <w:spacing w:after="160" w:line="360" w:lineRule="auto"/>
        <w:jc w:val="both"/>
        <w:textAlignment w:val="auto"/>
        <w:rPr>
          <w:rFonts w:eastAsia="Calibri"/>
          <w:color w:val="auto"/>
          <w:sz w:val="24"/>
          <w:szCs w:val="24"/>
          <w:lang w:eastAsia="en-US"/>
        </w:rPr>
      </w:pPr>
      <w:r w:rsidRPr="00687DEF">
        <w:rPr>
          <w:rFonts w:eastAsia="Calibri"/>
          <w:color w:val="auto"/>
          <w:sz w:val="24"/>
          <w:szCs w:val="24"/>
          <w:lang w:eastAsia="en-US"/>
        </w:rPr>
        <w:t xml:space="preserve">Rogers, M., Whitaker, D., Edmondson, D. and Peach, D. (2017), </w:t>
      </w:r>
      <w:r w:rsidRPr="00687DEF">
        <w:rPr>
          <w:rFonts w:eastAsia="Calibri"/>
          <w:i/>
          <w:color w:val="auto"/>
          <w:sz w:val="24"/>
          <w:szCs w:val="24"/>
          <w:lang w:eastAsia="en-US"/>
        </w:rPr>
        <w:t>Developing Skills for Social Work Practice</w:t>
      </w:r>
      <w:r w:rsidRPr="00687DEF">
        <w:rPr>
          <w:rFonts w:eastAsia="Calibri"/>
          <w:color w:val="auto"/>
          <w:sz w:val="24"/>
          <w:szCs w:val="24"/>
          <w:lang w:eastAsia="en-US"/>
        </w:rPr>
        <w:t>. London: Sage.</w:t>
      </w:r>
    </w:p>
    <w:p w14:paraId="7ED52470"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Rutter, L. and Brown, K. (2012), </w:t>
      </w:r>
      <w:r w:rsidRPr="00AF64DF">
        <w:rPr>
          <w:rFonts w:eastAsia="Calibri"/>
          <w:i/>
          <w:color w:val="auto"/>
          <w:sz w:val="24"/>
          <w:szCs w:val="24"/>
          <w:lang w:eastAsia="en-US"/>
        </w:rPr>
        <w:t>Critical Thinking and Professional Judgement for Social Work</w:t>
      </w:r>
      <w:r w:rsidRPr="00AF64DF">
        <w:rPr>
          <w:rFonts w:eastAsia="Calibri"/>
          <w:color w:val="auto"/>
          <w:sz w:val="24"/>
          <w:szCs w:val="24"/>
          <w:lang w:eastAsia="en-US"/>
        </w:rPr>
        <w:t>. London: Routledge.</w:t>
      </w:r>
    </w:p>
    <w:p w14:paraId="51E3C5F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Seddon, D., Toms, G. and Verity, F. (2021), ‘Social care: research, policy, and practice in Wales’ in Gwilym, H. and Williams, C. (eds.),</w:t>
      </w:r>
      <w:r w:rsidRPr="00AF64DF">
        <w:rPr>
          <w:rFonts w:eastAsia="Calibri"/>
          <w:i/>
          <w:color w:val="auto"/>
          <w:sz w:val="24"/>
          <w:szCs w:val="24"/>
          <w:lang w:eastAsia="en-US"/>
        </w:rPr>
        <w:t xml:space="preserve"> Social Policy for Welfare Practice in Wales</w:t>
      </w:r>
      <w:r w:rsidRPr="00AF64DF">
        <w:rPr>
          <w:rFonts w:eastAsia="Calibri"/>
          <w:color w:val="auto"/>
          <w:sz w:val="24"/>
          <w:szCs w:val="24"/>
          <w:lang w:eastAsia="en-US"/>
        </w:rPr>
        <w:t>. 3rd ed. Birmingham: British Association of Social Workers. pp. 19-34.</w:t>
      </w:r>
    </w:p>
    <w:p w14:paraId="2A2E502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Schon, D. (2002), From technical rationality to reflection-in-action. In Harrison, F. Reeve, A. Hanson and J. Clarke (eds.), </w:t>
      </w:r>
      <w:r w:rsidRPr="00AF64DF">
        <w:rPr>
          <w:rFonts w:eastAsia="Calibri"/>
          <w:i/>
          <w:color w:val="auto"/>
          <w:sz w:val="24"/>
          <w:szCs w:val="24"/>
          <w:lang w:eastAsia="en-US"/>
        </w:rPr>
        <w:t>Supporting Lifelong Learning. Volume One: Perspectives on Learning</w:t>
      </w:r>
      <w:r w:rsidRPr="00AF64DF">
        <w:rPr>
          <w:rFonts w:eastAsia="Calibri"/>
          <w:color w:val="auto"/>
          <w:sz w:val="24"/>
          <w:szCs w:val="24"/>
          <w:lang w:eastAsia="en-US"/>
        </w:rPr>
        <w:t>. Abingdon: Routledge/ Open University, pp. 87-98.</w:t>
      </w:r>
    </w:p>
    <w:p w14:paraId="4DC59D3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Social care institute for excellence. (2019), </w:t>
      </w:r>
      <w:r w:rsidRPr="00AF64DF">
        <w:rPr>
          <w:rFonts w:eastAsia="Calibri"/>
          <w:i/>
          <w:color w:val="auto"/>
          <w:sz w:val="24"/>
          <w:szCs w:val="24"/>
          <w:lang w:eastAsia="en-US"/>
        </w:rPr>
        <w:t>Safeguarding Adults: Sharing Information.</w:t>
      </w:r>
      <w:r w:rsidRPr="00AF64DF">
        <w:rPr>
          <w:rFonts w:eastAsia="Calibri"/>
          <w:color w:val="auto"/>
          <w:sz w:val="24"/>
          <w:szCs w:val="24"/>
          <w:lang w:eastAsia="en-US"/>
        </w:rPr>
        <w:t xml:space="preserve"> Available from:  </w:t>
      </w:r>
      <w:hyperlink r:id="rId20" w:history="1">
        <w:r w:rsidRPr="00AF64DF">
          <w:rPr>
            <w:rFonts w:eastAsia="Calibri"/>
            <w:color w:val="0563C1"/>
            <w:sz w:val="24"/>
            <w:szCs w:val="24"/>
            <w:u w:val="single"/>
            <w:lang w:eastAsia="en-US"/>
          </w:rPr>
          <w:t>https://www.scie.org.uk/safeguarding/adults/practice/sharing-information/</w:t>
        </w:r>
      </w:hyperlink>
      <w:r w:rsidRPr="00AF64DF">
        <w:rPr>
          <w:rFonts w:eastAsia="Calibri"/>
          <w:color w:val="auto"/>
          <w:sz w:val="24"/>
          <w:szCs w:val="24"/>
          <w:lang w:eastAsia="en-US"/>
        </w:rPr>
        <w:t xml:space="preserve"> (Accessed 12 September 2025).</w:t>
      </w:r>
    </w:p>
    <w:p w14:paraId="312D37E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Social Care Wales. (2017), </w:t>
      </w:r>
      <w:r w:rsidRPr="00AF64DF">
        <w:rPr>
          <w:rFonts w:eastAsia="Calibri"/>
          <w:i/>
          <w:color w:val="auto"/>
          <w:sz w:val="24"/>
          <w:szCs w:val="24"/>
          <w:lang w:eastAsia="en-US"/>
        </w:rPr>
        <w:t>Code of Professional Practice for Social Care</w:t>
      </w:r>
      <w:r w:rsidRPr="00AF64DF">
        <w:rPr>
          <w:rFonts w:eastAsia="Calibri"/>
          <w:color w:val="auto"/>
          <w:sz w:val="24"/>
          <w:szCs w:val="24"/>
          <w:lang w:eastAsia="en-US"/>
        </w:rPr>
        <w:t>. Available from: https://socialcare.wales/cms-assets/documents/Code-of-Professional-Practice-for-Social-Care-web-version.pdf. (Accessed 26 November 2024).</w:t>
      </w:r>
    </w:p>
    <w:p w14:paraId="2EC6422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Social Care Wales. (2019), </w:t>
      </w:r>
      <w:r w:rsidRPr="00AF64DF">
        <w:rPr>
          <w:rFonts w:eastAsia="Calibri"/>
          <w:i/>
          <w:iCs/>
          <w:color w:val="auto"/>
          <w:sz w:val="24"/>
          <w:szCs w:val="24"/>
          <w:lang w:eastAsia="en-US"/>
        </w:rPr>
        <w:t>Practice guidance for social workers registered with Social Care Wales</w:t>
      </w:r>
      <w:r w:rsidRPr="00AF64DF">
        <w:rPr>
          <w:rFonts w:eastAsia="Calibri"/>
          <w:color w:val="auto"/>
          <w:sz w:val="24"/>
          <w:szCs w:val="24"/>
          <w:lang w:eastAsia="en-US"/>
        </w:rPr>
        <w:t xml:space="preserve">. Available from: </w:t>
      </w:r>
      <w:hyperlink r:id="rId21" w:history="1">
        <w:r w:rsidRPr="00AF64DF">
          <w:rPr>
            <w:rFonts w:eastAsia="Calibri"/>
            <w:color w:val="0563C1"/>
            <w:sz w:val="24"/>
            <w:szCs w:val="24"/>
            <w:u w:val="single"/>
            <w:lang w:eastAsia="en-US"/>
          </w:rPr>
          <w:t>https://socialcare.wales/cms-assets/documents/Code-of-Professional-Practice-for-Social-Care-web-version.pdf</w:t>
        </w:r>
      </w:hyperlink>
      <w:r w:rsidRPr="00AF64DF">
        <w:rPr>
          <w:rFonts w:eastAsia="Calibri"/>
          <w:color w:val="auto"/>
          <w:sz w:val="24"/>
          <w:szCs w:val="24"/>
          <w:lang w:eastAsia="en-US"/>
        </w:rPr>
        <w:t>. (Accessed 27</w:t>
      </w:r>
      <w:r w:rsidRPr="00AF64DF">
        <w:rPr>
          <w:rFonts w:eastAsia="Calibri"/>
          <w:color w:val="auto"/>
          <w:sz w:val="24"/>
          <w:szCs w:val="24"/>
          <w:vertAlign w:val="superscript"/>
          <w:lang w:eastAsia="en-US"/>
        </w:rPr>
        <w:t xml:space="preserve"> </w:t>
      </w:r>
      <w:r w:rsidRPr="00AF64DF">
        <w:rPr>
          <w:rFonts w:eastAsia="Calibri"/>
          <w:color w:val="auto"/>
          <w:sz w:val="24"/>
          <w:szCs w:val="24"/>
          <w:lang w:eastAsia="en-US"/>
        </w:rPr>
        <w:t>August, 2025).</w:t>
      </w:r>
    </w:p>
    <w:p w14:paraId="06E3C21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Social Care Wales. (2020), </w:t>
      </w:r>
      <w:r w:rsidRPr="00AF64DF">
        <w:rPr>
          <w:rFonts w:eastAsia="Calibri"/>
          <w:i/>
          <w:color w:val="auto"/>
          <w:sz w:val="24"/>
          <w:szCs w:val="24"/>
          <w:lang w:eastAsia="en-US"/>
        </w:rPr>
        <w:t>Wales Safeguarding Procedures.</w:t>
      </w:r>
      <w:r w:rsidRPr="00AF64DF">
        <w:rPr>
          <w:rFonts w:eastAsia="Calibri"/>
          <w:color w:val="auto"/>
          <w:sz w:val="24"/>
          <w:szCs w:val="24"/>
          <w:lang w:eastAsia="en-US"/>
        </w:rPr>
        <w:t xml:space="preserve"> Available from: https://www.safeguarding.wales/index.html (Accessed 10 August 2025).</w:t>
      </w:r>
    </w:p>
    <w:p w14:paraId="6A996E27"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Social Care Wales, (2022), </w:t>
      </w:r>
      <w:r w:rsidRPr="00AF64DF">
        <w:rPr>
          <w:rFonts w:eastAsia="Calibri"/>
          <w:i/>
          <w:color w:val="auto"/>
          <w:sz w:val="24"/>
          <w:szCs w:val="24"/>
          <w:lang w:eastAsia="en-US"/>
        </w:rPr>
        <w:t>Practice principles Balancing risks, rights and responsibilities for adults: a positive approach to risk</w:t>
      </w:r>
      <w:r w:rsidRPr="00AF64DF">
        <w:rPr>
          <w:rFonts w:eastAsia="Calibri"/>
          <w:color w:val="auto"/>
          <w:sz w:val="24"/>
          <w:szCs w:val="24"/>
          <w:lang w:eastAsia="en-US"/>
        </w:rPr>
        <w:t>. Cardiff. Available from: file:///C:/Users/Dell/Downloads/BALANCING%20RISKS%20(2).pdf. (Accessed May 2025).</w:t>
      </w:r>
    </w:p>
    <w:p w14:paraId="1B23B5C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Stevenson, M. and Taylor, B.J.(2017), ‘Risk communication in dementia care: professional perspectives on consequences, likelihood, words and numbers’, </w:t>
      </w:r>
      <w:r w:rsidRPr="00AF64DF">
        <w:rPr>
          <w:rFonts w:eastAsia="Calibri"/>
          <w:i/>
          <w:color w:val="auto"/>
          <w:sz w:val="24"/>
          <w:szCs w:val="24"/>
          <w:lang w:eastAsia="en-US"/>
        </w:rPr>
        <w:t>The British Journal of Social Work</w:t>
      </w:r>
      <w:r w:rsidRPr="00AF64DF">
        <w:rPr>
          <w:rFonts w:eastAsia="Calibri"/>
          <w:color w:val="auto"/>
          <w:sz w:val="24"/>
          <w:szCs w:val="24"/>
          <w:lang w:eastAsia="en-US"/>
        </w:rPr>
        <w:t>, 47(7): pp.1940-58.</w:t>
      </w:r>
    </w:p>
    <w:p w14:paraId="44020E9A"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Taylor, C. and White, S. (2006), Knowledge and reasoning in social work: Educating for humane judgement. </w:t>
      </w:r>
      <w:r w:rsidRPr="00AF64DF">
        <w:rPr>
          <w:rFonts w:eastAsia="Calibri"/>
          <w:i/>
          <w:color w:val="auto"/>
          <w:sz w:val="24"/>
          <w:szCs w:val="24"/>
          <w:lang w:eastAsia="en-US"/>
        </w:rPr>
        <w:t>British Journal of Social Work</w:t>
      </w:r>
      <w:r w:rsidRPr="00AF64DF">
        <w:rPr>
          <w:rFonts w:eastAsia="Calibri"/>
          <w:color w:val="auto"/>
          <w:sz w:val="24"/>
          <w:szCs w:val="24"/>
          <w:lang w:eastAsia="en-US"/>
        </w:rPr>
        <w:t>, Vol. 35. No.6, pp. 937-954.</w:t>
      </w:r>
    </w:p>
    <w:p w14:paraId="1DF70C5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Tedam, P (2021) </w:t>
      </w:r>
      <w:r w:rsidRPr="00AF64DF">
        <w:rPr>
          <w:rFonts w:eastAsia="Calibri"/>
          <w:i/>
          <w:color w:val="auto"/>
          <w:sz w:val="24"/>
          <w:szCs w:val="24"/>
          <w:lang w:eastAsia="en-US"/>
        </w:rPr>
        <w:t>Anti-Oppressive Social Work Practice.</w:t>
      </w:r>
      <w:r w:rsidRPr="00AF64DF">
        <w:rPr>
          <w:rFonts w:eastAsia="Calibri"/>
          <w:color w:val="auto"/>
          <w:sz w:val="24"/>
          <w:szCs w:val="24"/>
          <w:lang w:eastAsia="en-US"/>
        </w:rPr>
        <w:t xml:space="preserve"> London: Learning Matters, Sage Publication.</w:t>
      </w:r>
    </w:p>
    <w:p w14:paraId="29A0B8F3"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lastRenderedPageBreak/>
        <w:t>The Data Protection Act 2018.</w:t>
      </w:r>
      <w:r w:rsidRPr="00AF64DF">
        <w:rPr>
          <w:rFonts w:eastAsia="Calibri"/>
          <w:color w:val="auto"/>
          <w:sz w:val="24"/>
          <w:szCs w:val="24"/>
          <w:lang w:eastAsia="en-US"/>
        </w:rPr>
        <w:t xml:space="preserve"> Available from: </w:t>
      </w:r>
      <w:hyperlink r:id="rId22" w:history="1">
        <w:r w:rsidRPr="00AF64DF">
          <w:rPr>
            <w:rFonts w:eastAsia="Calibri"/>
            <w:color w:val="0563C1"/>
            <w:sz w:val="24"/>
            <w:szCs w:val="24"/>
            <w:u w:val="single"/>
            <w:lang w:eastAsia="en-US"/>
          </w:rPr>
          <w:t>https://www.legislation.gov.uk/ukpga/2018/12/contents/enacted</w:t>
        </w:r>
      </w:hyperlink>
      <w:r w:rsidRPr="00AF64DF">
        <w:rPr>
          <w:rFonts w:eastAsia="Calibri"/>
          <w:color w:val="auto"/>
          <w:sz w:val="24"/>
          <w:szCs w:val="24"/>
          <w:lang w:eastAsia="en-US"/>
        </w:rPr>
        <w:t>. (Accessed 4</w:t>
      </w:r>
      <w:r w:rsidRPr="00AF64DF">
        <w:rPr>
          <w:rFonts w:eastAsia="Calibri"/>
          <w:color w:val="auto"/>
          <w:sz w:val="24"/>
          <w:szCs w:val="24"/>
          <w:vertAlign w:val="superscript"/>
          <w:lang w:eastAsia="en-US"/>
        </w:rPr>
        <w:t xml:space="preserve"> </w:t>
      </w:r>
      <w:r w:rsidRPr="00AF64DF">
        <w:rPr>
          <w:rFonts w:eastAsia="Calibri"/>
          <w:color w:val="auto"/>
          <w:sz w:val="24"/>
          <w:szCs w:val="24"/>
          <w:lang w:eastAsia="en-US"/>
        </w:rPr>
        <w:t>September, 2025).</w:t>
      </w:r>
    </w:p>
    <w:p w14:paraId="15E4123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Thomas, K.W., and Kilmann, R.H.(1974), </w:t>
      </w:r>
      <w:r w:rsidRPr="00AF64DF">
        <w:rPr>
          <w:rFonts w:eastAsia="Calibri"/>
          <w:i/>
          <w:color w:val="auto"/>
          <w:sz w:val="24"/>
          <w:szCs w:val="24"/>
          <w:lang w:eastAsia="en-US"/>
        </w:rPr>
        <w:t>Thomas-Kilmann Conflict Mode Instrument</w:t>
      </w:r>
      <w:r w:rsidRPr="00AF64DF">
        <w:rPr>
          <w:rFonts w:eastAsia="Calibri"/>
          <w:color w:val="auto"/>
          <w:sz w:val="24"/>
          <w:szCs w:val="24"/>
          <w:lang w:eastAsia="en-US"/>
        </w:rPr>
        <w:t>. California: Xicom.</w:t>
      </w:r>
    </w:p>
    <w:p w14:paraId="699C0DA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Thompson, N. (2006), </w:t>
      </w:r>
      <w:r w:rsidRPr="00AF64DF">
        <w:rPr>
          <w:rFonts w:eastAsia="Calibri"/>
          <w:i/>
          <w:color w:val="auto"/>
          <w:sz w:val="24"/>
          <w:szCs w:val="24"/>
          <w:lang w:eastAsia="en-US"/>
        </w:rPr>
        <w:t>Anti-discriminatory practice</w:t>
      </w:r>
      <w:r w:rsidRPr="00AF64DF">
        <w:rPr>
          <w:rFonts w:eastAsia="Calibri"/>
          <w:color w:val="auto"/>
          <w:sz w:val="24"/>
          <w:szCs w:val="24"/>
          <w:lang w:eastAsia="en-US"/>
        </w:rPr>
        <w:t>. Hampshire: Palgrave MacMillan.</w:t>
      </w:r>
    </w:p>
    <w:p w14:paraId="22C42CD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Thompson, N. (2007), </w:t>
      </w:r>
      <w:r w:rsidRPr="00AF64DF">
        <w:rPr>
          <w:rFonts w:eastAsia="Calibri"/>
          <w:i/>
          <w:color w:val="auto"/>
          <w:sz w:val="24"/>
          <w:szCs w:val="24"/>
          <w:lang w:eastAsia="en-US"/>
        </w:rPr>
        <w:t>Power and empowerment</w:t>
      </w:r>
      <w:r w:rsidRPr="00AF64DF">
        <w:rPr>
          <w:rFonts w:eastAsia="Calibri"/>
          <w:color w:val="auto"/>
          <w:sz w:val="24"/>
          <w:szCs w:val="24"/>
          <w:lang w:eastAsia="en-US"/>
        </w:rPr>
        <w:t>. Dorset:  Russell House Publishing.</w:t>
      </w:r>
    </w:p>
    <w:p w14:paraId="5AF9DD6B"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Thomson, N, (2009), </w:t>
      </w:r>
      <w:r w:rsidRPr="00AF64DF">
        <w:rPr>
          <w:rFonts w:eastAsia="Calibri"/>
          <w:i/>
          <w:color w:val="auto"/>
          <w:sz w:val="24"/>
          <w:szCs w:val="24"/>
          <w:lang w:eastAsia="en-US"/>
        </w:rPr>
        <w:t>Understanding Social Work.</w:t>
      </w:r>
      <w:r w:rsidRPr="00AF64DF">
        <w:rPr>
          <w:rFonts w:eastAsia="Calibri"/>
          <w:color w:val="auto"/>
          <w:sz w:val="24"/>
          <w:szCs w:val="24"/>
          <w:lang w:eastAsia="en-US"/>
        </w:rPr>
        <w:t xml:space="preserve"> 3rd ed. London: Palgrave Macmillan.</w:t>
      </w:r>
    </w:p>
    <w:p w14:paraId="3EB0487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Thompson, S. and Thompson, N. (2018), </w:t>
      </w:r>
      <w:r w:rsidRPr="00AF64DF">
        <w:rPr>
          <w:rFonts w:eastAsia="Calibri"/>
          <w:i/>
          <w:color w:val="auto"/>
          <w:sz w:val="24"/>
          <w:szCs w:val="24"/>
          <w:lang w:eastAsia="en-US"/>
        </w:rPr>
        <w:t>The Critically Reflective Practitioner</w:t>
      </w:r>
      <w:r w:rsidRPr="00AF64DF">
        <w:rPr>
          <w:rFonts w:eastAsia="Calibri"/>
          <w:color w:val="auto"/>
          <w:sz w:val="24"/>
          <w:szCs w:val="24"/>
          <w:lang w:eastAsia="en-US"/>
        </w:rPr>
        <w:t>. 2nd ed. London: Palgrave.</w:t>
      </w:r>
    </w:p>
    <w:p w14:paraId="0BD9852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Trevithick, P. (2012), </w:t>
      </w:r>
      <w:r w:rsidRPr="00AF64DF">
        <w:rPr>
          <w:rFonts w:eastAsia="Calibri"/>
          <w:i/>
          <w:color w:val="auto"/>
          <w:sz w:val="24"/>
          <w:szCs w:val="24"/>
          <w:lang w:eastAsia="en-US"/>
        </w:rPr>
        <w:t>Social Work Skills and Knowledge a practice handbook</w:t>
      </w:r>
      <w:r w:rsidRPr="00AF64DF">
        <w:rPr>
          <w:rFonts w:eastAsia="Calibri"/>
          <w:color w:val="auto"/>
          <w:sz w:val="24"/>
          <w:szCs w:val="24"/>
          <w:lang w:eastAsia="en-US"/>
        </w:rPr>
        <w:t>. 3rd ed. Maidenhead: Open University Press</w:t>
      </w:r>
    </w:p>
    <w:p w14:paraId="32D512CA" w14:textId="77777777" w:rsidR="00AF64DF" w:rsidRPr="00AF64DF" w:rsidRDefault="00AF64DF"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AF64DF">
        <w:rPr>
          <w:rFonts w:eastAsia="Calibri"/>
          <w:bCs/>
          <w:iCs/>
          <w:color w:val="auto"/>
          <w:sz w:val="24"/>
          <w:szCs w:val="24"/>
          <w:lang w:eastAsia="en-US"/>
        </w:rPr>
        <w:t xml:space="preserve">Thomson, N. (2017), </w:t>
      </w:r>
      <w:r w:rsidRPr="00AF64DF">
        <w:rPr>
          <w:rFonts w:eastAsia="Calibri"/>
          <w:bCs/>
          <w:i/>
          <w:color w:val="auto"/>
          <w:sz w:val="24"/>
          <w:szCs w:val="24"/>
          <w:lang w:eastAsia="en-US"/>
        </w:rPr>
        <w:t>Social Problems and Social Justice</w:t>
      </w:r>
      <w:r w:rsidRPr="00AF64DF">
        <w:rPr>
          <w:rFonts w:eastAsia="Calibri"/>
          <w:bCs/>
          <w:iCs/>
          <w:color w:val="auto"/>
          <w:sz w:val="24"/>
          <w:szCs w:val="24"/>
          <w:lang w:eastAsia="en-US"/>
        </w:rPr>
        <w:t>. London: Palgrave.</w:t>
      </w:r>
    </w:p>
    <w:p w14:paraId="333E9405" w14:textId="14698D82" w:rsidR="00AF64DF" w:rsidRDefault="00AF64DF"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AF64DF">
        <w:rPr>
          <w:rFonts w:eastAsia="Calibri"/>
          <w:bCs/>
          <w:iCs/>
          <w:color w:val="auto"/>
          <w:sz w:val="24"/>
          <w:szCs w:val="24"/>
          <w:lang w:eastAsia="en-US"/>
        </w:rPr>
        <w:t xml:space="preserve">Waters, S., J. (2023), ‘Coproduction and service user involvement’ in Livingston, W., Redcliffe, J. and Quinn-Aziz, A. (eds.) (2023), </w:t>
      </w:r>
      <w:r w:rsidRPr="00AF64DF">
        <w:rPr>
          <w:rFonts w:eastAsia="Calibri"/>
          <w:bCs/>
          <w:i/>
          <w:iCs/>
          <w:color w:val="auto"/>
          <w:sz w:val="24"/>
          <w:szCs w:val="24"/>
          <w:lang w:eastAsia="en-US"/>
        </w:rPr>
        <w:t>Social Work in Wales</w:t>
      </w:r>
      <w:r w:rsidRPr="00AF64DF">
        <w:rPr>
          <w:rFonts w:eastAsia="Calibri"/>
          <w:bCs/>
          <w:iCs/>
          <w:color w:val="auto"/>
          <w:sz w:val="24"/>
          <w:szCs w:val="24"/>
          <w:lang w:eastAsia="en-US"/>
        </w:rPr>
        <w:t xml:space="preserve">: </w:t>
      </w:r>
      <w:r w:rsidRPr="00AF64DF">
        <w:rPr>
          <w:rFonts w:eastAsia="Calibri"/>
          <w:bCs/>
          <w:i/>
          <w:iCs/>
          <w:color w:val="auto"/>
          <w:sz w:val="24"/>
          <w:szCs w:val="24"/>
          <w:lang w:eastAsia="en-US"/>
        </w:rPr>
        <w:t>Understanding Practice in a Devolved Context</w:t>
      </w:r>
      <w:r w:rsidRPr="00AF64DF">
        <w:rPr>
          <w:rFonts w:eastAsia="Calibri"/>
          <w:bCs/>
          <w:iCs/>
          <w:color w:val="auto"/>
          <w:sz w:val="24"/>
          <w:szCs w:val="24"/>
          <w:lang w:eastAsia="en-US"/>
        </w:rPr>
        <w:t>. Policy Press: Bristol. pp 71-77.</w:t>
      </w:r>
    </w:p>
    <w:p w14:paraId="306672DE" w14:textId="0178A321" w:rsidR="007A4A13" w:rsidRDefault="007A4A13"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7A4A13">
        <w:rPr>
          <w:rFonts w:eastAsia="Calibri"/>
          <w:bCs/>
          <w:iCs/>
          <w:color w:val="auto"/>
          <w:sz w:val="24"/>
          <w:szCs w:val="24"/>
          <w:lang w:eastAsia="en-US"/>
        </w:rPr>
        <w:t xml:space="preserve">Warren, J. (2007), </w:t>
      </w:r>
      <w:r w:rsidRPr="007A4A13">
        <w:rPr>
          <w:rFonts w:eastAsia="Calibri"/>
          <w:bCs/>
          <w:i/>
          <w:iCs/>
          <w:color w:val="auto"/>
          <w:sz w:val="24"/>
          <w:szCs w:val="24"/>
          <w:lang w:eastAsia="en-US"/>
        </w:rPr>
        <w:t>Service User and Carer Participation in Social Work</w:t>
      </w:r>
      <w:r w:rsidRPr="007A4A13">
        <w:rPr>
          <w:rFonts w:eastAsia="Calibri"/>
          <w:bCs/>
          <w:iCs/>
          <w:color w:val="auto"/>
          <w:sz w:val="24"/>
          <w:szCs w:val="24"/>
          <w:lang w:eastAsia="en-US"/>
        </w:rPr>
        <w:t>. Exeter: Learning Matters Ltd.</w:t>
      </w:r>
    </w:p>
    <w:p w14:paraId="0C16EBE7" w14:textId="7AE89539" w:rsidR="002862FD" w:rsidRPr="00AF64DF" w:rsidRDefault="002862FD"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2862FD">
        <w:rPr>
          <w:rFonts w:eastAsia="Calibri"/>
          <w:bCs/>
          <w:iCs/>
          <w:color w:val="auto"/>
          <w:sz w:val="24"/>
          <w:szCs w:val="24"/>
          <w:lang w:eastAsia="en-US"/>
        </w:rPr>
        <w:t xml:space="preserve">Webb, S., A. (2017), </w:t>
      </w:r>
      <w:r w:rsidRPr="002862FD">
        <w:rPr>
          <w:rFonts w:eastAsia="Calibri"/>
          <w:bCs/>
          <w:i/>
          <w:iCs/>
          <w:color w:val="auto"/>
          <w:sz w:val="24"/>
          <w:szCs w:val="24"/>
          <w:lang w:eastAsia="en-US"/>
        </w:rPr>
        <w:t>Professional Identity and Social Work</w:t>
      </w:r>
      <w:r w:rsidRPr="002862FD">
        <w:rPr>
          <w:rFonts w:eastAsia="Calibri"/>
          <w:bCs/>
          <w:iCs/>
          <w:color w:val="auto"/>
          <w:sz w:val="24"/>
          <w:szCs w:val="24"/>
          <w:lang w:eastAsia="en-US"/>
        </w:rPr>
        <w:t>. Oxon: Routledge.</w:t>
      </w:r>
    </w:p>
    <w:p w14:paraId="02C145FB" w14:textId="77777777" w:rsidR="00AF64DF" w:rsidRPr="00AF64DF" w:rsidRDefault="00AF64DF"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AF64DF">
        <w:rPr>
          <w:rFonts w:eastAsia="Calibri"/>
          <w:bCs/>
          <w:iCs/>
          <w:color w:val="auto"/>
          <w:sz w:val="24"/>
          <w:szCs w:val="24"/>
          <w:lang w:eastAsia="en-US"/>
        </w:rPr>
        <w:t xml:space="preserve">Welbourne, P. (2010), ‘Accountability’ in Long, L., A., Roche, J. and Stringer, D. (eds.), </w:t>
      </w:r>
      <w:r w:rsidRPr="00AF64DF">
        <w:rPr>
          <w:rFonts w:eastAsia="Calibri"/>
          <w:bCs/>
          <w:i/>
          <w:iCs/>
          <w:color w:val="auto"/>
          <w:sz w:val="24"/>
          <w:szCs w:val="24"/>
          <w:lang w:eastAsia="en-US"/>
        </w:rPr>
        <w:t>The Law and Social Work</w:t>
      </w:r>
      <w:r w:rsidRPr="00AF64DF">
        <w:rPr>
          <w:rFonts w:eastAsia="Calibri"/>
          <w:bCs/>
          <w:iCs/>
          <w:color w:val="auto"/>
          <w:sz w:val="24"/>
          <w:szCs w:val="24"/>
          <w:lang w:eastAsia="en-US"/>
        </w:rPr>
        <w:t>. 2nd ed. Basingstoke: Palgrave MacMillan. pp. 94-109.</w:t>
      </w:r>
    </w:p>
    <w:p w14:paraId="4BA67092" w14:textId="77777777" w:rsidR="00AF64DF" w:rsidRPr="00AF64DF" w:rsidRDefault="00AF64DF"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AF64DF">
        <w:rPr>
          <w:rFonts w:eastAsia="Calibri"/>
          <w:bCs/>
          <w:i/>
          <w:iCs/>
          <w:color w:val="auto"/>
          <w:sz w:val="24"/>
          <w:szCs w:val="24"/>
          <w:lang w:eastAsia="en-US"/>
        </w:rPr>
        <w:t>Well-being of Future Generations (Wales) Act 2015</w:t>
      </w:r>
      <w:r w:rsidRPr="00AF64DF">
        <w:rPr>
          <w:rFonts w:eastAsia="Calibri"/>
          <w:bCs/>
          <w:iCs/>
          <w:color w:val="auto"/>
          <w:sz w:val="24"/>
          <w:szCs w:val="24"/>
          <w:lang w:eastAsia="en-US"/>
        </w:rPr>
        <w:t xml:space="preserve"> anaw 2. Available from: </w:t>
      </w:r>
      <w:hyperlink r:id="rId23" w:history="1">
        <w:r w:rsidRPr="00AF64DF">
          <w:rPr>
            <w:rFonts w:eastAsia="Calibri"/>
            <w:bCs/>
            <w:iCs/>
            <w:color w:val="0563C1"/>
            <w:sz w:val="24"/>
            <w:szCs w:val="24"/>
            <w:u w:val="single"/>
            <w:lang w:eastAsia="en-US"/>
          </w:rPr>
          <w:t>https://www.legislation.gov.uk/anaw/2015/2</w:t>
        </w:r>
      </w:hyperlink>
      <w:r w:rsidRPr="00AF64DF">
        <w:rPr>
          <w:rFonts w:eastAsia="Calibri"/>
          <w:bCs/>
          <w:iCs/>
          <w:color w:val="auto"/>
          <w:sz w:val="24"/>
          <w:szCs w:val="24"/>
          <w:lang w:eastAsia="en-US"/>
        </w:rPr>
        <w:t>). (Accessed 27</w:t>
      </w:r>
      <w:r w:rsidRPr="00AF64DF">
        <w:rPr>
          <w:rFonts w:eastAsia="Calibri"/>
          <w:bCs/>
          <w:iCs/>
          <w:color w:val="auto"/>
          <w:sz w:val="24"/>
          <w:szCs w:val="24"/>
          <w:vertAlign w:val="superscript"/>
          <w:lang w:eastAsia="en-US"/>
        </w:rPr>
        <w:t xml:space="preserve"> </w:t>
      </w:r>
      <w:r w:rsidRPr="00AF64DF">
        <w:rPr>
          <w:rFonts w:eastAsia="Calibri"/>
          <w:bCs/>
          <w:iCs/>
          <w:color w:val="auto"/>
          <w:sz w:val="24"/>
          <w:szCs w:val="24"/>
          <w:lang w:eastAsia="en-US"/>
        </w:rPr>
        <w:t>September 2025).</w:t>
      </w:r>
    </w:p>
    <w:p w14:paraId="4B396855" w14:textId="77777777" w:rsidR="00AF64DF" w:rsidRPr="00AF64DF" w:rsidRDefault="00AF64DF" w:rsidP="00AF64DF">
      <w:pPr>
        <w:overflowPunct/>
        <w:autoSpaceDE/>
        <w:autoSpaceDN/>
        <w:adjustRightInd/>
        <w:spacing w:after="160" w:line="360" w:lineRule="auto"/>
        <w:jc w:val="both"/>
        <w:textAlignment w:val="auto"/>
        <w:rPr>
          <w:rFonts w:eastAsia="Calibri"/>
          <w:bCs/>
          <w:iCs/>
          <w:color w:val="auto"/>
          <w:sz w:val="24"/>
          <w:szCs w:val="24"/>
          <w:lang w:eastAsia="en-US"/>
        </w:rPr>
      </w:pPr>
      <w:r w:rsidRPr="00AF64DF">
        <w:rPr>
          <w:rFonts w:eastAsia="Calibri"/>
          <w:bCs/>
          <w:i/>
          <w:iCs/>
          <w:color w:val="auto"/>
          <w:sz w:val="24"/>
          <w:szCs w:val="24"/>
          <w:lang w:eastAsia="en-US"/>
        </w:rPr>
        <w:t>Welsh Ministers, 2016. Mental Health Act 1983 Code of Practice for Wales</w:t>
      </w:r>
      <w:r w:rsidRPr="00AF64DF">
        <w:rPr>
          <w:rFonts w:eastAsia="Calibri"/>
          <w:bCs/>
          <w:iCs/>
          <w:color w:val="auto"/>
          <w:sz w:val="24"/>
          <w:szCs w:val="24"/>
          <w:lang w:eastAsia="en-US"/>
        </w:rPr>
        <w:t xml:space="preserve">. Cardiff: Welsh Minister. Available from: </w:t>
      </w:r>
      <w:hyperlink r:id="rId24" w:history="1">
        <w:r w:rsidRPr="00AF64DF">
          <w:rPr>
            <w:rFonts w:eastAsia="Calibri"/>
            <w:bCs/>
            <w:iCs/>
            <w:color w:val="0563C1"/>
            <w:sz w:val="24"/>
            <w:szCs w:val="24"/>
            <w:u w:val="single"/>
            <w:lang w:eastAsia="en-US"/>
          </w:rPr>
          <w:t>https://www.gov.wales/sites/default/files/publications/2019-03/mental-</w:t>
        </w:r>
        <w:r w:rsidRPr="00AF64DF">
          <w:rPr>
            <w:rFonts w:eastAsia="Calibri"/>
            <w:bCs/>
            <w:iCs/>
            <w:color w:val="0563C1"/>
            <w:sz w:val="24"/>
            <w:szCs w:val="24"/>
            <w:u w:val="single"/>
            <w:lang w:eastAsia="en-US"/>
          </w:rPr>
          <w:lastRenderedPageBreak/>
          <w:t>health-act-1983-code-of-practice-mental-health-act-1983-for-wales-review-revised-2016.pdf</w:t>
        </w:r>
      </w:hyperlink>
      <w:r w:rsidRPr="00AF64DF">
        <w:rPr>
          <w:rFonts w:eastAsia="Calibri"/>
          <w:bCs/>
          <w:iCs/>
          <w:color w:val="auto"/>
          <w:sz w:val="24"/>
          <w:szCs w:val="24"/>
          <w:lang w:eastAsia="en-US"/>
        </w:rPr>
        <w:t>. (Accessed 3 September 2025).</w:t>
      </w:r>
    </w:p>
    <w:p w14:paraId="746466CF"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UNICEF (2019), A summary of the convention on the rights of the child. Available from: </w:t>
      </w:r>
      <w:hyperlink r:id="rId25" w:history="1">
        <w:r w:rsidRPr="00AF64DF">
          <w:rPr>
            <w:rFonts w:eastAsia="Calibri"/>
            <w:color w:val="0563C1"/>
            <w:sz w:val="24"/>
            <w:szCs w:val="24"/>
            <w:u w:val="single"/>
            <w:lang w:eastAsia="en-US"/>
          </w:rPr>
          <w:t>https://www.unicef.org.uk/wp-content/uploads/2019/10/UNCRC_summary-1_1.pdf</w:t>
        </w:r>
      </w:hyperlink>
      <w:r w:rsidRPr="00AF64DF">
        <w:rPr>
          <w:rFonts w:eastAsia="Calibri"/>
          <w:color w:val="auto"/>
          <w:sz w:val="24"/>
          <w:szCs w:val="24"/>
          <w:lang w:eastAsia="en-US"/>
        </w:rPr>
        <w:t>. (Accessed: 4th September 2025).</w:t>
      </w:r>
    </w:p>
    <w:p w14:paraId="4AC8FC8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Wales Safeguarding Procedures. (2019</w:t>
      </w:r>
      <w:r w:rsidRPr="00AF64DF">
        <w:rPr>
          <w:rFonts w:eastAsia="Calibri"/>
          <w:color w:val="auto"/>
          <w:sz w:val="24"/>
          <w:szCs w:val="24"/>
          <w:lang w:eastAsia="en-US"/>
        </w:rPr>
        <w:t xml:space="preserve">). Cardiff: Welsh Government. Available from: </w:t>
      </w:r>
      <w:hyperlink r:id="rId26" w:history="1">
        <w:r w:rsidRPr="00AF64DF">
          <w:rPr>
            <w:rFonts w:eastAsia="Calibri"/>
            <w:color w:val="0563C1"/>
            <w:sz w:val="24"/>
            <w:szCs w:val="24"/>
            <w:u w:val="single"/>
            <w:lang w:eastAsia="en-US"/>
          </w:rPr>
          <w:t>https://safeguarding.wales/en/</w:t>
        </w:r>
      </w:hyperlink>
      <w:r w:rsidRPr="00AF64DF">
        <w:rPr>
          <w:rFonts w:eastAsia="Calibri"/>
          <w:color w:val="auto"/>
          <w:sz w:val="24"/>
          <w:szCs w:val="24"/>
          <w:lang w:eastAsia="en-US"/>
        </w:rPr>
        <w:t>. (Accessed 5 august 2024).</w:t>
      </w:r>
    </w:p>
    <w:p w14:paraId="1B8D6FB0"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(2005), Wales Accord on the Sharing of Personal Information. Available from: </w:t>
      </w:r>
      <w:hyperlink r:id="rId27" w:anchor=":~:text=WASPI%20Accord%20is%20a%20" w:history="1">
        <w:r w:rsidRPr="00AF64DF">
          <w:rPr>
            <w:rFonts w:eastAsia="Calibri"/>
            <w:color w:val="0563C1"/>
            <w:sz w:val="24"/>
            <w:szCs w:val="24"/>
            <w:u w:val="single"/>
            <w:lang w:eastAsia="en-US"/>
          </w:rPr>
          <w:t>https://www.waspi.gov.wales/files/waspi-code-of-conduct-documentation/code-of-conduct/#:~:text=WASPI%20Accord%20is%20a%20</w:t>
        </w:r>
      </w:hyperlink>
      <w:r w:rsidRPr="00AF64DF">
        <w:rPr>
          <w:rFonts w:eastAsia="Calibri"/>
          <w:color w:val="auto"/>
          <w:sz w:val="24"/>
          <w:szCs w:val="24"/>
          <w:lang w:eastAsia="en-US"/>
        </w:rPr>
        <w:t xml:space="preserve">. (Accessed  4 September, 2025). </w:t>
      </w:r>
    </w:p>
    <w:p w14:paraId="1C026AD6"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(2014), </w:t>
      </w:r>
      <w:r w:rsidRPr="00AF64DF">
        <w:rPr>
          <w:rFonts w:eastAsia="Calibri"/>
          <w:i/>
          <w:color w:val="auto"/>
          <w:sz w:val="24"/>
          <w:szCs w:val="24"/>
          <w:lang w:eastAsia="en-US"/>
        </w:rPr>
        <w:t>Social Services and Well-being (Wales) Act 2014</w:t>
      </w:r>
      <w:r w:rsidRPr="00AF64DF">
        <w:rPr>
          <w:rFonts w:eastAsia="Calibri"/>
          <w:color w:val="auto"/>
          <w:sz w:val="24"/>
          <w:szCs w:val="24"/>
          <w:lang w:eastAsia="en-US"/>
        </w:rPr>
        <w:t>. Cardiff: National Assembly for Wales.  Available from: www.legislation.gov.uk. (Electronically accessed 25 May, 2025).</w:t>
      </w:r>
    </w:p>
    <w:p w14:paraId="23C95A8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(2015), Social Services and Well-being (Wales) Act 2014: The Essentials. Available from: </w:t>
      </w:r>
      <w:hyperlink r:id="rId28" w:history="1">
        <w:r w:rsidRPr="00AF64DF">
          <w:rPr>
            <w:rFonts w:eastAsia="Calibri"/>
            <w:color w:val="0563C1"/>
            <w:sz w:val="24"/>
            <w:szCs w:val="24"/>
            <w:u w:val="single"/>
            <w:lang w:eastAsia="en-US"/>
          </w:rPr>
          <w:t>https://www.gov.wales/sites/default/files/publications/2019-05/social-services-and-well-being-wales-act-2014-the-essentials.pdf</w:t>
        </w:r>
      </w:hyperlink>
      <w:r w:rsidRPr="00AF64DF">
        <w:rPr>
          <w:rFonts w:eastAsia="Calibri"/>
          <w:color w:val="auto"/>
          <w:sz w:val="24"/>
          <w:szCs w:val="24"/>
          <w:lang w:eastAsia="en-US"/>
        </w:rPr>
        <w:t>. (Accessed 13 August, 2025).</w:t>
      </w:r>
    </w:p>
    <w:p w14:paraId="7EA39FA5"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(2016), When I’m Ready. Good Practice Guidance. Available from: </w:t>
      </w:r>
      <w:hyperlink r:id="rId29" w:history="1">
        <w:r w:rsidRPr="00AF64DF">
          <w:rPr>
            <w:rFonts w:eastAsia="Calibri"/>
            <w:color w:val="0563C1"/>
            <w:sz w:val="24"/>
            <w:szCs w:val="24"/>
            <w:u w:val="single"/>
            <w:lang w:eastAsia="en-US"/>
          </w:rPr>
          <w:t>https://www.gov.wales/sites/default/files/publications/2019-05/when-i-am-ready-good-practice-guide-march-2016.pdf</w:t>
        </w:r>
      </w:hyperlink>
      <w:r w:rsidRPr="00AF64DF">
        <w:rPr>
          <w:rFonts w:eastAsia="Calibri"/>
          <w:color w:val="auto"/>
          <w:sz w:val="24"/>
          <w:szCs w:val="24"/>
          <w:lang w:eastAsia="en-US"/>
        </w:rPr>
        <w:t>. (Accessed 27 September 2025).</w:t>
      </w:r>
    </w:p>
    <w:p w14:paraId="663087A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(2018a), </w:t>
      </w:r>
      <w:r w:rsidRPr="00AF64DF">
        <w:rPr>
          <w:rFonts w:eastAsia="Calibri"/>
          <w:i/>
          <w:color w:val="auto"/>
          <w:sz w:val="24"/>
          <w:szCs w:val="24"/>
          <w:lang w:eastAsia="en-US"/>
        </w:rPr>
        <w:t>Working Together to Safeguard People: Volume 5 - Handling Individual Cases to Protect Children at Risk.</w:t>
      </w:r>
      <w:r w:rsidRPr="00AF64DF">
        <w:rPr>
          <w:rFonts w:eastAsia="Calibri"/>
          <w:color w:val="auto"/>
          <w:sz w:val="24"/>
          <w:szCs w:val="24"/>
          <w:lang w:eastAsia="en-US"/>
        </w:rPr>
        <w:t xml:space="preserve"> Available from: </w:t>
      </w:r>
      <w:hyperlink r:id="rId30" w:history="1">
        <w:r w:rsidRPr="00AF64DF">
          <w:rPr>
            <w:rFonts w:eastAsia="Calibri"/>
            <w:color w:val="0563C1"/>
            <w:sz w:val="24"/>
            <w:szCs w:val="24"/>
            <w:u w:val="single"/>
            <w:lang w:eastAsia="en-US"/>
          </w:rPr>
          <w:t>https://www.gov.wales/sites/default/files/publications/2019-05/working-together-to-safeguard-people-volume-5-handling-individual-cases-to-protect-children-at-risk.pdf</w:t>
        </w:r>
      </w:hyperlink>
      <w:r w:rsidRPr="00AF64DF">
        <w:rPr>
          <w:rFonts w:eastAsia="Calibri"/>
          <w:color w:val="auto"/>
          <w:sz w:val="24"/>
          <w:szCs w:val="24"/>
          <w:lang w:eastAsia="en-US"/>
        </w:rPr>
        <w:t>. (Accessed  4 September 2025).</w:t>
      </w:r>
    </w:p>
    <w:p w14:paraId="6ED03414"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(2018b), </w:t>
      </w:r>
      <w:r w:rsidRPr="00AF64DF">
        <w:rPr>
          <w:rFonts w:eastAsia="Calibri"/>
          <w:i/>
          <w:color w:val="auto"/>
          <w:sz w:val="24"/>
          <w:szCs w:val="24"/>
          <w:lang w:eastAsia="en-US"/>
        </w:rPr>
        <w:t>Working Together to Safeguard People, Volume 6: Handling Individual Cases to Protect Adults at Risk</w:t>
      </w:r>
      <w:r w:rsidRPr="00AF64DF">
        <w:rPr>
          <w:rFonts w:eastAsia="Calibri"/>
          <w:color w:val="auto"/>
          <w:sz w:val="24"/>
          <w:szCs w:val="24"/>
          <w:lang w:eastAsia="en-US"/>
        </w:rPr>
        <w:t xml:space="preserve">. Available from: </w:t>
      </w:r>
      <w:hyperlink r:id="rId31" w:history="1">
        <w:r w:rsidRPr="00AF64DF">
          <w:rPr>
            <w:rFonts w:eastAsia="Calibri"/>
            <w:color w:val="0563C1"/>
            <w:sz w:val="24"/>
            <w:szCs w:val="24"/>
            <w:u w:val="single"/>
            <w:lang w:eastAsia="en-US"/>
          </w:rPr>
          <w:t>https://www.gov.wales/sites/default/files/publications/2019-06/volume-6-handling-individual-cases-to-protect-adults-at-risk.pdf</w:t>
        </w:r>
      </w:hyperlink>
      <w:r w:rsidRPr="00AF64DF">
        <w:rPr>
          <w:rFonts w:eastAsia="Calibri"/>
          <w:color w:val="auto"/>
          <w:sz w:val="24"/>
          <w:szCs w:val="24"/>
          <w:lang w:eastAsia="en-US"/>
        </w:rPr>
        <w:t>. (Accessed 28</w:t>
      </w:r>
      <w:r w:rsidRPr="00AF64DF">
        <w:rPr>
          <w:rFonts w:eastAsia="Calibri"/>
          <w:color w:val="auto"/>
          <w:sz w:val="24"/>
          <w:szCs w:val="24"/>
          <w:vertAlign w:val="superscript"/>
          <w:lang w:eastAsia="en-US"/>
        </w:rPr>
        <w:t xml:space="preserve"> </w:t>
      </w:r>
      <w:r w:rsidRPr="00AF64DF">
        <w:rPr>
          <w:rFonts w:eastAsia="Calibri"/>
          <w:color w:val="auto"/>
          <w:sz w:val="24"/>
          <w:szCs w:val="24"/>
          <w:lang w:eastAsia="en-US"/>
        </w:rPr>
        <w:t>September 2025).</w:t>
      </w:r>
    </w:p>
    <w:p w14:paraId="446AE87D"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 xml:space="preserve">Welsh Government, (2019), </w:t>
      </w:r>
      <w:r w:rsidRPr="00AF64DF">
        <w:rPr>
          <w:rFonts w:eastAsia="Calibri"/>
          <w:i/>
          <w:color w:val="auto"/>
          <w:sz w:val="24"/>
          <w:szCs w:val="24"/>
          <w:lang w:eastAsia="en-US"/>
        </w:rPr>
        <w:t>Working Together to Safeguard People: Information Sharing to Safeguard Children and Adults</w:t>
      </w:r>
      <w:r w:rsidRPr="00AF64DF">
        <w:rPr>
          <w:rFonts w:eastAsia="Calibri"/>
          <w:color w:val="auto"/>
          <w:sz w:val="24"/>
          <w:szCs w:val="24"/>
          <w:lang w:eastAsia="en-US"/>
        </w:rPr>
        <w:t xml:space="preserve">. Available from: </w:t>
      </w:r>
      <w:hyperlink r:id="rId32" w:history="1">
        <w:r w:rsidRPr="00AF64DF">
          <w:rPr>
            <w:rFonts w:eastAsia="Calibri"/>
            <w:color w:val="0563C1"/>
            <w:sz w:val="24"/>
            <w:szCs w:val="24"/>
            <w:u w:val="single"/>
            <w:lang w:eastAsia="en-US"/>
          </w:rPr>
          <w:t>https://www.gov.wales/sites/default/files/publications/2019-09/information-sharing-to-safeguard-children-and-adults.pdf</w:t>
        </w:r>
      </w:hyperlink>
      <w:r w:rsidRPr="00AF64DF">
        <w:rPr>
          <w:rFonts w:eastAsia="Calibri"/>
          <w:color w:val="auto"/>
          <w:sz w:val="24"/>
          <w:szCs w:val="24"/>
          <w:lang w:eastAsia="en-US"/>
        </w:rPr>
        <w:t>. (Accessed 3 September 2025).</w:t>
      </w:r>
    </w:p>
    <w:p w14:paraId="5465DBC0"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(2021), </w:t>
      </w:r>
      <w:r w:rsidRPr="00AF64DF">
        <w:rPr>
          <w:rFonts w:eastAsia="Calibri"/>
          <w:i/>
          <w:color w:val="auto"/>
          <w:sz w:val="24"/>
          <w:szCs w:val="24"/>
          <w:lang w:eastAsia="en-US"/>
        </w:rPr>
        <w:t>Working Together to Safeguard People Volume 7 – Safeguarding Children from Child Sexual Exploitation</w:t>
      </w:r>
      <w:r w:rsidRPr="00AF64DF">
        <w:rPr>
          <w:rFonts w:eastAsia="Calibri"/>
          <w:color w:val="auto"/>
          <w:sz w:val="24"/>
          <w:szCs w:val="24"/>
          <w:lang w:eastAsia="en-US"/>
        </w:rPr>
        <w:t xml:space="preserve">. Available from: </w:t>
      </w:r>
      <w:hyperlink r:id="rId33" w:history="1">
        <w:r w:rsidRPr="00AF64DF">
          <w:rPr>
            <w:rFonts w:eastAsia="Calibri"/>
            <w:color w:val="0563C1"/>
            <w:sz w:val="24"/>
            <w:szCs w:val="24"/>
            <w:u w:val="single"/>
            <w:lang w:eastAsia="en-US"/>
          </w:rPr>
          <w:t>https://www.northwalessafeguardingboard.wales/wp-content/uploads/2021/03/safeguarding-children-from-child-sexual-exploitation.p</w:t>
        </w:r>
      </w:hyperlink>
      <w:r w:rsidRPr="00AF64DF">
        <w:rPr>
          <w:rFonts w:eastAsia="Calibri"/>
          <w:color w:val="auto"/>
          <w:sz w:val="24"/>
          <w:szCs w:val="24"/>
          <w:lang w:eastAsia="en-US"/>
        </w:rPr>
        <w:t>. (Accessed 4 September, 2025.</w:t>
      </w:r>
    </w:p>
    <w:p w14:paraId="62AC348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Welsh Government, (2022), </w:t>
      </w:r>
      <w:r w:rsidRPr="00AF64DF">
        <w:rPr>
          <w:rFonts w:eastAsia="Calibri"/>
          <w:i/>
          <w:color w:val="auto"/>
          <w:sz w:val="24"/>
          <w:szCs w:val="24"/>
          <w:lang w:eastAsia="en-US"/>
        </w:rPr>
        <w:t>Locked Out: liberating disabled people’s lives and rights in Wales beyond Covid 19</w:t>
      </w:r>
      <w:r w:rsidRPr="00AF64DF">
        <w:rPr>
          <w:rFonts w:eastAsia="Calibri"/>
          <w:color w:val="auto"/>
          <w:sz w:val="24"/>
          <w:szCs w:val="24"/>
          <w:lang w:eastAsia="en-US"/>
        </w:rPr>
        <w:t>. Available from: https://gov.wales/locked-out-liberating-disabled-peoples-lives-and-rights-wales-. (Accessed 3  May 2025).</w:t>
      </w:r>
    </w:p>
    <w:p w14:paraId="03673E5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Welsh Government</w:t>
      </w:r>
      <w:r w:rsidRPr="00AF64DF">
        <w:rPr>
          <w:rFonts w:eastAsia="Calibri"/>
          <w:i/>
          <w:color w:val="auto"/>
          <w:sz w:val="24"/>
          <w:szCs w:val="24"/>
          <w:lang w:eastAsia="en-US"/>
        </w:rPr>
        <w:t>, (2022-2027), More than just words: 5 year plan 2022-2027</w:t>
      </w:r>
      <w:r w:rsidRPr="00AF64DF">
        <w:rPr>
          <w:rFonts w:eastAsia="Calibri"/>
          <w:color w:val="auto"/>
          <w:sz w:val="24"/>
          <w:szCs w:val="24"/>
          <w:lang w:eastAsia="en-US"/>
        </w:rPr>
        <w:t xml:space="preserve">. Available from: </w:t>
      </w:r>
      <w:hyperlink r:id="rId34" w:history="1">
        <w:r w:rsidRPr="00AF64DF">
          <w:rPr>
            <w:rFonts w:eastAsia="Calibri"/>
            <w:color w:val="0563C1"/>
            <w:sz w:val="24"/>
            <w:szCs w:val="24"/>
            <w:u w:val="single"/>
            <w:lang w:eastAsia="en-US"/>
          </w:rPr>
          <w:t>https://www.gov.wales/more-just-words-welsh-language-plan-health-and-social-care</w:t>
        </w:r>
      </w:hyperlink>
      <w:r w:rsidRPr="00AF64DF">
        <w:rPr>
          <w:rFonts w:eastAsia="Calibri"/>
          <w:color w:val="auto"/>
          <w:sz w:val="24"/>
          <w:szCs w:val="24"/>
          <w:lang w:eastAsia="en-US"/>
        </w:rPr>
        <w:t>. (Accessed on 4 May 2025).</w:t>
      </w:r>
    </w:p>
    <w:p w14:paraId="2ACE49CC"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i/>
          <w:color w:val="auto"/>
          <w:sz w:val="24"/>
          <w:szCs w:val="24"/>
          <w:lang w:eastAsia="en-US"/>
        </w:rPr>
        <w:t>Welsh Language (Wales) Measure 2011</w:t>
      </w:r>
      <w:r w:rsidRPr="00AF64DF">
        <w:rPr>
          <w:rFonts w:eastAsia="Calibri"/>
          <w:color w:val="auto"/>
          <w:sz w:val="24"/>
          <w:szCs w:val="24"/>
          <w:lang w:eastAsia="en-US"/>
        </w:rPr>
        <w:t>. Cardiff: National Assembly for Wales. Available from: www.legislation.gov.uk. (Accessed 3 May 2025).</w:t>
      </w:r>
    </w:p>
    <w:p w14:paraId="46F1DC91"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Woodward, K. (1997), </w:t>
      </w:r>
      <w:r w:rsidRPr="00AF64DF">
        <w:rPr>
          <w:rFonts w:eastAsia="Calibri"/>
          <w:i/>
          <w:color w:val="auto"/>
          <w:sz w:val="24"/>
          <w:szCs w:val="24"/>
          <w:lang w:eastAsia="en-US"/>
        </w:rPr>
        <w:t>Identity and Difference</w:t>
      </w:r>
      <w:r w:rsidRPr="00AF64DF">
        <w:rPr>
          <w:rFonts w:eastAsia="Calibri"/>
          <w:color w:val="auto"/>
          <w:sz w:val="24"/>
          <w:szCs w:val="24"/>
          <w:lang w:eastAsia="en-US"/>
        </w:rPr>
        <w:t>. London: Sage.</w:t>
      </w:r>
    </w:p>
    <w:p w14:paraId="47A78F20"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Xxxx Safeguarding Board. (2020), Xxxx </w:t>
      </w:r>
      <w:r w:rsidRPr="00AF64DF">
        <w:rPr>
          <w:rFonts w:eastAsia="Calibri"/>
          <w:i/>
          <w:color w:val="auto"/>
          <w:sz w:val="24"/>
          <w:szCs w:val="24"/>
          <w:lang w:eastAsia="en-US"/>
        </w:rPr>
        <w:t>Regional Safeguarding Board Policy and Procedures to Support People who Self-Neglect</w:t>
      </w:r>
      <w:r w:rsidRPr="00AF64DF">
        <w:rPr>
          <w:rFonts w:eastAsia="Calibri"/>
          <w:color w:val="auto"/>
          <w:sz w:val="24"/>
          <w:szCs w:val="24"/>
          <w:lang w:eastAsia="en-US"/>
        </w:rPr>
        <w:t>. Available from: https://www.northwalessafeguardingboard.wales/wp-content/uploads/2019/02/North-Wales-Self-Neglect-Protocol-V2-1-1.pdf. Accessed 12 September 2025).</w:t>
      </w:r>
    </w:p>
    <w:p w14:paraId="022AA069"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Xxxx Safeguarding Board. (2022), </w:t>
      </w:r>
      <w:r w:rsidRPr="00AF64DF">
        <w:rPr>
          <w:rFonts w:eastAsia="Calibri"/>
          <w:i/>
          <w:color w:val="auto"/>
          <w:sz w:val="24"/>
          <w:szCs w:val="24"/>
          <w:lang w:eastAsia="en-US"/>
        </w:rPr>
        <w:t>Professional Curiosity Guidance</w:t>
      </w:r>
      <w:r w:rsidRPr="00AF64DF">
        <w:rPr>
          <w:rFonts w:eastAsia="Calibri"/>
          <w:color w:val="auto"/>
          <w:sz w:val="24"/>
          <w:szCs w:val="24"/>
          <w:lang w:eastAsia="en-US"/>
        </w:rPr>
        <w:t>. Available from: https://www.northwalessafeguardingboard.wales/wp-content/uploads/2022/03/Professional-Curiosity.pdf. (Accessed 12 September 2025).</w:t>
      </w:r>
    </w:p>
    <w:p w14:paraId="38589132"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t xml:space="preserve">Xxxx Safeguarding Board. (2023), </w:t>
      </w:r>
      <w:r w:rsidRPr="00AF64DF">
        <w:rPr>
          <w:rFonts w:eastAsia="Calibri"/>
          <w:i/>
          <w:color w:val="auto"/>
          <w:sz w:val="24"/>
          <w:szCs w:val="24"/>
          <w:lang w:eastAsia="en-US"/>
        </w:rPr>
        <w:t>Guidance Tool for Adult Safeguarding Decisions.</w:t>
      </w:r>
      <w:r w:rsidRPr="00AF64DF">
        <w:rPr>
          <w:rFonts w:eastAsia="Calibri"/>
          <w:color w:val="auto"/>
          <w:sz w:val="24"/>
          <w:szCs w:val="24"/>
          <w:lang w:eastAsia="en-US"/>
        </w:rPr>
        <w:t xml:space="preserve"> Available from: https://www.northwalessafeguardingboard.wales/wp-content/uploads/2020/10/NWSAB-Guidance-Tool-for-Adult-Safeguarding-Decisions-V3-Feb-2023.pdf. (Accessed 11 September 2025). </w:t>
      </w:r>
    </w:p>
    <w:p w14:paraId="38C6F5B9" w14:textId="77777777" w:rsidR="00AF64DF" w:rsidRPr="00AF64DF" w:rsidRDefault="00AF64DF" w:rsidP="00AF64DF">
      <w:pPr>
        <w:overflowPunct/>
        <w:autoSpaceDE/>
        <w:autoSpaceDN/>
        <w:adjustRightInd/>
        <w:spacing w:after="160" w:line="360" w:lineRule="auto"/>
        <w:jc w:val="both"/>
        <w:textAlignment w:val="auto"/>
        <w:rPr>
          <w:rFonts w:eastAsia="Calibri"/>
          <w:color w:val="auto"/>
          <w:sz w:val="24"/>
          <w:szCs w:val="24"/>
          <w:lang w:eastAsia="en-US"/>
        </w:rPr>
      </w:pPr>
      <w:r w:rsidRPr="00AF64DF">
        <w:rPr>
          <w:rFonts w:eastAsia="Calibri"/>
          <w:color w:val="auto"/>
          <w:sz w:val="24"/>
          <w:szCs w:val="24"/>
          <w:lang w:eastAsia="en-US"/>
        </w:rPr>
        <w:lastRenderedPageBreak/>
        <w:t xml:space="preserve">Xxxx Safeguarding Board. (2024), </w:t>
      </w:r>
      <w:r w:rsidRPr="00AF64DF">
        <w:rPr>
          <w:rFonts w:eastAsia="Calibri"/>
          <w:i/>
          <w:color w:val="auto"/>
          <w:sz w:val="24"/>
          <w:szCs w:val="24"/>
          <w:lang w:eastAsia="en-US"/>
        </w:rPr>
        <w:t>Lived Experience of the Adult. Practice Guidance.</w:t>
      </w:r>
      <w:r w:rsidRPr="00AF64DF">
        <w:rPr>
          <w:rFonts w:eastAsia="Calibri"/>
          <w:color w:val="auto"/>
          <w:sz w:val="24"/>
          <w:szCs w:val="24"/>
          <w:lang w:eastAsia="en-US"/>
        </w:rPr>
        <w:t xml:space="preserve"> Available from: https://www.northwalessafeguardingboard.wales/wp-content/uploads/2024/11/Lived-Experience-of-the-Adult.pdf. (Accessed the 11 September 2025).</w:t>
      </w:r>
    </w:p>
    <w:p w14:paraId="009FC176" w14:textId="46B9BAFE" w:rsidR="004E4DFC" w:rsidRDefault="002A1A44" w:rsidP="002A1A44">
      <w:pPr>
        <w:keepNext/>
        <w:spacing w:before="240" w:after="60"/>
        <w:jc w:val="both"/>
        <w:rPr>
          <w:sz w:val="24"/>
          <w:szCs w:val="24"/>
        </w:rPr>
      </w:pPr>
      <w:r w:rsidRPr="008B28E7">
        <w:rPr>
          <w:sz w:val="24"/>
          <w:szCs w:val="24"/>
        </w:rPr>
        <w:t xml:space="preserve"> </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E100F32" w:rsidR="00E559CE" w:rsidRPr="00B17FA0" w:rsidRDefault="00E559CE" w:rsidP="00B94443">
            <w:pPr>
              <w:jc w:val="both"/>
              <w:rPr>
                <w:sz w:val="24"/>
                <w:szCs w:val="24"/>
              </w:rPr>
            </w:pPr>
            <w:r w:rsidRPr="00B17FA0">
              <w:rPr>
                <w:sz w:val="24"/>
                <w:szCs w:val="24"/>
              </w:rPr>
              <w:t>1</w:t>
            </w:r>
            <w:r w:rsidR="00251845">
              <w:rPr>
                <w:sz w:val="24"/>
                <w:szCs w:val="24"/>
              </w:rPr>
              <w:t xml:space="preserve"> Workshop One</w:t>
            </w:r>
          </w:p>
        </w:tc>
        <w:tc>
          <w:tcPr>
            <w:tcW w:w="5094" w:type="dxa"/>
          </w:tcPr>
          <w:p w14:paraId="4504991A" w14:textId="237A3464" w:rsidR="00E559CE" w:rsidRPr="00B17FA0" w:rsidRDefault="00251845" w:rsidP="00B94443">
            <w:pPr>
              <w:jc w:val="both"/>
              <w:rPr>
                <w:sz w:val="24"/>
                <w:szCs w:val="24"/>
              </w:rPr>
            </w:pPr>
            <w:r>
              <w:rPr>
                <w:sz w:val="24"/>
                <w:szCs w:val="24"/>
              </w:rPr>
              <w:t>26.11.2024</w:t>
            </w:r>
          </w:p>
        </w:tc>
      </w:tr>
      <w:tr w:rsidR="00E559CE" w:rsidRPr="00B17FA0" w14:paraId="05C1FAE9" w14:textId="77777777" w:rsidTr="00B94443">
        <w:tc>
          <w:tcPr>
            <w:tcW w:w="5094" w:type="dxa"/>
          </w:tcPr>
          <w:p w14:paraId="2BDB6661" w14:textId="4DE49CFC" w:rsidR="00E559CE" w:rsidRPr="00B17FA0" w:rsidRDefault="00E559CE" w:rsidP="00B94443">
            <w:pPr>
              <w:jc w:val="both"/>
              <w:rPr>
                <w:sz w:val="24"/>
                <w:szCs w:val="24"/>
              </w:rPr>
            </w:pPr>
            <w:r w:rsidRPr="00B17FA0">
              <w:rPr>
                <w:sz w:val="24"/>
                <w:szCs w:val="24"/>
              </w:rPr>
              <w:t>2</w:t>
            </w:r>
            <w:r w:rsidR="00251845">
              <w:rPr>
                <w:sz w:val="24"/>
                <w:szCs w:val="24"/>
              </w:rPr>
              <w:t xml:space="preserve"> Workshop Two</w:t>
            </w:r>
          </w:p>
        </w:tc>
        <w:tc>
          <w:tcPr>
            <w:tcW w:w="5094" w:type="dxa"/>
          </w:tcPr>
          <w:p w14:paraId="1AF3604C" w14:textId="76559367" w:rsidR="00E559CE" w:rsidRPr="00B17FA0" w:rsidRDefault="008E745D" w:rsidP="00B94443">
            <w:pPr>
              <w:jc w:val="both"/>
              <w:rPr>
                <w:sz w:val="24"/>
                <w:szCs w:val="24"/>
              </w:rPr>
            </w:pPr>
            <w:r>
              <w:rPr>
                <w:sz w:val="24"/>
                <w:szCs w:val="24"/>
              </w:rPr>
              <w:t>12.02</w:t>
            </w:r>
            <w:r w:rsidR="00251845">
              <w:rPr>
                <w:sz w:val="24"/>
                <w:szCs w:val="24"/>
              </w:rPr>
              <w:t>.2025</w:t>
            </w:r>
          </w:p>
        </w:tc>
      </w:tr>
      <w:tr w:rsidR="00E559CE" w:rsidRPr="00B17FA0" w14:paraId="5356395F" w14:textId="77777777" w:rsidTr="00B94443">
        <w:tc>
          <w:tcPr>
            <w:tcW w:w="5094" w:type="dxa"/>
          </w:tcPr>
          <w:p w14:paraId="7DC37211" w14:textId="72DB9E34" w:rsidR="00E559CE" w:rsidRPr="00B17FA0" w:rsidRDefault="00E559CE" w:rsidP="00B94443">
            <w:pPr>
              <w:jc w:val="both"/>
              <w:rPr>
                <w:sz w:val="24"/>
                <w:szCs w:val="24"/>
              </w:rPr>
            </w:pPr>
            <w:r w:rsidRPr="00B17FA0">
              <w:rPr>
                <w:sz w:val="24"/>
                <w:szCs w:val="24"/>
              </w:rPr>
              <w:t>3</w:t>
            </w:r>
            <w:r w:rsidR="00251845">
              <w:rPr>
                <w:sz w:val="24"/>
                <w:szCs w:val="24"/>
              </w:rPr>
              <w:t xml:space="preserve"> Workshop Three</w:t>
            </w:r>
          </w:p>
        </w:tc>
        <w:tc>
          <w:tcPr>
            <w:tcW w:w="5094" w:type="dxa"/>
          </w:tcPr>
          <w:p w14:paraId="4DFBE392" w14:textId="40EDF74E" w:rsidR="00E559CE" w:rsidRPr="00B17FA0" w:rsidRDefault="001A5CA8" w:rsidP="00B94443">
            <w:pPr>
              <w:jc w:val="both"/>
              <w:rPr>
                <w:sz w:val="24"/>
                <w:szCs w:val="24"/>
              </w:rPr>
            </w:pPr>
            <w:r>
              <w:rPr>
                <w:sz w:val="24"/>
                <w:szCs w:val="24"/>
              </w:rPr>
              <w:t>10.06</w:t>
            </w:r>
            <w:r w:rsidR="00251845">
              <w:rPr>
                <w:sz w:val="24"/>
                <w:szCs w:val="24"/>
              </w:rPr>
              <w:t>.2025</w:t>
            </w:r>
          </w:p>
        </w:tc>
      </w:tr>
      <w:tr w:rsidR="00E559CE" w:rsidRPr="008B28E7" w14:paraId="40165146" w14:textId="77777777" w:rsidTr="00B94443">
        <w:tc>
          <w:tcPr>
            <w:tcW w:w="5094" w:type="dxa"/>
          </w:tcPr>
          <w:p w14:paraId="2DE3C97B" w14:textId="363A213F" w:rsidR="00E559CE" w:rsidRPr="00B17FA0" w:rsidRDefault="00E559CE" w:rsidP="00B94443">
            <w:pPr>
              <w:jc w:val="both"/>
              <w:rPr>
                <w:sz w:val="24"/>
                <w:szCs w:val="24"/>
              </w:rPr>
            </w:pPr>
            <w:r w:rsidRPr="00B17FA0">
              <w:rPr>
                <w:sz w:val="24"/>
                <w:szCs w:val="24"/>
              </w:rPr>
              <w:t>4</w:t>
            </w:r>
            <w:r w:rsidR="00251845">
              <w:rPr>
                <w:sz w:val="24"/>
                <w:szCs w:val="24"/>
              </w:rPr>
              <w:t xml:space="preserve"> Workshop Four</w:t>
            </w:r>
          </w:p>
        </w:tc>
        <w:tc>
          <w:tcPr>
            <w:tcW w:w="5094" w:type="dxa"/>
          </w:tcPr>
          <w:p w14:paraId="16B5309A" w14:textId="4C6AA96A" w:rsidR="00E559CE" w:rsidRPr="00B17FA0" w:rsidRDefault="001A5CA8" w:rsidP="00B94443">
            <w:pPr>
              <w:jc w:val="both"/>
              <w:rPr>
                <w:sz w:val="24"/>
                <w:szCs w:val="24"/>
              </w:rPr>
            </w:pPr>
            <w:r>
              <w:rPr>
                <w:sz w:val="24"/>
                <w:szCs w:val="24"/>
              </w:rPr>
              <w:t>06.08</w:t>
            </w:r>
            <w:r w:rsidR="008B629A">
              <w:rPr>
                <w:sz w:val="24"/>
                <w:szCs w:val="24"/>
              </w:rPr>
              <w:t>.2025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05F3D23C" w:rsidR="00FC0334" w:rsidRDefault="00216B63" w:rsidP="00EA3D75">
            <w:pPr>
              <w:spacing w:line="360" w:lineRule="auto"/>
              <w:jc w:val="both"/>
              <w:rPr>
                <w:color w:val="auto"/>
                <w:sz w:val="24"/>
                <w:szCs w:val="24"/>
              </w:rPr>
            </w:pPr>
            <w:r>
              <w:rPr>
                <w:color w:val="auto"/>
                <w:sz w:val="24"/>
                <w:szCs w:val="24"/>
              </w:rPr>
              <w:t xml:space="preserve">Learning Outcomes: </w:t>
            </w:r>
          </w:p>
          <w:p w14:paraId="75D4FBA5" w14:textId="77777777" w:rsidR="00216B63" w:rsidRDefault="00216B63" w:rsidP="00EA3D75">
            <w:pPr>
              <w:spacing w:line="360" w:lineRule="auto"/>
              <w:jc w:val="both"/>
              <w:rPr>
                <w:color w:val="auto"/>
                <w:sz w:val="24"/>
                <w:szCs w:val="24"/>
              </w:rPr>
            </w:pPr>
          </w:p>
          <w:p w14:paraId="68E7B129" w14:textId="07F8DED4" w:rsidR="00216B63" w:rsidRPr="00216B63" w:rsidRDefault="00216B63" w:rsidP="00EA3D75">
            <w:pPr>
              <w:pStyle w:val="ListParagraph"/>
              <w:numPr>
                <w:ilvl w:val="0"/>
                <w:numId w:val="54"/>
              </w:numPr>
              <w:spacing w:line="360" w:lineRule="auto"/>
              <w:jc w:val="both"/>
              <w:rPr>
                <w:color w:val="auto"/>
                <w:sz w:val="24"/>
                <w:szCs w:val="24"/>
              </w:rPr>
            </w:pPr>
            <w:r w:rsidRPr="00216B63">
              <w:rPr>
                <w:color w:val="auto"/>
                <w:sz w:val="24"/>
                <w:szCs w:val="24"/>
              </w:rPr>
              <w:t>Applying analysis in assessment to inform interventions.</w:t>
            </w:r>
          </w:p>
          <w:p w14:paraId="3D84D993" w14:textId="5460A968" w:rsidR="00216B63" w:rsidRDefault="00216B63" w:rsidP="00EA3D75">
            <w:pPr>
              <w:spacing w:line="360" w:lineRule="auto"/>
              <w:jc w:val="both"/>
              <w:rPr>
                <w:color w:val="auto"/>
                <w:sz w:val="24"/>
                <w:szCs w:val="24"/>
              </w:rPr>
            </w:pPr>
          </w:p>
          <w:p w14:paraId="4A210269" w14:textId="77777777" w:rsidR="001A783A" w:rsidRDefault="001A783A" w:rsidP="00EA3D75">
            <w:pPr>
              <w:spacing w:line="360" w:lineRule="auto"/>
              <w:jc w:val="both"/>
              <w:rPr>
                <w:color w:val="auto"/>
                <w:sz w:val="24"/>
                <w:szCs w:val="24"/>
              </w:rPr>
            </w:pPr>
            <w:r>
              <w:rPr>
                <w:color w:val="auto"/>
                <w:sz w:val="24"/>
                <w:szCs w:val="24"/>
              </w:rPr>
              <w:t xml:space="preserve">The term ‘safeguarding’ is commonly used in a broad context by practitioners, professionals and citizens alike typically when referring to a person with a need that would benefit from an intervention. </w:t>
            </w:r>
          </w:p>
          <w:p w14:paraId="068635A8" w14:textId="77777777" w:rsidR="001A783A" w:rsidRDefault="001A783A" w:rsidP="00EA3D75">
            <w:pPr>
              <w:spacing w:line="360" w:lineRule="auto"/>
              <w:jc w:val="both"/>
              <w:rPr>
                <w:color w:val="auto"/>
                <w:sz w:val="24"/>
                <w:szCs w:val="24"/>
              </w:rPr>
            </w:pPr>
          </w:p>
          <w:p w14:paraId="331C7FFC" w14:textId="6BAEB8FC" w:rsidR="001A783A" w:rsidRDefault="001A783A" w:rsidP="00EA3D75">
            <w:pPr>
              <w:spacing w:line="360" w:lineRule="auto"/>
              <w:jc w:val="both"/>
              <w:rPr>
                <w:color w:val="auto"/>
                <w:sz w:val="24"/>
                <w:szCs w:val="24"/>
              </w:rPr>
            </w:pPr>
            <w:r>
              <w:rPr>
                <w:color w:val="auto"/>
                <w:sz w:val="24"/>
                <w:szCs w:val="24"/>
              </w:rPr>
              <w:t xml:space="preserve">The NWASB thresholds in relation to Adult Safeguarding specifically use the terminology ‘Adult at Risk’ </w:t>
            </w:r>
            <w:r w:rsidR="00552E91">
              <w:rPr>
                <w:color w:val="auto"/>
                <w:sz w:val="24"/>
                <w:szCs w:val="24"/>
              </w:rPr>
              <w:t xml:space="preserve">(AAR) </w:t>
            </w:r>
            <w:r>
              <w:rPr>
                <w:color w:val="auto"/>
                <w:sz w:val="24"/>
                <w:szCs w:val="24"/>
              </w:rPr>
              <w:t>which is more concise relation to identifying specific risk than that of the aforementioned widely used term ‘safeguarding’.</w:t>
            </w:r>
          </w:p>
          <w:p w14:paraId="0013C076" w14:textId="32619157" w:rsidR="001A783A" w:rsidRDefault="001A783A" w:rsidP="00EA3D75">
            <w:pPr>
              <w:spacing w:line="360" w:lineRule="auto"/>
              <w:jc w:val="both"/>
              <w:rPr>
                <w:color w:val="auto"/>
                <w:sz w:val="24"/>
                <w:szCs w:val="24"/>
              </w:rPr>
            </w:pPr>
          </w:p>
          <w:p w14:paraId="64118940" w14:textId="137F047D" w:rsidR="001A783A" w:rsidRDefault="00552E91" w:rsidP="00EA3D75">
            <w:pPr>
              <w:spacing w:line="360" w:lineRule="auto"/>
              <w:jc w:val="both"/>
              <w:rPr>
                <w:color w:val="auto"/>
                <w:sz w:val="24"/>
                <w:szCs w:val="24"/>
              </w:rPr>
            </w:pPr>
            <w:r>
              <w:rPr>
                <w:color w:val="auto"/>
                <w:sz w:val="24"/>
                <w:szCs w:val="24"/>
              </w:rPr>
              <w:t>In respect of</w:t>
            </w:r>
            <w:r w:rsidR="001A783A">
              <w:rPr>
                <w:color w:val="auto"/>
                <w:sz w:val="24"/>
                <w:szCs w:val="24"/>
              </w:rPr>
              <w:t xml:space="preserve"> Rob’</w:t>
            </w:r>
            <w:r>
              <w:rPr>
                <w:color w:val="auto"/>
                <w:sz w:val="24"/>
                <w:szCs w:val="24"/>
              </w:rPr>
              <w:t xml:space="preserve">s development to analyse information to inform interventions, the relevance here is that; information typically contained within an Adult at Risk report received by Adult </w:t>
            </w:r>
            <w:r>
              <w:rPr>
                <w:color w:val="auto"/>
                <w:sz w:val="24"/>
                <w:szCs w:val="24"/>
              </w:rPr>
              <w:lastRenderedPageBreak/>
              <w:t xml:space="preserve">Safeguarding </w:t>
            </w:r>
            <w:r w:rsidR="00745451">
              <w:rPr>
                <w:color w:val="auto"/>
                <w:sz w:val="24"/>
                <w:szCs w:val="24"/>
              </w:rPr>
              <w:t xml:space="preserve">is </w:t>
            </w:r>
            <w:r>
              <w:rPr>
                <w:color w:val="auto"/>
                <w:sz w:val="24"/>
                <w:szCs w:val="24"/>
              </w:rPr>
              <w:t xml:space="preserve">more often than not </w:t>
            </w:r>
            <w:r w:rsidR="00745451">
              <w:rPr>
                <w:color w:val="auto"/>
                <w:sz w:val="24"/>
                <w:szCs w:val="24"/>
              </w:rPr>
              <w:t xml:space="preserve">dominated by information </w:t>
            </w:r>
            <w:r>
              <w:rPr>
                <w:color w:val="auto"/>
                <w:sz w:val="24"/>
                <w:szCs w:val="24"/>
              </w:rPr>
              <w:t xml:space="preserve">relating </w:t>
            </w:r>
            <w:r w:rsidR="00745451">
              <w:rPr>
                <w:color w:val="auto"/>
                <w:sz w:val="24"/>
                <w:szCs w:val="24"/>
              </w:rPr>
              <w:t xml:space="preserve">to a citizen’s </w:t>
            </w:r>
            <w:r>
              <w:rPr>
                <w:color w:val="auto"/>
                <w:sz w:val="24"/>
                <w:szCs w:val="24"/>
              </w:rPr>
              <w:t>care and supportive n</w:t>
            </w:r>
            <w:r w:rsidR="00745451">
              <w:rPr>
                <w:color w:val="auto"/>
                <w:sz w:val="24"/>
                <w:szCs w:val="24"/>
              </w:rPr>
              <w:t>eeds and the challenge can be identifying where the consideration for meeting of AAR thresholds might be.</w:t>
            </w:r>
          </w:p>
          <w:p w14:paraId="3BD82F3F" w14:textId="69B8E07F" w:rsidR="001A783A" w:rsidRDefault="001A783A" w:rsidP="00EA3D75">
            <w:pPr>
              <w:spacing w:line="360" w:lineRule="auto"/>
              <w:jc w:val="both"/>
              <w:rPr>
                <w:color w:val="auto"/>
                <w:sz w:val="24"/>
                <w:szCs w:val="24"/>
              </w:rPr>
            </w:pPr>
          </w:p>
          <w:p w14:paraId="74894618" w14:textId="1D0CBE07" w:rsidR="00E55BE8" w:rsidRDefault="00E55BE8" w:rsidP="00EA3D75">
            <w:pPr>
              <w:spacing w:line="360" w:lineRule="auto"/>
              <w:jc w:val="both"/>
              <w:rPr>
                <w:color w:val="auto"/>
                <w:sz w:val="24"/>
                <w:szCs w:val="24"/>
              </w:rPr>
            </w:pPr>
            <w:r>
              <w:rPr>
                <w:color w:val="auto"/>
                <w:sz w:val="24"/>
                <w:szCs w:val="24"/>
              </w:rPr>
              <w:t>It is the role of the Adult Safeguarding practitioner</w:t>
            </w:r>
            <w:r w:rsidR="00521C93">
              <w:rPr>
                <w:color w:val="auto"/>
                <w:sz w:val="24"/>
                <w:szCs w:val="24"/>
              </w:rPr>
              <w:t xml:space="preserve"> during the screening of information process</w:t>
            </w:r>
            <w:r>
              <w:rPr>
                <w:color w:val="auto"/>
                <w:sz w:val="24"/>
                <w:szCs w:val="24"/>
              </w:rPr>
              <w:t xml:space="preserve"> to utilise their understanding of the </w:t>
            </w:r>
            <w:r w:rsidR="00521C93">
              <w:rPr>
                <w:color w:val="auto"/>
                <w:sz w:val="24"/>
                <w:szCs w:val="24"/>
              </w:rPr>
              <w:t>AAR thresholds, relevant legislations and practice experiences when considering what actions to take or not to take. This is a skill that Rob would need to develop as part of his learning, as ultimately he would need to provide robust advice and guidance irrespective of whether the identified need met the AAR threshold for further enquiries to be made, or otherwise.</w:t>
            </w:r>
          </w:p>
          <w:p w14:paraId="1517A1EF" w14:textId="5F02D895" w:rsidR="00521C93" w:rsidRDefault="00521C93" w:rsidP="00EA3D75">
            <w:pPr>
              <w:spacing w:line="360" w:lineRule="auto"/>
              <w:jc w:val="both"/>
              <w:rPr>
                <w:color w:val="auto"/>
                <w:sz w:val="24"/>
                <w:szCs w:val="24"/>
              </w:rPr>
            </w:pPr>
          </w:p>
          <w:p w14:paraId="0B3BAE97" w14:textId="5583DDA4" w:rsidR="0086778C" w:rsidRDefault="0086778C" w:rsidP="00EA3D75">
            <w:pPr>
              <w:spacing w:line="360" w:lineRule="auto"/>
              <w:jc w:val="both"/>
              <w:rPr>
                <w:color w:val="auto"/>
                <w:sz w:val="24"/>
                <w:szCs w:val="24"/>
              </w:rPr>
            </w:pPr>
            <w:r>
              <w:rPr>
                <w:color w:val="auto"/>
                <w:sz w:val="24"/>
                <w:szCs w:val="24"/>
              </w:rPr>
              <w:t xml:space="preserve">In order to make himself more proficient at doing so, Rob did indeed attend </w:t>
            </w:r>
            <w:r w:rsidR="00AE6051">
              <w:rPr>
                <w:color w:val="auto"/>
                <w:sz w:val="24"/>
                <w:szCs w:val="24"/>
              </w:rPr>
              <w:t xml:space="preserve">various </w:t>
            </w:r>
            <w:r>
              <w:rPr>
                <w:color w:val="auto"/>
                <w:sz w:val="24"/>
                <w:szCs w:val="24"/>
              </w:rPr>
              <w:t>training</w:t>
            </w:r>
            <w:r w:rsidR="00AE6051">
              <w:rPr>
                <w:color w:val="auto"/>
                <w:sz w:val="24"/>
                <w:szCs w:val="24"/>
              </w:rPr>
              <w:t xml:space="preserve"> which helped him with the foundations or structure of Adult at Risk principles, thresholds etc which would underpin his thought processes moving forward, but in reality the decision making required needs to be supported by a process entailing collating of further information when needed to enhance a holistic picture of a situation from which a robust analysis and determination can be made.</w:t>
            </w:r>
          </w:p>
          <w:p w14:paraId="3EDAB4EB" w14:textId="383EC129" w:rsidR="00AE6051" w:rsidRDefault="00AE6051" w:rsidP="00EA3D75">
            <w:pPr>
              <w:spacing w:line="360" w:lineRule="auto"/>
              <w:jc w:val="both"/>
              <w:rPr>
                <w:color w:val="auto"/>
                <w:sz w:val="24"/>
                <w:szCs w:val="24"/>
              </w:rPr>
            </w:pPr>
          </w:p>
          <w:p w14:paraId="5A85161D" w14:textId="4A46398A" w:rsidR="00AE6051" w:rsidRDefault="00AE6051" w:rsidP="00EA3D75">
            <w:pPr>
              <w:spacing w:line="360" w:lineRule="auto"/>
              <w:jc w:val="both"/>
              <w:rPr>
                <w:color w:val="auto"/>
                <w:sz w:val="24"/>
                <w:szCs w:val="24"/>
              </w:rPr>
            </w:pPr>
            <w:r>
              <w:rPr>
                <w:color w:val="auto"/>
                <w:sz w:val="24"/>
                <w:szCs w:val="24"/>
              </w:rPr>
              <w:t>Rob and I screened many AAR reports together and dissected the information methodically, gathering further details as required in order to better assess a situation and make a decision.</w:t>
            </w:r>
          </w:p>
          <w:p w14:paraId="031A4C43" w14:textId="71C39ABB" w:rsidR="00AE6051" w:rsidRDefault="00AE6051" w:rsidP="00EA3D75">
            <w:pPr>
              <w:spacing w:line="360" w:lineRule="auto"/>
              <w:jc w:val="both"/>
              <w:rPr>
                <w:color w:val="auto"/>
                <w:sz w:val="24"/>
                <w:szCs w:val="24"/>
              </w:rPr>
            </w:pPr>
          </w:p>
          <w:p w14:paraId="7813DA3D" w14:textId="14BC4228" w:rsidR="00AE6051" w:rsidRDefault="00B54F22" w:rsidP="00EA3D75">
            <w:pPr>
              <w:spacing w:line="360" w:lineRule="auto"/>
              <w:jc w:val="both"/>
              <w:rPr>
                <w:color w:val="auto"/>
                <w:sz w:val="24"/>
                <w:szCs w:val="24"/>
              </w:rPr>
            </w:pPr>
            <w:r>
              <w:rPr>
                <w:color w:val="auto"/>
                <w:sz w:val="24"/>
                <w:szCs w:val="24"/>
              </w:rPr>
              <w:t xml:space="preserve">Through the repetitiveness of this practice, </w:t>
            </w:r>
            <w:r w:rsidR="00AE6051">
              <w:rPr>
                <w:color w:val="auto"/>
                <w:sz w:val="24"/>
                <w:szCs w:val="24"/>
              </w:rPr>
              <w:t xml:space="preserve">Rob </w:t>
            </w:r>
            <w:r>
              <w:rPr>
                <w:color w:val="auto"/>
                <w:sz w:val="24"/>
                <w:szCs w:val="24"/>
              </w:rPr>
              <w:t>gained a good</w:t>
            </w:r>
            <w:r w:rsidR="00AE6051">
              <w:rPr>
                <w:color w:val="auto"/>
                <w:sz w:val="24"/>
                <w:szCs w:val="24"/>
              </w:rPr>
              <w:t xml:space="preserve"> understanding of </w:t>
            </w:r>
            <w:r>
              <w:rPr>
                <w:color w:val="auto"/>
                <w:sz w:val="24"/>
                <w:szCs w:val="24"/>
              </w:rPr>
              <w:t>what was required to</w:t>
            </w:r>
            <w:r w:rsidR="00AE6051">
              <w:rPr>
                <w:color w:val="auto"/>
                <w:sz w:val="24"/>
                <w:szCs w:val="24"/>
              </w:rPr>
              <w:t xml:space="preserve"> </w:t>
            </w:r>
            <w:r>
              <w:rPr>
                <w:color w:val="auto"/>
                <w:sz w:val="24"/>
                <w:szCs w:val="24"/>
              </w:rPr>
              <w:t xml:space="preserve">effectively </w:t>
            </w:r>
            <w:r w:rsidR="00AE6051">
              <w:rPr>
                <w:color w:val="auto"/>
                <w:sz w:val="24"/>
                <w:szCs w:val="24"/>
              </w:rPr>
              <w:t>interpret information presented in front of him</w:t>
            </w:r>
            <w:r>
              <w:rPr>
                <w:color w:val="auto"/>
                <w:sz w:val="24"/>
                <w:szCs w:val="24"/>
              </w:rPr>
              <w:t xml:space="preserve"> and after a few weeks he felt confident as did I in his ability to robustly screen an AAR report and provide accurate direction of what interventions would be needed and be undertaken by whom, to meet the identified need.</w:t>
            </w:r>
          </w:p>
          <w:p w14:paraId="1542B766" w14:textId="185AC197" w:rsidR="00B54F22" w:rsidRDefault="00B54F22" w:rsidP="00EA3D75">
            <w:pPr>
              <w:spacing w:line="360" w:lineRule="auto"/>
              <w:jc w:val="both"/>
              <w:rPr>
                <w:color w:val="auto"/>
                <w:sz w:val="24"/>
                <w:szCs w:val="24"/>
              </w:rPr>
            </w:pPr>
            <w:r>
              <w:rPr>
                <w:color w:val="auto"/>
                <w:sz w:val="24"/>
                <w:szCs w:val="24"/>
              </w:rPr>
              <w:t xml:space="preserve">Rob’s natural demeanour is to be thorough and to seek advice when needed, this instilled me with great confidence in his ability to complete whatever task was set out for him. </w:t>
            </w:r>
          </w:p>
          <w:p w14:paraId="6CC172E7" w14:textId="60E5842A" w:rsidR="00B54F22" w:rsidRDefault="00B54F22" w:rsidP="00EA3D75">
            <w:pPr>
              <w:spacing w:line="360" w:lineRule="auto"/>
              <w:jc w:val="both"/>
              <w:rPr>
                <w:color w:val="auto"/>
                <w:sz w:val="24"/>
                <w:szCs w:val="24"/>
              </w:rPr>
            </w:pPr>
            <w:r>
              <w:rPr>
                <w:color w:val="auto"/>
                <w:sz w:val="24"/>
                <w:szCs w:val="24"/>
              </w:rPr>
              <w:t>Without question he met his objectives.</w:t>
            </w:r>
          </w:p>
          <w:p w14:paraId="600C1FD7" w14:textId="77777777" w:rsidR="00175A42" w:rsidRDefault="00175A42" w:rsidP="00EA3D75">
            <w:pPr>
              <w:spacing w:line="360" w:lineRule="auto"/>
              <w:jc w:val="both"/>
              <w:rPr>
                <w:color w:val="auto"/>
                <w:sz w:val="24"/>
                <w:szCs w:val="24"/>
              </w:rPr>
            </w:pPr>
          </w:p>
          <w:p w14:paraId="7FCF22D0" w14:textId="77777777" w:rsidR="00521C93" w:rsidRDefault="00521C93" w:rsidP="00EA3D75">
            <w:pPr>
              <w:spacing w:line="360" w:lineRule="auto"/>
              <w:jc w:val="both"/>
              <w:rPr>
                <w:color w:val="auto"/>
                <w:sz w:val="24"/>
                <w:szCs w:val="24"/>
              </w:rPr>
            </w:pPr>
          </w:p>
          <w:p w14:paraId="575BDF1E" w14:textId="66CB5222" w:rsidR="00FC0334" w:rsidRDefault="00216B63" w:rsidP="00EA3D75">
            <w:pPr>
              <w:pStyle w:val="ListParagraph"/>
              <w:numPr>
                <w:ilvl w:val="0"/>
                <w:numId w:val="54"/>
              </w:numPr>
              <w:spacing w:line="360" w:lineRule="auto"/>
              <w:jc w:val="both"/>
              <w:rPr>
                <w:color w:val="auto"/>
                <w:sz w:val="24"/>
                <w:szCs w:val="24"/>
              </w:rPr>
            </w:pPr>
            <w:r w:rsidRPr="00216B63">
              <w:rPr>
                <w:color w:val="auto"/>
                <w:sz w:val="24"/>
                <w:szCs w:val="24"/>
              </w:rPr>
              <w:lastRenderedPageBreak/>
              <w:t>Working collaboratively with people in need of care and support, their carer’s and other professionals.</w:t>
            </w:r>
          </w:p>
          <w:p w14:paraId="211AD5E5" w14:textId="77777777" w:rsidR="00D45F56" w:rsidRPr="00216B63" w:rsidRDefault="00D45F56" w:rsidP="00EA3D75">
            <w:pPr>
              <w:pStyle w:val="ListParagraph"/>
              <w:spacing w:line="360" w:lineRule="auto"/>
              <w:jc w:val="both"/>
              <w:rPr>
                <w:color w:val="auto"/>
                <w:sz w:val="24"/>
                <w:szCs w:val="24"/>
              </w:rPr>
            </w:pPr>
          </w:p>
          <w:p w14:paraId="1F8187C6" w14:textId="77777777" w:rsidR="00D45F56" w:rsidRDefault="00D45F56" w:rsidP="00EA3D75">
            <w:pPr>
              <w:spacing w:line="360" w:lineRule="auto"/>
              <w:jc w:val="both"/>
              <w:rPr>
                <w:color w:val="auto"/>
                <w:sz w:val="24"/>
                <w:szCs w:val="24"/>
              </w:rPr>
            </w:pPr>
            <w:r>
              <w:rPr>
                <w:color w:val="auto"/>
                <w:sz w:val="24"/>
                <w:szCs w:val="24"/>
              </w:rPr>
              <w:t xml:space="preserve">As mentioned the term ‘safeguarding’ means many things to many people and because of that it can seem like a ‘grey’ area for understanding what meets an AAR threshold or not. </w:t>
            </w:r>
          </w:p>
          <w:p w14:paraId="17376587" w14:textId="77777777" w:rsidR="00D45F56" w:rsidRDefault="00D45F56" w:rsidP="00EA3D75">
            <w:pPr>
              <w:spacing w:line="360" w:lineRule="auto"/>
              <w:jc w:val="both"/>
              <w:rPr>
                <w:color w:val="auto"/>
                <w:sz w:val="24"/>
                <w:szCs w:val="24"/>
              </w:rPr>
            </w:pPr>
          </w:p>
          <w:p w14:paraId="38A82857" w14:textId="77777777" w:rsidR="003F7810" w:rsidRDefault="00D45F56" w:rsidP="00EA3D75">
            <w:pPr>
              <w:spacing w:line="360" w:lineRule="auto"/>
              <w:jc w:val="both"/>
              <w:rPr>
                <w:color w:val="auto"/>
                <w:sz w:val="24"/>
                <w:szCs w:val="24"/>
              </w:rPr>
            </w:pPr>
            <w:r>
              <w:rPr>
                <w:color w:val="auto"/>
                <w:sz w:val="24"/>
                <w:szCs w:val="24"/>
              </w:rPr>
              <w:t>Rob clearly understands that a citizen may have needs that require multi agency support</w:t>
            </w:r>
            <w:r w:rsidR="003F7810">
              <w:rPr>
                <w:color w:val="auto"/>
                <w:sz w:val="24"/>
                <w:szCs w:val="24"/>
              </w:rPr>
              <w:t>, and appreciates</w:t>
            </w:r>
            <w:r>
              <w:rPr>
                <w:color w:val="auto"/>
                <w:sz w:val="24"/>
                <w:szCs w:val="24"/>
              </w:rPr>
              <w:t xml:space="preserve"> that relationships need to be effective between services, professionals, citizens and their families if the opportunities to rea</w:t>
            </w:r>
            <w:r w:rsidR="003F7810">
              <w:rPr>
                <w:color w:val="auto"/>
                <w:sz w:val="24"/>
                <w:szCs w:val="24"/>
              </w:rPr>
              <w:t>ch outcomes are to be optimised.</w:t>
            </w:r>
          </w:p>
          <w:p w14:paraId="6226BAC3" w14:textId="329903DA" w:rsidR="00D45F56" w:rsidRDefault="003F7810" w:rsidP="00EA3D75">
            <w:pPr>
              <w:spacing w:line="360" w:lineRule="auto"/>
              <w:jc w:val="both"/>
              <w:rPr>
                <w:color w:val="auto"/>
                <w:sz w:val="24"/>
                <w:szCs w:val="24"/>
              </w:rPr>
            </w:pPr>
            <w:r>
              <w:rPr>
                <w:color w:val="auto"/>
                <w:sz w:val="24"/>
                <w:szCs w:val="24"/>
              </w:rPr>
              <w:t>It is h</w:t>
            </w:r>
            <w:r w:rsidR="00D45F56">
              <w:rPr>
                <w:color w:val="auto"/>
                <w:sz w:val="24"/>
                <w:szCs w:val="24"/>
              </w:rPr>
              <w:t xml:space="preserve">ere is where things can at times become more challenging when </w:t>
            </w:r>
            <w:r>
              <w:rPr>
                <w:color w:val="auto"/>
                <w:sz w:val="24"/>
                <w:szCs w:val="24"/>
              </w:rPr>
              <w:t xml:space="preserve">perspectives, wishes and feelings differ, particularly in relation whether AAR thresholds are being met and what will be the specific role of Adult </w:t>
            </w:r>
            <w:r w:rsidR="001C2DE9">
              <w:rPr>
                <w:color w:val="auto"/>
                <w:sz w:val="24"/>
                <w:szCs w:val="24"/>
              </w:rPr>
              <w:t>Safeguarding and ‘others’ moving forward.</w:t>
            </w:r>
          </w:p>
          <w:p w14:paraId="333598E3" w14:textId="18B8362E" w:rsidR="001C2DE9" w:rsidRDefault="001C2DE9" w:rsidP="00EA3D75">
            <w:pPr>
              <w:spacing w:line="360" w:lineRule="auto"/>
              <w:jc w:val="both"/>
              <w:rPr>
                <w:color w:val="auto"/>
                <w:sz w:val="24"/>
                <w:szCs w:val="24"/>
              </w:rPr>
            </w:pPr>
          </w:p>
          <w:p w14:paraId="6E033C67" w14:textId="4EE75BD6" w:rsidR="001C2DE9" w:rsidRDefault="001C2DE9" w:rsidP="00EA3D75">
            <w:pPr>
              <w:spacing w:line="360" w:lineRule="auto"/>
              <w:jc w:val="both"/>
              <w:rPr>
                <w:color w:val="auto"/>
                <w:sz w:val="24"/>
                <w:szCs w:val="24"/>
              </w:rPr>
            </w:pPr>
            <w:r>
              <w:rPr>
                <w:color w:val="auto"/>
                <w:sz w:val="24"/>
                <w:szCs w:val="24"/>
              </w:rPr>
              <w:t>What has Rob done to help overcome this often frequent barrier?</w:t>
            </w:r>
          </w:p>
          <w:p w14:paraId="0303C70A" w14:textId="77777777" w:rsidR="000F3628" w:rsidRDefault="001C2DE9" w:rsidP="00EA3D75">
            <w:pPr>
              <w:spacing w:line="360" w:lineRule="auto"/>
              <w:jc w:val="both"/>
              <w:rPr>
                <w:color w:val="auto"/>
                <w:sz w:val="24"/>
                <w:szCs w:val="24"/>
              </w:rPr>
            </w:pPr>
            <w:r>
              <w:rPr>
                <w:color w:val="auto"/>
                <w:sz w:val="24"/>
                <w:szCs w:val="24"/>
              </w:rPr>
              <w:t>He has remained person centred focussed throughout his practice which demonstrates to others his commitment and work ethic in respect of always trying to do the upmost for the citizen, and when needed</w:t>
            </w:r>
            <w:r w:rsidR="000F3628">
              <w:rPr>
                <w:color w:val="auto"/>
                <w:sz w:val="24"/>
                <w:szCs w:val="24"/>
              </w:rPr>
              <w:t xml:space="preserve"> he has demonstrated that he has the skillset to effectively communicate the rationale for decisions he has made with evidence to support those decisions.</w:t>
            </w:r>
          </w:p>
          <w:p w14:paraId="64605174" w14:textId="7F31A173" w:rsidR="000F3628" w:rsidRDefault="000F3628" w:rsidP="00EA3D75">
            <w:pPr>
              <w:spacing w:line="360" w:lineRule="auto"/>
              <w:jc w:val="both"/>
              <w:rPr>
                <w:color w:val="auto"/>
                <w:sz w:val="24"/>
                <w:szCs w:val="24"/>
              </w:rPr>
            </w:pPr>
            <w:r>
              <w:rPr>
                <w:color w:val="auto"/>
                <w:sz w:val="24"/>
                <w:szCs w:val="24"/>
              </w:rPr>
              <w:t>What this has done for families and other professionals who might not have agreed with the decisions Rob has made is give them the opportunity to understand the rationale behind those decisions, and further opportunity to reflect or revisit with that knowledge.</w:t>
            </w:r>
          </w:p>
          <w:p w14:paraId="2E0BB0F7" w14:textId="766015CA" w:rsidR="000F3628" w:rsidRDefault="000F3628" w:rsidP="00EA3D75">
            <w:pPr>
              <w:spacing w:line="360" w:lineRule="auto"/>
              <w:jc w:val="both"/>
              <w:rPr>
                <w:color w:val="auto"/>
                <w:sz w:val="24"/>
                <w:szCs w:val="24"/>
              </w:rPr>
            </w:pPr>
          </w:p>
          <w:p w14:paraId="5F30EED3" w14:textId="531BAD89" w:rsidR="000F3628" w:rsidRDefault="000F3628" w:rsidP="00EA3D75">
            <w:pPr>
              <w:spacing w:line="360" w:lineRule="auto"/>
              <w:jc w:val="both"/>
              <w:rPr>
                <w:color w:val="auto"/>
                <w:sz w:val="24"/>
                <w:szCs w:val="24"/>
              </w:rPr>
            </w:pPr>
            <w:r>
              <w:rPr>
                <w:color w:val="auto"/>
                <w:sz w:val="24"/>
                <w:szCs w:val="24"/>
              </w:rPr>
              <w:t>My perspective is Rob’s ever present professional approach to collaborative working will maintain and enhance relationships even when op</w:t>
            </w:r>
            <w:r w:rsidR="00771CA0">
              <w:rPr>
                <w:color w:val="auto"/>
                <w:sz w:val="24"/>
                <w:szCs w:val="24"/>
              </w:rPr>
              <w:t>i</w:t>
            </w:r>
            <w:r>
              <w:rPr>
                <w:color w:val="auto"/>
                <w:sz w:val="24"/>
                <w:szCs w:val="24"/>
              </w:rPr>
              <w:t>nions</w:t>
            </w:r>
            <w:r w:rsidR="00771CA0">
              <w:rPr>
                <w:color w:val="auto"/>
                <w:sz w:val="24"/>
                <w:szCs w:val="24"/>
              </w:rPr>
              <w:t xml:space="preserve"> may</w:t>
            </w:r>
            <w:r>
              <w:rPr>
                <w:color w:val="auto"/>
                <w:sz w:val="24"/>
                <w:szCs w:val="24"/>
              </w:rPr>
              <w:t xml:space="preserve"> differ</w:t>
            </w:r>
            <w:r w:rsidR="00771CA0">
              <w:rPr>
                <w:color w:val="auto"/>
                <w:sz w:val="24"/>
                <w:szCs w:val="24"/>
              </w:rPr>
              <w:t>, I can say that with confidence given the positive feedback I have witnessed from both families and other professionals whom Rob has worked alongside.</w:t>
            </w:r>
          </w:p>
          <w:p w14:paraId="59908674" w14:textId="77777777" w:rsidR="000F3628" w:rsidRDefault="000F3628" w:rsidP="00EA3D75">
            <w:pPr>
              <w:spacing w:line="360" w:lineRule="auto"/>
              <w:jc w:val="both"/>
              <w:rPr>
                <w:color w:val="auto"/>
                <w:sz w:val="24"/>
                <w:szCs w:val="24"/>
              </w:rPr>
            </w:pPr>
          </w:p>
          <w:p w14:paraId="7A8B71FD" w14:textId="6828E29B" w:rsidR="00FC0334" w:rsidRDefault="00216B63" w:rsidP="00EA3D75">
            <w:pPr>
              <w:pStyle w:val="ListParagraph"/>
              <w:numPr>
                <w:ilvl w:val="0"/>
                <w:numId w:val="54"/>
              </w:numPr>
              <w:spacing w:line="360" w:lineRule="auto"/>
              <w:jc w:val="both"/>
              <w:rPr>
                <w:color w:val="auto"/>
                <w:sz w:val="24"/>
                <w:szCs w:val="24"/>
              </w:rPr>
            </w:pPr>
            <w:r w:rsidRPr="00301F24">
              <w:rPr>
                <w:color w:val="auto"/>
                <w:sz w:val="24"/>
                <w:szCs w:val="24"/>
              </w:rPr>
              <w:t>Intervention and Application of Professional Judgement in Increasingly Complex Situations.</w:t>
            </w:r>
          </w:p>
          <w:p w14:paraId="038A3C2A" w14:textId="4861FEA0" w:rsidR="00301F24" w:rsidRDefault="00301F24" w:rsidP="00EA3D75">
            <w:pPr>
              <w:spacing w:line="360" w:lineRule="auto"/>
              <w:jc w:val="both"/>
              <w:rPr>
                <w:color w:val="auto"/>
                <w:sz w:val="24"/>
                <w:szCs w:val="24"/>
              </w:rPr>
            </w:pPr>
          </w:p>
          <w:p w14:paraId="42262CB1" w14:textId="42FBDB03" w:rsidR="006C47CD" w:rsidRDefault="00301F24" w:rsidP="00EA3D75">
            <w:pPr>
              <w:spacing w:line="360" w:lineRule="auto"/>
              <w:jc w:val="both"/>
              <w:rPr>
                <w:color w:val="auto"/>
                <w:sz w:val="24"/>
                <w:szCs w:val="24"/>
              </w:rPr>
            </w:pPr>
            <w:r>
              <w:rPr>
                <w:color w:val="auto"/>
                <w:sz w:val="24"/>
                <w:szCs w:val="24"/>
              </w:rPr>
              <w:lastRenderedPageBreak/>
              <w:t xml:space="preserve">Social work requires the use of professional judgement every day, what Rob has identified through his screening of s126 AAR reports and </w:t>
            </w:r>
            <w:r w:rsidR="003D6B08">
              <w:rPr>
                <w:color w:val="auto"/>
                <w:sz w:val="24"/>
                <w:szCs w:val="24"/>
              </w:rPr>
              <w:t xml:space="preserve">the </w:t>
            </w:r>
            <w:r>
              <w:rPr>
                <w:color w:val="auto"/>
                <w:sz w:val="24"/>
                <w:szCs w:val="24"/>
              </w:rPr>
              <w:t xml:space="preserve">undertaking </w:t>
            </w:r>
            <w:r w:rsidR="003D6B08">
              <w:rPr>
                <w:color w:val="auto"/>
                <w:sz w:val="24"/>
                <w:szCs w:val="24"/>
              </w:rPr>
              <w:t xml:space="preserve">of </w:t>
            </w:r>
            <w:r>
              <w:rPr>
                <w:color w:val="auto"/>
                <w:sz w:val="24"/>
                <w:szCs w:val="24"/>
              </w:rPr>
              <w:t>subsequent enquiries is that there is often a greater air of comp</w:t>
            </w:r>
            <w:r w:rsidR="003D6B08">
              <w:rPr>
                <w:color w:val="auto"/>
                <w:sz w:val="24"/>
                <w:szCs w:val="24"/>
              </w:rPr>
              <w:t>lexity when AAR reports identifies or suggests the presence of self-neglect.</w:t>
            </w:r>
            <w:r>
              <w:rPr>
                <w:color w:val="auto"/>
                <w:sz w:val="24"/>
                <w:szCs w:val="24"/>
              </w:rPr>
              <w:t xml:space="preserve"> </w:t>
            </w:r>
          </w:p>
          <w:p w14:paraId="2C351C92" w14:textId="77777777" w:rsidR="006C47CD" w:rsidRDefault="006C47CD" w:rsidP="00EA3D75">
            <w:pPr>
              <w:spacing w:line="360" w:lineRule="auto"/>
              <w:jc w:val="both"/>
              <w:rPr>
                <w:color w:val="auto"/>
                <w:sz w:val="24"/>
                <w:szCs w:val="24"/>
              </w:rPr>
            </w:pPr>
          </w:p>
          <w:p w14:paraId="2CF257E2" w14:textId="03669250" w:rsidR="002A59D9" w:rsidRDefault="00301F24" w:rsidP="00EA3D75">
            <w:pPr>
              <w:spacing w:line="360" w:lineRule="auto"/>
              <w:jc w:val="both"/>
              <w:rPr>
                <w:color w:val="auto"/>
                <w:sz w:val="24"/>
                <w:szCs w:val="24"/>
              </w:rPr>
            </w:pPr>
            <w:r>
              <w:rPr>
                <w:color w:val="auto"/>
                <w:sz w:val="24"/>
                <w:szCs w:val="24"/>
              </w:rPr>
              <w:t>The complexity arises from the ever present underlying conundrum</w:t>
            </w:r>
            <w:r w:rsidR="003D6B08">
              <w:rPr>
                <w:color w:val="auto"/>
                <w:sz w:val="24"/>
                <w:szCs w:val="24"/>
              </w:rPr>
              <w:t>;</w:t>
            </w:r>
          </w:p>
          <w:p w14:paraId="4ADF1AB8" w14:textId="4787D47E" w:rsidR="003D6B08" w:rsidRDefault="00994211" w:rsidP="00EA3D75">
            <w:pPr>
              <w:spacing w:line="360" w:lineRule="auto"/>
              <w:jc w:val="both"/>
              <w:rPr>
                <w:color w:val="auto"/>
                <w:sz w:val="24"/>
                <w:szCs w:val="24"/>
              </w:rPr>
            </w:pPr>
            <w:r>
              <w:rPr>
                <w:color w:val="auto"/>
                <w:sz w:val="24"/>
                <w:szCs w:val="24"/>
              </w:rPr>
              <w:t>“</w:t>
            </w:r>
            <w:r w:rsidR="002A59D9">
              <w:rPr>
                <w:color w:val="auto"/>
                <w:sz w:val="24"/>
                <w:szCs w:val="24"/>
              </w:rPr>
              <w:t>S</w:t>
            </w:r>
            <w:r w:rsidR="00301F24">
              <w:rPr>
                <w:color w:val="auto"/>
                <w:sz w:val="24"/>
                <w:szCs w:val="24"/>
              </w:rPr>
              <w:t>hould this citizen be allowed to make their own decisions, when those decisions appear to be detr</w:t>
            </w:r>
            <w:r w:rsidR="003D6B08">
              <w:rPr>
                <w:color w:val="auto"/>
                <w:sz w:val="24"/>
                <w:szCs w:val="24"/>
              </w:rPr>
              <w:t>imental to their own wellbeing?” Which frequently divides opinion.</w:t>
            </w:r>
          </w:p>
          <w:p w14:paraId="40EFCE4C" w14:textId="0E7D5F50" w:rsidR="003D6B08" w:rsidRDefault="003D6B08" w:rsidP="00EA3D75">
            <w:pPr>
              <w:spacing w:line="360" w:lineRule="auto"/>
              <w:jc w:val="both"/>
              <w:rPr>
                <w:color w:val="auto"/>
                <w:sz w:val="24"/>
                <w:szCs w:val="24"/>
              </w:rPr>
            </w:pPr>
          </w:p>
          <w:p w14:paraId="7ABE4405" w14:textId="081A59E3" w:rsidR="003D6B08" w:rsidRDefault="003D6B08" w:rsidP="00EA3D75">
            <w:pPr>
              <w:spacing w:line="360" w:lineRule="auto"/>
              <w:jc w:val="both"/>
              <w:rPr>
                <w:color w:val="auto"/>
                <w:sz w:val="24"/>
                <w:szCs w:val="24"/>
              </w:rPr>
            </w:pPr>
            <w:r>
              <w:rPr>
                <w:color w:val="auto"/>
                <w:sz w:val="24"/>
                <w:szCs w:val="24"/>
              </w:rPr>
              <w:t>Again Rob has taken to literature to give himself a greater understanding of what self-neglect might look from a legislative or policy perspective and built upon that learning by exploring with colleagues their practice experiences in this domain.</w:t>
            </w:r>
          </w:p>
          <w:p w14:paraId="42B31CDB" w14:textId="73E0208F" w:rsidR="003D6B08" w:rsidRDefault="003D6B08" w:rsidP="00EA3D75">
            <w:pPr>
              <w:spacing w:line="360" w:lineRule="auto"/>
              <w:jc w:val="both"/>
              <w:rPr>
                <w:color w:val="auto"/>
                <w:sz w:val="24"/>
                <w:szCs w:val="24"/>
              </w:rPr>
            </w:pPr>
            <w:r>
              <w:rPr>
                <w:color w:val="auto"/>
                <w:sz w:val="24"/>
                <w:szCs w:val="24"/>
              </w:rPr>
              <w:t xml:space="preserve">Rob has established </w:t>
            </w:r>
            <w:r w:rsidR="0073283C">
              <w:rPr>
                <w:color w:val="auto"/>
                <w:sz w:val="24"/>
                <w:szCs w:val="24"/>
              </w:rPr>
              <w:t xml:space="preserve">from both his practical efforts to learn more about the subject matter and from hands on experience </w:t>
            </w:r>
            <w:r>
              <w:rPr>
                <w:color w:val="auto"/>
                <w:sz w:val="24"/>
                <w:szCs w:val="24"/>
              </w:rPr>
              <w:t xml:space="preserve">that </w:t>
            </w:r>
            <w:r w:rsidR="0073283C">
              <w:rPr>
                <w:color w:val="auto"/>
                <w:sz w:val="24"/>
                <w:szCs w:val="24"/>
              </w:rPr>
              <w:t>ordinarily there</w:t>
            </w:r>
            <w:r>
              <w:rPr>
                <w:color w:val="auto"/>
                <w:sz w:val="24"/>
                <w:szCs w:val="24"/>
              </w:rPr>
              <w:t xml:space="preserve"> many contributing factors to why </w:t>
            </w:r>
            <w:r w:rsidR="0073283C">
              <w:rPr>
                <w:color w:val="auto"/>
                <w:sz w:val="24"/>
                <w:szCs w:val="24"/>
              </w:rPr>
              <w:t>people make the choices that they do, and the level of influence those factors have on day to day decision making can also be variable; which can make assessment of need and understanding rationale a difficult task, hence his appreciation of why perspectives on how/whether to intervene can be so divided.</w:t>
            </w:r>
          </w:p>
          <w:p w14:paraId="784E0E4C" w14:textId="10922481" w:rsidR="0073283C" w:rsidRDefault="0073283C" w:rsidP="00EA3D75">
            <w:pPr>
              <w:spacing w:line="360" w:lineRule="auto"/>
              <w:jc w:val="both"/>
              <w:rPr>
                <w:color w:val="auto"/>
                <w:sz w:val="24"/>
                <w:szCs w:val="24"/>
              </w:rPr>
            </w:pPr>
          </w:p>
          <w:p w14:paraId="518F13F2" w14:textId="1C90195F" w:rsidR="0073283C" w:rsidRDefault="0073283C" w:rsidP="00EA3D75">
            <w:pPr>
              <w:spacing w:line="360" w:lineRule="auto"/>
              <w:jc w:val="both"/>
              <w:rPr>
                <w:color w:val="auto"/>
                <w:sz w:val="24"/>
                <w:szCs w:val="24"/>
              </w:rPr>
            </w:pPr>
            <w:r>
              <w:rPr>
                <w:color w:val="auto"/>
                <w:sz w:val="24"/>
                <w:szCs w:val="24"/>
              </w:rPr>
              <w:t xml:space="preserve">Rob appreciates that any decision </w:t>
            </w:r>
            <w:r w:rsidR="00B67DBB">
              <w:rPr>
                <w:color w:val="auto"/>
                <w:sz w:val="24"/>
                <w:szCs w:val="24"/>
              </w:rPr>
              <w:t xml:space="preserve">he makes cannot be made with </w:t>
            </w:r>
            <w:r>
              <w:rPr>
                <w:color w:val="auto"/>
                <w:sz w:val="24"/>
                <w:szCs w:val="24"/>
              </w:rPr>
              <w:t>100%</w:t>
            </w:r>
            <w:r w:rsidR="00B67DBB">
              <w:rPr>
                <w:color w:val="auto"/>
                <w:sz w:val="24"/>
                <w:szCs w:val="24"/>
              </w:rPr>
              <w:t xml:space="preserve"> certainty</w:t>
            </w:r>
            <w:r>
              <w:rPr>
                <w:color w:val="auto"/>
                <w:sz w:val="24"/>
                <w:szCs w:val="24"/>
              </w:rPr>
              <w:t xml:space="preserve"> but </w:t>
            </w:r>
            <w:r w:rsidR="00B67DBB">
              <w:rPr>
                <w:color w:val="auto"/>
                <w:sz w:val="24"/>
                <w:szCs w:val="24"/>
              </w:rPr>
              <w:t>what he does know is that he has</w:t>
            </w:r>
            <w:r>
              <w:rPr>
                <w:color w:val="auto"/>
                <w:sz w:val="24"/>
                <w:szCs w:val="24"/>
              </w:rPr>
              <w:t xml:space="preserve"> </w:t>
            </w:r>
            <w:r w:rsidR="00B67DBB">
              <w:rPr>
                <w:color w:val="auto"/>
                <w:sz w:val="24"/>
                <w:szCs w:val="24"/>
              </w:rPr>
              <w:t>implemented his social work values throughout the piece of work and made every effort to gather information/evidence to justify the decision he has made.</w:t>
            </w:r>
          </w:p>
          <w:p w14:paraId="5F2A0031" w14:textId="456BE5D7" w:rsidR="00B67DBB" w:rsidRDefault="00B67DBB" w:rsidP="00EA3D75">
            <w:pPr>
              <w:spacing w:line="360" w:lineRule="auto"/>
              <w:jc w:val="both"/>
              <w:rPr>
                <w:color w:val="auto"/>
                <w:sz w:val="24"/>
                <w:szCs w:val="24"/>
              </w:rPr>
            </w:pPr>
            <w:r>
              <w:rPr>
                <w:color w:val="auto"/>
                <w:sz w:val="24"/>
                <w:szCs w:val="24"/>
              </w:rPr>
              <w:t>In that knowledge he can feel assured that even if the outcome for the citizen is not a positive one, he has incorporated a holistic approach and utilised his own professional judgement within his decision making, and at times that is all that we can do.</w:t>
            </w:r>
          </w:p>
          <w:p w14:paraId="18D3DC93" w14:textId="2DA679C1" w:rsidR="003D6B08" w:rsidRPr="00301F24" w:rsidRDefault="003D6B08" w:rsidP="00EA3D75">
            <w:pPr>
              <w:spacing w:line="360" w:lineRule="auto"/>
              <w:jc w:val="both"/>
              <w:rPr>
                <w:color w:val="auto"/>
                <w:sz w:val="24"/>
                <w:szCs w:val="24"/>
              </w:rPr>
            </w:pPr>
          </w:p>
          <w:p w14:paraId="5093467A" w14:textId="461F0F62" w:rsidR="00216B63" w:rsidRDefault="00216B63" w:rsidP="00EA3D75">
            <w:pPr>
              <w:pStyle w:val="ListParagraph"/>
              <w:spacing w:line="360" w:lineRule="auto"/>
              <w:rPr>
                <w:color w:val="auto"/>
                <w:sz w:val="24"/>
                <w:szCs w:val="24"/>
              </w:rPr>
            </w:pPr>
          </w:p>
          <w:p w14:paraId="309DEAE9" w14:textId="77777777" w:rsidR="00301F24" w:rsidRPr="00216B63" w:rsidRDefault="00301F24" w:rsidP="00EA3D75">
            <w:pPr>
              <w:pStyle w:val="ListParagraph"/>
              <w:spacing w:line="360" w:lineRule="auto"/>
              <w:rPr>
                <w:color w:val="auto"/>
                <w:sz w:val="24"/>
                <w:szCs w:val="24"/>
              </w:rPr>
            </w:pPr>
          </w:p>
          <w:p w14:paraId="0BE901D2" w14:textId="12E99AB3" w:rsidR="00216B63" w:rsidRPr="00216B63" w:rsidRDefault="00216B63" w:rsidP="00EA3D75">
            <w:pPr>
              <w:pStyle w:val="ListParagraph"/>
              <w:numPr>
                <w:ilvl w:val="0"/>
                <w:numId w:val="54"/>
              </w:numPr>
              <w:spacing w:line="360" w:lineRule="auto"/>
              <w:jc w:val="both"/>
              <w:rPr>
                <w:color w:val="auto"/>
                <w:sz w:val="24"/>
                <w:szCs w:val="24"/>
              </w:rPr>
            </w:pPr>
            <w:r>
              <w:rPr>
                <w:color w:val="auto"/>
                <w:sz w:val="24"/>
                <w:szCs w:val="24"/>
              </w:rPr>
              <w:t>Comment on feedback with regard to learner’s development and their future development.</w:t>
            </w:r>
          </w:p>
          <w:p w14:paraId="52A0ECEC" w14:textId="77777777" w:rsidR="00FC0334" w:rsidRDefault="00FC0334" w:rsidP="00EA3D75">
            <w:pPr>
              <w:spacing w:line="360" w:lineRule="auto"/>
              <w:jc w:val="both"/>
              <w:rPr>
                <w:color w:val="auto"/>
                <w:sz w:val="24"/>
                <w:szCs w:val="24"/>
              </w:rPr>
            </w:pPr>
          </w:p>
          <w:p w14:paraId="66B085F9" w14:textId="77777777" w:rsidR="004730CE" w:rsidRDefault="00B67DBB" w:rsidP="00EA3D75">
            <w:pPr>
              <w:spacing w:line="360" w:lineRule="auto"/>
              <w:jc w:val="both"/>
              <w:rPr>
                <w:color w:val="auto"/>
                <w:sz w:val="24"/>
                <w:szCs w:val="24"/>
              </w:rPr>
            </w:pPr>
            <w:r>
              <w:rPr>
                <w:color w:val="auto"/>
                <w:sz w:val="24"/>
                <w:szCs w:val="24"/>
              </w:rPr>
              <w:lastRenderedPageBreak/>
              <w:t xml:space="preserve">Rob </w:t>
            </w:r>
            <w:r w:rsidR="004730CE">
              <w:rPr>
                <w:color w:val="auto"/>
                <w:sz w:val="24"/>
                <w:szCs w:val="24"/>
              </w:rPr>
              <w:t xml:space="preserve">came into this process with a wealth of social care experience, and a great persona to match. </w:t>
            </w:r>
          </w:p>
          <w:p w14:paraId="7167C4A3" w14:textId="77777777" w:rsidR="004730CE" w:rsidRDefault="004730CE" w:rsidP="00EA3D75">
            <w:pPr>
              <w:spacing w:line="360" w:lineRule="auto"/>
              <w:jc w:val="both"/>
              <w:rPr>
                <w:color w:val="auto"/>
                <w:sz w:val="24"/>
                <w:szCs w:val="24"/>
              </w:rPr>
            </w:pPr>
            <w:r>
              <w:rPr>
                <w:color w:val="auto"/>
                <w:sz w:val="24"/>
                <w:szCs w:val="24"/>
              </w:rPr>
              <w:t>These qualities have been evident throughout his practice and undoubtedly enhance the opportunity for the desired outcomes of the citizens he supports to be reached.</w:t>
            </w:r>
          </w:p>
          <w:p w14:paraId="66E49A62" w14:textId="22C9BD02" w:rsidR="00FC0334" w:rsidRDefault="004730CE" w:rsidP="00EA3D75">
            <w:pPr>
              <w:spacing w:line="360" w:lineRule="auto"/>
              <w:jc w:val="both"/>
              <w:rPr>
                <w:color w:val="auto"/>
                <w:sz w:val="24"/>
                <w:szCs w:val="24"/>
              </w:rPr>
            </w:pPr>
            <w:r>
              <w:rPr>
                <w:color w:val="auto"/>
                <w:sz w:val="24"/>
                <w:szCs w:val="24"/>
              </w:rPr>
              <w:t>The combination of his knowledge, experience and a willingness to get on well with people and communicate effectively are great attributes for social work practice. Feedback received by citizens and fellow professionals has been positive</w:t>
            </w:r>
          </w:p>
          <w:p w14:paraId="2B2F7194" w14:textId="09E32202" w:rsidR="004730CE" w:rsidRDefault="004730CE" w:rsidP="00EA3D75">
            <w:pPr>
              <w:spacing w:line="360" w:lineRule="auto"/>
              <w:jc w:val="both"/>
              <w:rPr>
                <w:color w:val="auto"/>
                <w:sz w:val="24"/>
                <w:szCs w:val="24"/>
              </w:rPr>
            </w:pPr>
            <w:r>
              <w:rPr>
                <w:color w:val="auto"/>
                <w:sz w:val="24"/>
                <w:szCs w:val="24"/>
              </w:rPr>
              <w:t xml:space="preserve">Through this process Rob has gained knowledge and experience to enhance his practice </w:t>
            </w:r>
            <w:r w:rsidR="00FC2D81">
              <w:rPr>
                <w:color w:val="auto"/>
                <w:sz w:val="24"/>
                <w:szCs w:val="24"/>
              </w:rPr>
              <w:t>further moving forward. Always looking to develop his practice further, Rob is embarking on BIA training, which I feel will be a positive experience for him and for the citizens he future supports</w:t>
            </w:r>
          </w:p>
          <w:p w14:paraId="0124B566" w14:textId="77777777" w:rsidR="00FC0334" w:rsidRDefault="00FC0334" w:rsidP="00EA3D75">
            <w:pPr>
              <w:spacing w:line="360" w:lineRule="auto"/>
              <w:jc w:val="both"/>
              <w:rPr>
                <w:color w:val="auto"/>
                <w:sz w:val="24"/>
                <w:szCs w:val="24"/>
              </w:rPr>
            </w:pPr>
          </w:p>
          <w:p w14:paraId="784FCB50" w14:textId="77777777" w:rsidR="00FC0334" w:rsidRDefault="00FC0334" w:rsidP="00EA3D75">
            <w:pPr>
              <w:spacing w:line="360" w:lineRule="auto"/>
              <w:jc w:val="both"/>
              <w:rPr>
                <w:color w:val="auto"/>
                <w:sz w:val="24"/>
                <w:szCs w:val="24"/>
              </w:rPr>
            </w:pPr>
          </w:p>
          <w:p w14:paraId="2837C449" w14:textId="77777777" w:rsidR="00FC0334" w:rsidRDefault="00FC0334" w:rsidP="00EA3D75">
            <w:pPr>
              <w:spacing w:line="360" w:lineRule="auto"/>
              <w:jc w:val="both"/>
              <w:rPr>
                <w:color w:val="auto"/>
                <w:sz w:val="24"/>
                <w:szCs w:val="24"/>
              </w:rPr>
            </w:pPr>
          </w:p>
          <w:p w14:paraId="7E71EC13" w14:textId="77777777" w:rsidR="00FC0334" w:rsidRDefault="00FC0334" w:rsidP="00EA3D75">
            <w:pPr>
              <w:spacing w:line="360" w:lineRule="auto"/>
              <w:jc w:val="both"/>
              <w:rPr>
                <w:color w:val="auto"/>
                <w:sz w:val="24"/>
                <w:szCs w:val="24"/>
              </w:rPr>
            </w:pPr>
          </w:p>
          <w:p w14:paraId="737A80A5" w14:textId="77777777" w:rsidR="00FC0334" w:rsidRPr="008B28E7" w:rsidRDefault="00FC0334" w:rsidP="00EA3D75">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4273D7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D68E2">
        <w:rPr>
          <w:b/>
          <w:sz w:val="24"/>
          <w:szCs w:val="24"/>
        </w:rPr>
        <w:t>Robert Poustie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311128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lastRenderedPageBreak/>
        <w:t>2. Learner’s University Number:</w:t>
      </w:r>
      <w:r w:rsidR="006E58D3">
        <w:rPr>
          <w:b/>
          <w:sz w:val="24"/>
          <w:szCs w:val="24"/>
        </w:rPr>
        <w:t xml:space="preserve"> 2421759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2AA3F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E58D3">
        <w:rPr>
          <w:b/>
          <w:sz w:val="24"/>
          <w:szCs w:val="24"/>
        </w:rPr>
        <w:t xml:space="preserve"> Melrose, Mornant Avenue, Ffynnongroew, Flintshire, CH89UJ</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0A16A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E58D3">
        <w:rPr>
          <w:b/>
          <w:sz w:val="24"/>
          <w:szCs w:val="24"/>
        </w:rPr>
        <w:t xml:space="preserve"> 07855421867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85D9F7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C5D65">
        <w:rPr>
          <w:b/>
          <w:sz w:val="24"/>
          <w:szCs w:val="24"/>
        </w:rPr>
        <w:t xml:space="preserve"> </w:t>
      </w:r>
      <w:hyperlink r:id="rId35" w:history="1">
        <w:r w:rsidR="002C5D65" w:rsidRPr="00E17BAD">
          <w:rPr>
            <w:rStyle w:val="Hyperlink"/>
            <w:b/>
            <w:sz w:val="24"/>
            <w:szCs w:val="24"/>
          </w:rPr>
          <w:t>robpoustie@live.com</w:t>
        </w:r>
      </w:hyperlink>
      <w:r w:rsidR="002C5D65">
        <w:rPr>
          <w:b/>
          <w:sz w:val="24"/>
          <w:szCs w:val="24"/>
        </w:rPr>
        <w:t xml:space="preserve"> &amp; Robert.Poustie@wrexham.gov.uk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EEDD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73E51">
        <w:rPr>
          <w:b/>
          <w:sz w:val="24"/>
          <w:szCs w:val="24"/>
        </w:rPr>
        <w:t>11.01.2023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69B68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E745D">
        <w:rPr>
          <w:b/>
          <w:sz w:val="24"/>
          <w:szCs w:val="24"/>
        </w:rPr>
        <w:t xml:space="preserve"> 01.02.2023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D5433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7FEC">
        <w:rPr>
          <w:b/>
          <w:sz w:val="24"/>
          <w:szCs w:val="24"/>
        </w:rPr>
        <w:t xml:space="preserve"> Wrexham County Borough Council, Adult Social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AFF3F1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F7FEC">
        <w:rPr>
          <w:b/>
          <w:sz w:val="24"/>
          <w:szCs w:val="24"/>
        </w:rPr>
        <w:t xml:space="preserve"> Adult Safeguarding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DFA28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7FEC">
        <w:rPr>
          <w:b/>
          <w:sz w:val="24"/>
          <w:szCs w:val="24"/>
        </w:rPr>
        <w:t xml:space="preserve"> Crown Buildings, </w:t>
      </w:r>
      <w:r w:rsidR="009F7FEC" w:rsidRPr="009F7FEC">
        <w:rPr>
          <w:b/>
          <w:sz w:val="24"/>
          <w:szCs w:val="24"/>
        </w:rPr>
        <w:t>31 Chester Street, Wrexham LL13 8BG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26C542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F7FEC">
        <w:rPr>
          <w:b/>
          <w:sz w:val="24"/>
          <w:szCs w:val="24"/>
        </w:rPr>
        <w:t xml:space="preserve"> 01978298155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2A5C8A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F7FEC">
        <w:rPr>
          <w:b/>
          <w:sz w:val="24"/>
          <w:szCs w:val="24"/>
        </w:rPr>
        <w:t>adultprotection@wrexham.gov.uk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513DB3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D7D47">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03C53C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D7D47">
        <w:rPr>
          <w:b/>
          <w:sz w:val="24"/>
          <w:szCs w:val="24"/>
        </w:rPr>
        <w:t xml:space="preserve"> Jamie Turvey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7BD8AB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D7D47" w:rsidRPr="003D7D47">
        <w:t xml:space="preserve"> </w:t>
      </w:r>
      <w:r w:rsidR="003D7D47" w:rsidRPr="003D7D47">
        <w:rPr>
          <w:b/>
          <w:sz w:val="24"/>
          <w:szCs w:val="24"/>
        </w:rPr>
        <w:t>Crown Buildings, 31 Chester Street, Wrexham LL13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DE7D2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D7D47">
        <w:rPr>
          <w:b/>
          <w:sz w:val="24"/>
          <w:szCs w:val="24"/>
        </w:rPr>
        <w:t xml:space="preserve"> 01978298155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C83C6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D7D47">
        <w:rPr>
          <w:b/>
          <w:sz w:val="24"/>
          <w:szCs w:val="24"/>
        </w:rPr>
        <w:t xml:space="preserve"> Jamie.Turvey@wrexham.gov.uk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8EC420E" w:rsidR="004923DA" w:rsidRDefault="004923DA" w:rsidP="00FF7EBB">
            <w:pPr>
              <w:jc w:val="both"/>
              <w:rPr>
                <w:b/>
                <w:sz w:val="24"/>
                <w:szCs w:val="24"/>
              </w:rPr>
            </w:pPr>
            <w:r w:rsidRPr="008B28E7">
              <w:rPr>
                <w:b/>
                <w:sz w:val="24"/>
                <w:szCs w:val="24"/>
              </w:rPr>
              <w:t>Name:</w:t>
            </w:r>
            <w:r w:rsidR="003D7D47">
              <w:rPr>
                <w:b/>
                <w:sz w:val="24"/>
                <w:szCs w:val="24"/>
              </w:rPr>
              <w:t xml:space="preserve"> Jamie Turvey</w:t>
            </w:r>
          </w:p>
          <w:p w14:paraId="4EF4A770" w14:textId="77777777" w:rsidR="004923DA" w:rsidRPr="008B28E7" w:rsidRDefault="004923DA" w:rsidP="00FF7EBB">
            <w:pPr>
              <w:jc w:val="both"/>
              <w:rPr>
                <w:b/>
                <w:sz w:val="24"/>
                <w:szCs w:val="24"/>
              </w:rPr>
            </w:pPr>
          </w:p>
          <w:p w14:paraId="1AC8522D" w14:textId="5233D026" w:rsidR="004923DA" w:rsidRDefault="004923DA" w:rsidP="00FF7EBB">
            <w:pPr>
              <w:jc w:val="both"/>
              <w:rPr>
                <w:b/>
                <w:sz w:val="24"/>
                <w:szCs w:val="24"/>
              </w:rPr>
            </w:pPr>
            <w:r w:rsidRPr="008B28E7">
              <w:rPr>
                <w:b/>
                <w:sz w:val="24"/>
                <w:szCs w:val="24"/>
              </w:rPr>
              <w:t xml:space="preserve">Work Address: </w:t>
            </w:r>
            <w:r w:rsidR="008B115E" w:rsidRPr="008B115E">
              <w:rPr>
                <w:b/>
                <w:sz w:val="24"/>
                <w:szCs w:val="24"/>
              </w:rPr>
              <w:t>Crown Buildings, 31 Chester Street, Wrexham LL13 8BG</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CF8660B" w:rsidR="004923DA" w:rsidRPr="008B28E7" w:rsidRDefault="004923DA" w:rsidP="00FF7EBB">
            <w:pPr>
              <w:jc w:val="both"/>
              <w:rPr>
                <w:b/>
                <w:sz w:val="24"/>
                <w:szCs w:val="24"/>
              </w:rPr>
            </w:pPr>
            <w:r w:rsidRPr="008B28E7">
              <w:rPr>
                <w:b/>
                <w:sz w:val="24"/>
                <w:szCs w:val="24"/>
              </w:rPr>
              <w:t>Professional Qualification and date of qualification:</w:t>
            </w:r>
            <w:r w:rsidR="001B2590">
              <w:rPr>
                <w:b/>
                <w:sz w:val="24"/>
                <w:szCs w:val="24"/>
              </w:rPr>
              <w:t xml:space="preserve"> Social Work Degree (09.09.16)</w:t>
            </w:r>
          </w:p>
          <w:p w14:paraId="5F68A3CF" w14:textId="77777777" w:rsidR="004923DA" w:rsidRDefault="004923DA" w:rsidP="00FF7EBB">
            <w:pPr>
              <w:jc w:val="both"/>
              <w:rPr>
                <w:b/>
                <w:sz w:val="24"/>
                <w:szCs w:val="24"/>
              </w:rPr>
            </w:pPr>
          </w:p>
          <w:p w14:paraId="4C6113F1" w14:textId="59603A3D" w:rsidR="004923DA" w:rsidRDefault="009D59C2" w:rsidP="00FF7EBB">
            <w:pPr>
              <w:jc w:val="both"/>
              <w:rPr>
                <w:b/>
                <w:sz w:val="24"/>
                <w:szCs w:val="24"/>
              </w:rPr>
            </w:pPr>
            <w:r>
              <w:rPr>
                <w:b/>
                <w:sz w:val="24"/>
                <w:szCs w:val="24"/>
              </w:rPr>
              <w:t>T</w:t>
            </w:r>
            <w:r w:rsidR="004923DA" w:rsidRPr="008B28E7">
              <w:rPr>
                <w:b/>
                <w:sz w:val="24"/>
                <w:szCs w:val="24"/>
              </w:rPr>
              <w:t>elephone number:</w:t>
            </w:r>
            <w:r w:rsidR="008B115E">
              <w:rPr>
                <w:b/>
                <w:sz w:val="24"/>
                <w:szCs w:val="24"/>
              </w:rPr>
              <w:t xml:space="preserve"> </w:t>
            </w:r>
            <w:r w:rsidR="008B115E" w:rsidRPr="008B115E">
              <w:rPr>
                <w:b/>
                <w:sz w:val="24"/>
                <w:szCs w:val="24"/>
              </w:rPr>
              <w:t>01978298155</w:t>
            </w:r>
          </w:p>
          <w:p w14:paraId="0BB87919" w14:textId="548A11EF" w:rsidR="009D59C2" w:rsidRDefault="009D59C2" w:rsidP="00FF7EBB">
            <w:pPr>
              <w:jc w:val="both"/>
              <w:rPr>
                <w:b/>
                <w:sz w:val="24"/>
                <w:szCs w:val="24"/>
              </w:rPr>
            </w:pPr>
          </w:p>
          <w:p w14:paraId="4FDEE73F" w14:textId="22244AFE" w:rsidR="009D59C2" w:rsidRPr="008B28E7" w:rsidRDefault="009D59C2" w:rsidP="00FF7EBB">
            <w:pPr>
              <w:jc w:val="both"/>
              <w:rPr>
                <w:b/>
                <w:sz w:val="24"/>
                <w:szCs w:val="24"/>
              </w:rPr>
            </w:pPr>
            <w:r>
              <w:rPr>
                <w:b/>
                <w:sz w:val="24"/>
                <w:szCs w:val="24"/>
              </w:rPr>
              <w:t>Email address:</w:t>
            </w:r>
            <w:r w:rsidR="008B115E">
              <w:rPr>
                <w:b/>
                <w:sz w:val="24"/>
                <w:szCs w:val="24"/>
              </w:rPr>
              <w:t xml:space="preserve"> </w:t>
            </w:r>
            <w:r w:rsidR="008B115E" w:rsidRPr="008B115E">
              <w:rPr>
                <w:b/>
                <w:sz w:val="24"/>
                <w:szCs w:val="24"/>
              </w:rPr>
              <w:t>Jamie.Turvey@wrexham.gov.uk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99F493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8B115E" w:rsidRPr="008B115E">
        <w:rPr>
          <w:noProof/>
          <w:sz w:val="24"/>
          <w:szCs w:val="24"/>
        </w:rPr>
        <w:drawing>
          <wp:inline distT="0" distB="0" distL="0" distR="0" wp14:anchorId="15F50D99" wp14:editId="16AB723D">
            <wp:extent cx="1206500" cy="479425"/>
            <wp:effectExtent l="0" t="0" r="0" b="0"/>
            <wp:docPr id="3" name="Picture 3" descr="C:\Users\pousti1r\Desktop\signature R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ousti1r\Desktop\signature RP.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212681" cy="481881"/>
                    </a:xfrm>
                    <a:prstGeom prst="rect">
                      <a:avLst/>
                    </a:prstGeom>
                    <a:noFill/>
                    <a:ln>
                      <a:noFill/>
                    </a:ln>
                  </pic:spPr>
                </pic:pic>
              </a:graphicData>
            </a:graphic>
          </wp:inline>
        </w:drawing>
      </w:r>
      <w:r w:rsidR="008B115E">
        <w:rPr>
          <w:sz w:val="24"/>
          <w:szCs w:val="24"/>
        </w:rPr>
        <w:t xml:space="preserve">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92C3A4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B115E">
        <w:rPr>
          <w:sz w:val="24"/>
          <w:szCs w:val="24"/>
        </w:rPr>
        <w:t>18.11.2024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BFC68C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D53227" w:rsidRPr="001E4029">
        <w:rPr>
          <w:b/>
          <w:noProof/>
          <w:u w:val="single"/>
        </w:rPr>
        <w:drawing>
          <wp:inline distT="0" distB="0" distL="0" distR="0" wp14:anchorId="3D4BCBEB" wp14:editId="1FDAD05D">
            <wp:extent cx="1413646" cy="457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35564" cy="496631"/>
                    </a:xfrm>
                    <a:prstGeom prst="rect">
                      <a:avLst/>
                    </a:prstGeom>
                    <a:noFill/>
                    <a:ln>
                      <a:noFill/>
                    </a:ln>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6139AF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53227">
        <w:rPr>
          <w:sz w:val="24"/>
          <w:szCs w:val="24"/>
        </w:rPr>
        <w:t>16.09.25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00C7B68" w:rsidR="00335C41" w:rsidRPr="00D3203C" w:rsidRDefault="00335C41" w:rsidP="00335C41">
            <w:pPr>
              <w:ind w:right="180"/>
              <w:jc w:val="both"/>
              <w:rPr>
                <w:sz w:val="24"/>
                <w:szCs w:val="24"/>
              </w:rPr>
            </w:pPr>
            <w:r w:rsidRPr="00D3203C">
              <w:rPr>
                <w:sz w:val="24"/>
                <w:szCs w:val="24"/>
              </w:rPr>
              <w:t>Signed_</w:t>
            </w:r>
            <w:r w:rsidR="00ED645B" w:rsidRPr="001E4029">
              <w:rPr>
                <w:b/>
                <w:noProof/>
                <w:u w:val="single"/>
              </w:rPr>
              <w:drawing>
                <wp:inline distT="0" distB="0" distL="0" distR="0" wp14:anchorId="446C4DBC" wp14:editId="09EEFA7E">
                  <wp:extent cx="1413646" cy="457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35564" cy="496631"/>
                          </a:xfrm>
                          <a:prstGeom prst="rect">
                            <a:avLst/>
                          </a:prstGeom>
                          <a:noFill/>
                          <a:ln>
                            <a:noFill/>
                          </a:ln>
                        </pic:spPr>
                      </pic:pic>
                    </a:graphicData>
                  </a:graphic>
                </wp:inline>
              </w:drawing>
            </w:r>
            <w:r w:rsidR="00ED645B"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62E9D392" w:rsidR="00335C41" w:rsidRPr="00D3203C" w:rsidRDefault="00335C41" w:rsidP="00335C41">
            <w:pPr>
              <w:ind w:right="180"/>
              <w:jc w:val="both"/>
              <w:rPr>
                <w:sz w:val="24"/>
                <w:szCs w:val="24"/>
              </w:rPr>
            </w:pPr>
            <w:r w:rsidRPr="00D3203C">
              <w:rPr>
                <w:sz w:val="24"/>
                <w:szCs w:val="24"/>
              </w:rPr>
              <w:t xml:space="preserve">Date </w:t>
            </w:r>
            <w:r w:rsidR="00ED645B">
              <w:rPr>
                <w:sz w:val="24"/>
                <w:szCs w:val="24"/>
              </w:rPr>
              <w:t>16.09.25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18E47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81F8C">
        <w:rPr>
          <w:caps/>
          <w:sz w:val="24"/>
          <w:szCs w:val="24"/>
        </w:rPr>
        <w:t xml:space="preserve">Jamie Turvey </w:t>
      </w:r>
    </w:p>
    <w:p w14:paraId="7C11F360" w14:textId="3605919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D645B" w:rsidRPr="001E4029">
        <w:rPr>
          <w:b/>
          <w:noProof/>
          <w:u w:val="single"/>
        </w:rPr>
        <w:drawing>
          <wp:inline distT="0" distB="0" distL="0" distR="0" wp14:anchorId="0EAE39CD" wp14:editId="4CEC23F2">
            <wp:extent cx="1413646" cy="457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35564" cy="496631"/>
                    </a:xfrm>
                    <a:prstGeom prst="rect">
                      <a:avLst/>
                    </a:prstGeom>
                    <a:noFill/>
                    <a:ln>
                      <a:noFill/>
                    </a:ln>
                  </pic:spPr>
                </pic:pic>
              </a:graphicData>
            </a:graphic>
          </wp:inline>
        </w:drawing>
      </w:r>
    </w:p>
    <w:p w14:paraId="57B2A00A" w14:textId="5D86A22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D645B">
        <w:rPr>
          <w:sz w:val="24"/>
          <w:szCs w:val="24"/>
        </w:rPr>
        <w:t>16.09.25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65B41AF" w:rsidR="00D05A5D" w:rsidRPr="00DA5682" w:rsidRDefault="00E41A9D" w:rsidP="00CC14B6">
            <w:pPr>
              <w:rPr>
                <w:sz w:val="24"/>
                <w:szCs w:val="24"/>
              </w:rPr>
            </w:pPr>
            <w:r>
              <w:rPr>
                <w:sz w:val="24"/>
                <w:szCs w:val="24"/>
              </w:rPr>
              <w:t>Robert Poustie</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2885861" w:rsidR="00D05A5D" w:rsidRPr="00DA5682" w:rsidRDefault="00E41A9D" w:rsidP="00CC14B6">
            <w:pPr>
              <w:rPr>
                <w:sz w:val="24"/>
                <w:szCs w:val="24"/>
              </w:rPr>
            </w:pPr>
            <w:r>
              <w:rPr>
                <w:sz w:val="24"/>
                <w:szCs w:val="24"/>
              </w:rPr>
              <w:t>Wrexham Adult Safeguarding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BEE0B57" w:rsidR="00D05A5D" w:rsidRPr="00DA5682" w:rsidRDefault="00E41A9D" w:rsidP="00CC14B6">
            <w:pPr>
              <w:rPr>
                <w:sz w:val="24"/>
                <w:szCs w:val="24"/>
              </w:rPr>
            </w:pPr>
            <w:r>
              <w:rPr>
                <w:sz w:val="24"/>
                <w:szCs w:val="24"/>
              </w:rPr>
              <w:t>Jamie Turvey</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418FF38" w:rsidR="00D05A5D" w:rsidRPr="00DA5682" w:rsidRDefault="000D68E2" w:rsidP="00CC14B6">
            <w:pPr>
              <w:rPr>
                <w:sz w:val="24"/>
                <w:szCs w:val="24"/>
              </w:rPr>
            </w:pPr>
            <w:r>
              <w:rPr>
                <w:sz w:val="24"/>
                <w:szCs w:val="24"/>
              </w:rPr>
              <w:t>Jamie Turvey</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BA89051" w:rsidR="00D05A5D" w:rsidRPr="00DA5682" w:rsidRDefault="000D68E2" w:rsidP="00D05A5D">
      <w:pPr>
        <w:rPr>
          <w:sz w:val="24"/>
          <w:szCs w:val="24"/>
        </w:rPr>
      </w:pPr>
      <w:r>
        <w:rPr>
          <w:sz w:val="24"/>
          <w:szCs w:val="24"/>
        </w:rPr>
        <w:t>Signed:…</w:t>
      </w:r>
      <w:r w:rsidRPr="000D68E2">
        <w:t xml:space="preserve"> </w:t>
      </w:r>
      <w:r>
        <w:rPr>
          <w:noProof/>
        </w:rPr>
        <w:drawing>
          <wp:inline distT="0" distB="0" distL="0" distR="0" wp14:anchorId="66545D69" wp14:editId="33A0A8D1">
            <wp:extent cx="1166400" cy="360000"/>
            <wp:effectExtent l="0" t="0" r="0" b="2540"/>
            <wp:docPr id="1" name="Picture 1" descr="C:\Users\pousti1r\AppData\Local\Microsoft\Windows\INetCache\Content.Word\20241118_1043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ousti1r\AppData\Local\Microsoft\Windows\INetCache\Content.Word\20241118_104317.jpg"/>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3592" t="35053" r="11309" b="33995"/>
                    <a:stretch/>
                  </pic:blipFill>
                  <pic:spPr bwMode="auto">
                    <a:xfrm>
                      <a:off x="0" y="0"/>
                      <a:ext cx="1166400" cy="360000"/>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Print Name: Robert Poustie             Date: 18.11.2024</w:t>
      </w:r>
    </w:p>
    <w:p w14:paraId="7A2E2EC8" w14:textId="77777777" w:rsidR="00D05A5D" w:rsidRPr="00DA5682" w:rsidRDefault="00D05A5D" w:rsidP="00D05A5D">
      <w:pPr>
        <w:rPr>
          <w:sz w:val="24"/>
          <w:szCs w:val="24"/>
        </w:rPr>
      </w:pPr>
      <w:r w:rsidRPr="00DA5682">
        <w:rPr>
          <w:sz w:val="24"/>
          <w:szCs w:val="24"/>
        </w:rPr>
        <w:t>(Learner)</w:t>
      </w:r>
    </w:p>
    <w:p w14:paraId="31E08A88" w14:textId="59E06DAA" w:rsidR="00D05A5D" w:rsidRPr="00DA5682" w:rsidRDefault="00CD0F9A" w:rsidP="00D05A5D">
      <w:pPr>
        <w:rPr>
          <w:sz w:val="24"/>
          <w:szCs w:val="24"/>
        </w:rPr>
      </w:pPr>
      <w:r>
        <w:rPr>
          <w:sz w:val="24"/>
          <w:szCs w:val="24"/>
        </w:rPr>
        <w:t xml:space="preserve">Signed </w:t>
      </w:r>
      <w:r w:rsidRPr="001E4029">
        <w:rPr>
          <w:b/>
          <w:noProof/>
          <w:u w:val="single"/>
        </w:rPr>
        <w:drawing>
          <wp:inline distT="0" distB="0" distL="0" distR="0" wp14:anchorId="548DBF53" wp14:editId="5CF1BA1A">
            <wp:extent cx="1413646" cy="457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35564" cy="496631"/>
                    </a:xfrm>
                    <a:prstGeom prst="rect">
                      <a:avLst/>
                    </a:prstGeom>
                    <a:noFill/>
                    <a:ln>
                      <a:noFill/>
                    </a:ln>
                  </pic:spPr>
                </pic:pic>
              </a:graphicData>
            </a:graphic>
          </wp:inline>
        </w:drawing>
      </w:r>
      <w:r>
        <w:rPr>
          <w:sz w:val="24"/>
          <w:szCs w:val="24"/>
        </w:rPr>
        <w:t xml:space="preserve">  </w:t>
      </w:r>
      <w:r w:rsidR="00D05A5D" w:rsidRPr="00DA5682">
        <w:rPr>
          <w:sz w:val="24"/>
          <w:szCs w:val="24"/>
        </w:rPr>
        <w:t>Print Name:</w:t>
      </w:r>
      <w:r>
        <w:rPr>
          <w:sz w:val="24"/>
          <w:szCs w:val="24"/>
        </w:rPr>
        <w:t xml:space="preserve"> Jamie Turvey</w:t>
      </w:r>
      <w:r w:rsidR="00D05A5D" w:rsidRPr="00DA5682">
        <w:rPr>
          <w:sz w:val="24"/>
          <w:szCs w:val="24"/>
        </w:rPr>
        <w:t>.</w:t>
      </w:r>
      <w:r>
        <w:rPr>
          <w:sz w:val="24"/>
          <w:szCs w:val="24"/>
        </w:rPr>
        <w:t xml:space="preserve">     </w:t>
      </w:r>
      <w:r w:rsidR="00D05A5D" w:rsidRPr="00DA5682">
        <w:rPr>
          <w:sz w:val="24"/>
          <w:szCs w:val="24"/>
        </w:rPr>
        <w:t>Date:</w:t>
      </w:r>
      <w:r w:rsidR="00B50454">
        <w:rPr>
          <w:sz w:val="24"/>
          <w:szCs w:val="24"/>
        </w:rPr>
        <w:t xml:space="preserve"> </w:t>
      </w:r>
      <w:r>
        <w:rPr>
          <w:sz w:val="24"/>
          <w:szCs w:val="24"/>
        </w:rPr>
        <w:t>19.11.24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327E2C9" w:rsidR="00D05A5D" w:rsidRPr="00DA5682" w:rsidRDefault="00D05A5D" w:rsidP="00D05A5D">
      <w:pPr>
        <w:rPr>
          <w:sz w:val="24"/>
          <w:szCs w:val="24"/>
        </w:rPr>
      </w:pPr>
      <w:r w:rsidRPr="00DA5682">
        <w:rPr>
          <w:sz w:val="24"/>
          <w:szCs w:val="24"/>
        </w:rPr>
        <w:t>Signed:…………</w:t>
      </w:r>
      <w:r w:rsidR="000D68E2" w:rsidRPr="000D68E2">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Pr="00DA5682">
        <w:rPr>
          <w:sz w:val="24"/>
          <w:szCs w:val="24"/>
        </w:rPr>
        <w:t>……………..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20209F" w14:textId="77777777" w:rsidR="00E464AE" w:rsidRDefault="00E464AE">
      <w:r>
        <w:separator/>
      </w:r>
    </w:p>
  </w:endnote>
  <w:endnote w:type="continuationSeparator" w:id="0">
    <w:p w14:paraId="7E205D10" w14:textId="77777777" w:rsidR="00E464AE" w:rsidRDefault="00E464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243A157" w:rsidR="00A5656A" w:rsidRDefault="00A5656A">
    <w:pPr>
      <w:pStyle w:val="Footer"/>
      <w:jc w:val="right"/>
    </w:pPr>
    <w:r>
      <w:fldChar w:fldCharType="begin"/>
    </w:r>
    <w:r>
      <w:instrText xml:space="preserve"> PAGE   \* MERGEFORMAT </w:instrText>
    </w:r>
    <w:r>
      <w:fldChar w:fldCharType="separate"/>
    </w:r>
    <w:r w:rsidR="007B4607">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16A0E9" w14:textId="77777777" w:rsidR="00E464AE" w:rsidRDefault="00E464AE">
      <w:r>
        <w:separator/>
      </w:r>
    </w:p>
  </w:footnote>
  <w:footnote w:type="continuationSeparator" w:id="0">
    <w:p w14:paraId="31443169" w14:textId="77777777" w:rsidR="00E464AE" w:rsidRDefault="00E464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883651"/>
    <w:multiLevelType w:val="hybridMultilevel"/>
    <w:tmpl w:val="57D01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4"/>
  </w:num>
  <w:num w:numId="30">
    <w:abstractNumId w:val="31"/>
  </w:num>
  <w:num w:numId="31">
    <w:abstractNumId w:val="12"/>
  </w:num>
  <w:num w:numId="32">
    <w:abstractNumId w:val="45"/>
  </w:num>
  <w:num w:numId="33">
    <w:abstractNumId w:val="39"/>
  </w:num>
  <w:num w:numId="34">
    <w:abstractNumId w:val="5"/>
  </w:num>
  <w:num w:numId="35">
    <w:abstractNumId w:val="47"/>
  </w:num>
  <w:num w:numId="36">
    <w:abstractNumId w:val="43"/>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39A"/>
    <w:rsid w:val="00056FAC"/>
    <w:rsid w:val="00057751"/>
    <w:rsid w:val="00062E39"/>
    <w:rsid w:val="00064063"/>
    <w:rsid w:val="0006581A"/>
    <w:rsid w:val="00074461"/>
    <w:rsid w:val="0007642C"/>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A4E"/>
    <w:rsid w:val="000C6FFE"/>
    <w:rsid w:val="000D0BB6"/>
    <w:rsid w:val="000D2ED2"/>
    <w:rsid w:val="000D6653"/>
    <w:rsid w:val="000D68E2"/>
    <w:rsid w:val="000E0D51"/>
    <w:rsid w:val="000E26B0"/>
    <w:rsid w:val="000E37C2"/>
    <w:rsid w:val="000E38C3"/>
    <w:rsid w:val="000F1599"/>
    <w:rsid w:val="000F1769"/>
    <w:rsid w:val="000F1A97"/>
    <w:rsid w:val="000F3628"/>
    <w:rsid w:val="000F42AE"/>
    <w:rsid w:val="000F571C"/>
    <w:rsid w:val="000F6196"/>
    <w:rsid w:val="000F6BC3"/>
    <w:rsid w:val="0010312C"/>
    <w:rsid w:val="00105026"/>
    <w:rsid w:val="0010662B"/>
    <w:rsid w:val="00106DC7"/>
    <w:rsid w:val="00112391"/>
    <w:rsid w:val="001137EB"/>
    <w:rsid w:val="00114F52"/>
    <w:rsid w:val="00122AAA"/>
    <w:rsid w:val="00130119"/>
    <w:rsid w:val="00132812"/>
    <w:rsid w:val="001347F8"/>
    <w:rsid w:val="001359EE"/>
    <w:rsid w:val="00137BB5"/>
    <w:rsid w:val="00137E05"/>
    <w:rsid w:val="001447F6"/>
    <w:rsid w:val="00147DE3"/>
    <w:rsid w:val="00150794"/>
    <w:rsid w:val="00151DA6"/>
    <w:rsid w:val="001608C4"/>
    <w:rsid w:val="00164832"/>
    <w:rsid w:val="00171418"/>
    <w:rsid w:val="00175A42"/>
    <w:rsid w:val="001772BF"/>
    <w:rsid w:val="001772DE"/>
    <w:rsid w:val="0019496C"/>
    <w:rsid w:val="001961CF"/>
    <w:rsid w:val="001A35F1"/>
    <w:rsid w:val="001A59BB"/>
    <w:rsid w:val="001A5CA8"/>
    <w:rsid w:val="001A607E"/>
    <w:rsid w:val="001A6A51"/>
    <w:rsid w:val="001A783A"/>
    <w:rsid w:val="001A79C4"/>
    <w:rsid w:val="001B2590"/>
    <w:rsid w:val="001B331A"/>
    <w:rsid w:val="001C0237"/>
    <w:rsid w:val="001C0E74"/>
    <w:rsid w:val="001C2DE9"/>
    <w:rsid w:val="001C4DB8"/>
    <w:rsid w:val="001C50B8"/>
    <w:rsid w:val="001D229F"/>
    <w:rsid w:val="001E2EB6"/>
    <w:rsid w:val="001F4552"/>
    <w:rsid w:val="002019EB"/>
    <w:rsid w:val="00204B58"/>
    <w:rsid w:val="00205051"/>
    <w:rsid w:val="00211F65"/>
    <w:rsid w:val="00214047"/>
    <w:rsid w:val="00216563"/>
    <w:rsid w:val="00216B63"/>
    <w:rsid w:val="0021792F"/>
    <w:rsid w:val="00220D06"/>
    <w:rsid w:val="002246A0"/>
    <w:rsid w:val="00230439"/>
    <w:rsid w:val="00232A09"/>
    <w:rsid w:val="00235176"/>
    <w:rsid w:val="00236061"/>
    <w:rsid w:val="00240658"/>
    <w:rsid w:val="0024100E"/>
    <w:rsid w:val="00241C1B"/>
    <w:rsid w:val="0024288B"/>
    <w:rsid w:val="00243DB0"/>
    <w:rsid w:val="00247265"/>
    <w:rsid w:val="00251845"/>
    <w:rsid w:val="00260663"/>
    <w:rsid w:val="002657E9"/>
    <w:rsid w:val="0026665E"/>
    <w:rsid w:val="0027147E"/>
    <w:rsid w:val="002761F4"/>
    <w:rsid w:val="002775E1"/>
    <w:rsid w:val="00277979"/>
    <w:rsid w:val="00285D24"/>
    <w:rsid w:val="002862FD"/>
    <w:rsid w:val="00291ADD"/>
    <w:rsid w:val="002920DF"/>
    <w:rsid w:val="00292F3D"/>
    <w:rsid w:val="00295CA1"/>
    <w:rsid w:val="002A0E51"/>
    <w:rsid w:val="002A1A44"/>
    <w:rsid w:val="002A291A"/>
    <w:rsid w:val="002A2C54"/>
    <w:rsid w:val="002A4E2E"/>
    <w:rsid w:val="002A5604"/>
    <w:rsid w:val="002A59D9"/>
    <w:rsid w:val="002B1701"/>
    <w:rsid w:val="002B23C3"/>
    <w:rsid w:val="002B443A"/>
    <w:rsid w:val="002B5B35"/>
    <w:rsid w:val="002B7AEE"/>
    <w:rsid w:val="002C0CE7"/>
    <w:rsid w:val="002C2536"/>
    <w:rsid w:val="002C256A"/>
    <w:rsid w:val="002C3031"/>
    <w:rsid w:val="002C4233"/>
    <w:rsid w:val="002C496D"/>
    <w:rsid w:val="002C5D65"/>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F24"/>
    <w:rsid w:val="003106DB"/>
    <w:rsid w:val="0031350A"/>
    <w:rsid w:val="00316815"/>
    <w:rsid w:val="003168CA"/>
    <w:rsid w:val="00321255"/>
    <w:rsid w:val="0032230D"/>
    <w:rsid w:val="00322A0B"/>
    <w:rsid w:val="00330881"/>
    <w:rsid w:val="00331CD2"/>
    <w:rsid w:val="00331F56"/>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84F"/>
    <w:rsid w:val="003D6B08"/>
    <w:rsid w:val="003D7D47"/>
    <w:rsid w:val="003E16D7"/>
    <w:rsid w:val="003E197E"/>
    <w:rsid w:val="003E4B70"/>
    <w:rsid w:val="003E54CF"/>
    <w:rsid w:val="003E5FBA"/>
    <w:rsid w:val="003F1233"/>
    <w:rsid w:val="003F67A4"/>
    <w:rsid w:val="003F7810"/>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0CE"/>
    <w:rsid w:val="00473153"/>
    <w:rsid w:val="00473291"/>
    <w:rsid w:val="0047350F"/>
    <w:rsid w:val="004743AF"/>
    <w:rsid w:val="00482C17"/>
    <w:rsid w:val="00484CE3"/>
    <w:rsid w:val="00486648"/>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4DFC"/>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C93"/>
    <w:rsid w:val="0052250B"/>
    <w:rsid w:val="005305C6"/>
    <w:rsid w:val="00540EEC"/>
    <w:rsid w:val="005414F4"/>
    <w:rsid w:val="00546187"/>
    <w:rsid w:val="00547B11"/>
    <w:rsid w:val="00552E91"/>
    <w:rsid w:val="00557D77"/>
    <w:rsid w:val="00562EAA"/>
    <w:rsid w:val="00563B58"/>
    <w:rsid w:val="005640C4"/>
    <w:rsid w:val="0056684C"/>
    <w:rsid w:val="00574A0C"/>
    <w:rsid w:val="0057780F"/>
    <w:rsid w:val="00581E0A"/>
    <w:rsid w:val="00581F8C"/>
    <w:rsid w:val="005841E5"/>
    <w:rsid w:val="00586D89"/>
    <w:rsid w:val="005877C8"/>
    <w:rsid w:val="00587923"/>
    <w:rsid w:val="00594F9F"/>
    <w:rsid w:val="005A1B4C"/>
    <w:rsid w:val="005A545C"/>
    <w:rsid w:val="005B271A"/>
    <w:rsid w:val="005B3A2D"/>
    <w:rsid w:val="005C1567"/>
    <w:rsid w:val="005C28D3"/>
    <w:rsid w:val="005C6CE5"/>
    <w:rsid w:val="005D2CEB"/>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DEF"/>
    <w:rsid w:val="0069625A"/>
    <w:rsid w:val="00696A88"/>
    <w:rsid w:val="00696F65"/>
    <w:rsid w:val="00697572"/>
    <w:rsid w:val="006B4496"/>
    <w:rsid w:val="006B5E67"/>
    <w:rsid w:val="006B6612"/>
    <w:rsid w:val="006C2EB5"/>
    <w:rsid w:val="006C47CD"/>
    <w:rsid w:val="006D18A3"/>
    <w:rsid w:val="006D5970"/>
    <w:rsid w:val="006E481E"/>
    <w:rsid w:val="006E58D3"/>
    <w:rsid w:val="006E795F"/>
    <w:rsid w:val="006F0862"/>
    <w:rsid w:val="006F1438"/>
    <w:rsid w:val="006F2A9E"/>
    <w:rsid w:val="006F5ED3"/>
    <w:rsid w:val="00700249"/>
    <w:rsid w:val="007069CD"/>
    <w:rsid w:val="00706BB5"/>
    <w:rsid w:val="0071231A"/>
    <w:rsid w:val="00712E90"/>
    <w:rsid w:val="00713B7E"/>
    <w:rsid w:val="007231B4"/>
    <w:rsid w:val="0072678F"/>
    <w:rsid w:val="007276E5"/>
    <w:rsid w:val="00727C4C"/>
    <w:rsid w:val="0073283C"/>
    <w:rsid w:val="00734809"/>
    <w:rsid w:val="0073714E"/>
    <w:rsid w:val="007374EF"/>
    <w:rsid w:val="007406E1"/>
    <w:rsid w:val="00743E40"/>
    <w:rsid w:val="00745016"/>
    <w:rsid w:val="00745451"/>
    <w:rsid w:val="0075031F"/>
    <w:rsid w:val="00751263"/>
    <w:rsid w:val="007544FC"/>
    <w:rsid w:val="00755427"/>
    <w:rsid w:val="00756548"/>
    <w:rsid w:val="0075673A"/>
    <w:rsid w:val="0075704F"/>
    <w:rsid w:val="00763B2D"/>
    <w:rsid w:val="00764C84"/>
    <w:rsid w:val="007710AD"/>
    <w:rsid w:val="00771CA0"/>
    <w:rsid w:val="00772924"/>
    <w:rsid w:val="0078112D"/>
    <w:rsid w:val="007872F2"/>
    <w:rsid w:val="007873F9"/>
    <w:rsid w:val="007908E0"/>
    <w:rsid w:val="00793EB3"/>
    <w:rsid w:val="00794205"/>
    <w:rsid w:val="0079422A"/>
    <w:rsid w:val="007A1F6A"/>
    <w:rsid w:val="007A4A13"/>
    <w:rsid w:val="007A628F"/>
    <w:rsid w:val="007B0DE3"/>
    <w:rsid w:val="007B1BFD"/>
    <w:rsid w:val="007B4607"/>
    <w:rsid w:val="007B7191"/>
    <w:rsid w:val="007C1D94"/>
    <w:rsid w:val="007C556F"/>
    <w:rsid w:val="007C5ABE"/>
    <w:rsid w:val="007C6A87"/>
    <w:rsid w:val="007D0A07"/>
    <w:rsid w:val="007D0F11"/>
    <w:rsid w:val="007D133D"/>
    <w:rsid w:val="007D3EB4"/>
    <w:rsid w:val="007D3F16"/>
    <w:rsid w:val="007E1EFF"/>
    <w:rsid w:val="007F10BD"/>
    <w:rsid w:val="007F312E"/>
    <w:rsid w:val="007F3F7E"/>
    <w:rsid w:val="007F4BA4"/>
    <w:rsid w:val="00813CEC"/>
    <w:rsid w:val="0081534C"/>
    <w:rsid w:val="00816CE7"/>
    <w:rsid w:val="008171E4"/>
    <w:rsid w:val="008208EA"/>
    <w:rsid w:val="00822B44"/>
    <w:rsid w:val="00823B7F"/>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78C"/>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15E"/>
    <w:rsid w:val="008B1309"/>
    <w:rsid w:val="008B28E7"/>
    <w:rsid w:val="008B629A"/>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45D"/>
    <w:rsid w:val="008F127E"/>
    <w:rsid w:val="008F32D9"/>
    <w:rsid w:val="00902A65"/>
    <w:rsid w:val="00903932"/>
    <w:rsid w:val="009079BD"/>
    <w:rsid w:val="00912BD9"/>
    <w:rsid w:val="00916FB2"/>
    <w:rsid w:val="00920E5B"/>
    <w:rsid w:val="00926436"/>
    <w:rsid w:val="00926C53"/>
    <w:rsid w:val="0093018C"/>
    <w:rsid w:val="0094495F"/>
    <w:rsid w:val="00952D7E"/>
    <w:rsid w:val="009544C0"/>
    <w:rsid w:val="00954FA4"/>
    <w:rsid w:val="00956AE9"/>
    <w:rsid w:val="00964CC6"/>
    <w:rsid w:val="00967BFA"/>
    <w:rsid w:val="0098262C"/>
    <w:rsid w:val="0098427C"/>
    <w:rsid w:val="00986B43"/>
    <w:rsid w:val="00986C0B"/>
    <w:rsid w:val="00986D46"/>
    <w:rsid w:val="00991FDA"/>
    <w:rsid w:val="00992ACA"/>
    <w:rsid w:val="00994211"/>
    <w:rsid w:val="009A5F3B"/>
    <w:rsid w:val="009A5F79"/>
    <w:rsid w:val="009A6F87"/>
    <w:rsid w:val="009B0B61"/>
    <w:rsid w:val="009B28C0"/>
    <w:rsid w:val="009B3178"/>
    <w:rsid w:val="009B3E46"/>
    <w:rsid w:val="009B7136"/>
    <w:rsid w:val="009C307F"/>
    <w:rsid w:val="009C337F"/>
    <w:rsid w:val="009C53E7"/>
    <w:rsid w:val="009C5BD4"/>
    <w:rsid w:val="009C6092"/>
    <w:rsid w:val="009C7342"/>
    <w:rsid w:val="009D4365"/>
    <w:rsid w:val="009D477B"/>
    <w:rsid w:val="009D4E3B"/>
    <w:rsid w:val="009D59C2"/>
    <w:rsid w:val="009D7BC9"/>
    <w:rsid w:val="009E122F"/>
    <w:rsid w:val="009E1982"/>
    <w:rsid w:val="009E4D2C"/>
    <w:rsid w:val="009F0978"/>
    <w:rsid w:val="009F3AEC"/>
    <w:rsid w:val="009F6801"/>
    <w:rsid w:val="009F7FEC"/>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2BE"/>
    <w:rsid w:val="00A652F6"/>
    <w:rsid w:val="00A65861"/>
    <w:rsid w:val="00A732EA"/>
    <w:rsid w:val="00A7489E"/>
    <w:rsid w:val="00A8015F"/>
    <w:rsid w:val="00A85039"/>
    <w:rsid w:val="00A906AA"/>
    <w:rsid w:val="00A94C5E"/>
    <w:rsid w:val="00AA252C"/>
    <w:rsid w:val="00AA666E"/>
    <w:rsid w:val="00AA7960"/>
    <w:rsid w:val="00AB5518"/>
    <w:rsid w:val="00AC012B"/>
    <w:rsid w:val="00AC3A0E"/>
    <w:rsid w:val="00AC4A04"/>
    <w:rsid w:val="00AC5679"/>
    <w:rsid w:val="00AD336F"/>
    <w:rsid w:val="00AE134C"/>
    <w:rsid w:val="00AE1868"/>
    <w:rsid w:val="00AE2564"/>
    <w:rsid w:val="00AE301F"/>
    <w:rsid w:val="00AE3302"/>
    <w:rsid w:val="00AE5BA6"/>
    <w:rsid w:val="00AE6051"/>
    <w:rsid w:val="00AE6231"/>
    <w:rsid w:val="00AE7077"/>
    <w:rsid w:val="00AF61C2"/>
    <w:rsid w:val="00AF64DF"/>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454"/>
    <w:rsid w:val="00B50FBA"/>
    <w:rsid w:val="00B54F22"/>
    <w:rsid w:val="00B558EB"/>
    <w:rsid w:val="00B577D3"/>
    <w:rsid w:val="00B60466"/>
    <w:rsid w:val="00B6548F"/>
    <w:rsid w:val="00B67DBB"/>
    <w:rsid w:val="00B71A32"/>
    <w:rsid w:val="00B73E51"/>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9A2"/>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513"/>
    <w:rsid w:val="00CD0735"/>
    <w:rsid w:val="00CD0F9A"/>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3B5"/>
    <w:rsid w:val="00D44B67"/>
    <w:rsid w:val="00D44F8E"/>
    <w:rsid w:val="00D45F56"/>
    <w:rsid w:val="00D51FD5"/>
    <w:rsid w:val="00D53227"/>
    <w:rsid w:val="00D55DE0"/>
    <w:rsid w:val="00D607EF"/>
    <w:rsid w:val="00D60CD6"/>
    <w:rsid w:val="00D60F88"/>
    <w:rsid w:val="00D646BD"/>
    <w:rsid w:val="00D65558"/>
    <w:rsid w:val="00D71201"/>
    <w:rsid w:val="00D720C7"/>
    <w:rsid w:val="00D84841"/>
    <w:rsid w:val="00D876E6"/>
    <w:rsid w:val="00D90958"/>
    <w:rsid w:val="00DA1025"/>
    <w:rsid w:val="00DA22EC"/>
    <w:rsid w:val="00DA31B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1A9D"/>
    <w:rsid w:val="00E464AE"/>
    <w:rsid w:val="00E50821"/>
    <w:rsid w:val="00E51F91"/>
    <w:rsid w:val="00E5498A"/>
    <w:rsid w:val="00E559CE"/>
    <w:rsid w:val="00E55BE8"/>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D75"/>
    <w:rsid w:val="00EA4D48"/>
    <w:rsid w:val="00EA66E0"/>
    <w:rsid w:val="00EA7ADF"/>
    <w:rsid w:val="00EB2173"/>
    <w:rsid w:val="00EB61E3"/>
    <w:rsid w:val="00EB62E6"/>
    <w:rsid w:val="00EB695F"/>
    <w:rsid w:val="00EC3A85"/>
    <w:rsid w:val="00EC4B89"/>
    <w:rsid w:val="00EC59A5"/>
    <w:rsid w:val="00EC6E15"/>
    <w:rsid w:val="00ED1B30"/>
    <w:rsid w:val="00ED5D03"/>
    <w:rsid w:val="00ED645B"/>
    <w:rsid w:val="00EE01ED"/>
    <w:rsid w:val="00EE1AC1"/>
    <w:rsid w:val="00EE39D6"/>
    <w:rsid w:val="00EE52AD"/>
    <w:rsid w:val="00EE5BC3"/>
    <w:rsid w:val="00EE6FAB"/>
    <w:rsid w:val="00EF328C"/>
    <w:rsid w:val="00EF68BB"/>
    <w:rsid w:val="00F01F92"/>
    <w:rsid w:val="00F030D4"/>
    <w:rsid w:val="00F04053"/>
    <w:rsid w:val="00F04B06"/>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327"/>
    <w:rsid w:val="00FB24EA"/>
    <w:rsid w:val="00FB5FA6"/>
    <w:rsid w:val="00FC0334"/>
    <w:rsid w:val="00FC1310"/>
    <w:rsid w:val="00FC2D8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216B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chr.coe.int/documents/d/echr/convention_ENG" TargetMode="External"/><Relationship Id="rId18" Type="http://schemas.openxmlformats.org/officeDocument/2006/relationships/hyperlink" Target="https://olderpeople.wales/welsh-government-self-neglect-practice-guide/" TargetMode="External"/><Relationship Id="rId26" Type="http://schemas.openxmlformats.org/officeDocument/2006/relationships/hyperlink" Target="https://safeguarding.wales/en/"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socialcare.wales/cms-assets/documents/Code-of-Professional-Practice-for-Social-Care-web-version.pdf" TargetMode="External"/><Relationship Id="rId34" Type="http://schemas.openxmlformats.org/officeDocument/2006/relationships/hyperlink" Target="https://www.gov.wales/more-just-words-welsh-language-plan-health-and-social-care"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hildcomwales.org.uk/resources/the-right-way-a-childrens-rights-approach/" TargetMode="External"/><Relationship Id="rId17" Type="http://schemas.openxmlformats.org/officeDocument/2006/relationships/hyperlink" Target="https://gdpr-info.eu/" TargetMode="External"/><Relationship Id="rId25" Type="http://schemas.openxmlformats.org/officeDocument/2006/relationships/hyperlink" Target="https://www.unicef.org.uk/wp-content/uploads/2019/10/UNCRC_summary-1_1.pdf" TargetMode="External"/><Relationship Id="rId33" Type="http://schemas.openxmlformats.org/officeDocument/2006/relationships/hyperlink" Target="https://www.northwalessafeguardingboard.wales/wp-content/uploads/2021/03/safeguarding-children-from-child-sexual-exploitation.p" TargetMode="External"/><Relationship Id="rId38"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legislation.gov.uk/ukpga/2000/36/contents" TargetMode="External"/><Relationship Id="rId20" Type="http://schemas.openxmlformats.org/officeDocument/2006/relationships/hyperlink" Target="https://www.scie.org.uk/safeguarding/adults/practice/sharing-information/" TargetMode="External"/><Relationship Id="rId29" Type="http://schemas.openxmlformats.org/officeDocument/2006/relationships/hyperlink" Target="https://www.gov.wales/sites/default/files/publications/2019-05/when-i-am-ready-good-practice-guide-march-2016.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39essex.com/sites/default/files/2024-" TargetMode="External"/><Relationship Id="rId24" Type="http://schemas.openxmlformats.org/officeDocument/2006/relationships/hyperlink" Target="https://www.gov.wales/sites/default/files/publications/2019-03/mental-health-act-1983-code-of-practice-mental-health-act-1983-for-wales-review-revised-2016.pdf" TargetMode="External"/><Relationship Id="rId32" Type="http://schemas.openxmlformats.org/officeDocument/2006/relationships/hyperlink" Target="https://www.gov.wales/sites/default/files/publications/2019-09/information-sharing-to-safeguard-children-and-adults.pdf" TargetMode="External"/><Relationship Id="rId37" Type="http://schemas.openxmlformats.org/officeDocument/2006/relationships/image" Target="media/image3.emf"/><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wsi/2011/1064" TargetMode="External"/><Relationship Id="rId23" Type="http://schemas.openxmlformats.org/officeDocument/2006/relationships/hyperlink" Target="https://www.legislation.gov.uk/anaw/2015/2" TargetMode="External"/><Relationship Id="rId28" Type="http://schemas.openxmlformats.org/officeDocument/2006/relationships/hyperlink" Target="https://www.gov.wales/sites/default/files/publications/2019-05/social-services-and-well-being-wales-act-2014-the-essentials.pdf" TargetMode="External"/><Relationship Id="rId36"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safeguardingboard.wales/wp-content/uploads/sites/8/2021/06/Thematic-Review-of-Adult-Practice-Reviews-August-2021-V2.pdf" TargetMode="External"/><Relationship Id="rId31" Type="http://schemas.openxmlformats.org/officeDocument/2006/relationships/hyperlink" Target="https://www.gov.wales/sites/default/files/publications/2019-06/volume-6-handling-individual-cases-to-protect-adults-at-risk.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isabilitywales.org/social-mode" TargetMode="External"/><Relationship Id="rId22" Type="http://schemas.openxmlformats.org/officeDocument/2006/relationships/hyperlink" Target="https://www.legislation.gov.uk/ukpga/2018/12/contents/enacted" TargetMode="External"/><Relationship Id="rId27" Type="http://schemas.openxmlformats.org/officeDocument/2006/relationships/hyperlink" Target="https://www.waspi.gov.wales/files/waspi-code-of-conduct-documentation/code-of-conduct/" TargetMode="External"/><Relationship Id="rId30" Type="http://schemas.openxmlformats.org/officeDocument/2006/relationships/hyperlink" Target="https://www.gov.wales/sites/default/files/publications/2019-05/working-together-to-safeguard-people-volume-5-handling-individual-cases-to-protect-children-at-risk.pdf" TargetMode="External"/><Relationship Id="rId35" Type="http://schemas.openxmlformats.org/officeDocument/2006/relationships/hyperlink" Target="mailto:robpoustie@liv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021EFF-7B8E-467B-B95A-99A7CDF1F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28</Pages>
  <Words>5994</Words>
  <Characters>40669</Characters>
  <Application>Microsoft Office Word</Application>
  <DocSecurity>0</DocSecurity>
  <Lines>338</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 Poustie</cp:lastModifiedBy>
  <cp:revision>12</cp:revision>
  <cp:lastPrinted>2020-02-11T19:20:00Z</cp:lastPrinted>
  <dcterms:created xsi:type="dcterms:W3CDTF">2025-10-07T12:25:00Z</dcterms:created>
  <dcterms:modified xsi:type="dcterms:W3CDTF">2025-10-07T14:21:00Z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