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126F" w14:textId="09905BDC" w:rsidR="00955C03" w:rsidRPr="005C5092" w:rsidRDefault="00955C03" w:rsidP="00D55118">
      <w:pPr>
        <w:jc w:val="center"/>
        <w:rPr>
          <w:rFonts w:ascii="Arial" w:hAnsi="Arial" w:cs="Arial"/>
        </w:rPr>
      </w:pPr>
      <w:r w:rsidRPr="005C5092">
        <w:rPr>
          <w:rFonts w:ascii="Arial" w:hAnsi="Arial" w:cs="Arial"/>
          <w:noProof/>
        </w:rPr>
        <w:drawing>
          <wp:inline distT="0" distB="0" distL="0" distR="0" wp14:anchorId="53705E4B" wp14:editId="291976E1">
            <wp:extent cx="2285525" cy="914210"/>
            <wp:effectExtent l="0" t="0" r="635" b="635"/>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6818" cy="926727"/>
                    </a:xfrm>
                    <a:prstGeom prst="rect">
                      <a:avLst/>
                    </a:prstGeom>
                    <a:noFill/>
                  </pic:spPr>
                </pic:pic>
              </a:graphicData>
            </a:graphic>
          </wp:inline>
        </w:drawing>
      </w:r>
    </w:p>
    <w:p w14:paraId="51297047" w14:textId="79A2E533" w:rsidR="00955C03" w:rsidRPr="005F4AA2" w:rsidRDefault="00955C03" w:rsidP="005F4AA2">
      <w:pPr>
        <w:jc w:val="center"/>
        <w:rPr>
          <w:rFonts w:ascii="Arial" w:hAnsi="Arial" w:cs="Arial"/>
          <w:b/>
          <w:bCs/>
          <w:sz w:val="32"/>
          <w:szCs w:val="28"/>
        </w:rPr>
      </w:pPr>
      <w:r w:rsidRPr="005C5092">
        <w:rPr>
          <w:rFonts w:ascii="Arial" w:hAnsi="Arial" w:cs="Arial"/>
          <w:b/>
          <w:bCs/>
          <w:sz w:val="32"/>
          <w:szCs w:val="28"/>
        </w:rPr>
        <w:t>Assessment Component 2: Marketing Portfolio</w:t>
      </w:r>
    </w:p>
    <w:p w14:paraId="002A8E17" w14:textId="77777777" w:rsidR="00955C03" w:rsidRPr="005C5092" w:rsidRDefault="00955C03" w:rsidP="00955C03">
      <w:pPr>
        <w:jc w:val="center"/>
        <w:rPr>
          <w:rFonts w:ascii="Arial" w:hAnsi="Arial" w:cs="Arial"/>
          <w:b/>
          <w:bCs/>
        </w:rPr>
      </w:pPr>
      <w:r w:rsidRPr="005C5092">
        <w:rPr>
          <w:rFonts w:ascii="Arial" w:hAnsi="Arial" w:cs="Arial"/>
          <w:b/>
          <w:bCs/>
        </w:rPr>
        <w:t>Master of Business Administration</w:t>
      </w:r>
    </w:p>
    <w:p w14:paraId="7B99C2A5" w14:textId="77777777" w:rsidR="00955C03" w:rsidRPr="005C5092" w:rsidRDefault="00955C03" w:rsidP="00955C03">
      <w:pPr>
        <w:jc w:val="center"/>
        <w:rPr>
          <w:rFonts w:ascii="Arial" w:hAnsi="Arial" w:cs="Arial"/>
          <w:b/>
          <w:bCs/>
        </w:rPr>
      </w:pPr>
      <w:r w:rsidRPr="005C5092">
        <w:rPr>
          <w:rFonts w:ascii="Arial" w:hAnsi="Arial" w:cs="Arial"/>
          <w:b/>
          <w:bCs/>
        </w:rPr>
        <w:t>Module Name: Marketing Management</w:t>
      </w:r>
    </w:p>
    <w:p w14:paraId="59B06713" w14:textId="77777777" w:rsidR="002067E7" w:rsidRDefault="00955C03" w:rsidP="002067E7">
      <w:pPr>
        <w:jc w:val="center"/>
        <w:rPr>
          <w:rFonts w:ascii="Arial" w:hAnsi="Arial" w:cs="Arial"/>
          <w:b/>
          <w:bCs/>
        </w:rPr>
      </w:pPr>
      <w:r w:rsidRPr="005C5092">
        <w:rPr>
          <w:rFonts w:ascii="Arial" w:hAnsi="Arial" w:cs="Arial"/>
          <w:b/>
          <w:bCs/>
        </w:rPr>
        <w:t>Module Code: LCMB7024</w:t>
      </w:r>
    </w:p>
    <w:p w14:paraId="60724779" w14:textId="5A71C571" w:rsidR="005F4AA2" w:rsidRPr="005C5092" w:rsidRDefault="005F4AA2" w:rsidP="002067E7">
      <w:pPr>
        <w:jc w:val="center"/>
        <w:rPr>
          <w:rFonts w:ascii="Arial" w:hAnsi="Arial" w:cs="Arial"/>
          <w:b/>
          <w:bCs/>
        </w:rPr>
      </w:pPr>
      <w:r w:rsidRPr="005C5092">
        <w:rPr>
          <w:rFonts w:ascii="Arial" w:hAnsi="Arial" w:cs="Arial"/>
          <w:b/>
          <w:bCs/>
        </w:rPr>
        <w:t>Student Name:</w:t>
      </w:r>
      <w:r w:rsidR="002067E7">
        <w:rPr>
          <w:rFonts w:ascii="Arial" w:hAnsi="Arial" w:cs="Arial"/>
          <w:b/>
          <w:bCs/>
        </w:rPr>
        <w:t xml:space="preserve"> </w:t>
      </w:r>
      <w:proofErr w:type="spellStart"/>
      <w:r w:rsidR="002067E7" w:rsidRPr="002067E7">
        <w:rPr>
          <w:rFonts w:ascii="Arial" w:hAnsi="Arial" w:cs="Arial"/>
          <w:b/>
          <w:bCs/>
        </w:rPr>
        <w:t>Shifat</w:t>
      </w:r>
      <w:proofErr w:type="spellEnd"/>
      <w:r w:rsidR="002067E7" w:rsidRPr="002067E7">
        <w:rPr>
          <w:rFonts w:ascii="Arial" w:hAnsi="Arial" w:cs="Arial"/>
          <w:b/>
          <w:bCs/>
        </w:rPr>
        <w:t> Hossain</w:t>
      </w:r>
    </w:p>
    <w:p w14:paraId="1B2CDEED" w14:textId="69471CD0" w:rsidR="005F4AA2" w:rsidRDefault="005F4AA2" w:rsidP="005F4AA2">
      <w:pPr>
        <w:jc w:val="center"/>
        <w:rPr>
          <w:rFonts w:ascii="Arial" w:hAnsi="Arial" w:cs="Arial"/>
          <w:b/>
          <w:bCs/>
        </w:rPr>
      </w:pPr>
      <w:r w:rsidRPr="005C5092">
        <w:rPr>
          <w:rFonts w:ascii="Arial" w:hAnsi="Arial" w:cs="Arial"/>
          <w:b/>
          <w:bCs/>
        </w:rPr>
        <w:t>Student ID:</w:t>
      </w:r>
      <w:r w:rsidR="002067E7">
        <w:rPr>
          <w:rFonts w:ascii="Arial" w:hAnsi="Arial" w:cs="Arial"/>
          <w:b/>
          <w:bCs/>
        </w:rPr>
        <w:t xml:space="preserve"> </w:t>
      </w:r>
      <w:r w:rsidR="002067E7" w:rsidRPr="002067E7">
        <w:rPr>
          <w:rFonts w:ascii="Arial" w:hAnsi="Arial" w:cs="Arial"/>
          <w:b/>
          <w:bCs/>
        </w:rPr>
        <w:t>2436037</w:t>
      </w:r>
    </w:p>
    <w:p w14:paraId="68D398EA" w14:textId="77777777" w:rsidR="005F4AA2" w:rsidRDefault="005F4AA2" w:rsidP="005F4AA2">
      <w:pPr>
        <w:jc w:val="center"/>
        <w:rPr>
          <w:rFonts w:ascii="Arial" w:hAnsi="Arial" w:cs="Arial"/>
          <w:b/>
          <w:bCs/>
        </w:rPr>
      </w:pPr>
    </w:p>
    <w:p w14:paraId="079A1A43" w14:textId="77777777" w:rsidR="005F4AA2" w:rsidRPr="005F4AA2" w:rsidRDefault="005F4AA2" w:rsidP="005F4AA2">
      <w:pPr>
        <w:jc w:val="center"/>
        <w:rPr>
          <w:rFonts w:ascii="Arial" w:hAnsi="Arial" w:cs="Arial"/>
          <w:b/>
          <w:bCs/>
        </w:rPr>
      </w:pPr>
    </w:p>
    <w:p w14:paraId="28E1B403" w14:textId="2AE89C9E" w:rsidR="00955C03" w:rsidRPr="005C5092" w:rsidRDefault="00955C03" w:rsidP="005F4AA2">
      <w:pPr>
        <w:jc w:val="center"/>
        <w:rPr>
          <w:rFonts w:ascii="Arial" w:hAnsi="Arial" w:cs="Arial"/>
          <w:b/>
          <w:bCs/>
        </w:rPr>
      </w:pPr>
      <w:r w:rsidRPr="005C5092">
        <w:rPr>
          <w:rFonts w:ascii="Arial" w:hAnsi="Arial" w:cs="Arial"/>
          <w:b/>
          <w:bCs/>
        </w:rPr>
        <w:t>Word Count:</w:t>
      </w:r>
      <w:r w:rsidR="002067E7">
        <w:rPr>
          <w:rFonts w:ascii="Arial" w:hAnsi="Arial" w:cs="Arial"/>
          <w:b/>
          <w:bCs/>
        </w:rPr>
        <w:t xml:space="preserve"> 2319</w:t>
      </w:r>
    </w:p>
    <w:p w14:paraId="75C3AA7B" w14:textId="77777777" w:rsidR="00955C03" w:rsidRPr="005C5092" w:rsidRDefault="00955C03" w:rsidP="00955C03">
      <w:pPr>
        <w:jc w:val="center"/>
        <w:rPr>
          <w:rFonts w:ascii="Arial" w:hAnsi="Arial" w:cs="Arial"/>
          <w:b/>
          <w:bCs/>
        </w:rPr>
      </w:pPr>
      <w:r w:rsidRPr="005C5092">
        <w:rPr>
          <w:rFonts w:ascii="Arial" w:hAnsi="Arial" w:cs="Arial"/>
          <w:b/>
          <w:bCs/>
        </w:rPr>
        <w:t>Date of Submission:</w:t>
      </w:r>
    </w:p>
    <w:p w14:paraId="6E703741" w14:textId="77777777" w:rsidR="00955C03" w:rsidRPr="005C5092" w:rsidRDefault="00955C03" w:rsidP="00955C03">
      <w:pPr>
        <w:jc w:val="center"/>
        <w:rPr>
          <w:rFonts w:ascii="Arial" w:hAnsi="Arial" w:cs="Arial"/>
          <w:b/>
          <w:bCs/>
        </w:rPr>
      </w:pPr>
    </w:p>
    <w:p w14:paraId="62049B24" w14:textId="77777777" w:rsidR="00955C03" w:rsidRPr="005C5092" w:rsidRDefault="00955C03" w:rsidP="00955C03">
      <w:pPr>
        <w:jc w:val="center"/>
        <w:rPr>
          <w:rFonts w:ascii="Arial" w:hAnsi="Arial" w:cs="Arial"/>
          <w:b/>
          <w:bCs/>
        </w:rPr>
      </w:pPr>
    </w:p>
    <w:p w14:paraId="3F870B1A" w14:textId="77777777" w:rsidR="00D55118" w:rsidRDefault="00D55118">
      <w:pPr>
        <w:spacing w:before="0" w:after="160" w:line="259" w:lineRule="auto"/>
        <w:jc w:val="left"/>
        <w:rPr>
          <w:rFonts w:ascii="Arial" w:hAnsi="Arial" w:cs="Arial"/>
          <w:b/>
          <w:bCs/>
        </w:rPr>
      </w:pPr>
      <w:r>
        <w:rPr>
          <w:rFonts w:ascii="Arial" w:hAnsi="Arial" w:cs="Arial"/>
          <w:b/>
          <w:bCs/>
        </w:rPr>
        <w:br w:type="page"/>
      </w:r>
    </w:p>
    <w:sdt>
      <w:sdtPr>
        <w:rPr>
          <w:rFonts w:cs="Times New Roman"/>
          <w:b w:val="0"/>
          <w:kern w:val="2"/>
          <w:sz w:val="24"/>
          <w:szCs w:val="22"/>
          <w:lang w:val="en-GB" w:eastAsia="en-GB"/>
          <w14:ligatures w14:val="standardContextual"/>
        </w:rPr>
        <w:id w:val="1150105895"/>
        <w:docPartObj>
          <w:docPartGallery w:val="Table of Contents"/>
          <w:docPartUnique/>
        </w:docPartObj>
      </w:sdtPr>
      <w:sdtEndPr>
        <w:rPr>
          <w:bCs/>
          <w:noProof/>
        </w:rPr>
      </w:sdtEndPr>
      <w:sdtContent>
        <w:p w14:paraId="7D8BB16C" w14:textId="1EF46EB0" w:rsidR="00D55118" w:rsidRDefault="00D55118">
          <w:pPr>
            <w:pStyle w:val="TOCHeading"/>
          </w:pPr>
          <w:r>
            <w:t>Table of Contents</w:t>
          </w:r>
        </w:p>
        <w:p w14:paraId="59B33F18" w14:textId="4AF53069" w:rsidR="00B82129" w:rsidRPr="00B82129" w:rsidRDefault="00D55118">
          <w:pPr>
            <w:pStyle w:val="TOC1"/>
            <w:tabs>
              <w:tab w:val="right" w:leader="dot" w:pos="9010"/>
            </w:tabs>
            <w:rPr>
              <w:rFonts w:ascii="Arial" w:eastAsiaTheme="minorEastAsia" w:hAnsi="Arial" w:cs="Arial"/>
              <w:b w:val="0"/>
              <w:bCs w:val="0"/>
              <w:i w:val="0"/>
              <w:iCs w:val="0"/>
              <w:noProof/>
              <w:szCs w:val="24"/>
              <w:lang w:val="en-BD" w:bidi="bn-IN"/>
            </w:rPr>
          </w:pPr>
          <w:r w:rsidRPr="00B82129">
            <w:rPr>
              <w:rFonts w:ascii="Arial" w:hAnsi="Arial" w:cs="Arial"/>
              <w:b w:val="0"/>
              <w:bCs w:val="0"/>
              <w:i w:val="0"/>
              <w:iCs w:val="0"/>
              <w:szCs w:val="24"/>
            </w:rPr>
            <w:fldChar w:fldCharType="begin"/>
          </w:r>
          <w:r w:rsidRPr="00B82129">
            <w:rPr>
              <w:rFonts w:ascii="Arial" w:hAnsi="Arial" w:cs="Arial"/>
              <w:b w:val="0"/>
              <w:bCs w:val="0"/>
              <w:i w:val="0"/>
              <w:iCs w:val="0"/>
              <w:szCs w:val="24"/>
            </w:rPr>
            <w:instrText xml:space="preserve"> TOC \o "1-3" \h \z \u </w:instrText>
          </w:r>
          <w:r w:rsidRPr="00B82129">
            <w:rPr>
              <w:rFonts w:ascii="Arial" w:hAnsi="Arial" w:cs="Arial"/>
              <w:b w:val="0"/>
              <w:bCs w:val="0"/>
              <w:i w:val="0"/>
              <w:iCs w:val="0"/>
              <w:szCs w:val="24"/>
            </w:rPr>
            <w:fldChar w:fldCharType="separate"/>
          </w:r>
          <w:hyperlink w:anchor="_Toc216086453" w:history="1">
            <w:r w:rsidR="00B82129" w:rsidRPr="00B82129">
              <w:rPr>
                <w:rStyle w:val="Hyperlink"/>
                <w:rFonts w:ascii="Arial" w:hAnsi="Arial" w:cs="Arial"/>
                <w:b w:val="0"/>
                <w:bCs w:val="0"/>
                <w:i w:val="0"/>
                <w:iCs w:val="0"/>
                <w:noProof/>
                <w:szCs w:val="24"/>
              </w:rPr>
              <w:t>Introduction</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_Toc216086453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3</w:t>
            </w:r>
            <w:r w:rsidR="00B82129" w:rsidRPr="00B82129">
              <w:rPr>
                <w:rFonts w:ascii="Arial" w:hAnsi="Arial" w:cs="Arial"/>
                <w:b w:val="0"/>
                <w:bCs w:val="0"/>
                <w:i w:val="0"/>
                <w:iCs w:val="0"/>
                <w:noProof/>
                <w:webHidden/>
                <w:szCs w:val="24"/>
              </w:rPr>
              <w:fldChar w:fldCharType="end"/>
            </w:r>
          </w:hyperlink>
        </w:p>
        <w:p w14:paraId="4C886A8A" w14:textId="4CDA7CA2"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54" w:history="1">
            <w:r w:rsidR="00B82129" w:rsidRPr="00B82129">
              <w:rPr>
                <w:rStyle w:val="Hyperlink"/>
                <w:rFonts w:ascii="Arial" w:hAnsi="Arial" w:cs="Arial"/>
                <w:b w:val="0"/>
                <w:bCs w:val="0"/>
                <w:i w:val="0"/>
                <w:iCs w:val="0"/>
                <w:noProof/>
                <w:szCs w:val="24"/>
              </w:rPr>
              <w:t>Element 1 – STDP Analysis</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_Toc216086454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3</w:t>
            </w:r>
            <w:r w:rsidR="00B82129" w:rsidRPr="00B82129">
              <w:rPr>
                <w:rFonts w:ascii="Arial" w:hAnsi="Arial" w:cs="Arial"/>
                <w:b w:val="0"/>
                <w:bCs w:val="0"/>
                <w:i w:val="0"/>
                <w:iCs w:val="0"/>
                <w:noProof/>
                <w:webHidden/>
                <w:szCs w:val="24"/>
              </w:rPr>
              <w:fldChar w:fldCharType="end"/>
            </w:r>
          </w:hyperlink>
        </w:p>
        <w:p w14:paraId="286BFC69" w14:textId="7C0EB86A"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55" w:history="1">
            <w:r w:rsidR="00B82129" w:rsidRPr="00B82129">
              <w:rPr>
                <w:rStyle w:val="Hyperlink"/>
                <w:rFonts w:ascii="Arial" w:hAnsi="Arial" w:cs="Arial"/>
                <w:b w:val="0"/>
                <w:bCs w:val="0"/>
                <w:noProof/>
                <w:sz w:val="24"/>
                <w:szCs w:val="24"/>
              </w:rPr>
              <w:t>New Brand Concept</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_Toc216086455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3</w:t>
            </w:r>
            <w:r w:rsidR="00B82129" w:rsidRPr="00B82129">
              <w:rPr>
                <w:rFonts w:ascii="Arial" w:hAnsi="Arial" w:cs="Arial"/>
                <w:b w:val="0"/>
                <w:bCs w:val="0"/>
                <w:noProof/>
                <w:webHidden/>
                <w:sz w:val="24"/>
                <w:szCs w:val="24"/>
              </w:rPr>
              <w:fldChar w:fldCharType="end"/>
            </w:r>
          </w:hyperlink>
        </w:p>
        <w:p w14:paraId="51BF1E89" w14:textId="48E08BF8"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56" w:history="1">
            <w:r w:rsidR="00B82129" w:rsidRPr="00B82129">
              <w:rPr>
                <w:rStyle w:val="Hyperlink"/>
                <w:rFonts w:ascii="Arial" w:hAnsi="Arial" w:cs="Arial"/>
                <w:b w:val="0"/>
                <w:bCs w:val="0"/>
                <w:noProof/>
                <w:sz w:val="24"/>
                <w:szCs w:val="24"/>
              </w:rPr>
              <w:t>Segmentation Analysis</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_Toc216086456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3</w:t>
            </w:r>
            <w:r w:rsidR="00B82129" w:rsidRPr="00B82129">
              <w:rPr>
                <w:rFonts w:ascii="Arial" w:hAnsi="Arial" w:cs="Arial"/>
                <w:b w:val="0"/>
                <w:bCs w:val="0"/>
                <w:noProof/>
                <w:webHidden/>
                <w:sz w:val="24"/>
                <w:szCs w:val="24"/>
              </w:rPr>
              <w:fldChar w:fldCharType="end"/>
            </w:r>
          </w:hyperlink>
        </w:p>
        <w:p w14:paraId="2C03582B" w14:textId="3D24697D"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57" w:history="1">
            <w:r w:rsidR="00B82129" w:rsidRPr="00B82129">
              <w:rPr>
                <w:rStyle w:val="Hyperlink"/>
                <w:rFonts w:ascii="Arial" w:hAnsi="Arial" w:cs="Arial"/>
                <w:b w:val="0"/>
                <w:bCs w:val="0"/>
                <w:noProof/>
                <w:sz w:val="24"/>
                <w:szCs w:val="24"/>
              </w:rPr>
              <w:t>Targeting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_Toc216086457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4</w:t>
            </w:r>
            <w:r w:rsidR="00B82129" w:rsidRPr="00B82129">
              <w:rPr>
                <w:rFonts w:ascii="Arial" w:hAnsi="Arial" w:cs="Arial"/>
                <w:b w:val="0"/>
                <w:bCs w:val="0"/>
                <w:noProof/>
                <w:webHidden/>
                <w:sz w:val="24"/>
                <w:szCs w:val="24"/>
              </w:rPr>
              <w:fldChar w:fldCharType="end"/>
            </w:r>
          </w:hyperlink>
        </w:p>
        <w:p w14:paraId="175A40C4" w14:textId="1C8A87EE"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58" w:history="1">
            <w:r w:rsidR="00B82129" w:rsidRPr="00B82129">
              <w:rPr>
                <w:rStyle w:val="Hyperlink"/>
                <w:rFonts w:ascii="Arial" w:hAnsi="Arial" w:cs="Arial"/>
                <w:b w:val="0"/>
                <w:bCs w:val="0"/>
                <w:noProof/>
                <w:sz w:val="24"/>
                <w:szCs w:val="24"/>
              </w:rPr>
              <w:t>Differentiation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_Toc216086458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4</w:t>
            </w:r>
            <w:r w:rsidR="00B82129" w:rsidRPr="00B82129">
              <w:rPr>
                <w:rFonts w:ascii="Arial" w:hAnsi="Arial" w:cs="Arial"/>
                <w:b w:val="0"/>
                <w:bCs w:val="0"/>
                <w:noProof/>
                <w:webHidden/>
                <w:sz w:val="24"/>
                <w:szCs w:val="24"/>
              </w:rPr>
              <w:fldChar w:fldCharType="end"/>
            </w:r>
          </w:hyperlink>
        </w:p>
        <w:p w14:paraId="7C735C31" w14:textId="4718B640"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59" w:history="1">
            <w:r w:rsidR="00B82129" w:rsidRPr="00B82129">
              <w:rPr>
                <w:rStyle w:val="Hyperlink"/>
                <w:rFonts w:ascii="Arial" w:hAnsi="Arial" w:cs="Arial"/>
                <w:b w:val="0"/>
                <w:bCs w:val="0"/>
                <w:noProof/>
                <w:sz w:val="24"/>
                <w:szCs w:val="24"/>
              </w:rPr>
              <w:t>Positioning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_Toc216086459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5</w:t>
            </w:r>
            <w:r w:rsidR="00B82129" w:rsidRPr="00B82129">
              <w:rPr>
                <w:rFonts w:ascii="Arial" w:hAnsi="Arial" w:cs="Arial"/>
                <w:b w:val="0"/>
                <w:bCs w:val="0"/>
                <w:noProof/>
                <w:webHidden/>
                <w:sz w:val="24"/>
                <w:szCs w:val="24"/>
              </w:rPr>
              <w:fldChar w:fldCharType="end"/>
            </w:r>
          </w:hyperlink>
        </w:p>
        <w:p w14:paraId="70A4BE75" w14:textId="3CA5AC93"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60" w:history="1">
            <w:r w:rsidR="00B82129" w:rsidRPr="00B82129">
              <w:rPr>
                <w:rStyle w:val="Hyperlink"/>
                <w:rFonts w:ascii="Arial" w:hAnsi="Arial" w:cs="Arial"/>
                <w:b w:val="0"/>
                <w:bCs w:val="0"/>
                <w:i w:val="0"/>
                <w:iCs w:val="0"/>
                <w:noProof/>
                <w:szCs w:val="24"/>
              </w:rPr>
              <w:t>Element 2 – Marketing Mix (4ps)</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_Toc216086460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5</w:t>
            </w:r>
            <w:r w:rsidR="00B82129" w:rsidRPr="00B82129">
              <w:rPr>
                <w:rFonts w:ascii="Arial" w:hAnsi="Arial" w:cs="Arial"/>
                <w:b w:val="0"/>
                <w:bCs w:val="0"/>
                <w:i w:val="0"/>
                <w:iCs w:val="0"/>
                <w:noProof/>
                <w:webHidden/>
                <w:szCs w:val="24"/>
              </w:rPr>
              <w:fldChar w:fldCharType="end"/>
            </w:r>
          </w:hyperlink>
        </w:p>
        <w:p w14:paraId="7B2B75AD" w14:textId="761D65B3"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61" w:history="1">
            <w:r w:rsidR="00B82129" w:rsidRPr="00B82129">
              <w:rPr>
                <w:rStyle w:val="Hyperlink"/>
                <w:rFonts w:ascii="Arial" w:hAnsi="Arial" w:cs="Arial"/>
                <w:b w:val="0"/>
                <w:bCs w:val="0"/>
                <w:noProof/>
                <w:sz w:val="24"/>
                <w:szCs w:val="24"/>
              </w:rPr>
              <w:t>Product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_Toc216086461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5</w:t>
            </w:r>
            <w:r w:rsidR="00B82129" w:rsidRPr="00B82129">
              <w:rPr>
                <w:rFonts w:ascii="Arial" w:hAnsi="Arial" w:cs="Arial"/>
                <w:b w:val="0"/>
                <w:bCs w:val="0"/>
                <w:noProof/>
                <w:webHidden/>
                <w:sz w:val="24"/>
                <w:szCs w:val="24"/>
              </w:rPr>
              <w:fldChar w:fldCharType="end"/>
            </w:r>
          </w:hyperlink>
        </w:p>
        <w:p w14:paraId="4D4E72B2" w14:textId="4841B2EC"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62" w:history="1">
            <w:r w:rsidR="00B82129" w:rsidRPr="00B82129">
              <w:rPr>
                <w:rStyle w:val="Hyperlink"/>
                <w:rFonts w:ascii="Arial" w:hAnsi="Arial" w:cs="Arial"/>
                <w:b w:val="0"/>
                <w:bCs w:val="0"/>
                <w:noProof/>
                <w:sz w:val="24"/>
                <w:szCs w:val="24"/>
              </w:rPr>
              <w:t>Price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_Toc216086462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6</w:t>
            </w:r>
            <w:r w:rsidR="00B82129" w:rsidRPr="00B82129">
              <w:rPr>
                <w:rFonts w:ascii="Arial" w:hAnsi="Arial" w:cs="Arial"/>
                <w:b w:val="0"/>
                <w:bCs w:val="0"/>
                <w:noProof/>
                <w:webHidden/>
                <w:sz w:val="24"/>
                <w:szCs w:val="24"/>
              </w:rPr>
              <w:fldChar w:fldCharType="end"/>
            </w:r>
          </w:hyperlink>
        </w:p>
        <w:p w14:paraId="5592F273" w14:textId="392342EB"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63" w:history="1">
            <w:r w:rsidR="00B82129" w:rsidRPr="00B82129">
              <w:rPr>
                <w:rStyle w:val="Hyperlink"/>
                <w:rFonts w:ascii="Arial" w:hAnsi="Arial" w:cs="Arial"/>
                <w:b w:val="0"/>
                <w:bCs w:val="0"/>
                <w:noProof/>
                <w:sz w:val="24"/>
                <w:szCs w:val="24"/>
              </w:rPr>
              <w:t>Place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_Toc216086463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6</w:t>
            </w:r>
            <w:r w:rsidR="00B82129" w:rsidRPr="00B82129">
              <w:rPr>
                <w:rFonts w:ascii="Arial" w:hAnsi="Arial" w:cs="Arial"/>
                <w:b w:val="0"/>
                <w:bCs w:val="0"/>
                <w:noProof/>
                <w:webHidden/>
                <w:sz w:val="24"/>
                <w:szCs w:val="24"/>
              </w:rPr>
              <w:fldChar w:fldCharType="end"/>
            </w:r>
          </w:hyperlink>
        </w:p>
        <w:p w14:paraId="016C132D" w14:textId="2A2D7857" w:rsidR="00B82129" w:rsidRPr="00B82129" w:rsidRDefault="00000000">
          <w:pPr>
            <w:pStyle w:val="TOC2"/>
            <w:tabs>
              <w:tab w:val="right" w:leader="dot" w:pos="9010"/>
            </w:tabs>
            <w:rPr>
              <w:rFonts w:ascii="Arial" w:eastAsiaTheme="minorEastAsia" w:hAnsi="Arial" w:cs="Arial"/>
              <w:b w:val="0"/>
              <w:bCs w:val="0"/>
              <w:noProof/>
              <w:sz w:val="24"/>
              <w:szCs w:val="24"/>
              <w:lang w:val="en-BD" w:bidi="bn-IN"/>
            </w:rPr>
          </w:pPr>
          <w:hyperlink w:anchor="_Toc216086464" w:history="1">
            <w:r w:rsidR="00B82129" w:rsidRPr="00B82129">
              <w:rPr>
                <w:rStyle w:val="Hyperlink"/>
                <w:rFonts w:ascii="Arial" w:hAnsi="Arial" w:cs="Arial"/>
                <w:b w:val="0"/>
                <w:bCs w:val="0"/>
                <w:noProof/>
                <w:sz w:val="24"/>
                <w:szCs w:val="24"/>
              </w:rPr>
              <w:t>Promotion Strategy</w:t>
            </w:r>
            <w:r w:rsidR="00B82129" w:rsidRPr="00B82129">
              <w:rPr>
                <w:rFonts w:ascii="Arial" w:hAnsi="Arial" w:cs="Arial"/>
                <w:b w:val="0"/>
                <w:bCs w:val="0"/>
                <w:noProof/>
                <w:webHidden/>
                <w:sz w:val="24"/>
                <w:szCs w:val="24"/>
              </w:rPr>
              <w:tab/>
            </w:r>
            <w:r w:rsidR="00B82129" w:rsidRPr="00B82129">
              <w:rPr>
                <w:rFonts w:ascii="Arial" w:hAnsi="Arial" w:cs="Arial"/>
                <w:b w:val="0"/>
                <w:bCs w:val="0"/>
                <w:noProof/>
                <w:webHidden/>
                <w:sz w:val="24"/>
                <w:szCs w:val="24"/>
              </w:rPr>
              <w:fldChar w:fldCharType="begin"/>
            </w:r>
            <w:r w:rsidR="00B82129" w:rsidRPr="00B82129">
              <w:rPr>
                <w:rFonts w:ascii="Arial" w:hAnsi="Arial" w:cs="Arial"/>
                <w:b w:val="0"/>
                <w:bCs w:val="0"/>
                <w:noProof/>
                <w:webHidden/>
                <w:sz w:val="24"/>
                <w:szCs w:val="24"/>
              </w:rPr>
              <w:instrText xml:space="preserve"> PAGEREF _Toc216086464 \h </w:instrText>
            </w:r>
            <w:r w:rsidR="00B82129" w:rsidRPr="00B82129">
              <w:rPr>
                <w:rFonts w:ascii="Arial" w:hAnsi="Arial" w:cs="Arial"/>
                <w:b w:val="0"/>
                <w:bCs w:val="0"/>
                <w:noProof/>
                <w:webHidden/>
                <w:sz w:val="24"/>
                <w:szCs w:val="24"/>
              </w:rPr>
            </w:r>
            <w:r w:rsidR="00B82129" w:rsidRPr="00B82129">
              <w:rPr>
                <w:rFonts w:ascii="Arial" w:hAnsi="Arial" w:cs="Arial"/>
                <w:b w:val="0"/>
                <w:bCs w:val="0"/>
                <w:noProof/>
                <w:webHidden/>
                <w:sz w:val="24"/>
                <w:szCs w:val="24"/>
              </w:rPr>
              <w:fldChar w:fldCharType="separate"/>
            </w:r>
            <w:r w:rsidR="00B82129" w:rsidRPr="00B82129">
              <w:rPr>
                <w:rFonts w:ascii="Arial" w:hAnsi="Arial" w:cs="Arial"/>
                <w:b w:val="0"/>
                <w:bCs w:val="0"/>
                <w:noProof/>
                <w:webHidden/>
                <w:sz w:val="24"/>
                <w:szCs w:val="24"/>
              </w:rPr>
              <w:t>7</w:t>
            </w:r>
            <w:r w:rsidR="00B82129" w:rsidRPr="00B82129">
              <w:rPr>
                <w:rFonts w:ascii="Arial" w:hAnsi="Arial" w:cs="Arial"/>
                <w:b w:val="0"/>
                <w:bCs w:val="0"/>
                <w:noProof/>
                <w:webHidden/>
                <w:sz w:val="24"/>
                <w:szCs w:val="24"/>
              </w:rPr>
              <w:fldChar w:fldCharType="end"/>
            </w:r>
          </w:hyperlink>
        </w:p>
        <w:p w14:paraId="2A286051" w14:textId="7C6B1EB9"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65" w:history="1">
            <w:r w:rsidR="00B82129" w:rsidRPr="00B82129">
              <w:rPr>
                <w:rStyle w:val="Hyperlink"/>
                <w:rFonts w:ascii="Arial" w:hAnsi="Arial" w:cs="Arial"/>
                <w:b w:val="0"/>
                <w:bCs w:val="0"/>
                <w:i w:val="0"/>
                <w:iCs w:val="0"/>
                <w:noProof/>
                <w:szCs w:val="24"/>
              </w:rPr>
              <w:t>Element 3 – Marketing Strategy Pitch</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_Toc216086465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8</w:t>
            </w:r>
            <w:r w:rsidR="00B82129" w:rsidRPr="00B82129">
              <w:rPr>
                <w:rFonts w:ascii="Arial" w:hAnsi="Arial" w:cs="Arial"/>
                <w:b w:val="0"/>
                <w:bCs w:val="0"/>
                <w:i w:val="0"/>
                <w:iCs w:val="0"/>
                <w:noProof/>
                <w:webHidden/>
                <w:szCs w:val="24"/>
              </w:rPr>
              <w:fldChar w:fldCharType="end"/>
            </w:r>
          </w:hyperlink>
        </w:p>
        <w:p w14:paraId="6A03DB64" w14:textId="1E9D1F69"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66" w:history="1">
            <w:r w:rsidR="00B82129" w:rsidRPr="00B82129">
              <w:rPr>
                <w:rStyle w:val="Hyperlink"/>
                <w:rFonts w:ascii="Arial" w:hAnsi="Arial" w:cs="Arial"/>
                <w:b w:val="0"/>
                <w:bCs w:val="0"/>
                <w:i w:val="0"/>
                <w:iCs w:val="0"/>
                <w:noProof/>
                <w:szCs w:val="24"/>
              </w:rPr>
              <w:t>Element 4 – Reflection Using Gibbs’ Cycle</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_Toc216086466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9</w:t>
            </w:r>
            <w:r w:rsidR="00B82129" w:rsidRPr="00B82129">
              <w:rPr>
                <w:rFonts w:ascii="Arial" w:hAnsi="Arial" w:cs="Arial"/>
                <w:b w:val="0"/>
                <w:bCs w:val="0"/>
                <w:i w:val="0"/>
                <w:iCs w:val="0"/>
                <w:noProof/>
                <w:webHidden/>
                <w:szCs w:val="24"/>
              </w:rPr>
              <w:fldChar w:fldCharType="end"/>
            </w:r>
          </w:hyperlink>
        </w:p>
        <w:p w14:paraId="31047A1C" w14:textId="6FBF68D1"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67" w:history="1">
            <w:r w:rsidR="00B82129" w:rsidRPr="00B82129">
              <w:rPr>
                <w:rStyle w:val="Hyperlink"/>
                <w:rFonts w:ascii="Arial" w:hAnsi="Arial" w:cs="Arial"/>
                <w:b w:val="0"/>
                <w:bCs w:val="0"/>
                <w:i w:val="0"/>
                <w:iCs w:val="0"/>
                <w:noProof/>
                <w:szCs w:val="24"/>
              </w:rPr>
              <w:t>Conclusion</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_Toc216086467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11</w:t>
            </w:r>
            <w:r w:rsidR="00B82129" w:rsidRPr="00B82129">
              <w:rPr>
                <w:rFonts w:ascii="Arial" w:hAnsi="Arial" w:cs="Arial"/>
                <w:b w:val="0"/>
                <w:bCs w:val="0"/>
                <w:i w:val="0"/>
                <w:iCs w:val="0"/>
                <w:noProof/>
                <w:webHidden/>
                <w:szCs w:val="24"/>
              </w:rPr>
              <w:fldChar w:fldCharType="end"/>
            </w:r>
          </w:hyperlink>
        </w:p>
        <w:p w14:paraId="13CD6030" w14:textId="03171B34" w:rsidR="00B82129" w:rsidRPr="00B82129" w:rsidRDefault="00000000">
          <w:pPr>
            <w:pStyle w:val="TOC1"/>
            <w:tabs>
              <w:tab w:val="right" w:leader="dot" w:pos="9010"/>
            </w:tabs>
            <w:rPr>
              <w:rFonts w:ascii="Arial" w:eastAsiaTheme="minorEastAsia" w:hAnsi="Arial" w:cs="Arial"/>
              <w:b w:val="0"/>
              <w:bCs w:val="0"/>
              <w:i w:val="0"/>
              <w:iCs w:val="0"/>
              <w:noProof/>
              <w:szCs w:val="24"/>
              <w:lang w:val="en-BD" w:bidi="bn-IN"/>
            </w:rPr>
          </w:pPr>
          <w:hyperlink w:anchor="_Toc216086468" w:history="1">
            <w:r w:rsidR="00B82129" w:rsidRPr="00B82129">
              <w:rPr>
                <w:rStyle w:val="Hyperlink"/>
                <w:rFonts w:ascii="Arial" w:hAnsi="Arial" w:cs="Arial"/>
                <w:b w:val="0"/>
                <w:bCs w:val="0"/>
                <w:i w:val="0"/>
                <w:iCs w:val="0"/>
                <w:noProof/>
                <w:szCs w:val="24"/>
              </w:rPr>
              <w:t>7. References</w:t>
            </w:r>
            <w:r w:rsidR="00B82129" w:rsidRPr="00B82129">
              <w:rPr>
                <w:rFonts w:ascii="Arial" w:hAnsi="Arial" w:cs="Arial"/>
                <w:b w:val="0"/>
                <w:bCs w:val="0"/>
                <w:i w:val="0"/>
                <w:iCs w:val="0"/>
                <w:noProof/>
                <w:webHidden/>
                <w:szCs w:val="24"/>
              </w:rPr>
              <w:tab/>
            </w:r>
            <w:r w:rsidR="00B82129" w:rsidRPr="00B82129">
              <w:rPr>
                <w:rFonts w:ascii="Arial" w:hAnsi="Arial" w:cs="Arial"/>
                <w:b w:val="0"/>
                <w:bCs w:val="0"/>
                <w:i w:val="0"/>
                <w:iCs w:val="0"/>
                <w:noProof/>
                <w:webHidden/>
                <w:szCs w:val="24"/>
              </w:rPr>
              <w:fldChar w:fldCharType="begin"/>
            </w:r>
            <w:r w:rsidR="00B82129" w:rsidRPr="00B82129">
              <w:rPr>
                <w:rFonts w:ascii="Arial" w:hAnsi="Arial" w:cs="Arial"/>
                <w:b w:val="0"/>
                <w:bCs w:val="0"/>
                <w:i w:val="0"/>
                <w:iCs w:val="0"/>
                <w:noProof/>
                <w:webHidden/>
                <w:szCs w:val="24"/>
              </w:rPr>
              <w:instrText xml:space="preserve"> PAGEREF _Toc216086468 \h </w:instrText>
            </w:r>
            <w:r w:rsidR="00B82129" w:rsidRPr="00B82129">
              <w:rPr>
                <w:rFonts w:ascii="Arial" w:hAnsi="Arial" w:cs="Arial"/>
                <w:b w:val="0"/>
                <w:bCs w:val="0"/>
                <w:i w:val="0"/>
                <w:iCs w:val="0"/>
                <w:noProof/>
                <w:webHidden/>
                <w:szCs w:val="24"/>
              </w:rPr>
            </w:r>
            <w:r w:rsidR="00B82129" w:rsidRPr="00B82129">
              <w:rPr>
                <w:rFonts w:ascii="Arial" w:hAnsi="Arial" w:cs="Arial"/>
                <w:b w:val="0"/>
                <w:bCs w:val="0"/>
                <w:i w:val="0"/>
                <w:iCs w:val="0"/>
                <w:noProof/>
                <w:webHidden/>
                <w:szCs w:val="24"/>
              </w:rPr>
              <w:fldChar w:fldCharType="separate"/>
            </w:r>
            <w:r w:rsidR="00B82129" w:rsidRPr="00B82129">
              <w:rPr>
                <w:rFonts w:ascii="Arial" w:hAnsi="Arial" w:cs="Arial"/>
                <w:b w:val="0"/>
                <w:bCs w:val="0"/>
                <w:i w:val="0"/>
                <w:iCs w:val="0"/>
                <w:noProof/>
                <w:webHidden/>
                <w:szCs w:val="24"/>
              </w:rPr>
              <w:t>12</w:t>
            </w:r>
            <w:r w:rsidR="00B82129" w:rsidRPr="00B82129">
              <w:rPr>
                <w:rFonts w:ascii="Arial" w:hAnsi="Arial" w:cs="Arial"/>
                <w:b w:val="0"/>
                <w:bCs w:val="0"/>
                <w:i w:val="0"/>
                <w:iCs w:val="0"/>
                <w:noProof/>
                <w:webHidden/>
                <w:szCs w:val="24"/>
              </w:rPr>
              <w:fldChar w:fldCharType="end"/>
            </w:r>
          </w:hyperlink>
        </w:p>
        <w:p w14:paraId="7322679B" w14:textId="48EFC703" w:rsidR="00D55118" w:rsidRDefault="00D55118">
          <w:r w:rsidRPr="00B82129">
            <w:rPr>
              <w:rFonts w:ascii="Arial" w:hAnsi="Arial" w:cs="Arial"/>
              <w:noProof/>
              <w:szCs w:val="24"/>
            </w:rPr>
            <w:fldChar w:fldCharType="end"/>
          </w:r>
        </w:p>
      </w:sdtContent>
    </w:sdt>
    <w:p w14:paraId="65C0AEE2" w14:textId="0220CDE2" w:rsidR="00955C03" w:rsidRPr="005C5092" w:rsidRDefault="00955C03" w:rsidP="00955C03">
      <w:pPr>
        <w:spacing w:before="0" w:after="160" w:line="259" w:lineRule="auto"/>
        <w:jc w:val="left"/>
        <w:rPr>
          <w:rFonts w:ascii="Arial" w:hAnsi="Arial" w:cs="Arial"/>
          <w:b/>
          <w:bCs/>
        </w:rPr>
      </w:pPr>
      <w:r w:rsidRPr="005C5092">
        <w:rPr>
          <w:rFonts w:ascii="Arial" w:hAnsi="Arial" w:cs="Arial"/>
          <w:b/>
          <w:bCs/>
        </w:rPr>
        <w:br w:type="page"/>
      </w:r>
    </w:p>
    <w:p w14:paraId="719E5D80" w14:textId="50A1E828" w:rsidR="005F4AA2" w:rsidRPr="005F4AA2" w:rsidRDefault="005F4AA2" w:rsidP="005F4AA2">
      <w:pPr>
        <w:pStyle w:val="Heading1"/>
        <w:rPr>
          <w:rFonts w:cs="Times New Roman"/>
          <w:sz w:val="24"/>
        </w:rPr>
      </w:pPr>
      <w:bookmarkStart w:id="0" w:name="_Toc216086453"/>
      <w:r w:rsidRPr="005F4AA2">
        <w:lastRenderedPageBreak/>
        <w:t>Introduction</w:t>
      </w:r>
      <w:bookmarkEnd w:id="0"/>
    </w:p>
    <w:p w14:paraId="6375EDE3" w14:textId="1D074EC7" w:rsidR="005F4AA2" w:rsidRPr="005F4AA2" w:rsidRDefault="005F4AA2" w:rsidP="005F4AA2">
      <w:pPr>
        <w:rPr>
          <w:szCs w:val="24"/>
        </w:rPr>
      </w:pPr>
      <w:r w:rsidRPr="005F4AA2">
        <w:rPr>
          <w:szCs w:val="24"/>
        </w:rPr>
        <w:t>Tesco is one of the most powerful retailers in the UK</w:t>
      </w:r>
      <w:r>
        <w:rPr>
          <w:szCs w:val="24"/>
        </w:rPr>
        <w:t>,</w:t>
      </w:r>
      <w:r w:rsidRPr="005F4AA2">
        <w:rPr>
          <w:szCs w:val="24"/>
        </w:rPr>
        <w:t xml:space="preserve"> </w:t>
      </w:r>
      <w:r>
        <w:rPr>
          <w:szCs w:val="24"/>
        </w:rPr>
        <w:t>offering</w:t>
      </w:r>
      <w:r w:rsidRPr="005F4AA2">
        <w:rPr>
          <w:szCs w:val="24"/>
        </w:rPr>
        <w:t xml:space="preserve"> low-cost groceries, powerful private-label brands, and a diverse </w:t>
      </w:r>
      <w:r>
        <w:rPr>
          <w:szCs w:val="24"/>
        </w:rPr>
        <w:t>range</w:t>
      </w:r>
      <w:r w:rsidRPr="005F4AA2">
        <w:rPr>
          <w:szCs w:val="24"/>
        </w:rPr>
        <w:t xml:space="preserve"> </w:t>
      </w:r>
      <w:r>
        <w:rPr>
          <w:szCs w:val="24"/>
        </w:rPr>
        <w:t>of</w:t>
      </w:r>
      <w:r w:rsidRPr="005F4AA2">
        <w:rPr>
          <w:szCs w:val="24"/>
        </w:rPr>
        <w:t xml:space="preserve"> </w:t>
      </w:r>
      <w:r>
        <w:rPr>
          <w:szCs w:val="24"/>
        </w:rPr>
        <w:t>household products</w:t>
      </w:r>
      <w:r w:rsidRPr="005F4AA2">
        <w:rPr>
          <w:szCs w:val="24"/>
        </w:rPr>
        <w:t xml:space="preserve">. Nonetheless, it is not working in the expanding field of home food </w:t>
      </w:r>
      <w:r>
        <w:rPr>
          <w:szCs w:val="24"/>
        </w:rPr>
        <w:t>production</w:t>
      </w:r>
      <w:r w:rsidRPr="005F4AA2">
        <w:rPr>
          <w:szCs w:val="24"/>
        </w:rPr>
        <w:t xml:space="preserve"> </w:t>
      </w:r>
      <w:r>
        <w:rPr>
          <w:szCs w:val="24"/>
        </w:rPr>
        <w:t>technology,</w:t>
      </w:r>
      <w:r w:rsidRPr="005F4AA2">
        <w:rPr>
          <w:szCs w:val="24"/>
        </w:rPr>
        <w:t xml:space="preserve"> </w:t>
      </w:r>
      <w:r>
        <w:rPr>
          <w:szCs w:val="24"/>
        </w:rPr>
        <w:t>despite</w:t>
      </w:r>
      <w:r w:rsidRPr="005F4AA2">
        <w:rPr>
          <w:szCs w:val="24"/>
        </w:rPr>
        <w:t xml:space="preserve"> increased attention to healthy, sustainable living</w:t>
      </w:r>
      <w:r w:rsidR="00461311">
        <w:rPr>
          <w:szCs w:val="24"/>
        </w:rPr>
        <w:t xml:space="preserve"> </w:t>
      </w:r>
      <w:r w:rsidR="00461311">
        <w:rPr>
          <w:color w:val="000000"/>
        </w:rPr>
        <w:t>(Lim</w:t>
      </w:r>
      <w:r w:rsidR="00461311">
        <w:rPr>
          <w:rStyle w:val="apple-converted-space"/>
          <w:rFonts w:eastAsiaTheme="majorEastAsia"/>
          <w:color w:val="000000"/>
        </w:rPr>
        <w:t> </w:t>
      </w:r>
      <w:r w:rsidR="00461311">
        <w:rPr>
          <w:i/>
          <w:iCs/>
          <w:color w:val="000000"/>
        </w:rPr>
        <w:t>et al.</w:t>
      </w:r>
      <w:r w:rsidR="00461311">
        <w:rPr>
          <w:color w:val="000000"/>
        </w:rPr>
        <w:t>, 2023)</w:t>
      </w:r>
      <w:r w:rsidRPr="005F4AA2">
        <w:rPr>
          <w:szCs w:val="24"/>
        </w:rPr>
        <w:t>. In this portfolio, Tesco Flourish Home Cultivator, an intelligent device that allows a customer to grow fresh vegetable</w:t>
      </w:r>
      <w:r>
        <w:rPr>
          <w:szCs w:val="24"/>
        </w:rPr>
        <w:t>s,</w:t>
      </w:r>
      <w:r w:rsidRPr="005F4AA2">
        <w:rPr>
          <w:szCs w:val="24"/>
        </w:rPr>
        <w:t xml:space="preserve"> herbs and greens inside the house, is presented. The portfolio works on the strategy of STDP, market mix choices, the brief pitch, and the critical assessment. The hierarchy is logical and demonstrates the alignment of the new brand with the new tendencies in the sphere of wellness, sustainability, and smart-home behaviour.</w:t>
      </w:r>
    </w:p>
    <w:p w14:paraId="6A97BD86" w14:textId="4860790A" w:rsidR="005F4AA2" w:rsidRPr="005F4AA2" w:rsidRDefault="005F4AA2" w:rsidP="005F4AA2">
      <w:pPr>
        <w:pStyle w:val="Heading1"/>
        <w:rPr>
          <w:rFonts w:cs="Times New Roman"/>
          <w:sz w:val="24"/>
        </w:rPr>
      </w:pPr>
      <w:bookmarkStart w:id="1" w:name="_Toc216086454"/>
      <w:r w:rsidRPr="005F4AA2">
        <w:t>Element 1 – S</w:t>
      </w:r>
      <w:r>
        <w:t>TDP</w:t>
      </w:r>
      <w:r w:rsidRPr="005F4AA2">
        <w:t xml:space="preserve"> Analysis</w:t>
      </w:r>
      <w:bookmarkEnd w:id="1"/>
    </w:p>
    <w:p w14:paraId="5A4EA78D" w14:textId="042A6771" w:rsidR="005F4AA2" w:rsidRPr="005F4AA2" w:rsidRDefault="005F4AA2" w:rsidP="005F4AA2">
      <w:pPr>
        <w:pStyle w:val="Heading2"/>
      </w:pPr>
      <w:bookmarkStart w:id="2" w:name="_Toc216086455"/>
      <w:r w:rsidRPr="005F4AA2">
        <w:t>New Brand Concept</w:t>
      </w:r>
      <w:bookmarkEnd w:id="2"/>
    </w:p>
    <w:p w14:paraId="177E39E8" w14:textId="324E83B5" w:rsidR="005F4AA2" w:rsidRPr="005F4AA2" w:rsidRDefault="005F4AA2" w:rsidP="005F4AA2">
      <w:pPr>
        <w:rPr>
          <w:szCs w:val="24"/>
        </w:rPr>
      </w:pPr>
      <w:r w:rsidRPr="005F4AA2">
        <w:rPr>
          <w:b/>
          <w:bCs/>
          <w:szCs w:val="24"/>
        </w:rPr>
        <w:t>Tesco Flourish</w:t>
      </w:r>
      <w:r w:rsidRPr="005F4AA2">
        <w:rPr>
          <w:szCs w:val="24"/>
        </w:rPr>
        <w:t xml:space="preserve"> is proposed as a wellness-based sub-brand and sustainability-oriented to help people lead healthier lives at affordable costs. Its main business unit is an intelligent small home grower Cultivator that allows its customers to grow herbs and microgreens on the inside with automatic lighting, watering, and growth sensors. The idea is similar to the brand extension theory, where Tesco is able to extend to the adjacent wellness products without losing customer trust</w:t>
      </w:r>
      <w:r w:rsidR="00461311">
        <w:rPr>
          <w:szCs w:val="24"/>
        </w:rPr>
        <w:t xml:space="preserve"> </w:t>
      </w:r>
      <w:r w:rsidR="00461311">
        <w:rPr>
          <w:color w:val="000000"/>
        </w:rPr>
        <w:t>(</w:t>
      </w:r>
      <w:proofErr w:type="spellStart"/>
      <w:r w:rsidR="00461311">
        <w:rPr>
          <w:color w:val="000000"/>
        </w:rPr>
        <w:t>Alsharif</w:t>
      </w:r>
      <w:proofErr w:type="spellEnd"/>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Diffusion of innovation brings out the attractiveness of easy</w:t>
      </w:r>
      <w:r>
        <w:rPr>
          <w:szCs w:val="24"/>
        </w:rPr>
        <w:t>-to-</w:t>
      </w:r>
      <w:r w:rsidRPr="005F4AA2">
        <w:rPr>
          <w:szCs w:val="24"/>
        </w:rPr>
        <w:t>use, easy</w:t>
      </w:r>
      <w:r>
        <w:rPr>
          <w:szCs w:val="24"/>
        </w:rPr>
        <w:t>-to-</w:t>
      </w:r>
      <w:r w:rsidRPr="005F4AA2">
        <w:rPr>
          <w:szCs w:val="24"/>
        </w:rPr>
        <w:t>acquire technology and value-creation theory brings out the functionality and emotional advantage of the product. As there is increasing demand for home-grown food, green people practices and economic saving options, Flourish addresses an apparent gap in the UK market that is not yet covered by any UK retailer.</w:t>
      </w:r>
    </w:p>
    <w:p w14:paraId="60802497" w14:textId="1ED497F8" w:rsidR="005F4AA2" w:rsidRPr="005F4AA2" w:rsidRDefault="005F4AA2" w:rsidP="005F4AA2">
      <w:pPr>
        <w:pStyle w:val="Heading2"/>
      </w:pPr>
      <w:bookmarkStart w:id="3" w:name="_Toc216086456"/>
      <w:r w:rsidRPr="005F4AA2">
        <w:t>Segmentation Analysis</w:t>
      </w:r>
      <w:bookmarkEnd w:id="3"/>
    </w:p>
    <w:p w14:paraId="2F088E3F" w14:textId="71C69B9D" w:rsidR="005F4AA2" w:rsidRPr="005F4AA2" w:rsidRDefault="005F4AA2" w:rsidP="005F4AA2">
      <w:pPr>
        <w:rPr>
          <w:szCs w:val="24"/>
        </w:rPr>
      </w:pPr>
      <w:r w:rsidRPr="005F4AA2">
        <w:rPr>
          <w:szCs w:val="24"/>
        </w:rPr>
        <w:t>The segmentation adopted by Flourish is based on the demographic, geographic, psychographic, and behavioural variables, as proposed by Kotler et al. (2024). The demographics of the brand are between 25-45, and usually, middle-income professional</w:t>
      </w:r>
      <w:r>
        <w:rPr>
          <w:szCs w:val="24"/>
        </w:rPr>
        <w:t>s</w:t>
      </w:r>
      <w:r w:rsidRPr="005F4AA2">
        <w:rPr>
          <w:szCs w:val="24"/>
        </w:rPr>
        <w:t xml:space="preserve"> or young families </w:t>
      </w:r>
      <w:r>
        <w:rPr>
          <w:szCs w:val="24"/>
        </w:rPr>
        <w:t>who</w:t>
      </w:r>
      <w:r w:rsidRPr="005F4AA2">
        <w:rPr>
          <w:szCs w:val="24"/>
        </w:rPr>
        <w:t xml:space="preserve"> find their healthier habits yet need convenience</w:t>
      </w:r>
      <w:r w:rsidR="00461311">
        <w:rPr>
          <w:szCs w:val="24"/>
        </w:rPr>
        <w:t xml:space="preserve"> </w:t>
      </w:r>
      <w:r w:rsidR="00461311">
        <w:rPr>
          <w:color w:val="000000"/>
        </w:rPr>
        <w:t>(</w:t>
      </w:r>
      <w:proofErr w:type="spellStart"/>
      <w:r w:rsidR="00461311">
        <w:rPr>
          <w:color w:val="000000"/>
        </w:rPr>
        <w:t>Gerlich</w:t>
      </w:r>
      <w:proofErr w:type="spellEnd"/>
      <w:r w:rsidR="00461311">
        <w:rPr>
          <w:color w:val="000000"/>
        </w:rPr>
        <w:t>, 2023)</w:t>
      </w:r>
      <w:r w:rsidRPr="005F4AA2">
        <w:rPr>
          <w:szCs w:val="24"/>
        </w:rPr>
        <w:t xml:space="preserve">. Geographically, it is very attractive to the urban and suburban population who do not have the space </w:t>
      </w:r>
      <w:r>
        <w:rPr>
          <w:szCs w:val="24"/>
        </w:rPr>
        <w:t>for</w:t>
      </w:r>
      <w:r w:rsidRPr="005F4AA2">
        <w:rPr>
          <w:szCs w:val="24"/>
        </w:rPr>
        <w:t xml:space="preserve"> gardens but are ready to accept compact indoor products. </w:t>
      </w:r>
      <w:proofErr w:type="spellStart"/>
      <w:r w:rsidRPr="005F4AA2">
        <w:rPr>
          <w:szCs w:val="24"/>
        </w:rPr>
        <w:t>Psychographically</w:t>
      </w:r>
      <w:proofErr w:type="spellEnd"/>
      <w:r w:rsidRPr="005F4AA2">
        <w:rPr>
          <w:szCs w:val="24"/>
        </w:rPr>
        <w:t>, Flourish appeals to green lifestyles, technology enthusiasts and wellness</w:t>
      </w:r>
      <w:r>
        <w:rPr>
          <w:szCs w:val="24"/>
        </w:rPr>
        <w:t>-</w:t>
      </w:r>
      <w:r w:rsidRPr="005F4AA2">
        <w:rPr>
          <w:szCs w:val="24"/>
        </w:rPr>
        <w:t xml:space="preserve">conscious consumers who </w:t>
      </w:r>
      <w:r w:rsidRPr="005F4AA2">
        <w:rPr>
          <w:szCs w:val="24"/>
        </w:rPr>
        <w:lastRenderedPageBreak/>
        <w:t xml:space="preserve">cherish sustainable self-sufficiency. On the behavioural front, it focuses on households </w:t>
      </w:r>
      <w:r>
        <w:rPr>
          <w:szCs w:val="24"/>
        </w:rPr>
        <w:t>that</w:t>
      </w:r>
      <w:r w:rsidRPr="005F4AA2">
        <w:rPr>
          <w:szCs w:val="24"/>
        </w:rPr>
        <w:t xml:space="preserve"> are driven by convenience, freshness, minimised food waste, and budget control in the long run. Such segments are quantifiable, accessible and lucrative, and meet the good segmentation requirements</w:t>
      </w:r>
      <w:r w:rsidR="00461311">
        <w:rPr>
          <w:szCs w:val="24"/>
        </w:rPr>
        <w:t xml:space="preserve"> </w:t>
      </w:r>
      <w:r w:rsidR="00461311">
        <w:rPr>
          <w:color w:val="000000"/>
        </w:rPr>
        <w:t>(</w:t>
      </w:r>
      <w:proofErr w:type="spellStart"/>
      <w:r w:rsidR="00461311">
        <w:rPr>
          <w:color w:val="000000"/>
        </w:rPr>
        <w:t>Alsharif</w:t>
      </w:r>
      <w:proofErr w:type="spellEnd"/>
      <w:r w:rsidR="00461311">
        <w:rPr>
          <w:rStyle w:val="apple-converted-space"/>
          <w:rFonts w:eastAsiaTheme="majorEastAsia"/>
          <w:color w:val="000000"/>
        </w:rPr>
        <w:t> </w:t>
      </w:r>
      <w:r w:rsidR="00461311">
        <w:rPr>
          <w:i/>
          <w:iCs/>
          <w:color w:val="000000"/>
        </w:rPr>
        <w:t>et al.</w:t>
      </w:r>
      <w:r w:rsidR="00461311">
        <w:rPr>
          <w:color w:val="000000"/>
        </w:rPr>
        <w:t>, 2023)</w:t>
      </w:r>
      <w:r w:rsidRPr="005F4AA2">
        <w:rPr>
          <w:szCs w:val="24"/>
        </w:rPr>
        <w:t xml:space="preserve">. They also capture the wider trends in lifestyle dictated by </w:t>
      </w:r>
      <w:r>
        <w:rPr>
          <w:szCs w:val="24"/>
        </w:rPr>
        <w:t xml:space="preserve">the </w:t>
      </w:r>
      <w:r w:rsidRPr="005F4AA2">
        <w:rPr>
          <w:szCs w:val="24"/>
        </w:rPr>
        <w:t>increased cost of living, the sustainability demands, and the rise in the adoption of smart</w:t>
      </w:r>
      <w:r>
        <w:rPr>
          <w:szCs w:val="24"/>
        </w:rPr>
        <w:t xml:space="preserve"> </w:t>
      </w:r>
      <w:r w:rsidRPr="005F4AA2">
        <w:rPr>
          <w:szCs w:val="24"/>
        </w:rPr>
        <w:t xml:space="preserve">homes. All </w:t>
      </w:r>
      <w:r w:rsidR="00461311" w:rsidRPr="005F4AA2">
        <w:rPr>
          <w:szCs w:val="24"/>
        </w:rPr>
        <w:t>these combines</w:t>
      </w:r>
      <w:r w:rsidRPr="005F4AA2">
        <w:rPr>
          <w:szCs w:val="24"/>
        </w:rPr>
        <w:t xml:space="preserve"> to give unique demand clusters that give Tesco a substantial basis </w:t>
      </w:r>
      <w:r>
        <w:rPr>
          <w:szCs w:val="24"/>
        </w:rPr>
        <w:t>for</w:t>
      </w:r>
      <w:r w:rsidRPr="005F4AA2">
        <w:rPr>
          <w:szCs w:val="24"/>
        </w:rPr>
        <w:t xml:space="preserve"> strategic targeting and product innovation.</w:t>
      </w:r>
    </w:p>
    <w:p w14:paraId="700D8549" w14:textId="47AE09E6" w:rsidR="005F4AA2" w:rsidRPr="005F4AA2" w:rsidRDefault="005F4AA2" w:rsidP="005F4AA2">
      <w:pPr>
        <w:pStyle w:val="Heading2"/>
      </w:pPr>
      <w:bookmarkStart w:id="4" w:name="_Toc216086457"/>
      <w:r w:rsidRPr="005F4AA2">
        <w:t>Targeting Strategy</w:t>
      </w:r>
      <w:bookmarkEnd w:id="4"/>
    </w:p>
    <w:p w14:paraId="51BF33EF" w14:textId="66CBE7AD" w:rsidR="005F4AA2" w:rsidRPr="005F4AA2" w:rsidRDefault="005F4AA2" w:rsidP="005F4AA2">
      <w:pPr>
        <w:rPr>
          <w:szCs w:val="24"/>
        </w:rPr>
      </w:pPr>
      <w:r w:rsidRPr="005F4AA2">
        <w:rPr>
          <w:szCs w:val="24"/>
        </w:rPr>
        <w:t xml:space="preserve">The main target market is urban professionals and young families, who are </w:t>
      </w:r>
      <w:r>
        <w:rPr>
          <w:szCs w:val="24"/>
        </w:rPr>
        <w:t>quick</w:t>
      </w:r>
      <w:r w:rsidRPr="005F4AA2">
        <w:rPr>
          <w:szCs w:val="24"/>
        </w:rPr>
        <w:t xml:space="preserve"> to use the smart-home solutions and appreciate convenient methods of eating better and spending less. They are time-starved but are encouraged by the freshness, natural product</w:t>
      </w:r>
      <w:r>
        <w:rPr>
          <w:szCs w:val="24"/>
        </w:rPr>
        <w:t>s</w:t>
      </w:r>
      <w:r w:rsidRPr="005F4AA2">
        <w:rPr>
          <w:szCs w:val="24"/>
        </w:rPr>
        <w:t>, and a healthier routine. The second target is the eco-conscious households that are concerned with sustainability and carbon impact reduction</w:t>
      </w:r>
      <w:r w:rsidR="00461311">
        <w:rPr>
          <w:szCs w:val="24"/>
        </w:rPr>
        <w:t xml:space="preserve"> </w:t>
      </w:r>
      <w:r w:rsidR="00461311">
        <w:rPr>
          <w:color w:val="000000"/>
        </w:rPr>
        <w:t>(Lim, 2023)</w:t>
      </w:r>
      <w:r w:rsidRPr="005F4AA2">
        <w:rPr>
          <w:szCs w:val="24"/>
        </w:rPr>
        <w:t xml:space="preserve">. </w:t>
      </w:r>
      <w:r>
        <w:rPr>
          <w:szCs w:val="24"/>
        </w:rPr>
        <w:t>A d</w:t>
      </w:r>
      <w:r w:rsidRPr="005F4AA2">
        <w:rPr>
          <w:szCs w:val="24"/>
        </w:rPr>
        <w:t>ifferentiated targeting strategy should be used since the two groups are desirable but driven by varying benefits. The market attractiveness analysis indicates high growth potential based on wellness and sustainability trends</w:t>
      </w:r>
      <w:r>
        <w:rPr>
          <w:szCs w:val="24"/>
        </w:rPr>
        <w:t>,</w:t>
      </w:r>
      <w:r w:rsidRPr="005F4AA2">
        <w:rPr>
          <w:szCs w:val="24"/>
        </w:rPr>
        <w:t xml:space="preserve"> and </w:t>
      </w:r>
      <w:r>
        <w:rPr>
          <w:szCs w:val="24"/>
        </w:rPr>
        <w:t xml:space="preserve">the </w:t>
      </w:r>
      <w:r w:rsidRPr="005F4AA2">
        <w:rPr>
          <w:szCs w:val="24"/>
        </w:rPr>
        <w:t xml:space="preserve">competitive gap analysis indicates limited options </w:t>
      </w:r>
      <w:r>
        <w:rPr>
          <w:szCs w:val="24"/>
        </w:rPr>
        <w:t>for</w:t>
      </w:r>
      <w:r w:rsidRPr="005F4AA2">
        <w:rPr>
          <w:szCs w:val="24"/>
        </w:rPr>
        <w:t xml:space="preserve"> middle</w:t>
      </w:r>
      <w:r>
        <w:rPr>
          <w:szCs w:val="24"/>
        </w:rPr>
        <w:t>-</w:t>
      </w:r>
      <w:r w:rsidRPr="005F4AA2">
        <w:rPr>
          <w:szCs w:val="24"/>
        </w:rPr>
        <w:t>end indoor cultivation. Flourish therefore meets the unmet needs without being out of place, as far as Tesco is concerned</w:t>
      </w:r>
      <w:r>
        <w:rPr>
          <w:szCs w:val="24"/>
        </w:rPr>
        <w:t>,</w:t>
      </w:r>
      <w:r w:rsidRPr="005F4AA2">
        <w:rPr>
          <w:szCs w:val="24"/>
        </w:rPr>
        <w:t xml:space="preserve"> in its positioning as a mass-market.</w:t>
      </w:r>
    </w:p>
    <w:p w14:paraId="1BF2801E" w14:textId="1E015F6A" w:rsidR="005F4AA2" w:rsidRPr="005F4AA2" w:rsidRDefault="005F4AA2" w:rsidP="005F4AA2">
      <w:pPr>
        <w:pStyle w:val="Heading2"/>
      </w:pPr>
      <w:bookmarkStart w:id="5" w:name="_Toc216086458"/>
      <w:r w:rsidRPr="005F4AA2">
        <w:t>Differentiation Strategy</w:t>
      </w:r>
      <w:bookmarkEnd w:id="5"/>
    </w:p>
    <w:p w14:paraId="4129D0CC" w14:textId="6E7499E8" w:rsidR="005F4AA2" w:rsidRPr="005F4AA2" w:rsidRDefault="005F4AA2" w:rsidP="005F4AA2">
      <w:pPr>
        <w:rPr>
          <w:szCs w:val="24"/>
        </w:rPr>
      </w:pPr>
      <w:r w:rsidRPr="005F4AA2">
        <w:rPr>
          <w:szCs w:val="24"/>
        </w:rPr>
        <w:t xml:space="preserve">Flourish also stands out as a company with smooth smart-home connectivity, automatic watering, and LED year-round cultivation. It provides a compromise between cost-efficiency and technological development unattainable by the premium horticultural equipment. Flourish will have an advantage over niche brands because Tesco has a national presence and a high level of brand trust, which will strengthen the trust </w:t>
      </w:r>
      <w:r>
        <w:rPr>
          <w:szCs w:val="24"/>
        </w:rPr>
        <w:t>of</w:t>
      </w:r>
      <w:r w:rsidRPr="005F4AA2">
        <w:rPr>
          <w:szCs w:val="24"/>
        </w:rPr>
        <w:t xml:space="preserve"> consumers trying a new category of product</w:t>
      </w:r>
      <w:r w:rsidR="00461311">
        <w:rPr>
          <w:szCs w:val="24"/>
        </w:rPr>
        <w:t xml:space="preserve"> </w:t>
      </w:r>
      <w:r w:rsidR="00461311">
        <w:rPr>
          <w:color w:val="000000"/>
        </w:rPr>
        <w:t>(Marcon</w:t>
      </w:r>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The brand focuses on freshness, sustainability, cost-saving, and ease of use using the USP logic and the value proposition. This is the combination that can provide a strong competitive advantage that can be easily comprehended by the consumers and facilitates emotional and functional values, which makes Flourish unique in a new market.</w:t>
      </w:r>
    </w:p>
    <w:p w14:paraId="218E69DC" w14:textId="6E648DBD" w:rsidR="005F4AA2" w:rsidRPr="005F4AA2" w:rsidRDefault="005F4AA2" w:rsidP="005F4AA2">
      <w:pPr>
        <w:pStyle w:val="Heading2"/>
      </w:pPr>
      <w:bookmarkStart w:id="6" w:name="_Toc216086459"/>
      <w:r w:rsidRPr="005F4AA2">
        <w:lastRenderedPageBreak/>
        <w:t>Positioning Strategy</w:t>
      </w:r>
      <w:bookmarkEnd w:id="6"/>
    </w:p>
    <w:p w14:paraId="6F7FE9DF" w14:textId="7241D087" w:rsidR="005F4AA2" w:rsidRPr="005F4AA2" w:rsidRDefault="005F4AA2" w:rsidP="005F4AA2">
      <w:pPr>
        <w:rPr>
          <w:szCs w:val="24"/>
        </w:rPr>
      </w:pPr>
      <w:r w:rsidRPr="005F4AA2">
        <w:rPr>
          <w:szCs w:val="24"/>
        </w:rPr>
        <w:t>Flourish is positioned as a convenient, technology</w:t>
      </w:r>
      <w:r>
        <w:rPr>
          <w:szCs w:val="24"/>
        </w:rPr>
        <w:t>-</w:t>
      </w:r>
      <w:r w:rsidRPr="005F4AA2">
        <w:rPr>
          <w:szCs w:val="24"/>
        </w:rPr>
        <w:t>enabled wellness offering that lies in between the high-end horticultural equipment and the low-tech grow</w:t>
      </w:r>
      <w:r>
        <w:rPr>
          <w:szCs w:val="24"/>
        </w:rPr>
        <w:t>-at-</w:t>
      </w:r>
      <w:r w:rsidRPr="005F4AA2">
        <w:rPr>
          <w:szCs w:val="24"/>
        </w:rPr>
        <w:t>home solutions. When plotted on a perceptual map, Flourish scores moderately in terms of price, high in terms of automation and ease of use, which forms a strong position in the mid-market</w:t>
      </w:r>
      <w:r w:rsidR="00461311">
        <w:rPr>
          <w:szCs w:val="24"/>
        </w:rPr>
        <w:t xml:space="preserve"> </w:t>
      </w:r>
      <w:r w:rsidR="00461311">
        <w:rPr>
          <w:color w:val="000000"/>
        </w:rPr>
        <w:t>(</w:t>
      </w:r>
      <w:proofErr w:type="spellStart"/>
      <w:r w:rsidR="00461311">
        <w:rPr>
          <w:color w:val="000000"/>
        </w:rPr>
        <w:t>Prados</w:t>
      </w:r>
      <w:proofErr w:type="spellEnd"/>
      <w:r w:rsidR="00461311">
        <w:rPr>
          <w:color w:val="000000"/>
        </w:rPr>
        <w:t>-Peña and Del Barrio-García, 2021)</w:t>
      </w:r>
      <w:r w:rsidRPr="005F4AA2">
        <w:rPr>
          <w:szCs w:val="24"/>
        </w:rPr>
        <w:t xml:space="preserve">. The positioning statement is as follows: Within the UK households </w:t>
      </w:r>
      <w:r>
        <w:rPr>
          <w:szCs w:val="24"/>
        </w:rPr>
        <w:t>that</w:t>
      </w:r>
      <w:r w:rsidRPr="005F4AA2">
        <w:rPr>
          <w:szCs w:val="24"/>
        </w:rPr>
        <w:t xml:space="preserve"> are health</w:t>
      </w:r>
      <w:r>
        <w:rPr>
          <w:szCs w:val="24"/>
        </w:rPr>
        <w:t>-</w:t>
      </w:r>
      <w:r w:rsidRPr="005F4AA2">
        <w:rPr>
          <w:szCs w:val="24"/>
        </w:rPr>
        <w:t>conscious, Tesco Flourish can provide an inexpensive smart cultivator that essentially grows fresh herbs and greens at home. However, unlike high-quality horticultural devices, Flourish is affordable, convenient, and backed by the recogni</w:t>
      </w:r>
      <w:r>
        <w:rPr>
          <w:szCs w:val="24"/>
        </w:rPr>
        <w:t>s</w:t>
      </w:r>
      <w:r w:rsidRPr="005F4AA2">
        <w:rPr>
          <w:szCs w:val="24"/>
        </w:rPr>
        <w:t>able brand ecosystem of Tesco, and at the same time underscores the utility of the product in everyday life.</w:t>
      </w:r>
    </w:p>
    <w:p w14:paraId="2DA91DC9" w14:textId="317266BB" w:rsidR="005F4AA2" w:rsidRDefault="005F4AA2" w:rsidP="00D55118">
      <w:pPr>
        <w:pStyle w:val="Heading1"/>
      </w:pPr>
      <w:bookmarkStart w:id="7" w:name="_Toc216086460"/>
      <w:r>
        <w:t>E</w:t>
      </w:r>
      <w:r w:rsidRPr="005F4AA2">
        <w:t>lement 2 – Marketing Mix (4ps)</w:t>
      </w:r>
      <w:bookmarkEnd w:id="7"/>
    </w:p>
    <w:p w14:paraId="3DD88D40" w14:textId="77777777" w:rsidR="00461311" w:rsidRDefault="00461311" w:rsidP="00461311">
      <w:pPr>
        <w:keepNext/>
        <w:jc w:val="center"/>
      </w:pPr>
      <w:r>
        <w:fldChar w:fldCharType="begin"/>
      </w:r>
      <w:r>
        <w:instrText xml:space="preserve"> INCLUDEPICTURE "https://cdn.corporatefinanceinstitute.com/assets/4-ps-of-marketing.png" \* MERGEFORMATINET </w:instrText>
      </w:r>
      <w:r>
        <w:fldChar w:fldCharType="separate"/>
      </w:r>
      <w:r>
        <w:rPr>
          <w:noProof/>
        </w:rPr>
        <w:drawing>
          <wp:inline distT="0" distB="0" distL="0" distR="0" wp14:anchorId="12F0E2A3" wp14:editId="52B0BC0A">
            <wp:extent cx="5727700" cy="1894205"/>
            <wp:effectExtent l="0" t="0" r="0" b="0"/>
            <wp:docPr id="1620638454" name="Picture 1" descr="4 P's of Marketing - Overview, Marketing Mix, Ext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P's of Marketing - Overview, Marketing Mix, Extens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1894205"/>
                    </a:xfrm>
                    <a:prstGeom prst="rect">
                      <a:avLst/>
                    </a:prstGeom>
                    <a:noFill/>
                    <a:ln>
                      <a:noFill/>
                    </a:ln>
                  </pic:spPr>
                </pic:pic>
              </a:graphicData>
            </a:graphic>
          </wp:inline>
        </w:drawing>
      </w:r>
      <w:r>
        <w:fldChar w:fldCharType="end"/>
      </w:r>
    </w:p>
    <w:p w14:paraId="0305FA28" w14:textId="4C7B30DF" w:rsidR="00461311" w:rsidRPr="00461311" w:rsidRDefault="00461311" w:rsidP="00461311">
      <w:pPr>
        <w:pStyle w:val="Caption"/>
        <w:rPr>
          <w:rFonts w:ascii="Arial" w:hAnsi="Arial" w:cs="Arial"/>
          <w:lang w:val="en-GB"/>
        </w:rPr>
      </w:pPr>
      <w:r w:rsidRPr="00461311">
        <w:rPr>
          <w:rFonts w:ascii="Arial" w:hAnsi="Arial" w:cs="Arial"/>
        </w:rPr>
        <w:t xml:space="preserve">Figure </w:t>
      </w:r>
      <w:r w:rsidRPr="00461311">
        <w:rPr>
          <w:rFonts w:ascii="Arial" w:hAnsi="Arial" w:cs="Arial"/>
        </w:rPr>
        <w:fldChar w:fldCharType="begin"/>
      </w:r>
      <w:r w:rsidRPr="00461311">
        <w:rPr>
          <w:rFonts w:ascii="Arial" w:hAnsi="Arial" w:cs="Arial"/>
        </w:rPr>
        <w:instrText xml:space="preserve"> SEQ Figure \* ARABIC </w:instrText>
      </w:r>
      <w:r w:rsidRPr="00461311">
        <w:rPr>
          <w:rFonts w:ascii="Arial" w:hAnsi="Arial" w:cs="Arial"/>
        </w:rPr>
        <w:fldChar w:fldCharType="separate"/>
      </w:r>
      <w:r>
        <w:rPr>
          <w:rFonts w:ascii="Arial" w:hAnsi="Arial" w:cs="Arial"/>
          <w:noProof/>
        </w:rPr>
        <w:t>1</w:t>
      </w:r>
      <w:r w:rsidRPr="00461311">
        <w:rPr>
          <w:rFonts w:ascii="Arial" w:hAnsi="Arial" w:cs="Arial"/>
        </w:rPr>
        <w:fldChar w:fldCharType="end"/>
      </w:r>
      <w:r w:rsidRPr="00461311">
        <w:rPr>
          <w:rFonts w:ascii="Arial" w:hAnsi="Arial" w:cs="Arial"/>
          <w:lang w:val="en-US"/>
        </w:rPr>
        <w:t xml:space="preserve">: </w:t>
      </w:r>
      <w:r w:rsidRPr="00461311">
        <w:rPr>
          <w:rFonts w:ascii="Arial" w:hAnsi="Arial" w:cs="Arial"/>
          <w:lang w:val="en-GB"/>
        </w:rPr>
        <w:t>Marketing Mix (4ps)</w:t>
      </w:r>
    </w:p>
    <w:p w14:paraId="3A52C04D" w14:textId="43BE9FD1" w:rsidR="00461311" w:rsidRPr="00461311" w:rsidRDefault="00461311" w:rsidP="00461311">
      <w:pPr>
        <w:pStyle w:val="Caption"/>
        <w:rPr>
          <w:rFonts w:ascii="Arial" w:hAnsi="Arial" w:cs="Arial"/>
        </w:rPr>
      </w:pPr>
      <w:r w:rsidRPr="00461311">
        <w:rPr>
          <w:rFonts w:ascii="Arial" w:hAnsi="Arial" w:cs="Arial"/>
          <w:lang w:val="en-US"/>
        </w:rPr>
        <w:t xml:space="preserve">Source: </w:t>
      </w:r>
      <w:r w:rsidRPr="00461311">
        <w:rPr>
          <w:rFonts w:ascii="Arial" w:hAnsi="Arial" w:cs="Arial"/>
          <w:lang w:val="en-GB"/>
        </w:rPr>
        <w:t>(</w:t>
      </w:r>
      <w:proofErr w:type="spellStart"/>
      <w:r w:rsidRPr="00461311">
        <w:rPr>
          <w:rFonts w:ascii="Arial" w:hAnsi="Arial" w:cs="Arial"/>
          <w:lang w:val="en-GB"/>
        </w:rPr>
        <w:t>Nikbin</w:t>
      </w:r>
      <w:proofErr w:type="spellEnd"/>
      <w:r w:rsidRPr="00461311">
        <w:rPr>
          <w:rFonts w:ascii="Arial" w:hAnsi="Arial" w:cs="Arial"/>
          <w:lang w:val="en-GB"/>
        </w:rPr>
        <w:t> </w:t>
      </w:r>
      <w:r w:rsidRPr="00461311">
        <w:rPr>
          <w:rFonts w:ascii="Arial" w:hAnsi="Arial" w:cs="Arial"/>
          <w:i/>
          <w:lang w:val="en-GB"/>
        </w:rPr>
        <w:t>et al.</w:t>
      </w:r>
      <w:r w:rsidRPr="00461311">
        <w:rPr>
          <w:rFonts w:ascii="Arial" w:hAnsi="Arial" w:cs="Arial"/>
          <w:lang w:val="en-GB"/>
        </w:rPr>
        <w:t>, 2022)</w:t>
      </w:r>
    </w:p>
    <w:p w14:paraId="4BE88288" w14:textId="75B35581" w:rsidR="005F4AA2" w:rsidRPr="005F4AA2" w:rsidRDefault="005F4AA2" w:rsidP="005F4AA2">
      <w:pPr>
        <w:pStyle w:val="Heading2"/>
      </w:pPr>
      <w:bookmarkStart w:id="8" w:name="_Toc216086461"/>
      <w:r w:rsidRPr="005F4AA2">
        <w:t>Product Strategy</w:t>
      </w:r>
      <w:bookmarkEnd w:id="8"/>
    </w:p>
    <w:p w14:paraId="26DFA7A0" w14:textId="4D4C754D" w:rsidR="005F4AA2" w:rsidRPr="005F4AA2" w:rsidRDefault="005F4AA2" w:rsidP="005F4AA2">
      <w:pPr>
        <w:rPr>
          <w:szCs w:val="24"/>
        </w:rPr>
      </w:pPr>
      <w:r w:rsidRPr="005F4AA2">
        <w:rPr>
          <w:szCs w:val="24"/>
        </w:rPr>
        <w:t>Tesco Flourish Home Cultivator combines the LED and automatic watering with pre-weighed seed pods to make the herb growing easier indoors. The app that comes with it helps users to monitor the level of growth, get water reminders, and keep track of water levels. The characteristics show the psychology of consumers, who consider convenience and automation to be perceived as less of a burden</w:t>
      </w:r>
      <w:r w:rsidR="00461311" w:rsidRPr="00461311">
        <w:rPr>
          <w:color w:val="000000"/>
        </w:rPr>
        <w:t xml:space="preserve"> </w:t>
      </w:r>
      <w:r w:rsidR="00461311">
        <w:rPr>
          <w:color w:val="000000"/>
        </w:rPr>
        <w:t>(</w:t>
      </w:r>
      <w:proofErr w:type="spellStart"/>
      <w:r w:rsidR="00461311">
        <w:rPr>
          <w:color w:val="000000"/>
        </w:rPr>
        <w:t>Nikbin</w:t>
      </w:r>
      <w:proofErr w:type="spellEnd"/>
      <w:r w:rsidR="00461311">
        <w:rPr>
          <w:rStyle w:val="apple-converted-space"/>
          <w:rFonts w:eastAsiaTheme="majorEastAsia"/>
          <w:color w:val="000000"/>
        </w:rPr>
        <w:t> </w:t>
      </w:r>
      <w:r w:rsidR="00461311">
        <w:rPr>
          <w:i/>
          <w:iCs/>
          <w:color w:val="000000"/>
        </w:rPr>
        <w:t>et al.</w:t>
      </w:r>
      <w:r w:rsidR="00461311">
        <w:rPr>
          <w:color w:val="000000"/>
        </w:rPr>
        <w:t>, 2022)</w:t>
      </w:r>
      <w:r w:rsidR="00461311">
        <w:rPr>
          <w:szCs w:val="24"/>
        </w:rPr>
        <w:t xml:space="preserve">. It </w:t>
      </w:r>
      <w:r w:rsidRPr="005F4AA2">
        <w:rPr>
          <w:szCs w:val="24"/>
        </w:rPr>
        <w:t>can be easier to ad</w:t>
      </w:r>
      <w:r w:rsidR="00461311">
        <w:rPr>
          <w:szCs w:val="24"/>
        </w:rPr>
        <w:t>a</w:t>
      </w:r>
      <w:r w:rsidRPr="005F4AA2">
        <w:rPr>
          <w:szCs w:val="24"/>
        </w:rPr>
        <w:t xml:space="preserve">pt </w:t>
      </w:r>
      <w:r w:rsidR="00461311">
        <w:rPr>
          <w:szCs w:val="24"/>
        </w:rPr>
        <w:t>for</w:t>
      </w:r>
      <w:r w:rsidRPr="005F4AA2">
        <w:rPr>
          <w:szCs w:val="24"/>
        </w:rPr>
        <w:t xml:space="preserve"> people with hectic schedules and health-conscious families. The product is compact, minimalistic, with gentle greens and neutral colo</w:t>
      </w:r>
      <w:r>
        <w:rPr>
          <w:szCs w:val="24"/>
        </w:rPr>
        <w:t>u</w:t>
      </w:r>
      <w:r w:rsidRPr="005F4AA2">
        <w:rPr>
          <w:szCs w:val="24"/>
        </w:rPr>
        <w:t>rs</w:t>
      </w:r>
      <w:r>
        <w:rPr>
          <w:szCs w:val="24"/>
        </w:rPr>
        <w:t>,</w:t>
      </w:r>
      <w:r w:rsidRPr="005F4AA2">
        <w:rPr>
          <w:szCs w:val="24"/>
        </w:rPr>
        <w:t xml:space="preserve"> which support the identity of the product</w:t>
      </w:r>
      <w:r>
        <w:rPr>
          <w:szCs w:val="24"/>
        </w:rPr>
        <w:t>,</w:t>
      </w:r>
      <w:r w:rsidRPr="005F4AA2">
        <w:rPr>
          <w:szCs w:val="24"/>
        </w:rPr>
        <w:t xml:space="preserve"> which is calm and health-oriented. Recycled cardboard and plant-based ink packs would also enhance the </w:t>
      </w:r>
      <w:r w:rsidRPr="005F4AA2">
        <w:rPr>
          <w:szCs w:val="24"/>
        </w:rPr>
        <w:lastRenderedPageBreak/>
        <w:t>credibility of the brand with eco-conscious consumers. The literature on sustainable innovation points out that environmentally-friendly design results in a higher consumer trust and purchase intention</w:t>
      </w:r>
      <w:r w:rsidR="00461311">
        <w:rPr>
          <w:szCs w:val="24"/>
        </w:rPr>
        <w:t xml:space="preserve"> </w:t>
      </w:r>
      <w:r w:rsidR="00461311">
        <w:rPr>
          <w:color w:val="000000"/>
        </w:rPr>
        <w:t>(Osorio</w:t>
      </w:r>
      <w:r w:rsidR="00461311">
        <w:rPr>
          <w:rStyle w:val="apple-converted-space"/>
          <w:rFonts w:eastAsiaTheme="majorEastAsia"/>
          <w:color w:val="000000"/>
        </w:rPr>
        <w:t> </w:t>
      </w:r>
      <w:r w:rsidR="00461311">
        <w:rPr>
          <w:i/>
          <w:iCs/>
          <w:color w:val="000000"/>
        </w:rPr>
        <w:t>et al.</w:t>
      </w:r>
      <w:r w:rsidR="00461311">
        <w:rPr>
          <w:color w:val="000000"/>
        </w:rPr>
        <w:t>, 2022)</w:t>
      </w:r>
      <w:r w:rsidR="00461311">
        <w:rPr>
          <w:szCs w:val="24"/>
        </w:rPr>
        <w:t>. T</w:t>
      </w:r>
      <w:r w:rsidRPr="005F4AA2">
        <w:rPr>
          <w:szCs w:val="24"/>
        </w:rPr>
        <w:t>he study of smart-home adoption singles out usability and a seamless fitting in as the primary factors of acceptance. Combined, these design decisions can be described as compliant with the segmentation strategy of Flourish and as well as the overall wellness positioning of Tesco.</w:t>
      </w:r>
    </w:p>
    <w:p w14:paraId="6D2E76B8" w14:textId="167E171D" w:rsidR="005F4AA2" w:rsidRPr="005F4AA2" w:rsidRDefault="005F4AA2" w:rsidP="005F4AA2">
      <w:pPr>
        <w:pStyle w:val="Heading2"/>
      </w:pPr>
      <w:bookmarkStart w:id="9" w:name="_Toc216086462"/>
      <w:r w:rsidRPr="005F4AA2">
        <w:t>Price Strategy</w:t>
      </w:r>
      <w:bookmarkEnd w:id="9"/>
    </w:p>
    <w:p w14:paraId="2A8D69A1" w14:textId="468FD494" w:rsidR="005F4AA2" w:rsidRPr="005F4AA2" w:rsidRDefault="005F4AA2" w:rsidP="005F4AA2">
      <w:pPr>
        <w:rPr>
          <w:szCs w:val="24"/>
        </w:rPr>
      </w:pPr>
      <w:r w:rsidRPr="005F4AA2">
        <w:rPr>
          <w:szCs w:val="24"/>
        </w:rPr>
        <w:t>Flourish utili</w:t>
      </w:r>
      <w:r>
        <w:rPr>
          <w:szCs w:val="24"/>
        </w:rPr>
        <w:t>s</w:t>
      </w:r>
      <w:r w:rsidRPr="005F4AA2">
        <w:rPr>
          <w:szCs w:val="24"/>
        </w:rPr>
        <w:t>es a cost</w:t>
      </w:r>
      <w:r>
        <w:rPr>
          <w:szCs w:val="24"/>
        </w:rPr>
        <w:t>-</w:t>
      </w:r>
      <w:r w:rsidRPr="005F4AA2">
        <w:rPr>
          <w:szCs w:val="24"/>
        </w:rPr>
        <w:t>plus value-based pricing approach</w:t>
      </w:r>
      <w:r>
        <w:rPr>
          <w:szCs w:val="24"/>
        </w:rPr>
        <w:t>,</w:t>
      </w:r>
      <w:r w:rsidRPr="005F4AA2">
        <w:rPr>
          <w:szCs w:val="24"/>
        </w:rPr>
        <w:t xml:space="preserve"> which will be underpinned by competitor benchmarking and cost-plus considerations. High-end products like </w:t>
      </w:r>
      <w:proofErr w:type="spellStart"/>
      <w:r w:rsidRPr="005F4AA2">
        <w:rPr>
          <w:szCs w:val="24"/>
        </w:rPr>
        <w:t>Aerogarden</w:t>
      </w:r>
      <w:proofErr w:type="spellEnd"/>
      <w:r w:rsidRPr="005F4AA2">
        <w:rPr>
          <w:szCs w:val="24"/>
        </w:rPr>
        <w:t xml:space="preserve"> are sold at </w:t>
      </w:r>
      <w:r w:rsidRPr="004D4551">
        <w:rPr>
          <w:color w:val="000000"/>
          <w:shd w:val="clear" w:color="auto" w:fill="FFFFFF"/>
        </w:rPr>
        <w:t>£</w:t>
      </w:r>
      <w:r w:rsidRPr="005F4AA2">
        <w:rPr>
          <w:szCs w:val="24"/>
        </w:rPr>
        <w:t>120-</w:t>
      </w:r>
      <w:r w:rsidRPr="004D4551">
        <w:rPr>
          <w:color w:val="000000"/>
          <w:shd w:val="clear" w:color="auto" w:fill="FFFFFF"/>
        </w:rPr>
        <w:t>£</w:t>
      </w:r>
      <w:r w:rsidRPr="005F4AA2">
        <w:rPr>
          <w:szCs w:val="24"/>
        </w:rPr>
        <w:t xml:space="preserve">250 and therefore create a high reference price that enhances the perceived value of a less expensive product. Tesco has the space to locate Flourish between </w:t>
      </w:r>
      <w:r w:rsidRPr="004D4551">
        <w:rPr>
          <w:color w:val="000000"/>
          <w:shd w:val="clear" w:color="auto" w:fill="FFFFFF"/>
        </w:rPr>
        <w:t>£</w:t>
      </w:r>
      <w:r w:rsidRPr="005F4AA2">
        <w:rPr>
          <w:szCs w:val="24"/>
        </w:rPr>
        <w:t xml:space="preserve">89- </w:t>
      </w:r>
      <w:r w:rsidRPr="004D4551">
        <w:rPr>
          <w:color w:val="000000"/>
          <w:shd w:val="clear" w:color="auto" w:fill="FFFFFF"/>
        </w:rPr>
        <w:t>£</w:t>
      </w:r>
      <w:r w:rsidRPr="005F4AA2">
        <w:rPr>
          <w:szCs w:val="24"/>
        </w:rPr>
        <w:t>109 as it is accessible yet also technology credible</w:t>
      </w:r>
      <w:r w:rsidR="00461311">
        <w:rPr>
          <w:szCs w:val="24"/>
        </w:rPr>
        <w:t xml:space="preserve"> </w:t>
      </w:r>
      <w:r w:rsidR="00461311">
        <w:rPr>
          <w:color w:val="000000"/>
        </w:rPr>
        <w:t>(</w:t>
      </w:r>
      <w:proofErr w:type="spellStart"/>
      <w:r w:rsidR="00461311">
        <w:rPr>
          <w:color w:val="000000"/>
        </w:rPr>
        <w:t>Prados</w:t>
      </w:r>
      <w:proofErr w:type="spellEnd"/>
      <w:r w:rsidR="00461311">
        <w:rPr>
          <w:color w:val="000000"/>
        </w:rPr>
        <w:t>-Peña and Del Barrio-García, 2021)</w:t>
      </w:r>
      <w:r w:rsidRPr="005F4AA2">
        <w:rPr>
          <w:szCs w:val="24"/>
        </w:rPr>
        <w:t xml:space="preserve">. This price is within the financial capacity of the middle-income who are willing to live </w:t>
      </w:r>
      <w:r>
        <w:rPr>
          <w:szCs w:val="24"/>
        </w:rPr>
        <w:t>healthier</w:t>
      </w:r>
      <w:r w:rsidRPr="005F4AA2">
        <w:rPr>
          <w:szCs w:val="24"/>
        </w:rPr>
        <w:t xml:space="preserve"> lifestyles but are price-conscious. A penetration pricing strategy will facilitate the early adoption and increase category awareness in a market where no UK supermarket is currently competing. The concepts of behavioural pricing reinforce the reasoning: consumers become more willing to pay in the long run when long-term savings are evident, e.g., </w:t>
      </w:r>
      <w:r>
        <w:rPr>
          <w:szCs w:val="24"/>
        </w:rPr>
        <w:t>fewer</w:t>
      </w:r>
      <w:r w:rsidRPr="005F4AA2">
        <w:rPr>
          <w:szCs w:val="24"/>
        </w:rPr>
        <w:t xml:space="preserve"> herb purchases, less food waste. The prices also strengthen the image of Tesco as a cheap innovat</w:t>
      </w:r>
      <w:r>
        <w:rPr>
          <w:szCs w:val="24"/>
        </w:rPr>
        <w:t>or</w:t>
      </w:r>
      <w:r w:rsidR="00461311">
        <w:rPr>
          <w:szCs w:val="24"/>
        </w:rPr>
        <w:t xml:space="preserve"> </w:t>
      </w:r>
      <w:r w:rsidR="00461311">
        <w:rPr>
          <w:color w:val="000000"/>
        </w:rPr>
        <w:t>(</w:t>
      </w:r>
      <w:proofErr w:type="spellStart"/>
      <w:r w:rsidR="00461311">
        <w:rPr>
          <w:color w:val="000000"/>
        </w:rPr>
        <w:t>Sedighi</w:t>
      </w:r>
      <w:proofErr w:type="spellEnd"/>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xml:space="preserve">. </w:t>
      </w:r>
      <w:r>
        <w:rPr>
          <w:szCs w:val="24"/>
        </w:rPr>
        <w:t>By</w:t>
      </w:r>
      <w:r w:rsidRPr="005F4AA2">
        <w:rPr>
          <w:szCs w:val="24"/>
        </w:rPr>
        <w:t xml:space="preserve"> providing the mid-price product and a high level of functionality, Flourish can stimulate the mass-marketing and distinguish Tesco and the speciali</w:t>
      </w:r>
      <w:r>
        <w:rPr>
          <w:szCs w:val="24"/>
        </w:rPr>
        <w:t>s</w:t>
      </w:r>
      <w:r w:rsidRPr="005F4AA2">
        <w:rPr>
          <w:szCs w:val="24"/>
        </w:rPr>
        <w:t>ed brands of horticultural products.</w:t>
      </w:r>
    </w:p>
    <w:p w14:paraId="1A11381F" w14:textId="58F380C6" w:rsidR="005F4AA2" w:rsidRPr="005F4AA2" w:rsidRDefault="005F4AA2" w:rsidP="005F4AA2">
      <w:pPr>
        <w:pStyle w:val="Heading2"/>
      </w:pPr>
      <w:bookmarkStart w:id="10" w:name="_Toc216086463"/>
      <w:r w:rsidRPr="005F4AA2">
        <w:t>Place Strategy</w:t>
      </w:r>
      <w:bookmarkEnd w:id="10"/>
    </w:p>
    <w:p w14:paraId="21A2CCC3" w14:textId="77276A9F" w:rsidR="005F4AA2" w:rsidRPr="005F4AA2" w:rsidRDefault="005F4AA2" w:rsidP="005F4AA2">
      <w:pPr>
        <w:rPr>
          <w:szCs w:val="24"/>
        </w:rPr>
      </w:pPr>
      <w:r w:rsidRPr="005F4AA2">
        <w:rPr>
          <w:szCs w:val="24"/>
        </w:rPr>
        <w:t>The omni-channel distribution of Tesco allows Flourish to interact with digitally active customers and customers who always shop in stores. Tesco Superstores and Extra stores are highly visible, with end-cap and wellness aisles to generate high footfall visibility. Online shopping and shopping apps available to Tesco maximi</w:t>
      </w:r>
      <w:r>
        <w:rPr>
          <w:szCs w:val="24"/>
        </w:rPr>
        <w:t>s</w:t>
      </w:r>
      <w:r w:rsidRPr="005F4AA2">
        <w:rPr>
          <w:szCs w:val="24"/>
        </w:rPr>
        <w:t>e access to the urban population, which likes home delivery of large or obese household goods</w:t>
      </w:r>
      <w:r w:rsidR="00461311">
        <w:rPr>
          <w:szCs w:val="24"/>
        </w:rPr>
        <w:t xml:space="preserve"> </w:t>
      </w:r>
      <w:r w:rsidR="00461311">
        <w:rPr>
          <w:color w:val="000000"/>
        </w:rPr>
        <w:t>(Wichmann</w:t>
      </w:r>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The Tesco logistics network provides the company with a competitive edge in terms of stock consistency at the national level, replenishment efficiency, and dependable delivery schedules. In-store herb-raising demonstrations enable the customer to experience the product at work, raising the level of knowledge and desire to buy it</w:t>
      </w:r>
      <w:r w:rsidR="00461311">
        <w:rPr>
          <w:szCs w:val="24"/>
        </w:rPr>
        <w:t xml:space="preserve"> </w:t>
      </w:r>
      <w:r w:rsidR="00461311">
        <w:rPr>
          <w:color w:val="000000"/>
        </w:rPr>
        <w:t>(Sharma</w:t>
      </w:r>
      <w:r w:rsidR="00461311">
        <w:rPr>
          <w:rStyle w:val="apple-converted-space"/>
          <w:rFonts w:eastAsiaTheme="majorEastAsia"/>
          <w:color w:val="000000"/>
        </w:rPr>
        <w:t> </w:t>
      </w:r>
      <w:r w:rsidR="00461311">
        <w:rPr>
          <w:i/>
          <w:iCs/>
          <w:color w:val="000000"/>
        </w:rPr>
        <w:t>et al.</w:t>
      </w:r>
      <w:r w:rsidR="00461311">
        <w:rPr>
          <w:color w:val="000000"/>
        </w:rPr>
        <w:t>, 2023)</w:t>
      </w:r>
      <w:r w:rsidRPr="005F4AA2">
        <w:rPr>
          <w:szCs w:val="24"/>
        </w:rPr>
        <w:t>. These screens also facilitate cross-channel behaviour</w:t>
      </w:r>
      <w:r>
        <w:rPr>
          <w:szCs w:val="24"/>
        </w:rPr>
        <w:t>,</w:t>
      </w:r>
      <w:r w:rsidRPr="005F4AA2">
        <w:rPr>
          <w:szCs w:val="24"/>
        </w:rPr>
        <w:t xml:space="preserve"> whereby customers see the product at the shop and make their </w:t>
      </w:r>
      <w:r w:rsidRPr="005F4AA2">
        <w:rPr>
          <w:szCs w:val="24"/>
        </w:rPr>
        <w:lastRenderedPageBreak/>
        <w:t>purchases online. Home delivery and click-and-collect services would provide the flexibility that keeps with the modern consumer demand of convenience and speed. All of this place strategy helps to make Tesco customers more accessible, reinforce the innovation credentials of Tesco, and make sure that Flourish is distributed through channels that align with the digital behaviour patterns of the core segments.</w:t>
      </w:r>
    </w:p>
    <w:p w14:paraId="03EE8D61" w14:textId="6B968BF7" w:rsidR="005F4AA2" w:rsidRPr="005F4AA2" w:rsidRDefault="005F4AA2" w:rsidP="005F4AA2">
      <w:pPr>
        <w:pStyle w:val="Heading2"/>
      </w:pPr>
      <w:bookmarkStart w:id="11" w:name="_Toc216086464"/>
      <w:r w:rsidRPr="005F4AA2">
        <w:t>Promotion Strategy</w:t>
      </w:r>
      <w:bookmarkEnd w:id="11"/>
    </w:p>
    <w:p w14:paraId="71B28333" w14:textId="6BF2C62F" w:rsidR="005F4AA2" w:rsidRPr="005F4AA2" w:rsidRDefault="005F4AA2" w:rsidP="005F4AA2">
      <w:pPr>
        <w:rPr>
          <w:szCs w:val="24"/>
        </w:rPr>
      </w:pPr>
      <w:r w:rsidRPr="005F4AA2">
        <w:rPr>
          <w:szCs w:val="24"/>
        </w:rPr>
        <w:t>Digital visibility is the main focus of the promotion strategy, which will be carried out in TikTok, Instagram, and YouTube and will feature short-form videos and influencer reviews to show the ease of usage, benefits of sustainability, and recipe ideas</w:t>
      </w:r>
      <w:r w:rsidR="00461311">
        <w:rPr>
          <w:szCs w:val="24"/>
        </w:rPr>
        <w:t xml:space="preserve"> </w:t>
      </w:r>
      <w:r w:rsidR="00461311">
        <w:rPr>
          <w:color w:val="000000"/>
        </w:rPr>
        <w:t>(Wichmann</w:t>
      </w:r>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Partnerships with bloggers and wellness creators in smart</w:t>
      </w:r>
      <w:r>
        <w:rPr>
          <w:szCs w:val="24"/>
        </w:rPr>
        <w:t xml:space="preserve"> homes</w:t>
      </w:r>
      <w:r w:rsidRPr="005F4AA2">
        <w:rPr>
          <w:szCs w:val="24"/>
        </w:rPr>
        <w:t xml:space="preserve"> will give a real-life recommendation that will appeal to target groups. The Clubcard offered by Tesco enhances the interactivity by offering discounts on the launch o</w:t>
      </w:r>
      <w:r>
        <w:rPr>
          <w:szCs w:val="24"/>
        </w:rPr>
        <w:t>f</w:t>
      </w:r>
      <w:r w:rsidRPr="005F4AA2">
        <w:rPr>
          <w:szCs w:val="24"/>
        </w:rPr>
        <w:t xml:space="preserve"> seed pods. Live herb-growing displays used in-store sampling contributes to the AIDA model as it draws attention, creates interest, arouses desire, and triggers action. The DAGMAR model directs the goals between consciousness and belief such that every phase of promotion has quantifiable results. Sustainability narrative focuses on minimised waste, minimised carbon footprint, and greater environmental ambitions by Tesco, creating greater emotional appeal</w:t>
      </w:r>
      <w:r w:rsidR="00461311">
        <w:rPr>
          <w:szCs w:val="24"/>
        </w:rPr>
        <w:t xml:space="preserve"> </w:t>
      </w:r>
      <w:r w:rsidR="00461311">
        <w:rPr>
          <w:color w:val="000000"/>
        </w:rPr>
        <w:t>(Sharma</w:t>
      </w:r>
      <w:r w:rsidR="00461311">
        <w:rPr>
          <w:rStyle w:val="apple-converted-space"/>
          <w:rFonts w:eastAsiaTheme="majorEastAsia"/>
          <w:color w:val="000000"/>
        </w:rPr>
        <w:t> </w:t>
      </w:r>
      <w:r w:rsidR="00461311">
        <w:rPr>
          <w:i/>
          <w:iCs/>
          <w:color w:val="000000"/>
        </w:rPr>
        <w:t>et al.</w:t>
      </w:r>
      <w:r w:rsidR="00461311">
        <w:rPr>
          <w:color w:val="000000"/>
        </w:rPr>
        <w:t>, 2023)</w:t>
      </w:r>
      <w:r w:rsidRPr="005F4AA2">
        <w:rPr>
          <w:szCs w:val="24"/>
        </w:rPr>
        <w:t>. In keeping with the IMC principles, all communication, including digital, print, and in-store</w:t>
      </w:r>
      <w:r>
        <w:rPr>
          <w:szCs w:val="24"/>
        </w:rPr>
        <w:t>,</w:t>
      </w:r>
      <w:r w:rsidRPr="005F4AA2">
        <w:rPr>
          <w:szCs w:val="24"/>
        </w:rPr>
        <w:t xml:space="preserve"> is done with the same messages and visual identity. This combination would create credibility, recollections, and make Flourish a</w:t>
      </w:r>
      <w:r>
        <w:rPr>
          <w:szCs w:val="24"/>
        </w:rPr>
        <w:t>n approachable</w:t>
      </w:r>
      <w:r w:rsidRPr="005F4AA2">
        <w:rPr>
          <w:szCs w:val="24"/>
        </w:rPr>
        <w:t xml:space="preserve"> wellness innovation.</w:t>
      </w:r>
    </w:p>
    <w:p w14:paraId="4BE688E0" w14:textId="425C902F" w:rsidR="005F4AA2" w:rsidRPr="005F4AA2" w:rsidRDefault="005F4AA2" w:rsidP="005F4AA2">
      <w:pPr>
        <w:pStyle w:val="Heading1"/>
        <w:rPr>
          <w:rFonts w:cs="Times New Roman"/>
          <w:sz w:val="24"/>
        </w:rPr>
      </w:pPr>
      <w:bookmarkStart w:id="12" w:name="_Toc216086465"/>
      <w:r w:rsidRPr="005F4AA2">
        <w:lastRenderedPageBreak/>
        <w:t>Element 3 – Marketing Strategy Pitch</w:t>
      </w:r>
      <w:bookmarkEnd w:id="12"/>
    </w:p>
    <w:p w14:paraId="661DE4AC" w14:textId="6537D270" w:rsidR="005F4AA2" w:rsidRPr="005F4AA2" w:rsidRDefault="008363FC" w:rsidP="005F4AA2">
      <w:pPr>
        <w:rPr>
          <w:szCs w:val="24"/>
        </w:rPr>
      </w:pPr>
      <w:r>
        <w:rPr>
          <w:noProof/>
          <w:szCs w:val="24"/>
          <w14:ligatures w14:val="none"/>
        </w:rPr>
        <w:drawing>
          <wp:inline distT="0" distB="0" distL="0" distR="0" wp14:anchorId="2990F598" wp14:editId="5E310E99">
            <wp:extent cx="5727700" cy="8100695"/>
            <wp:effectExtent l="0" t="0" r="0" b="1905"/>
            <wp:docPr id="978434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34554" name="Picture 9784345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8100695"/>
                    </a:xfrm>
                    <a:prstGeom prst="rect">
                      <a:avLst/>
                    </a:prstGeom>
                  </pic:spPr>
                </pic:pic>
              </a:graphicData>
            </a:graphic>
          </wp:inline>
        </w:drawing>
      </w:r>
    </w:p>
    <w:p w14:paraId="23DA7885" w14:textId="11F48A9E" w:rsidR="005F4AA2" w:rsidRDefault="005F4AA2" w:rsidP="005F4AA2">
      <w:pPr>
        <w:pStyle w:val="Heading1"/>
      </w:pPr>
      <w:bookmarkStart w:id="13" w:name="_Toc216086466"/>
      <w:r w:rsidRPr="005F4AA2">
        <w:lastRenderedPageBreak/>
        <w:t>Element 4 – Reflection Using Gibbs’ Cycle</w:t>
      </w:r>
      <w:bookmarkEnd w:id="13"/>
    </w:p>
    <w:p w14:paraId="249F7D7C" w14:textId="77777777" w:rsidR="00461311" w:rsidRDefault="00461311" w:rsidP="00461311">
      <w:pPr>
        <w:keepNext/>
        <w:jc w:val="center"/>
      </w:pPr>
      <w:r>
        <w:fldChar w:fldCharType="begin"/>
      </w:r>
      <w:r>
        <w:instrText xml:space="preserve"> INCLUDEPICTURE "https://www.nmbi.ie/NMBI/media/NMBI/Gibbs-Reflective-Cycle.png" \* MERGEFORMATINET </w:instrText>
      </w:r>
      <w:r>
        <w:fldChar w:fldCharType="separate"/>
      </w:r>
      <w:r>
        <w:rPr>
          <w:noProof/>
        </w:rPr>
        <w:drawing>
          <wp:inline distT="0" distB="0" distL="0" distR="0" wp14:anchorId="7529C846" wp14:editId="21308A29">
            <wp:extent cx="5727700" cy="4109720"/>
            <wp:effectExtent l="0" t="0" r="0" b="5080"/>
            <wp:docPr id="719001569" name="Picture 2" descr="NMBI - Standards, guidance for nurses and midwives: NM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MBI - Standards, guidance for nurses and midwives: NMB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4109720"/>
                    </a:xfrm>
                    <a:prstGeom prst="rect">
                      <a:avLst/>
                    </a:prstGeom>
                    <a:noFill/>
                    <a:ln>
                      <a:noFill/>
                    </a:ln>
                  </pic:spPr>
                </pic:pic>
              </a:graphicData>
            </a:graphic>
          </wp:inline>
        </w:drawing>
      </w:r>
      <w:r>
        <w:fldChar w:fldCharType="end"/>
      </w:r>
    </w:p>
    <w:p w14:paraId="6730A4AE" w14:textId="77777777" w:rsidR="00461311" w:rsidRPr="00461311" w:rsidRDefault="00461311" w:rsidP="00461311">
      <w:pPr>
        <w:pStyle w:val="Caption"/>
        <w:rPr>
          <w:rFonts w:ascii="Arial" w:hAnsi="Arial" w:cs="Arial"/>
          <w:lang w:val="en-US"/>
        </w:rPr>
      </w:pPr>
      <w:r w:rsidRPr="00461311">
        <w:rPr>
          <w:rFonts w:ascii="Arial" w:hAnsi="Arial" w:cs="Arial"/>
        </w:rPr>
        <w:t xml:space="preserve">Figure </w:t>
      </w:r>
      <w:r w:rsidRPr="00461311">
        <w:rPr>
          <w:rFonts w:ascii="Arial" w:hAnsi="Arial" w:cs="Arial"/>
        </w:rPr>
        <w:fldChar w:fldCharType="begin"/>
      </w:r>
      <w:r w:rsidRPr="00461311">
        <w:rPr>
          <w:rFonts w:ascii="Arial" w:hAnsi="Arial" w:cs="Arial"/>
        </w:rPr>
        <w:instrText xml:space="preserve"> SEQ Figure \* ARABIC </w:instrText>
      </w:r>
      <w:r w:rsidRPr="00461311">
        <w:rPr>
          <w:rFonts w:ascii="Arial" w:hAnsi="Arial" w:cs="Arial"/>
        </w:rPr>
        <w:fldChar w:fldCharType="separate"/>
      </w:r>
      <w:r w:rsidRPr="00461311">
        <w:rPr>
          <w:rFonts w:ascii="Arial" w:hAnsi="Arial" w:cs="Arial"/>
          <w:noProof/>
        </w:rPr>
        <w:t>2</w:t>
      </w:r>
      <w:r w:rsidRPr="00461311">
        <w:rPr>
          <w:rFonts w:ascii="Arial" w:hAnsi="Arial" w:cs="Arial"/>
        </w:rPr>
        <w:fldChar w:fldCharType="end"/>
      </w:r>
      <w:r w:rsidRPr="00461311">
        <w:rPr>
          <w:rFonts w:ascii="Arial" w:hAnsi="Arial" w:cs="Arial"/>
          <w:lang w:val="en-US"/>
        </w:rPr>
        <w:t xml:space="preserve">: </w:t>
      </w:r>
      <w:r w:rsidRPr="00461311">
        <w:rPr>
          <w:rFonts w:ascii="Arial" w:hAnsi="Arial" w:cs="Arial"/>
          <w:lang w:val="en-GB"/>
        </w:rPr>
        <w:t>Gibbs’ Cycle</w:t>
      </w:r>
      <w:r w:rsidRPr="00461311">
        <w:rPr>
          <w:rFonts w:ascii="Arial" w:hAnsi="Arial" w:cs="Arial"/>
          <w:lang w:val="en-US"/>
        </w:rPr>
        <w:t xml:space="preserve"> </w:t>
      </w:r>
    </w:p>
    <w:p w14:paraId="5E933A5B" w14:textId="62813353" w:rsidR="00461311" w:rsidRPr="00461311" w:rsidRDefault="00461311" w:rsidP="00461311">
      <w:pPr>
        <w:pStyle w:val="Caption"/>
        <w:rPr>
          <w:rFonts w:ascii="Arial" w:hAnsi="Arial" w:cs="Arial"/>
        </w:rPr>
      </w:pPr>
      <w:r w:rsidRPr="00461311">
        <w:rPr>
          <w:rFonts w:ascii="Arial" w:hAnsi="Arial" w:cs="Arial"/>
          <w:lang w:val="en-US"/>
        </w:rPr>
        <w:t xml:space="preserve">Source: </w:t>
      </w:r>
      <w:r w:rsidRPr="00461311">
        <w:rPr>
          <w:rFonts w:ascii="Arial" w:hAnsi="Arial" w:cs="Arial"/>
          <w:lang w:val="en-GB"/>
        </w:rPr>
        <w:t>(Vidal-</w:t>
      </w:r>
      <w:proofErr w:type="spellStart"/>
      <w:r w:rsidRPr="00461311">
        <w:rPr>
          <w:rFonts w:ascii="Arial" w:hAnsi="Arial" w:cs="Arial"/>
          <w:lang w:val="en-GB"/>
        </w:rPr>
        <w:t>Ayuso</w:t>
      </w:r>
      <w:proofErr w:type="spellEnd"/>
      <w:r w:rsidRPr="00461311">
        <w:rPr>
          <w:rFonts w:ascii="Arial" w:hAnsi="Arial" w:cs="Arial"/>
          <w:lang w:val="en-GB"/>
        </w:rPr>
        <w:t xml:space="preserve">, </w:t>
      </w:r>
      <w:proofErr w:type="spellStart"/>
      <w:r w:rsidRPr="00461311">
        <w:rPr>
          <w:rFonts w:ascii="Arial" w:hAnsi="Arial" w:cs="Arial"/>
          <w:lang w:val="en-GB"/>
        </w:rPr>
        <w:t>Akhmedova</w:t>
      </w:r>
      <w:proofErr w:type="spellEnd"/>
      <w:r w:rsidRPr="00461311">
        <w:rPr>
          <w:rFonts w:ascii="Arial" w:hAnsi="Arial" w:cs="Arial"/>
          <w:lang w:val="en-GB"/>
        </w:rPr>
        <w:t xml:space="preserve"> and Jaca, 2023)</w:t>
      </w:r>
    </w:p>
    <w:p w14:paraId="4C8F52EB" w14:textId="34631554" w:rsidR="005F4AA2" w:rsidRPr="005F4AA2" w:rsidRDefault="005F4AA2" w:rsidP="005F4AA2">
      <w:pPr>
        <w:rPr>
          <w:b/>
          <w:bCs/>
          <w:szCs w:val="24"/>
        </w:rPr>
      </w:pPr>
      <w:r w:rsidRPr="005F4AA2">
        <w:rPr>
          <w:b/>
          <w:bCs/>
          <w:szCs w:val="24"/>
        </w:rPr>
        <w:t>Description</w:t>
      </w:r>
      <w:r>
        <w:rPr>
          <w:b/>
          <w:bCs/>
          <w:szCs w:val="24"/>
        </w:rPr>
        <w:t xml:space="preserve">: </w:t>
      </w:r>
      <w:r w:rsidRPr="005F4AA2">
        <w:rPr>
          <w:szCs w:val="24"/>
        </w:rPr>
        <w:t xml:space="preserve">The project entailed the creation of </w:t>
      </w:r>
      <w:r>
        <w:rPr>
          <w:szCs w:val="24"/>
        </w:rPr>
        <w:t xml:space="preserve">the </w:t>
      </w:r>
      <w:r w:rsidRPr="005F4AA2">
        <w:rPr>
          <w:szCs w:val="24"/>
        </w:rPr>
        <w:t xml:space="preserve">Tesco Flourish concept and the use of STDP and marketing mix to create a consistent brand strategy. I conducted market research, consumer trends and the brand logic of Tesco to warrant the introduction of a home cultivation product. I have produced the poster based on the given template and with </w:t>
      </w:r>
      <w:r>
        <w:rPr>
          <w:szCs w:val="24"/>
        </w:rPr>
        <w:t>an</w:t>
      </w:r>
      <w:r w:rsidRPr="005F4AA2">
        <w:rPr>
          <w:szCs w:val="24"/>
        </w:rPr>
        <w:t xml:space="preserve"> emphasis on the visual simplicity and clarity</w:t>
      </w:r>
      <w:r w:rsidR="00461311">
        <w:rPr>
          <w:szCs w:val="24"/>
        </w:rPr>
        <w:t xml:space="preserve"> </w:t>
      </w:r>
      <w:r w:rsidR="00461311">
        <w:rPr>
          <w:color w:val="000000"/>
        </w:rPr>
        <w:t>(Vidal-</w:t>
      </w:r>
      <w:proofErr w:type="spellStart"/>
      <w:r w:rsidR="00461311">
        <w:rPr>
          <w:color w:val="000000"/>
        </w:rPr>
        <w:t>Ayuso</w:t>
      </w:r>
      <w:proofErr w:type="spellEnd"/>
      <w:r w:rsidR="00461311">
        <w:rPr>
          <w:color w:val="000000"/>
        </w:rPr>
        <w:t xml:space="preserve">, </w:t>
      </w:r>
      <w:proofErr w:type="spellStart"/>
      <w:r w:rsidR="00461311">
        <w:rPr>
          <w:color w:val="000000"/>
        </w:rPr>
        <w:t>Akhmedova</w:t>
      </w:r>
      <w:proofErr w:type="spellEnd"/>
      <w:r w:rsidR="00461311">
        <w:rPr>
          <w:color w:val="000000"/>
        </w:rPr>
        <w:t xml:space="preserve"> and Jaca, 2023)</w:t>
      </w:r>
      <w:r w:rsidRPr="005F4AA2">
        <w:rPr>
          <w:szCs w:val="24"/>
        </w:rPr>
        <w:t>. The pitch demanded the summary of the main strategic points in an approachable and convincing manner. The general procedure changed from ideation to analysis and culminated in a consolidated presentation of the brand conception.</w:t>
      </w:r>
    </w:p>
    <w:p w14:paraId="75CF3C9A" w14:textId="752B0DF7" w:rsidR="005F4AA2" w:rsidRPr="005F4AA2" w:rsidRDefault="005F4AA2" w:rsidP="005F4AA2">
      <w:pPr>
        <w:rPr>
          <w:b/>
          <w:bCs/>
          <w:szCs w:val="24"/>
        </w:rPr>
      </w:pPr>
      <w:r w:rsidRPr="005F4AA2">
        <w:rPr>
          <w:b/>
          <w:bCs/>
          <w:szCs w:val="24"/>
        </w:rPr>
        <w:t>Feelings</w:t>
      </w:r>
      <w:r>
        <w:rPr>
          <w:b/>
          <w:bCs/>
          <w:szCs w:val="24"/>
        </w:rPr>
        <w:t xml:space="preserve">:  </w:t>
      </w:r>
      <w:r w:rsidRPr="005F4AA2">
        <w:rPr>
          <w:szCs w:val="24"/>
        </w:rPr>
        <w:t>This was not the case at the beginning, as I was doubtful about developing an entirely new product line with Tesco, and this was because it would be pushing the brand out of its usual retail frame of reference. This hesitation slowly developed into euphoria as the idea transformed into a clearer form</w:t>
      </w:r>
      <w:r w:rsidR="00461311">
        <w:rPr>
          <w:szCs w:val="24"/>
        </w:rPr>
        <w:t xml:space="preserve"> </w:t>
      </w:r>
      <w:r w:rsidR="00461311">
        <w:rPr>
          <w:color w:val="000000"/>
        </w:rPr>
        <w:t>(</w:t>
      </w:r>
      <w:proofErr w:type="spellStart"/>
      <w:r w:rsidR="00461311">
        <w:rPr>
          <w:color w:val="000000"/>
        </w:rPr>
        <w:t>Alsharif</w:t>
      </w:r>
      <w:proofErr w:type="spellEnd"/>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xml:space="preserve">. I was also concerned in the first place as to whether the concept actually represented actual consumer trends, particularly in terms of </w:t>
      </w:r>
      <w:r w:rsidRPr="005F4AA2">
        <w:rPr>
          <w:szCs w:val="24"/>
        </w:rPr>
        <w:lastRenderedPageBreak/>
        <w:t>sustainability and smart-home deployment. As I continued with the analysis, I became more assured since the theories were naturally consistent with the product logic. The brand became feelable during the design of the poster and pitch</w:t>
      </w:r>
      <w:r>
        <w:rPr>
          <w:szCs w:val="24"/>
        </w:rPr>
        <w:t>,</w:t>
      </w:r>
      <w:r w:rsidRPr="005F4AA2">
        <w:rPr>
          <w:szCs w:val="24"/>
        </w:rPr>
        <w:t xml:space="preserve"> and helped me to believe it was achievable.</w:t>
      </w:r>
    </w:p>
    <w:p w14:paraId="1EC4192D" w14:textId="36331D12" w:rsidR="005F4AA2" w:rsidRPr="005F4AA2" w:rsidRDefault="005F4AA2" w:rsidP="005F4AA2">
      <w:pPr>
        <w:rPr>
          <w:b/>
          <w:bCs/>
          <w:szCs w:val="24"/>
        </w:rPr>
      </w:pPr>
      <w:r w:rsidRPr="005F4AA2">
        <w:rPr>
          <w:b/>
          <w:bCs/>
          <w:szCs w:val="24"/>
        </w:rPr>
        <w:t xml:space="preserve">Evaluation: </w:t>
      </w:r>
      <w:r w:rsidRPr="005F4AA2">
        <w:rPr>
          <w:szCs w:val="24"/>
        </w:rPr>
        <w:t>There are a number of things that went right in the work. The STDP model fitted the actual consumer behaviour in the UK well, and the product-market fit was compelling and believable. The poster enabled me to simplify elaborate concepts into straightforward communication messages that enhanced the pitch</w:t>
      </w:r>
      <w:r w:rsidR="00461311">
        <w:rPr>
          <w:szCs w:val="24"/>
        </w:rPr>
        <w:t xml:space="preserve"> </w:t>
      </w:r>
      <w:r w:rsidR="00461311">
        <w:rPr>
          <w:color w:val="000000"/>
        </w:rPr>
        <w:t>(Marcon</w:t>
      </w:r>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xml:space="preserve">. The process of research further enhanced my knowledge </w:t>
      </w:r>
      <w:r>
        <w:rPr>
          <w:szCs w:val="24"/>
        </w:rPr>
        <w:t>of</w:t>
      </w:r>
      <w:r w:rsidRPr="005F4AA2">
        <w:rPr>
          <w:szCs w:val="24"/>
        </w:rPr>
        <w:t xml:space="preserve"> sustainability and smart-tech trends. Nonetheless, there were certain difficulties. It was also hard to compress the strategy to a brief pitch because there were a lot of insights that needed to be prioritised or dropped. There was also a problem of balancing innovation and </w:t>
      </w:r>
      <w:r>
        <w:rPr>
          <w:szCs w:val="24"/>
        </w:rPr>
        <w:t xml:space="preserve">the </w:t>
      </w:r>
      <w:r w:rsidRPr="005F4AA2">
        <w:rPr>
          <w:szCs w:val="24"/>
        </w:rPr>
        <w:t>realistic positioning of Tesco. There was a need to differentiate Flourish and premium horticultural brands.</w:t>
      </w:r>
    </w:p>
    <w:p w14:paraId="64068DB7" w14:textId="77777777" w:rsidR="005F4AA2" w:rsidRPr="005F4AA2" w:rsidRDefault="005F4AA2" w:rsidP="005F4AA2">
      <w:pPr>
        <w:rPr>
          <w:szCs w:val="24"/>
        </w:rPr>
      </w:pPr>
    </w:p>
    <w:p w14:paraId="08393D7D" w14:textId="72BA1EBF" w:rsidR="005F4AA2" w:rsidRPr="005F4AA2" w:rsidRDefault="005F4AA2" w:rsidP="005F4AA2">
      <w:pPr>
        <w:rPr>
          <w:b/>
          <w:bCs/>
          <w:szCs w:val="24"/>
        </w:rPr>
      </w:pPr>
      <w:r w:rsidRPr="005F4AA2">
        <w:rPr>
          <w:b/>
          <w:bCs/>
          <w:szCs w:val="24"/>
        </w:rPr>
        <w:t xml:space="preserve">Analysis: </w:t>
      </w:r>
      <w:r w:rsidRPr="005F4AA2">
        <w:rPr>
          <w:szCs w:val="24"/>
        </w:rPr>
        <w:t>The use of STDP made it clear which market segments had the greatest potential to be adopted and enabled me to refine the positioning. The 4</w:t>
      </w:r>
      <w:r>
        <w:rPr>
          <w:szCs w:val="24"/>
        </w:rPr>
        <w:t>P</w:t>
      </w:r>
      <w:r w:rsidRPr="005F4AA2">
        <w:rPr>
          <w:szCs w:val="24"/>
        </w:rPr>
        <w:t>s concept was a very helpful guide that compelled me to make informed choices regarding product characteristics, prices, and distribution. Understanding the gaps in the current portfolio of Tesco reinforced the argument of entering a new category and contributed to the innovation adoption theory, which emphasi</w:t>
      </w:r>
      <w:r>
        <w:rPr>
          <w:szCs w:val="24"/>
        </w:rPr>
        <w:t>s</w:t>
      </w:r>
      <w:r w:rsidRPr="005F4AA2">
        <w:rPr>
          <w:szCs w:val="24"/>
        </w:rPr>
        <w:t>es compatibility and perceived advantage</w:t>
      </w:r>
      <w:r w:rsidR="00461311">
        <w:rPr>
          <w:szCs w:val="24"/>
        </w:rPr>
        <w:t xml:space="preserve"> </w:t>
      </w:r>
      <w:r w:rsidR="00461311">
        <w:rPr>
          <w:color w:val="000000"/>
        </w:rPr>
        <w:t>(Vidal-</w:t>
      </w:r>
      <w:proofErr w:type="spellStart"/>
      <w:r w:rsidR="00461311">
        <w:rPr>
          <w:color w:val="000000"/>
        </w:rPr>
        <w:t>Ayuso</w:t>
      </w:r>
      <w:proofErr w:type="spellEnd"/>
      <w:r w:rsidR="00461311">
        <w:rPr>
          <w:color w:val="000000"/>
        </w:rPr>
        <w:t xml:space="preserve">, </w:t>
      </w:r>
      <w:proofErr w:type="spellStart"/>
      <w:r w:rsidR="00461311">
        <w:rPr>
          <w:color w:val="000000"/>
        </w:rPr>
        <w:t>Akhmedova</w:t>
      </w:r>
      <w:proofErr w:type="spellEnd"/>
      <w:r w:rsidR="00461311">
        <w:rPr>
          <w:color w:val="000000"/>
        </w:rPr>
        <w:t xml:space="preserve"> and Jaca, 2023)</w:t>
      </w:r>
      <w:r w:rsidRPr="005F4AA2">
        <w:rPr>
          <w:szCs w:val="24"/>
        </w:rPr>
        <w:t>. The pitch preparation process allowed me to transform the academic concepts</w:t>
      </w:r>
      <w:r>
        <w:rPr>
          <w:szCs w:val="24"/>
        </w:rPr>
        <w:t>,</w:t>
      </w:r>
      <w:r w:rsidRPr="005F4AA2">
        <w:rPr>
          <w:szCs w:val="24"/>
        </w:rPr>
        <w:t xml:space="preserve"> such as customer value creation and sustainability trends</w:t>
      </w:r>
      <w:r>
        <w:rPr>
          <w:szCs w:val="24"/>
        </w:rPr>
        <w:t>,</w:t>
      </w:r>
      <w:r w:rsidRPr="005F4AA2">
        <w:rPr>
          <w:szCs w:val="24"/>
        </w:rPr>
        <w:t xml:space="preserve"> into a clear commercial message. This is what revealed the power of persuasive marketing communication that can be formed in structured models.</w:t>
      </w:r>
    </w:p>
    <w:p w14:paraId="7D93C5BC" w14:textId="06C156AA" w:rsidR="005F4AA2" w:rsidRPr="005F4AA2" w:rsidRDefault="005F4AA2" w:rsidP="005F4AA2">
      <w:pPr>
        <w:rPr>
          <w:b/>
          <w:bCs/>
          <w:szCs w:val="24"/>
        </w:rPr>
      </w:pPr>
      <w:r w:rsidRPr="005F4AA2">
        <w:rPr>
          <w:b/>
          <w:bCs/>
          <w:szCs w:val="24"/>
        </w:rPr>
        <w:t>Conclusion</w:t>
      </w:r>
      <w:r>
        <w:rPr>
          <w:b/>
          <w:bCs/>
          <w:szCs w:val="24"/>
        </w:rPr>
        <w:t xml:space="preserve">: </w:t>
      </w:r>
      <w:r w:rsidRPr="005F4AA2">
        <w:rPr>
          <w:szCs w:val="24"/>
        </w:rPr>
        <w:t>In general, I got to know the importance of connecting theory to practical decisions on brand-building. Credible differentiation was developed by consumer insight. The importance of graphic visual communication was also pointed out in the process</w:t>
      </w:r>
      <w:r w:rsidR="00461311">
        <w:rPr>
          <w:szCs w:val="24"/>
        </w:rPr>
        <w:t xml:space="preserve"> </w:t>
      </w:r>
      <w:r w:rsidR="00461311">
        <w:rPr>
          <w:color w:val="000000"/>
        </w:rPr>
        <w:t>(</w:t>
      </w:r>
      <w:proofErr w:type="spellStart"/>
      <w:r w:rsidR="00461311">
        <w:rPr>
          <w:color w:val="000000"/>
        </w:rPr>
        <w:t>Alsharif</w:t>
      </w:r>
      <w:proofErr w:type="spellEnd"/>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Lastly, I understood that innovation needs both creativity and feasibility in its balancing to ensure strategic fit.</w:t>
      </w:r>
    </w:p>
    <w:p w14:paraId="05A80C66" w14:textId="54F2F662" w:rsidR="005F4AA2" w:rsidRPr="005F4AA2" w:rsidRDefault="005F4AA2" w:rsidP="005F4AA2">
      <w:pPr>
        <w:rPr>
          <w:b/>
          <w:bCs/>
          <w:szCs w:val="24"/>
        </w:rPr>
      </w:pPr>
      <w:r w:rsidRPr="005F4AA2">
        <w:rPr>
          <w:b/>
          <w:bCs/>
          <w:szCs w:val="24"/>
        </w:rPr>
        <w:t>Action Plan</w:t>
      </w:r>
      <w:r>
        <w:rPr>
          <w:b/>
          <w:bCs/>
          <w:szCs w:val="24"/>
        </w:rPr>
        <w:t xml:space="preserve">: </w:t>
      </w:r>
      <w:r w:rsidRPr="005F4AA2">
        <w:rPr>
          <w:szCs w:val="24"/>
        </w:rPr>
        <w:t xml:space="preserve">I would </w:t>
      </w:r>
      <w:r>
        <w:rPr>
          <w:szCs w:val="24"/>
        </w:rPr>
        <w:t>improve</w:t>
      </w:r>
      <w:r w:rsidRPr="005F4AA2">
        <w:rPr>
          <w:szCs w:val="24"/>
        </w:rPr>
        <w:t xml:space="preserve"> my early-stage consumer research and more sophisticated market-sizing techniques in the future. I also intend to work </w:t>
      </w:r>
      <w:r>
        <w:rPr>
          <w:szCs w:val="24"/>
        </w:rPr>
        <w:t>on</w:t>
      </w:r>
      <w:r w:rsidRPr="005F4AA2">
        <w:rPr>
          <w:szCs w:val="24"/>
        </w:rPr>
        <w:t xml:space="preserve"> time management in creating graphics and practice giving short pitches</w:t>
      </w:r>
      <w:r w:rsidR="00461311">
        <w:rPr>
          <w:szCs w:val="24"/>
        </w:rPr>
        <w:t xml:space="preserve"> </w:t>
      </w:r>
      <w:r w:rsidR="00461311">
        <w:rPr>
          <w:color w:val="000000"/>
        </w:rPr>
        <w:t>(Marcon</w:t>
      </w:r>
      <w:r w:rsidR="00461311">
        <w:rPr>
          <w:rStyle w:val="apple-converted-space"/>
          <w:rFonts w:eastAsiaTheme="majorEastAsia"/>
          <w:color w:val="000000"/>
        </w:rPr>
        <w:t> </w:t>
      </w:r>
      <w:r w:rsidR="00461311">
        <w:rPr>
          <w:i/>
          <w:iCs/>
          <w:color w:val="000000"/>
        </w:rPr>
        <w:t>et al.</w:t>
      </w:r>
      <w:r w:rsidR="00461311">
        <w:rPr>
          <w:color w:val="000000"/>
        </w:rPr>
        <w:t>, 2022)</w:t>
      </w:r>
      <w:r w:rsidRPr="005F4AA2">
        <w:rPr>
          <w:szCs w:val="24"/>
        </w:rPr>
        <w:t xml:space="preserve">. I will study larger </w:t>
      </w:r>
      <w:r w:rsidRPr="005F4AA2">
        <w:rPr>
          <w:szCs w:val="24"/>
        </w:rPr>
        <w:lastRenderedPageBreak/>
        <w:t>sustainability frameworks to conceptuali</w:t>
      </w:r>
      <w:r>
        <w:rPr>
          <w:szCs w:val="24"/>
        </w:rPr>
        <w:t>s</w:t>
      </w:r>
      <w:r w:rsidRPr="005F4AA2">
        <w:rPr>
          <w:szCs w:val="24"/>
        </w:rPr>
        <w:t>e value propositions and utili</w:t>
      </w:r>
      <w:r>
        <w:rPr>
          <w:szCs w:val="24"/>
        </w:rPr>
        <w:t>s</w:t>
      </w:r>
      <w:r w:rsidRPr="005F4AA2">
        <w:rPr>
          <w:szCs w:val="24"/>
        </w:rPr>
        <w:t>e sophisticated analysis instruments like perceptual mapping and behavioural pricing experiments.</w:t>
      </w:r>
    </w:p>
    <w:p w14:paraId="11532D27" w14:textId="510FBC2B" w:rsidR="005F4AA2" w:rsidRPr="005F4AA2" w:rsidRDefault="005F4AA2" w:rsidP="005F4AA2">
      <w:pPr>
        <w:pStyle w:val="Heading1"/>
        <w:rPr>
          <w:rFonts w:cs="Times New Roman"/>
          <w:sz w:val="24"/>
        </w:rPr>
      </w:pPr>
      <w:bookmarkStart w:id="14" w:name="_Toc216086467"/>
      <w:r w:rsidRPr="005F4AA2">
        <w:t>Conclusion</w:t>
      </w:r>
      <w:bookmarkEnd w:id="14"/>
    </w:p>
    <w:p w14:paraId="3EF7D968" w14:textId="31F285D7" w:rsidR="005F4AA2" w:rsidRPr="005F4AA2" w:rsidRDefault="005F4AA2" w:rsidP="005F4AA2">
      <w:pPr>
        <w:rPr>
          <w:szCs w:val="24"/>
        </w:rPr>
      </w:pPr>
      <w:r w:rsidRPr="005F4AA2">
        <w:rPr>
          <w:szCs w:val="24"/>
        </w:rPr>
        <w:t>Tesco Flourish shows good strategic fit in expanding the trusted brand of the retailer into an expanding category that is being influenced by wellness, sustainability, and smart-home living. The product generates vivid customer value in terms of convenience, cost saving</w:t>
      </w:r>
      <w:r>
        <w:rPr>
          <w:szCs w:val="24"/>
        </w:rPr>
        <w:t>s</w:t>
      </w:r>
      <w:r w:rsidRPr="005F4AA2">
        <w:rPr>
          <w:szCs w:val="24"/>
        </w:rPr>
        <w:t>, and freshness of home-grown produce</w:t>
      </w:r>
      <w:r w:rsidR="00461311">
        <w:rPr>
          <w:szCs w:val="24"/>
        </w:rPr>
        <w:t xml:space="preserve"> </w:t>
      </w:r>
      <w:r w:rsidR="00461311">
        <w:rPr>
          <w:color w:val="000000"/>
        </w:rPr>
        <w:t>(</w:t>
      </w:r>
      <w:proofErr w:type="spellStart"/>
      <w:r w:rsidR="00461311">
        <w:rPr>
          <w:color w:val="000000"/>
        </w:rPr>
        <w:t>Prados</w:t>
      </w:r>
      <w:proofErr w:type="spellEnd"/>
      <w:r w:rsidR="00461311">
        <w:rPr>
          <w:color w:val="000000"/>
        </w:rPr>
        <w:t>-Peña and Del Barrio-García, 2021)</w:t>
      </w:r>
      <w:r w:rsidRPr="005F4AA2">
        <w:rPr>
          <w:szCs w:val="24"/>
        </w:rPr>
        <w:t xml:space="preserve">. Flourishing by bridging a gap that is not currently fulfilled by mass retailers in the UK enhances the innovative nature of Tesco and helps the company </w:t>
      </w:r>
      <w:r>
        <w:rPr>
          <w:szCs w:val="24"/>
        </w:rPr>
        <w:t>differentiate</w:t>
      </w:r>
      <w:r w:rsidRPr="005F4AA2">
        <w:rPr>
          <w:szCs w:val="24"/>
        </w:rPr>
        <w:t xml:space="preserve"> in the long run. STDP and marketing mix demonstrate that the brand is able to gain </w:t>
      </w:r>
      <w:r>
        <w:rPr>
          <w:szCs w:val="24"/>
        </w:rPr>
        <w:t xml:space="preserve">a </w:t>
      </w:r>
      <w:r w:rsidRPr="005F4AA2">
        <w:rPr>
          <w:szCs w:val="24"/>
        </w:rPr>
        <w:t>large reach and be affordable at the same time. As the attention to green technologies grows, Tesco Flourish has great chances to develop continuously and expand its product</w:t>
      </w:r>
      <w:r>
        <w:rPr>
          <w:szCs w:val="24"/>
        </w:rPr>
        <w:t xml:space="preserve"> </w:t>
      </w:r>
      <w:r w:rsidRPr="005F4AA2">
        <w:rPr>
          <w:szCs w:val="24"/>
        </w:rPr>
        <w:t>line in the future.</w:t>
      </w:r>
    </w:p>
    <w:p w14:paraId="455C3303" w14:textId="77777777" w:rsidR="005F4AA2" w:rsidRPr="005F4AA2" w:rsidRDefault="005F4AA2" w:rsidP="005F4AA2">
      <w:pPr>
        <w:rPr>
          <w:szCs w:val="24"/>
        </w:rPr>
      </w:pPr>
    </w:p>
    <w:p w14:paraId="7D1DD7D2" w14:textId="77777777" w:rsidR="005F4AA2" w:rsidRPr="005F4AA2" w:rsidRDefault="005F4AA2" w:rsidP="005F4AA2">
      <w:pPr>
        <w:rPr>
          <w:szCs w:val="24"/>
        </w:rPr>
      </w:pPr>
    </w:p>
    <w:p w14:paraId="75DC7582" w14:textId="77777777" w:rsidR="005F4AA2" w:rsidRDefault="005F4AA2">
      <w:pPr>
        <w:spacing w:before="0" w:after="160" w:line="259" w:lineRule="auto"/>
        <w:jc w:val="left"/>
        <w:rPr>
          <w:rFonts w:ascii="Arial" w:hAnsi="Arial" w:cs="Arial"/>
          <w:b/>
          <w:kern w:val="0"/>
          <w:sz w:val="32"/>
          <w:szCs w:val="32"/>
          <w:lang w:val="en-BD" w:eastAsia="en-US" w:bidi="bn-IN"/>
          <w14:ligatures w14:val="none"/>
        </w:rPr>
      </w:pPr>
      <w:r>
        <w:rPr>
          <w:rFonts w:ascii="Arial" w:hAnsi="Arial" w:cs="Arial"/>
        </w:rPr>
        <w:br w:type="page"/>
      </w:r>
    </w:p>
    <w:p w14:paraId="721669E5" w14:textId="78F8A5A1" w:rsidR="00834369" w:rsidRDefault="00955C03" w:rsidP="00461311">
      <w:pPr>
        <w:pStyle w:val="Heading1"/>
        <w:rPr>
          <w:rFonts w:ascii="Arial" w:hAnsi="Arial" w:cs="Arial"/>
        </w:rPr>
      </w:pPr>
      <w:bookmarkStart w:id="15" w:name="_Toc216086468"/>
      <w:r w:rsidRPr="005C5092">
        <w:rPr>
          <w:rFonts w:ascii="Arial" w:hAnsi="Arial" w:cs="Arial"/>
        </w:rPr>
        <w:lastRenderedPageBreak/>
        <w:t>7. References</w:t>
      </w:r>
      <w:bookmarkEnd w:id="15"/>
    </w:p>
    <w:p w14:paraId="5BF8158B" w14:textId="77777777" w:rsidR="00461311" w:rsidRPr="00461311" w:rsidRDefault="00461311" w:rsidP="00461311">
      <w:pPr>
        <w:rPr>
          <w:rFonts w:ascii="Arial" w:hAnsi="Arial" w:cs="Arial"/>
          <w:lang w:bidi="bn-IN"/>
        </w:rPr>
      </w:pPr>
      <w:r w:rsidRPr="00461311">
        <w:rPr>
          <w:rFonts w:ascii="Arial" w:hAnsi="Arial" w:cs="Arial"/>
          <w:lang w:bidi="bn-IN"/>
        </w:rPr>
        <w:t>Alsharif, A.H. </w:t>
      </w:r>
      <w:r w:rsidRPr="00461311">
        <w:rPr>
          <w:rFonts w:ascii="Arial" w:hAnsi="Arial" w:cs="Arial"/>
          <w:i/>
          <w:iCs/>
          <w:lang w:bidi="bn-IN"/>
        </w:rPr>
        <w:t>et al.</w:t>
      </w:r>
      <w:r w:rsidRPr="00461311">
        <w:rPr>
          <w:rFonts w:ascii="Arial" w:hAnsi="Arial" w:cs="Arial"/>
          <w:lang w:bidi="bn-IN"/>
        </w:rPr>
        <w:t> (2022) ‘Consumer behaviour to be considered in advertising: A systematic analysis and future agenda’, </w:t>
      </w:r>
      <w:r w:rsidRPr="00461311">
        <w:rPr>
          <w:rFonts w:ascii="Arial" w:hAnsi="Arial" w:cs="Arial"/>
          <w:i/>
          <w:iCs/>
          <w:lang w:bidi="bn-IN"/>
        </w:rPr>
        <w:t>Behavioral Sciences</w:t>
      </w:r>
      <w:r w:rsidRPr="00461311">
        <w:rPr>
          <w:rFonts w:ascii="Arial" w:hAnsi="Arial" w:cs="Arial"/>
          <w:lang w:bidi="bn-IN"/>
        </w:rPr>
        <w:t>, 12(12), p. 472. Available at: https://doi.org/10.3390/bs12120472.</w:t>
      </w:r>
    </w:p>
    <w:p w14:paraId="575F4D50" w14:textId="77777777" w:rsidR="00461311" w:rsidRPr="00461311" w:rsidRDefault="00461311" w:rsidP="00461311">
      <w:pPr>
        <w:rPr>
          <w:rFonts w:ascii="Arial" w:hAnsi="Arial" w:cs="Arial"/>
          <w:lang w:bidi="bn-IN"/>
        </w:rPr>
      </w:pPr>
      <w:r w:rsidRPr="00461311">
        <w:rPr>
          <w:rFonts w:ascii="Arial" w:hAnsi="Arial" w:cs="Arial"/>
          <w:lang w:bidi="bn-IN"/>
        </w:rPr>
        <w:t>Alsharif, A.H. </w:t>
      </w:r>
      <w:r w:rsidRPr="00461311">
        <w:rPr>
          <w:rFonts w:ascii="Arial" w:hAnsi="Arial" w:cs="Arial"/>
          <w:i/>
          <w:iCs/>
          <w:lang w:bidi="bn-IN"/>
        </w:rPr>
        <w:t>et al.</w:t>
      </w:r>
      <w:r w:rsidRPr="00461311">
        <w:rPr>
          <w:rFonts w:ascii="Arial" w:hAnsi="Arial" w:cs="Arial"/>
          <w:lang w:bidi="bn-IN"/>
        </w:rPr>
        <w:t> (2023) ‘Neuromarketing Tools Used in the Marketing Mix: A Systematic Literature and Future Research Agenda’, </w:t>
      </w:r>
      <w:r w:rsidRPr="00461311">
        <w:rPr>
          <w:rFonts w:ascii="Arial" w:hAnsi="Arial" w:cs="Arial"/>
          <w:i/>
          <w:iCs/>
          <w:lang w:bidi="bn-IN"/>
        </w:rPr>
        <w:t>SAGE Open</w:t>
      </w:r>
      <w:r w:rsidRPr="00461311">
        <w:rPr>
          <w:rFonts w:ascii="Arial" w:hAnsi="Arial" w:cs="Arial"/>
          <w:lang w:bidi="bn-IN"/>
        </w:rPr>
        <w:t>, 13(1), p. 215824402311565. Available at: https://doi.org/10.1177/21582440231156563.</w:t>
      </w:r>
    </w:p>
    <w:p w14:paraId="7E25CB67" w14:textId="77777777" w:rsidR="00461311" w:rsidRPr="00461311" w:rsidRDefault="00461311" w:rsidP="00461311">
      <w:pPr>
        <w:rPr>
          <w:rFonts w:ascii="Arial" w:hAnsi="Arial" w:cs="Arial"/>
          <w:lang w:bidi="bn-IN"/>
        </w:rPr>
      </w:pPr>
      <w:r w:rsidRPr="00461311">
        <w:rPr>
          <w:rFonts w:ascii="Arial" w:hAnsi="Arial" w:cs="Arial"/>
          <w:lang w:bidi="bn-IN"/>
        </w:rPr>
        <w:t>Gerlich, M. (2023) ‘The Power of Virtual Influencers: Impact on Consumer Behaviour and Attitudes in the Age of AI’, </w:t>
      </w:r>
      <w:r w:rsidRPr="00461311">
        <w:rPr>
          <w:rFonts w:ascii="Arial" w:hAnsi="Arial" w:cs="Arial"/>
          <w:i/>
          <w:iCs/>
          <w:lang w:bidi="bn-IN"/>
        </w:rPr>
        <w:t>Administrative Sciences</w:t>
      </w:r>
      <w:r w:rsidRPr="00461311">
        <w:rPr>
          <w:rFonts w:ascii="Arial" w:hAnsi="Arial" w:cs="Arial"/>
          <w:lang w:bidi="bn-IN"/>
        </w:rPr>
        <w:t>, 13(8), p. 178. Available at: https://doi.org/10.3390/admsci13080178.</w:t>
      </w:r>
    </w:p>
    <w:p w14:paraId="0AF92A5A" w14:textId="77777777" w:rsidR="00461311" w:rsidRPr="00461311" w:rsidRDefault="00461311" w:rsidP="00461311">
      <w:pPr>
        <w:rPr>
          <w:rFonts w:ascii="Arial" w:hAnsi="Arial" w:cs="Arial"/>
          <w:lang w:bidi="bn-IN"/>
        </w:rPr>
      </w:pPr>
      <w:r w:rsidRPr="00461311">
        <w:rPr>
          <w:rFonts w:ascii="Arial" w:hAnsi="Arial" w:cs="Arial"/>
          <w:lang w:bidi="bn-IN"/>
        </w:rPr>
        <w:t>Lim, W.M. </w:t>
      </w:r>
      <w:r w:rsidRPr="00461311">
        <w:rPr>
          <w:rFonts w:ascii="Arial" w:hAnsi="Arial" w:cs="Arial"/>
          <w:i/>
          <w:iCs/>
          <w:lang w:bidi="bn-IN"/>
        </w:rPr>
        <w:t>et al.</w:t>
      </w:r>
      <w:r w:rsidRPr="00461311">
        <w:rPr>
          <w:rFonts w:ascii="Arial" w:hAnsi="Arial" w:cs="Arial"/>
          <w:lang w:bidi="bn-IN"/>
        </w:rPr>
        <w:t> (2023) ‘Evolution and Trends in Consumer behaviour: Insights from Journal of Consumer Behaviour’, </w:t>
      </w:r>
      <w:r w:rsidRPr="00461311">
        <w:rPr>
          <w:rFonts w:ascii="Arial" w:hAnsi="Arial" w:cs="Arial"/>
          <w:i/>
          <w:iCs/>
          <w:lang w:bidi="bn-IN"/>
        </w:rPr>
        <w:t>Journal of Consumer Behaviour</w:t>
      </w:r>
      <w:r w:rsidRPr="00461311">
        <w:rPr>
          <w:rFonts w:ascii="Arial" w:hAnsi="Arial" w:cs="Arial"/>
          <w:lang w:bidi="bn-IN"/>
        </w:rPr>
        <w:t>, 22(1). Available at: https://doi.org/10.1002/cb.2118.</w:t>
      </w:r>
    </w:p>
    <w:p w14:paraId="13DA82CF" w14:textId="77777777" w:rsidR="00461311" w:rsidRPr="00461311" w:rsidRDefault="00461311" w:rsidP="00461311">
      <w:pPr>
        <w:rPr>
          <w:rFonts w:ascii="Arial" w:hAnsi="Arial" w:cs="Arial"/>
          <w:lang w:bidi="bn-IN"/>
        </w:rPr>
      </w:pPr>
      <w:r w:rsidRPr="00461311">
        <w:rPr>
          <w:rFonts w:ascii="Arial" w:hAnsi="Arial" w:cs="Arial"/>
          <w:lang w:bidi="bn-IN"/>
        </w:rPr>
        <w:t>Lim, W.M. (2023) ‘Transformative marketing in the new normal: A novel practice-scholarly integrative review of business-to-business marketing mix challenges, opportunities, and solutions’, </w:t>
      </w:r>
      <w:r w:rsidRPr="00461311">
        <w:rPr>
          <w:rFonts w:ascii="Arial" w:hAnsi="Arial" w:cs="Arial"/>
          <w:i/>
          <w:iCs/>
          <w:lang w:bidi="bn-IN"/>
        </w:rPr>
        <w:t>Journal of Business Research</w:t>
      </w:r>
      <w:r w:rsidRPr="00461311">
        <w:rPr>
          <w:rFonts w:ascii="Arial" w:hAnsi="Arial" w:cs="Arial"/>
          <w:lang w:bidi="bn-IN"/>
        </w:rPr>
        <w:t>, 160. Available at: https://doi.org/10.1016/j.jbusres.2022.113638.</w:t>
      </w:r>
    </w:p>
    <w:p w14:paraId="40D8F6F2" w14:textId="77777777" w:rsidR="00461311" w:rsidRPr="00461311" w:rsidRDefault="00461311" w:rsidP="00461311">
      <w:pPr>
        <w:rPr>
          <w:rFonts w:ascii="Arial" w:hAnsi="Arial" w:cs="Arial"/>
          <w:lang w:bidi="bn-IN"/>
        </w:rPr>
      </w:pPr>
      <w:r w:rsidRPr="00461311">
        <w:rPr>
          <w:rFonts w:ascii="Arial" w:hAnsi="Arial" w:cs="Arial"/>
          <w:lang w:bidi="bn-IN"/>
        </w:rPr>
        <w:t>Marcon, A. </w:t>
      </w:r>
      <w:r w:rsidRPr="00461311">
        <w:rPr>
          <w:rFonts w:ascii="Arial" w:hAnsi="Arial" w:cs="Arial"/>
          <w:i/>
          <w:iCs/>
          <w:lang w:bidi="bn-IN"/>
        </w:rPr>
        <w:t>et al.</w:t>
      </w:r>
      <w:r w:rsidRPr="00461311">
        <w:rPr>
          <w:rFonts w:ascii="Arial" w:hAnsi="Arial" w:cs="Arial"/>
          <w:lang w:bidi="bn-IN"/>
        </w:rPr>
        <w:t> (2022) ‘Exploring green product attributes and their effect on consumer behaviour: A systematic review’, </w:t>
      </w:r>
      <w:r w:rsidRPr="00461311">
        <w:rPr>
          <w:rFonts w:ascii="Arial" w:hAnsi="Arial" w:cs="Arial"/>
          <w:i/>
          <w:iCs/>
          <w:lang w:bidi="bn-IN"/>
        </w:rPr>
        <w:t>Sustainable Production and Consumption</w:t>
      </w:r>
      <w:r w:rsidRPr="00461311">
        <w:rPr>
          <w:rFonts w:ascii="Arial" w:hAnsi="Arial" w:cs="Arial"/>
          <w:lang w:bidi="bn-IN"/>
        </w:rPr>
        <w:t>, 32, pp. 76–91. Available at: https://doi.org/10.1016/j.spc.2022.04.012.</w:t>
      </w:r>
    </w:p>
    <w:p w14:paraId="5E868125" w14:textId="77777777" w:rsidR="00461311" w:rsidRPr="00461311" w:rsidRDefault="00461311" w:rsidP="00461311">
      <w:pPr>
        <w:rPr>
          <w:rFonts w:ascii="Arial" w:hAnsi="Arial" w:cs="Arial"/>
          <w:lang w:bidi="bn-IN"/>
        </w:rPr>
      </w:pPr>
      <w:r w:rsidRPr="00461311">
        <w:rPr>
          <w:rFonts w:ascii="Arial" w:hAnsi="Arial" w:cs="Arial"/>
          <w:lang w:bidi="bn-IN"/>
        </w:rPr>
        <w:t>Nikbin, D. </w:t>
      </w:r>
      <w:r w:rsidRPr="00461311">
        <w:rPr>
          <w:rFonts w:ascii="Arial" w:hAnsi="Arial" w:cs="Arial"/>
          <w:i/>
          <w:iCs/>
          <w:lang w:bidi="bn-IN"/>
        </w:rPr>
        <w:t>et al.</w:t>
      </w:r>
      <w:r w:rsidRPr="00461311">
        <w:rPr>
          <w:rFonts w:ascii="Arial" w:hAnsi="Arial" w:cs="Arial"/>
          <w:lang w:bidi="bn-IN"/>
        </w:rPr>
        <w:t> (2022) ‘Marketing mix strategies during and after COVID-19 pandemic and recession: a systematic review’, </w:t>
      </w:r>
      <w:r w:rsidRPr="00461311">
        <w:rPr>
          <w:rFonts w:ascii="Arial" w:hAnsi="Arial" w:cs="Arial"/>
          <w:i/>
          <w:iCs/>
          <w:lang w:bidi="bn-IN"/>
        </w:rPr>
        <w:t>Asia-Pacific Journal of Business Administration</w:t>
      </w:r>
      <w:r w:rsidRPr="00461311">
        <w:rPr>
          <w:rFonts w:ascii="Arial" w:hAnsi="Arial" w:cs="Arial"/>
          <w:lang w:bidi="bn-IN"/>
        </w:rPr>
        <w:t>, 14(4). Available at: https://doi.org/10.1108/apjba-06-2021-0243.</w:t>
      </w:r>
    </w:p>
    <w:p w14:paraId="69156379" w14:textId="77777777" w:rsidR="00461311" w:rsidRPr="00461311" w:rsidRDefault="00461311" w:rsidP="00461311">
      <w:pPr>
        <w:rPr>
          <w:rFonts w:ascii="Arial" w:hAnsi="Arial" w:cs="Arial"/>
          <w:lang w:bidi="bn-IN"/>
        </w:rPr>
      </w:pPr>
      <w:r w:rsidRPr="00461311">
        <w:rPr>
          <w:rFonts w:ascii="Arial" w:hAnsi="Arial" w:cs="Arial"/>
          <w:lang w:bidi="bn-IN"/>
        </w:rPr>
        <w:t>Osorio, M.L. </w:t>
      </w:r>
      <w:r w:rsidRPr="00461311">
        <w:rPr>
          <w:rFonts w:ascii="Arial" w:hAnsi="Arial" w:cs="Arial"/>
          <w:i/>
          <w:iCs/>
          <w:lang w:bidi="bn-IN"/>
        </w:rPr>
        <w:t>et al.</w:t>
      </w:r>
      <w:r w:rsidRPr="00461311">
        <w:rPr>
          <w:rFonts w:ascii="Arial" w:hAnsi="Arial" w:cs="Arial"/>
          <w:lang w:bidi="bn-IN"/>
        </w:rPr>
        <w:t> (2022) ‘In search of fit or authenticity? A product-type consumer decision in celebrity brand extensions’, </w:t>
      </w:r>
      <w:r w:rsidRPr="00461311">
        <w:rPr>
          <w:rFonts w:ascii="Arial" w:hAnsi="Arial" w:cs="Arial"/>
          <w:i/>
          <w:iCs/>
          <w:lang w:bidi="bn-IN"/>
        </w:rPr>
        <w:t>Journal of Product &amp; Brand Management</w:t>
      </w:r>
      <w:r w:rsidRPr="00461311">
        <w:rPr>
          <w:rFonts w:ascii="Arial" w:hAnsi="Arial" w:cs="Arial"/>
          <w:lang w:bidi="bn-IN"/>
        </w:rPr>
        <w:t>, 31(6), pp. 841–853. Available at: https://doi.org/10.1108/jpbm-04-2021-3437.</w:t>
      </w:r>
    </w:p>
    <w:p w14:paraId="7495FC89" w14:textId="77777777" w:rsidR="00461311" w:rsidRPr="00461311" w:rsidRDefault="00461311" w:rsidP="00461311">
      <w:pPr>
        <w:rPr>
          <w:rFonts w:ascii="Arial" w:hAnsi="Arial" w:cs="Arial"/>
          <w:lang w:bidi="bn-IN"/>
        </w:rPr>
      </w:pPr>
      <w:r w:rsidRPr="00461311">
        <w:rPr>
          <w:rFonts w:ascii="Arial" w:hAnsi="Arial" w:cs="Arial"/>
          <w:lang w:bidi="bn-IN"/>
        </w:rPr>
        <w:t>Prados-Peña, M.B. and Del Barrio-García, S. (2021) ‘Key antecedents of brand equity in heritage brand extensions: The moderating role of tourist heritage experience’, </w:t>
      </w:r>
      <w:r w:rsidRPr="00461311">
        <w:rPr>
          <w:rFonts w:ascii="Arial" w:hAnsi="Arial" w:cs="Arial"/>
          <w:i/>
          <w:iCs/>
          <w:lang w:bidi="bn-IN"/>
        </w:rPr>
        <w:t>European Research on Management and Business Economics</w:t>
      </w:r>
      <w:r w:rsidRPr="00461311">
        <w:rPr>
          <w:rFonts w:ascii="Arial" w:hAnsi="Arial" w:cs="Arial"/>
          <w:lang w:bidi="bn-IN"/>
        </w:rPr>
        <w:t>, 27(3), p. 100153. Available at: https://doi.org/10.1016/j.iedeen.2021.100153.</w:t>
      </w:r>
    </w:p>
    <w:p w14:paraId="3905FCF8" w14:textId="77777777" w:rsidR="00461311" w:rsidRPr="00461311" w:rsidRDefault="00461311" w:rsidP="00461311">
      <w:pPr>
        <w:rPr>
          <w:rFonts w:ascii="Arial" w:hAnsi="Arial" w:cs="Arial"/>
          <w:lang w:bidi="bn-IN"/>
        </w:rPr>
      </w:pPr>
      <w:r w:rsidRPr="00461311">
        <w:rPr>
          <w:rFonts w:ascii="Arial" w:hAnsi="Arial" w:cs="Arial"/>
          <w:lang w:bidi="bn-IN"/>
        </w:rPr>
        <w:lastRenderedPageBreak/>
        <w:t>Sedighi, M. </w:t>
      </w:r>
      <w:r w:rsidRPr="00461311">
        <w:rPr>
          <w:rFonts w:ascii="Arial" w:hAnsi="Arial" w:cs="Arial"/>
          <w:i/>
          <w:iCs/>
          <w:lang w:bidi="bn-IN"/>
        </w:rPr>
        <w:t>et al.</w:t>
      </w:r>
      <w:r w:rsidRPr="00461311">
        <w:rPr>
          <w:rFonts w:ascii="Arial" w:hAnsi="Arial" w:cs="Arial"/>
          <w:lang w:bidi="bn-IN"/>
        </w:rPr>
        <w:t> (2022) ‘Service Delivery and Branding Management in Digital Platforms: Innovation through Brand Extension’, </w:t>
      </w:r>
      <w:r w:rsidRPr="00461311">
        <w:rPr>
          <w:rFonts w:ascii="Arial" w:hAnsi="Arial" w:cs="Arial"/>
          <w:i/>
          <w:iCs/>
          <w:lang w:bidi="bn-IN"/>
        </w:rPr>
        <w:t>Human Behavior and Emerging Technologies</w:t>
      </w:r>
      <w:r w:rsidRPr="00461311">
        <w:rPr>
          <w:rFonts w:ascii="Arial" w:hAnsi="Arial" w:cs="Arial"/>
          <w:lang w:bidi="bn-IN"/>
        </w:rPr>
        <w:t>. Edited by Z. Yan, pp. 1–18. Available at: https://doi.org/10.1155/2022/7159749.</w:t>
      </w:r>
    </w:p>
    <w:p w14:paraId="35C690D5" w14:textId="77777777" w:rsidR="00461311" w:rsidRPr="00461311" w:rsidRDefault="00461311" w:rsidP="00461311">
      <w:pPr>
        <w:rPr>
          <w:rFonts w:ascii="Arial" w:hAnsi="Arial" w:cs="Arial"/>
          <w:lang w:bidi="bn-IN"/>
        </w:rPr>
      </w:pPr>
      <w:r w:rsidRPr="00461311">
        <w:rPr>
          <w:rFonts w:ascii="Arial" w:hAnsi="Arial" w:cs="Arial"/>
          <w:lang w:bidi="bn-IN"/>
        </w:rPr>
        <w:t>Sharma, K. </w:t>
      </w:r>
      <w:r w:rsidRPr="00461311">
        <w:rPr>
          <w:rFonts w:ascii="Arial" w:hAnsi="Arial" w:cs="Arial"/>
          <w:i/>
          <w:iCs/>
          <w:lang w:bidi="bn-IN"/>
        </w:rPr>
        <w:t>et al.</w:t>
      </w:r>
      <w:r w:rsidRPr="00461311">
        <w:rPr>
          <w:rFonts w:ascii="Arial" w:hAnsi="Arial" w:cs="Arial"/>
          <w:lang w:bidi="bn-IN"/>
        </w:rPr>
        <w:t> (2023) ‘Emotions and consumer behaviour: A review and research agenda’, </w:t>
      </w:r>
      <w:r w:rsidRPr="00461311">
        <w:rPr>
          <w:rFonts w:ascii="Arial" w:hAnsi="Arial" w:cs="Arial"/>
          <w:i/>
          <w:iCs/>
          <w:lang w:bidi="bn-IN"/>
        </w:rPr>
        <w:t>International Journal of Consumer Studies</w:t>
      </w:r>
      <w:r w:rsidRPr="00461311">
        <w:rPr>
          <w:rFonts w:ascii="Arial" w:hAnsi="Arial" w:cs="Arial"/>
          <w:lang w:bidi="bn-IN"/>
        </w:rPr>
        <w:t>, 47(6). Available at: https://doi.org/10.1111/ijcs.12937.</w:t>
      </w:r>
    </w:p>
    <w:p w14:paraId="1DAF13F2" w14:textId="77777777" w:rsidR="00461311" w:rsidRPr="00461311" w:rsidRDefault="00461311" w:rsidP="00461311">
      <w:pPr>
        <w:rPr>
          <w:rFonts w:ascii="Arial" w:hAnsi="Arial" w:cs="Arial"/>
          <w:lang w:bidi="bn-IN"/>
        </w:rPr>
      </w:pPr>
      <w:r w:rsidRPr="00461311">
        <w:rPr>
          <w:rFonts w:ascii="Arial" w:hAnsi="Arial" w:cs="Arial"/>
          <w:lang w:bidi="bn-IN"/>
        </w:rPr>
        <w:t>Vidal-Ayuso, F., Akhmedova, A. and Jaca, C. (2023) ‘The circular economy and consumer behaviour: Literature review and research directions’, </w:t>
      </w:r>
      <w:r w:rsidRPr="00461311">
        <w:rPr>
          <w:rFonts w:ascii="Arial" w:hAnsi="Arial" w:cs="Arial"/>
          <w:i/>
          <w:iCs/>
          <w:lang w:bidi="bn-IN"/>
        </w:rPr>
        <w:t>Journal of Cleaner Production</w:t>
      </w:r>
      <w:r w:rsidRPr="00461311">
        <w:rPr>
          <w:rFonts w:ascii="Arial" w:hAnsi="Arial" w:cs="Arial"/>
          <w:lang w:bidi="bn-IN"/>
        </w:rPr>
        <w:t>, 418, p. 137824. Available at: https://doi.org/10.1016/j.jclepro.2023.137824.</w:t>
      </w:r>
    </w:p>
    <w:p w14:paraId="609CF936" w14:textId="77777777" w:rsidR="00461311" w:rsidRPr="00461311" w:rsidRDefault="00461311" w:rsidP="00461311">
      <w:pPr>
        <w:rPr>
          <w:rFonts w:ascii="Arial" w:hAnsi="Arial" w:cs="Arial"/>
          <w:lang w:bidi="bn-IN"/>
        </w:rPr>
      </w:pPr>
      <w:r w:rsidRPr="00461311">
        <w:rPr>
          <w:rFonts w:ascii="Arial" w:hAnsi="Arial" w:cs="Arial"/>
          <w:lang w:bidi="bn-IN"/>
        </w:rPr>
        <w:t>Wichmann, J.R.K. </w:t>
      </w:r>
      <w:r w:rsidRPr="00461311">
        <w:rPr>
          <w:rFonts w:ascii="Arial" w:hAnsi="Arial" w:cs="Arial"/>
          <w:i/>
          <w:iCs/>
          <w:lang w:bidi="bn-IN"/>
        </w:rPr>
        <w:t>et al.</w:t>
      </w:r>
      <w:r w:rsidRPr="00461311">
        <w:rPr>
          <w:rFonts w:ascii="Arial" w:hAnsi="Arial" w:cs="Arial"/>
          <w:lang w:bidi="bn-IN"/>
        </w:rPr>
        <w:t> (2022) ‘A Global Perspective on the Marketing Mix across Time and Space’, </w:t>
      </w:r>
      <w:r w:rsidRPr="00461311">
        <w:rPr>
          <w:rFonts w:ascii="Arial" w:hAnsi="Arial" w:cs="Arial"/>
          <w:i/>
          <w:iCs/>
          <w:lang w:bidi="bn-IN"/>
        </w:rPr>
        <w:t>International Journal of Research in Marketing</w:t>
      </w:r>
      <w:r w:rsidRPr="00461311">
        <w:rPr>
          <w:rFonts w:ascii="Arial" w:hAnsi="Arial" w:cs="Arial"/>
          <w:lang w:bidi="bn-IN"/>
        </w:rPr>
        <w:t>, 39(2), pp. 502–521. Available at: https://doi.org/10.1016/j.ijresmar.2021.09.001.</w:t>
      </w:r>
    </w:p>
    <w:p w14:paraId="22FE3E95" w14:textId="77777777" w:rsidR="00461311" w:rsidRPr="00461311" w:rsidRDefault="00461311" w:rsidP="00461311">
      <w:pPr>
        <w:rPr>
          <w:lang w:val="en-BD" w:eastAsia="en-US" w:bidi="bn-IN"/>
        </w:rPr>
      </w:pPr>
    </w:p>
    <w:sectPr w:rsidR="00461311" w:rsidRPr="00461311" w:rsidSect="00562DF2">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06D4E" w14:textId="77777777" w:rsidR="00F16D7A" w:rsidRDefault="00F16D7A" w:rsidP="00CD3D2B">
      <w:r>
        <w:separator/>
      </w:r>
    </w:p>
  </w:endnote>
  <w:endnote w:type="continuationSeparator" w:id="0">
    <w:p w14:paraId="3F05A78A" w14:textId="77777777" w:rsidR="00F16D7A" w:rsidRDefault="00F16D7A"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B2E33" w14:textId="77777777" w:rsidR="00F16D7A" w:rsidRDefault="00F16D7A" w:rsidP="00CD3D2B">
      <w:r>
        <w:separator/>
      </w:r>
    </w:p>
  </w:footnote>
  <w:footnote w:type="continuationSeparator" w:id="0">
    <w:p w14:paraId="62F7F746" w14:textId="77777777" w:rsidR="00F16D7A" w:rsidRDefault="00F16D7A"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5376"/>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067E7"/>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1311"/>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4AA2"/>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363FC"/>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2129"/>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D754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118"/>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6D7A"/>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8C3790"/>
    <w:pPr>
      <w:keepNext/>
      <w:keepLines/>
      <w:spacing w:before="240" w:after="0"/>
      <w:outlineLvl w:val="0"/>
    </w:pPr>
    <w:rPr>
      <w:rFonts w:cstheme="majorBidi"/>
      <w:b/>
      <w:kern w:val="0"/>
      <w:sz w:val="32"/>
      <w:szCs w:val="32"/>
      <w:lang w:val="en-BD" w:eastAsia="en-US" w:bidi="bn-IN"/>
      <w14:ligatures w14:val="none"/>
    </w:rPr>
  </w:style>
  <w:style w:type="paragraph" w:styleId="Heading2">
    <w:name w:val="heading 2"/>
    <w:basedOn w:val="Normal"/>
    <w:next w:val="Normal"/>
    <w:link w:val="Heading2Char"/>
    <w:uiPriority w:val="9"/>
    <w:unhideWhenUsed/>
    <w:qFormat/>
    <w:rsid w:val="00365FC1"/>
    <w:pPr>
      <w:keepNext/>
      <w:keepLines/>
      <w:spacing w:before="40" w:after="0" w:line="480" w:lineRule="auto"/>
      <w:outlineLvl w:val="1"/>
    </w:pPr>
    <w:rPr>
      <w:rFonts w:eastAsiaTheme="majorEastAsia" w:cstheme="majorBidi"/>
      <w:b/>
      <w:kern w:val="0"/>
      <w:sz w:val="26"/>
      <w:szCs w:val="33"/>
      <w:lang w:val="en-BD"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val="en-BD"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val="en-BD"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val="en-BD"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val="en-BD"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val="en-BD"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29714297">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39272005">
      <w:bodyDiv w:val="1"/>
      <w:marLeft w:val="0"/>
      <w:marRight w:val="0"/>
      <w:marTop w:val="0"/>
      <w:marBottom w:val="0"/>
      <w:divBdr>
        <w:top w:val="none" w:sz="0" w:space="0" w:color="auto"/>
        <w:left w:val="none" w:sz="0" w:space="0" w:color="auto"/>
        <w:bottom w:val="none" w:sz="0" w:space="0" w:color="auto"/>
        <w:right w:val="none" w:sz="0" w:space="0" w:color="auto"/>
      </w:divBdr>
      <w:divsChild>
        <w:div w:id="427388008">
          <w:marLeft w:val="0"/>
          <w:marRight w:val="0"/>
          <w:marTop w:val="0"/>
          <w:marBottom w:val="0"/>
          <w:divBdr>
            <w:top w:val="none" w:sz="0" w:space="0" w:color="auto"/>
            <w:left w:val="none" w:sz="0" w:space="0" w:color="auto"/>
            <w:bottom w:val="none" w:sz="0" w:space="0" w:color="auto"/>
            <w:right w:val="none" w:sz="0" w:space="0" w:color="auto"/>
          </w:divBdr>
        </w:div>
      </w:divsChild>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3073</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2025-12-07T16:00:00Z</dcterms:created>
  <dcterms:modified xsi:type="dcterms:W3CDTF">2025-12-15T16:28:00Z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