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3E7B3" w14:textId="77777777" w:rsidR="006A4333" w:rsidRPr="006A4333" w:rsidRDefault="006A4333" w:rsidP="006A4333">
      <w:pPr>
        <w:shd w:val="clear" w:color="auto" w:fill="FFFFFF"/>
        <w:spacing w:after="0" w:line="240" w:lineRule="auto"/>
        <w:textAlignment w:val="baseline"/>
        <w:outlineLvl w:val="0"/>
        <w:rPr>
          <w:rFonts w:ascii="Georgia" w:eastAsia="Times New Roman" w:hAnsi="Georgia" w:cs="Times New Roman"/>
          <w:color w:val="121212"/>
          <w:kern w:val="36"/>
          <w:sz w:val="48"/>
          <w:szCs w:val="48"/>
        </w:rPr>
      </w:pPr>
      <w:r w:rsidRPr="006A4333">
        <w:rPr>
          <w:rFonts w:ascii="Georgia" w:eastAsia="Times New Roman" w:hAnsi="Georgia" w:cs="Times New Roman"/>
          <w:color w:val="121212"/>
          <w:kern w:val="36"/>
          <w:sz w:val="48"/>
          <w:szCs w:val="48"/>
        </w:rPr>
        <w:t xml:space="preserve">Lloyds, </w:t>
      </w:r>
      <w:proofErr w:type="gramStart"/>
      <w:r w:rsidRPr="006A4333">
        <w:rPr>
          <w:rFonts w:ascii="Georgia" w:eastAsia="Times New Roman" w:hAnsi="Georgia" w:cs="Times New Roman"/>
          <w:color w:val="121212"/>
          <w:kern w:val="36"/>
          <w:sz w:val="48"/>
          <w:szCs w:val="48"/>
        </w:rPr>
        <w:t>Halifax</w:t>
      </w:r>
      <w:proofErr w:type="gramEnd"/>
      <w:r w:rsidRPr="006A4333">
        <w:rPr>
          <w:rFonts w:ascii="Georgia" w:eastAsia="Times New Roman" w:hAnsi="Georgia" w:cs="Times New Roman"/>
          <w:color w:val="121212"/>
          <w:kern w:val="36"/>
          <w:sz w:val="48"/>
          <w:szCs w:val="48"/>
        </w:rPr>
        <w:t xml:space="preserve"> and Bank of Scotland to shut 60 branches</w:t>
      </w:r>
    </w:p>
    <w:p w14:paraId="5D1C7386" w14:textId="77777777" w:rsidR="006A4333" w:rsidRPr="006A4333" w:rsidRDefault="006A4333" w:rsidP="006A4333">
      <w:pPr>
        <w:shd w:val="clear" w:color="auto" w:fill="FFFFFF"/>
        <w:spacing w:line="300" w:lineRule="atLeast"/>
        <w:textAlignment w:val="baseline"/>
        <w:rPr>
          <w:rFonts w:ascii="Georgia" w:eastAsia="Times New Roman" w:hAnsi="Georgia" w:cs="Times New Roman"/>
          <w:b/>
          <w:bCs/>
          <w:color w:val="121212"/>
          <w:sz w:val="27"/>
          <w:szCs w:val="27"/>
        </w:rPr>
      </w:pPr>
      <w:r w:rsidRPr="006A4333">
        <w:rPr>
          <w:rFonts w:ascii="Georgia" w:eastAsia="Times New Roman" w:hAnsi="Georgia" w:cs="Times New Roman"/>
          <w:b/>
          <w:bCs/>
          <w:color w:val="121212"/>
          <w:sz w:val="27"/>
          <w:szCs w:val="27"/>
        </w:rPr>
        <w:t>Union says 124 jobs across UK will be lost, with affected branches closing by end of 2022</w:t>
      </w:r>
    </w:p>
    <w:p w14:paraId="2788D00C" w14:textId="0261E001" w:rsidR="006A4333" w:rsidRPr="006A4333" w:rsidRDefault="006A4333" w:rsidP="006A4333">
      <w:pPr>
        <w:shd w:val="clear" w:color="auto" w:fill="FFFFFF"/>
        <w:spacing w:after="0" w:line="240" w:lineRule="auto"/>
        <w:textAlignment w:val="baseline"/>
        <w:rPr>
          <w:rFonts w:ascii="Times New Roman" w:eastAsia="Times New Roman" w:hAnsi="Times New Roman" w:cs="Times New Roman"/>
          <w:color w:val="121212"/>
          <w:sz w:val="27"/>
          <w:szCs w:val="27"/>
        </w:rPr>
      </w:pPr>
      <w:r w:rsidRPr="006A4333">
        <w:rPr>
          <w:rFonts w:ascii="Times New Roman" w:eastAsia="Times New Roman" w:hAnsi="Times New Roman" w:cs="Times New Roman"/>
          <w:noProof/>
          <w:color w:val="121212"/>
          <w:sz w:val="27"/>
          <w:szCs w:val="27"/>
        </w:rPr>
        <w:drawing>
          <wp:inline distT="0" distB="0" distL="0" distR="0" wp14:anchorId="2E69508C" wp14:editId="1ED23C59">
            <wp:extent cx="1333500" cy="800100"/>
            <wp:effectExtent l="0" t="0" r="0" b="0"/>
            <wp:docPr id="1" name="Picture 1" descr="Customers use ATMs at a branch of Lloyds Bank in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tomers use ATMs at a branch of Lloyds Bank in London"/>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333500" cy="800100"/>
                    </a:xfrm>
                    <a:prstGeom prst="rect">
                      <a:avLst/>
                    </a:prstGeom>
                    <a:noFill/>
                    <a:ln>
                      <a:noFill/>
                    </a:ln>
                  </pic:spPr>
                </pic:pic>
              </a:graphicData>
            </a:graphic>
          </wp:inline>
        </w:drawing>
      </w:r>
    </w:p>
    <w:p w14:paraId="46A21335" w14:textId="77777777" w:rsidR="006A4333" w:rsidRPr="006A4333" w:rsidRDefault="006A4333" w:rsidP="006A4333">
      <w:pPr>
        <w:shd w:val="clear" w:color="auto" w:fill="FFFFFF"/>
        <w:spacing w:after="0" w:line="240" w:lineRule="auto"/>
        <w:textAlignment w:val="baseline"/>
        <w:rPr>
          <w:rFonts w:ascii="Times New Roman" w:eastAsia="Times New Roman" w:hAnsi="Times New Roman" w:cs="Times New Roman"/>
          <w:color w:val="121212"/>
          <w:sz w:val="27"/>
          <w:szCs w:val="27"/>
        </w:rPr>
      </w:pPr>
      <w:r w:rsidRPr="006A4333">
        <w:rPr>
          <w:rFonts w:ascii="Times New Roman" w:eastAsia="Times New Roman" w:hAnsi="Times New Roman" w:cs="Times New Roman"/>
          <w:color w:val="121212"/>
          <w:sz w:val="27"/>
          <w:szCs w:val="27"/>
          <w:bdr w:val="none" w:sz="0" w:space="0" w:color="auto" w:frame="1"/>
        </w:rPr>
        <w:t>The closures will leave Lloyds Banking Group with 1,416 branches. Photograph: Toby Melville/Reuters</w:t>
      </w:r>
    </w:p>
    <w:p w14:paraId="52C7B098" w14:textId="77777777" w:rsidR="006A4333" w:rsidRPr="006A4333" w:rsidRDefault="006A4333" w:rsidP="006A4333">
      <w:pPr>
        <w:spacing w:after="0" w:line="240" w:lineRule="auto"/>
        <w:textAlignment w:val="baseline"/>
        <w:rPr>
          <w:rFonts w:ascii="Georgia" w:eastAsia="Times New Roman" w:hAnsi="Georgia" w:cs="Times New Roman"/>
          <w:i/>
          <w:iCs/>
          <w:color w:val="C70000"/>
          <w:sz w:val="24"/>
          <w:szCs w:val="24"/>
        </w:rPr>
      </w:pPr>
      <w:hyperlink r:id="rId6" w:history="1">
        <w:r w:rsidRPr="006A4333">
          <w:rPr>
            <w:rFonts w:ascii="inherit" w:eastAsia="Times New Roman" w:hAnsi="inherit" w:cs="Times New Roman"/>
            <w:b/>
            <w:bCs/>
            <w:color w:val="C70000"/>
            <w:sz w:val="24"/>
            <w:szCs w:val="24"/>
            <w:u w:val="single"/>
            <w:bdr w:val="none" w:sz="0" w:space="0" w:color="auto" w:frame="1"/>
          </w:rPr>
          <w:t>Jasper Jolly</w:t>
        </w:r>
      </w:hyperlink>
    </w:p>
    <w:p w14:paraId="51CE96FA" w14:textId="77777777" w:rsidR="006A4333" w:rsidRPr="006A4333" w:rsidRDefault="006A4333" w:rsidP="006A4333">
      <w:pPr>
        <w:spacing w:after="0" w:line="240" w:lineRule="auto"/>
        <w:textAlignment w:val="baseline"/>
        <w:rPr>
          <w:rFonts w:ascii="Helvetica" w:eastAsia="Times New Roman" w:hAnsi="Helvetica" w:cs="Helvetica"/>
          <w:b/>
          <w:bCs/>
          <w:i/>
          <w:iCs/>
          <w:color w:val="707070"/>
          <w:sz w:val="24"/>
          <w:szCs w:val="24"/>
        </w:rPr>
      </w:pPr>
      <w:hyperlink r:id="rId7" w:history="1">
        <w:r w:rsidRPr="006A4333">
          <w:rPr>
            <w:rFonts w:ascii="Helvetica" w:eastAsia="Times New Roman" w:hAnsi="Helvetica" w:cs="Helvetica"/>
            <w:b/>
            <w:bCs/>
            <w:i/>
            <w:iCs/>
            <w:color w:val="707070"/>
            <w:sz w:val="24"/>
            <w:szCs w:val="24"/>
            <w:u w:val="single"/>
            <w:bdr w:val="none" w:sz="0" w:space="0" w:color="auto" w:frame="1"/>
          </w:rPr>
          <w:t>@</w:t>
        </w:r>
        <w:proofErr w:type="gramStart"/>
        <w:r w:rsidRPr="006A4333">
          <w:rPr>
            <w:rFonts w:ascii="Helvetica" w:eastAsia="Times New Roman" w:hAnsi="Helvetica" w:cs="Helvetica"/>
            <w:b/>
            <w:bCs/>
            <w:i/>
            <w:iCs/>
            <w:color w:val="707070"/>
            <w:sz w:val="24"/>
            <w:szCs w:val="24"/>
            <w:u w:val="single"/>
            <w:bdr w:val="none" w:sz="0" w:space="0" w:color="auto" w:frame="1"/>
          </w:rPr>
          <w:t>jjpjolly</w:t>
        </w:r>
        <w:proofErr w:type="gramEnd"/>
      </w:hyperlink>
    </w:p>
    <w:p w14:paraId="7D82D3E7" w14:textId="77777777" w:rsidR="006A4333" w:rsidRPr="006A4333" w:rsidRDefault="006A4333" w:rsidP="006A4333">
      <w:pPr>
        <w:spacing w:after="0" w:line="240" w:lineRule="auto"/>
        <w:textAlignment w:val="baseline"/>
        <w:rPr>
          <w:rFonts w:ascii="Times New Roman" w:eastAsia="Times New Roman" w:hAnsi="Times New Roman" w:cs="Times New Roman"/>
          <w:sz w:val="24"/>
          <w:szCs w:val="24"/>
        </w:rPr>
      </w:pPr>
      <w:r w:rsidRPr="006A4333">
        <w:rPr>
          <w:rFonts w:ascii="Times New Roman" w:eastAsia="Times New Roman" w:hAnsi="Times New Roman" w:cs="Times New Roman"/>
          <w:sz w:val="24"/>
          <w:szCs w:val="24"/>
        </w:rPr>
        <w:t>Wed 23 Mar 2022 13.17 GMT</w:t>
      </w:r>
    </w:p>
    <w:p w14:paraId="1F083204" w14:textId="77777777" w:rsidR="006A4333" w:rsidRPr="006A4333" w:rsidRDefault="006A4333" w:rsidP="006A4333">
      <w:pPr>
        <w:numPr>
          <w:ilvl w:val="0"/>
          <w:numId w:val="1"/>
        </w:numPr>
        <w:spacing w:after="0" w:line="240" w:lineRule="auto"/>
        <w:textAlignment w:val="baseline"/>
        <w:rPr>
          <w:rFonts w:ascii="Times New Roman" w:eastAsia="Times New Roman" w:hAnsi="Times New Roman" w:cs="Times New Roman"/>
          <w:sz w:val="24"/>
          <w:szCs w:val="24"/>
        </w:rPr>
      </w:pPr>
    </w:p>
    <w:p w14:paraId="187388EA" w14:textId="77777777" w:rsidR="006A4333" w:rsidRPr="006A4333" w:rsidRDefault="006A4333" w:rsidP="006A4333">
      <w:pPr>
        <w:numPr>
          <w:ilvl w:val="0"/>
          <w:numId w:val="1"/>
        </w:numPr>
        <w:spacing w:after="0" w:line="240" w:lineRule="auto"/>
        <w:textAlignment w:val="baseline"/>
        <w:rPr>
          <w:rFonts w:ascii="Times New Roman" w:eastAsia="Times New Roman" w:hAnsi="Times New Roman" w:cs="Times New Roman"/>
          <w:sz w:val="24"/>
          <w:szCs w:val="24"/>
        </w:rPr>
      </w:pPr>
    </w:p>
    <w:p w14:paraId="23583B19" w14:textId="77777777" w:rsidR="006A4333" w:rsidRPr="006A4333" w:rsidRDefault="006A4333" w:rsidP="006A4333">
      <w:pPr>
        <w:numPr>
          <w:ilvl w:val="0"/>
          <w:numId w:val="1"/>
        </w:numPr>
        <w:spacing w:after="90" w:line="240" w:lineRule="auto"/>
        <w:textAlignment w:val="baseline"/>
        <w:rPr>
          <w:rFonts w:ascii="Times New Roman" w:eastAsia="Times New Roman" w:hAnsi="Times New Roman" w:cs="Times New Roman"/>
          <w:sz w:val="24"/>
          <w:szCs w:val="24"/>
        </w:rPr>
      </w:pPr>
    </w:p>
    <w:p w14:paraId="0ADFE981" w14:textId="77777777" w:rsidR="006A4333" w:rsidRPr="006A4333" w:rsidRDefault="006A4333" w:rsidP="006A4333">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6A4333">
        <w:rPr>
          <w:rFonts w:ascii="Georgia" w:eastAsia="Times New Roman" w:hAnsi="Georgia" w:cs="Times New Roman"/>
          <w:color w:val="121212"/>
          <w:sz w:val="27"/>
          <w:szCs w:val="27"/>
        </w:rPr>
        <w:t>Lloyds Banking Group has announced it will shut another 60 branches across the UK, in the latest example of the rapid decline of lenders on the high street.</w:t>
      </w:r>
    </w:p>
    <w:p w14:paraId="4B0DAEEA" w14:textId="77777777" w:rsidR="006A4333" w:rsidRPr="006A4333" w:rsidRDefault="006A4333" w:rsidP="006A4333">
      <w:pPr>
        <w:shd w:val="clear" w:color="auto" w:fill="FFFFFF"/>
        <w:spacing w:beforeAutospacing="1" w:after="0" w:afterAutospacing="1" w:line="240" w:lineRule="auto"/>
        <w:textAlignment w:val="baseline"/>
        <w:rPr>
          <w:rFonts w:ascii="Georgia" w:eastAsia="Times New Roman" w:hAnsi="Georgia" w:cs="Times New Roman"/>
          <w:color w:val="121212"/>
          <w:sz w:val="27"/>
          <w:szCs w:val="27"/>
        </w:rPr>
      </w:pPr>
      <w:r w:rsidRPr="006A4333">
        <w:rPr>
          <w:rFonts w:ascii="Georgia" w:eastAsia="Times New Roman" w:hAnsi="Georgia" w:cs="Times New Roman"/>
          <w:color w:val="121212"/>
          <w:sz w:val="27"/>
          <w:szCs w:val="27"/>
        </w:rPr>
        <w:t>The closures consist of 24 branches of Lloyds Bank, 19 Bank of Scotland and 17 from the Halifax brand, resulting in the group cutting more than 150 from its network </w:t>
      </w:r>
      <w:hyperlink r:id="rId8" w:history="1">
        <w:r w:rsidRPr="006A4333">
          <w:rPr>
            <w:rFonts w:ascii="Georgia" w:eastAsia="Times New Roman" w:hAnsi="Georgia" w:cs="Times New Roman"/>
            <w:color w:val="C70000"/>
            <w:sz w:val="27"/>
            <w:szCs w:val="27"/>
            <w:u w:val="single"/>
            <w:bdr w:val="none" w:sz="0" w:space="0" w:color="auto" w:frame="1"/>
          </w:rPr>
          <w:t>since June 2021</w:t>
        </w:r>
      </w:hyperlink>
      <w:r w:rsidRPr="006A4333">
        <w:rPr>
          <w:rFonts w:ascii="Georgia" w:eastAsia="Times New Roman" w:hAnsi="Georgia" w:cs="Times New Roman"/>
          <w:color w:val="121212"/>
          <w:sz w:val="27"/>
          <w:szCs w:val="27"/>
        </w:rPr>
        <w:t>.</w:t>
      </w:r>
    </w:p>
    <w:p w14:paraId="66FC118F" w14:textId="77777777" w:rsidR="006A4333" w:rsidRPr="006A4333" w:rsidRDefault="006A4333" w:rsidP="006A4333">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6A4333">
        <w:rPr>
          <w:rFonts w:ascii="Georgia" w:eastAsia="Times New Roman" w:hAnsi="Georgia" w:cs="Times New Roman"/>
          <w:color w:val="121212"/>
          <w:sz w:val="27"/>
          <w:szCs w:val="27"/>
        </w:rPr>
        <w:t>The move will result in 124 job losses, according to Unite, the union representing the banks’ workers. The affected branches will close by the end of the year, leaving the group with 1,416.</w:t>
      </w:r>
    </w:p>
    <w:p w14:paraId="6F3A90E2" w14:textId="77777777" w:rsidR="006A4333" w:rsidRPr="006A4333" w:rsidRDefault="006A4333" w:rsidP="006A4333">
      <w:pPr>
        <w:shd w:val="clear" w:color="auto" w:fill="FFFFFF"/>
        <w:spacing w:beforeAutospacing="1" w:after="0" w:afterAutospacing="1" w:line="240" w:lineRule="auto"/>
        <w:textAlignment w:val="baseline"/>
        <w:rPr>
          <w:rFonts w:ascii="Georgia" w:eastAsia="Times New Roman" w:hAnsi="Georgia" w:cs="Times New Roman"/>
          <w:color w:val="121212"/>
          <w:sz w:val="27"/>
          <w:szCs w:val="27"/>
        </w:rPr>
      </w:pPr>
      <w:r w:rsidRPr="006A4333">
        <w:rPr>
          <w:rFonts w:ascii="Georgia" w:eastAsia="Times New Roman" w:hAnsi="Georgia" w:cs="Times New Roman"/>
          <w:color w:val="121212"/>
          <w:sz w:val="27"/>
          <w:szCs w:val="27"/>
        </w:rPr>
        <w:t>Lloyds </w:t>
      </w:r>
      <w:hyperlink r:id="rId9" w:history="1">
        <w:r w:rsidRPr="006A4333">
          <w:rPr>
            <w:rFonts w:ascii="Georgia" w:eastAsia="Times New Roman" w:hAnsi="Georgia" w:cs="Times New Roman"/>
            <w:color w:val="C70000"/>
            <w:sz w:val="27"/>
            <w:szCs w:val="27"/>
            <w:u w:val="single"/>
            <w:bdr w:val="none" w:sz="0" w:space="0" w:color="auto" w:frame="1"/>
          </w:rPr>
          <w:t>Banking</w:t>
        </w:r>
      </w:hyperlink>
      <w:r w:rsidRPr="006A4333">
        <w:rPr>
          <w:rFonts w:ascii="Georgia" w:eastAsia="Times New Roman" w:hAnsi="Georgia" w:cs="Times New Roman"/>
          <w:color w:val="121212"/>
          <w:sz w:val="27"/>
          <w:szCs w:val="27"/>
        </w:rPr>
        <w:t> Group, which controls Britain’s largest high street network, cited record usage of online banking in 2022 as the reason for the closures, as almost all of the UK’s large banking groups have done when closing branches.</w:t>
      </w:r>
    </w:p>
    <w:p w14:paraId="34D52A8F" w14:textId="77777777" w:rsidR="006A4333" w:rsidRPr="006A4333" w:rsidRDefault="006A4333" w:rsidP="006A4333">
      <w:pPr>
        <w:shd w:val="clear" w:color="auto" w:fill="F6F6F6"/>
        <w:spacing w:after="0" w:line="240" w:lineRule="auto"/>
        <w:textAlignment w:val="baseline"/>
        <w:rPr>
          <w:rFonts w:ascii="Helvetica" w:eastAsia="Times New Roman" w:hAnsi="Helvetica" w:cs="Helvetica"/>
          <w:color w:val="707070"/>
          <w:sz w:val="27"/>
          <w:szCs w:val="27"/>
        </w:rPr>
      </w:pPr>
      <w:r w:rsidRPr="006A4333">
        <w:rPr>
          <w:rFonts w:ascii="Helvetica" w:eastAsia="Times New Roman" w:hAnsi="Helvetica" w:cs="Helvetica"/>
          <w:color w:val="707070"/>
          <w:sz w:val="27"/>
          <w:szCs w:val="27"/>
        </w:rPr>
        <w:t>Advertisement</w:t>
      </w:r>
    </w:p>
    <w:p w14:paraId="70CE7E8C" w14:textId="77777777" w:rsidR="006A4333" w:rsidRPr="006A4333" w:rsidRDefault="006A4333" w:rsidP="006A4333">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6A4333">
        <w:rPr>
          <w:rFonts w:ascii="Georgia" w:eastAsia="Times New Roman" w:hAnsi="Georgia" w:cs="Times New Roman"/>
          <w:color w:val="121212"/>
          <w:sz w:val="27"/>
          <w:szCs w:val="27"/>
        </w:rPr>
        <w:t>Lloyds said it had 18.6 million regular online banking customers and more than 15 million mobile app users across its brands – increases of 12% and 27% respectively over the past two years.</w:t>
      </w:r>
    </w:p>
    <w:p w14:paraId="3CD9AF74" w14:textId="77777777" w:rsidR="006A4333" w:rsidRPr="006A4333" w:rsidRDefault="006A4333" w:rsidP="006A4333">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6A4333">
        <w:rPr>
          <w:rFonts w:ascii="Georgia" w:eastAsia="Times New Roman" w:hAnsi="Georgia" w:cs="Times New Roman"/>
          <w:color w:val="121212"/>
          <w:sz w:val="27"/>
          <w:szCs w:val="27"/>
        </w:rPr>
        <w:t>Banking analysts said the closures of less-visited branches were all but inevitable as their profitability continued to fall owing to an increasing number of transactions.</w:t>
      </w:r>
    </w:p>
    <w:p w14:paraId="062CD2E1" w14:textId="77777777" w:rsidR="006A4333" w:rsidRPr="006A4333" w:rsidRDefault="006A4333" w:rsidP="006A4333">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6A4333">
        <w:rPr>
          <w:rFonts w:ascii="Georgia" w:eastAsia="Times New Roman" w:hAnsi="Georgia" w:cs="Times New Roman"/>
          <w:color w:val="121212"/>
          <w:sz w:val="27"/>
          <w:szCs w:val="27"/>
        </w:rPr>
        <w:lastRenderedPageBreak/>
        <w:t>The Covid pandemic accelerated the shift to digital banking by forcing many customers to use online apps for the first time.</w:t>
      </w:r>
    </w:p>
    <w:p w14:paraId="00A2BE22" w14:textId="77777777" w:rsidR="006A4333" w:rsidRPr="006A4333" w:rsidRDefault="006A4333" w:rsidP="006A4333">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6A4333">
        <w:rPr>
          <w:rFonts w:ascii="Georgia" w:eastAsia="Times New Roman" w:hAnsi="Georgia" w:cs="Times New Roman"/>
          <w:color w:val="121212"/>
          <w:sz w:val="27"/>
          <w:szCs w:val="27"/>
        </w:rPr>
        <w:t>Yet some politicians and worker representatives worry that the banks risk abandoning customers, particularly among the elderly, who do not have the digital skills to manage their money online.</w:t>
      </w:r>
    </w:p>
    <w:p w14:paraId="7E64E142" w14:textId="77777777" w:rsidR="006A4333" w:rsidRPr="006A4333" w:rsidRDefault="006A4333" w:rsidP="006A4333">
      <w:pPr>
        <w:shd w:val="clear" w:color="auto" w:fill="FFFFFF"/>
        <w:spacing w:beforeAutospacing="1" w:after="0" w:afterAutospacing="1" w:line="240" w:lineRule="auto"/>
        <w:textAlignment w:val="baseline"/>
        <w:rPr>
          <w:rFonts w:ascii="Georgia" w:eastAsia="Times New Roman" w:hAnsi="Georgia" w:cs="Times New Roman"/>
          <w:color w:val="121212"/>
          <w:sz w:val="27"/>
          <w:szCs w:val="27"/>
        </w:rPr>
      </w:pPr>
      <w:hyperlink r:id="rId10" w:history="1">
        <w:r w:rsidRPr="006A4333">
          <w:rPr>
            <w:rFonts w:ascii="Georgia" w:eastAsia="Times New Roman" w:hAnsi="Georgia" w:cs="Times New Roman"/>
            <w:color w:val="C70000"/>
            <w:sz w:val="27"/>
            <w:szCs w:val="27"/>
            <w:u w:val="single"/>
            <w:bdr w:val="none" w:sz="0" w:space="0" w:color="auto" w:frame="1"/>
          </w:rPr>
          <w:t>UK banks closed 4,735 branches since 2015</w:t>
        </w:r>
      </w:hyperlink>
      <w:r w:rsidRPr="006A4333">
        <w:rPr>
          <w:rFonts w:ascii="Georgia" w:eastAsia="Times New Roman" w:hAnsi="Georgia" w:cs="Times New Roman"/>
          <w:color w:val="121212"/>
          <w:sz w:val="27"/>
          <w:szCs w:val="27"/>
        </w:rPr>
        <w:t> by December 2021 – almost half of the total – according to figures from the Which? consumer group.</w:t>
      </w:r>
    </w:p>
    <w:p w14:paraId="7F22A90B" w14:textId="77777777" w:rsidR="006A4333" w:rsidRPr="006A4333" w:rsidRDefault="006A4333" w:rsidP="006A4333">
      <w:pPr>
        <w:shd w:val="clear" w:color="auto" w:fill="FFFFFF"/>
        <w:wordWrap w:val="0"/>
        <w:spacing w:after="0" w:line="240" w:lineRule="auto"/>
        <w:textAlignment w:val="baseline"/>
        <w:rPr>
          <w:rFonts w:ascii="Helvetica" w:eastAsia="Times New Roman" w:hAnsi="Helvetica" w:cs="Helvetica"/>
          <w:color w:val="707070"/>
          <w:sz w:val="27"/>
          <w:szCs w:val="27"/>
        </w:rPr>
      </w:pPr>
      <w:r w:rsidRPr="006A4333">
        <w:rPr>
          <w:rFonts w:ascii="Helvetica" w:eastAsia="Times New Roman" w:hAnsi="Helvetica" w:cs="Helvetica"/>
          <w:color w:val="707070"/>
          <w:sz w:val="27"/>
          <w:szCs w:val="27"/>
        </w:rPr>
        <w:t>Sign up to the daily Business Today email or follow Guardian Business on Twitter at @BusinessDesk</w:t>
      </w:r>
    </w:p>
    <w:p w14:paraId="6FBC1157" w14:textId="77777777" w:rsidR="006A4333" w:rsidRPr="006A4333" w:rsidRDefault="006A4333" w:rsidP="006A4333">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6A4333">
        <w:rPr>
          <w:rFonts w:ascii="Georgia" w:eastAsia="Times New Roman" w:hAnsi="Georgia" w:cs="Times New Roman"/>
          <w:color w:val="121212"/>
          <w:sz w:val="27"/>
          <w:szCs w:val="27"/>
        </w:rPr>
        <w:t>Caren Evans, a national officer with the Unite union, said: “Lloyds Banking Group must not be allowed to abandon 60 more local communities where bank branches play an essential role.</w:t>
      </w:r>
    </w:p>
    <w:p w14:paraId="1CF22AAC" w14:textId="77777777" w:rsidR="006A4333" w:rsidRPr="006A4333" w:rsidRDefault="006A4333" w:rsidP="006A4333">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6A4333">
        <w:rPr>
          <w:rFonts w:ascii="Georgia" w:eastAsia="Times New Roman" w:hAnsi="Georgia" w:cs="Times New Roman"/>
          <w:color w:val="121212"/>
          <w:sz w:val="27"/>
          <w:szCs w:val="27"/>
        </w:rPr>
        <w:t>“The banking sector needs to answer some serious questions about its corporate social responsibilities and the government cannot stand back and allow the relentless closure of banks to continue until no more local banking services remain.”</w:t>
      </w:r>
    </w:p>
    <w:p w14:paraId="115BC9E6" w14:textId="77777777" w:rsidR="006A4333" w:rsidRPr="006A4333" w:rsidRDefault="006A4333" w:rsidP="006A4333">
      <w:pPr>
        <w:shd w:val="clear" w:color="auto" w:fill="F6F6F6"/>
        <w:spacing w:after="0" w:line="240" w:lineRule="auto"/>
        <w:textAlignment w:val="baseline"/>
        <w:rPr>
          <w:rFonts w:ascii="Helvetica" w:eastAsia="Times New Roman" w:hAnsi="Helvetica" w:cs="Helvetica"/>
          <w:color w:val="707070"/>
          <w:sz w:val="27"/>
          <w:szCs w:val="27"/>
        </w:rPr>
      </w:pPr>
      <w:r w:rsidRPr="006A4333">
        <w:rPr>
          <w:rFonts w:ascii="Helvetica" w:eastAsia="Times New Roman" w:hAnsi="Helvetica" w:cs="Helvetica"/>
          <w:color w:val="707070"/>
          <w:sz w:val="27"/>
          <w:szCs w:val="27"/>
        </w:rPr>
        <w:t>Advertisement</w:t>
      </w:r>
    </w:p>
    <w:p w14:paraId="095D45FD" w14:textId="77777777" w:rsidR="006A4333" w:rsidRPr="006A4333" w:rsidRDefault="006A4333" w:rsidP="006A4333">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6A4333">
        <w:rPr>
          <w:rFonts w:ascii="Georgia" w:eastAsia="Times New Roman" w:hAnsi="Georgia" w:cs="Times New Roman"/>
          <w:color w:val="121212"/>
          <w:sz w:val="27"/>
          <w:szCs w:val="27"/>
        </w:rPr>
        <w:t xml:space="preserve">Vim Maru, Lloyds Banking Group’s group retail director, said: “Just like many other high street businesses, fewer customers are choosing to visit our branches. Our branch network is an important way for us to support our </w:t>
      </w:r>
      <w:proofErr w:type="gramStart"/>
      <w:r w:rsidRPr="006A4333">
        <w:rPr>
          <w:rFonts w:ascii="Georgia" w:eastAsia="Times New Roman" w:hAnsi="Georgia" w:cs="Times New Roman"/>
          <w:color w:val="121212"/>
          <w:sz w:val="27"/>
          <w:szCs w:val="27"/>
        </w:rPr>
        <w:t>customers</w:t>
      </w:r>
      <w:proofErr w:type="gramEnd"/>
      <w:r w:rsidRPr="006A4333">
        <w:rPr>
          <w:rFonts w:ascii="Georgia" w:eastAsia="Times New Roman" w:hAnsi="Georgia" w:cs="Times New Roman"/>
          <w:color w:val="121212"/>
          <w:sz w:val="27"/>
          <w:szCs w:val="27"/>
        </w:rPr>
        <w:t xml:space="preserve"> but we need to adapt to the significant growth in customers choosing to do most of their everyday banking online.”</w:t>
      </w:r>
    </w:p>
    <w:p w14:paraId="284491B9" w14:textId="13C2B4C8" w:rsidR="006A4333" w:rsidRDefault="006A4333"/>
    <w:p w14:paraId="2F9E1321" w14:textId="5E50B4D9" w:rsidR="00A43864" w:rsidRDefault="00A43864"/>
    <w:p w14:paraId="5DFEF882" w14:textId="3999F690" w:rsidR="00A43864" w:rsidRDefault="00A43864" w:rsidP="00A43864">
      <w:pPr>
        <w:rPr>
          <w:color w:val="000000"/>
          <w:sz w:val="27"/>
          <w:szCs w:val="27"/>
        </w:rPr>
      </w:pPr>
      <w:r>
        <w:rPr>
          <w:noProof/>
          <w:color w:val="000000"/>
          <w:sz w:val="27"/>
          <w:szCs w:val="27"/>
        </w:rPr>
        <w:lastRenderedPageBreak/>
        <w:drawing>
          <wp:inline distT="0" distB="0" distL="0" distR="0" wp14:anchorId="14B42513" wp14:editId="48427BF3">
            <wp:extent cx="5731510" cy="4298950"/>
            <wp:effectExtent l="0" t="0" r="2540" b="6350"/>
            <wp:docPr id="2" name="Picture 2" descr="A horse jumping through a window&#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horse jumping through a window&#10;&#10;Description automatically generated with low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19906C52" w14:textId="77777777" w:rsidR="00A43864" w:rsidRDefault="00A43864" w:rsidP="00A43864">
      <w:pPr>
        <w:spacing w:line="300" w:lineRule="atLeast"/>
        <w:rPr>
          <w:rFonts w:ascii="Metric" w:hAnsi="Metric"/>
          <w:color w:val="000000"/>
          <w:sz w:val="27"/>
          <w:szCs w:val="27"/>
        </w:rPr>
      </w:pPr>
      <w:hyperlink r:id="rId12" w:history="1">
        <w:r>
          <w:rPr>
            <w:rStyle w:val="specialistheadertaglabel"/>
            <w:rFonts w:ascii="Metric" w:hAnsi="Metric"/>
            <w:b/>
            <w:bCs/>
            <w:caps/>
            <w:color w:val="000000"/>
            <w:sz w:val="27"/>
            <w:szCs w:val="27"/>
          </w:rPr>
          <w:t>COMPANIES</w:t>
        </w:r>
      </w:hyperlink>
    </w:p>
    <w:p w14:paraId="54983824" w14:textId="77777777" w:rsidR="00A43864" w:rsidRDefault="00A43864" w:rsidP="00A43864">
      <w:pPr>
        <w:pStyle w:val="Heading1"/>
        <w:spacing w:before="0" w:beforeAutospacing="0" w:after="300" w:afterAutospacing="0" w:line="570" w:lineRule="atLeast"/>
        <w:rPr>
          <w:rFonts w:ascii="Financier Display Semibold" w:hAnsi="Financier Display Semibold"/>
          <w:color w:val="182323"/>
          <w:sz w:val="57"/>
          <w:szCs w:val="57"/>
        </w:rPr>
      </w:pPr>
      <w:r>
        <w:rPr>
          <w:rFonts w:ascii="Financier Display Semibold" w:hAnsi="Financier Display Semibold"/>
          <w:color w:val="182323"/>
          <w:sz w:val="57"/>
          <w:szCs w:val="57"/>
        </w:rPr>
        <w:t>Lloyds Banking underwhelms on profits miss</w:t>
      </w:r>
    </w:p>
    <w:p w14:paraId="6EAE9950" w14:textId="77777777" w:rsidR="00A43864" w:rsidRDefault="00A43864" w:rsidP="00A43864">
      <w:pPr>
        <w:spacing w:line="300" w:lineRule="atLeast"/>
        <w:rPr>
          <w:rFonts w:ascii="Metric" w:hAnsi="Metric"/>
          <w:color w:val="182323"/>
          <w:sz w:val="30"/>
          <w:szCs w:val="30"/>
        </w:rPr>
      </w:pPr>
      <w:r>
        <w:rPr>
          <w:rFonts w:ascii="Metric" w:hAnsi="Metric"/>
          <w:color w:val="182323"/>
          <w:sz w:val="30"/>
          <w:szCs w:val="30"/>
        </w:rPr>
        <w:t>The Black Horse’s results underline how its past is an obstacle to meaningful growth</w:t>
      </w:r>
    </w:p>
    <w:p w14:paraId="3B3C82E8" w14:textId="77777777" w:rsidR="00A43864" w:rsidRDefault="00A43864" w:rsidP="00A43864">
      <w:pPr>
        <w:spacing w:line="300" w:lineRule="atLeast"/>
        <w:rPr>
          <w:rFonts w:ascii="Metric" w:hAnsi="Metric"/>
          <w:color w:val="000000"/>
          <w:sz w:val="27"/>
          <w:szCs w:val="27"/>
        </w:rPr>
      </w:pPr>
      <w:r>
        <w:rPr>
          <w:rFonts w:ascii="Metric" w:hAnsi="Metric"/>
          <w:color w:val="000000"/>
          <w:sz w:val="27"/>
          <w:szCs w:val="27"/>
        </w:rPr>
        <w:t>February 24, 2022</w:t>
      </w:r>
    </w:p>
    <w:p w14:paraId="1B76C70A" w14:textId="77777777" w:rsidR="00A43864" w:rsidRDefault="00A43864" w:rsidP="00A43864">
      <w:pPr>
        <w:spacing w:line="300" w:lineRule="atLeast"/>
        <w:rPr>
          <w:rFonts w:ascii="Metric" w:hAnsi="Metric"/>
          <w:color w:val="000000"/>
          <w:sz w:val="27"/>
          <w:szCs w:val="27"/>
        </w:rPr>
      </w:pPr>
      <w:r>
        <w:rPr>
          <w:rFonts w:ascii="Metric" w:hAnsi="Metric"/>
          <w:color w:val="000000"/>
          <w:sz w:val="27"/>
          <w:szCs w:val="27"/>
        </w:rPr>
        <w:t>By </w:t>
      </w:r>
      <w:hyperlink r:id="rId13" w:history="1">
        <w:r>
          <w:rPr>
            <w:rStyle w:val="Hyperlink"/>
            <w:rFonts w:ascii="Metric" w:hAnsi="Metric"/>
            <w:b/>
            <w:bCs/>
            <w:color w:val="182323"/>
            <w:sz w:val="27"/>
            <w:szCs w:val="27"/>
          </w:rPr>
          <w:t>Julian Hofmann</w:t>
        </w:r>
      </w:hyperlink>
    </w:p>
    <w:p w14:paraId="5DED3DF9" w14:textId="77777777" w:rsidR="00A43864" w:rsidRDefault="00A43864" w:rsidP="00A43864">
      <w:pPr>
        <w:pStyle w:val="NormalWeb"/>
        <w:spacing w:before="450" w:beforeAutospacing="0" w:after="450" w:afterAutospacing="0" w:line="555" w:lineRule="atLeast"/>
        <w:rPr>
          <w:rFonts w:ascii="Financier Text" w:hAnsi="Financier Text"/>
          <w:color w:val="0B0B0B"/>
          <w:sz w:val="32"/>
          <w:szCs w:val="32"/>
        </w:rPr>
      </w:pPr>
      <w:r>
        <w:rPr>
          <w:rFonts w:ascii="Financier Text" w:hAnsi="Financier Text"/>
          <w:color w:val="0B0B0B"/>
          <w:sz w:val="32"/>
          <w:szCs w:val="32"/>
        </w:rPr>
        <w:t>On a jittery day across all markets, </w:t>
      </w:r>
      <w:r>
        <w:rPr>
          <w:rStyle w:val="Strong"/>
          <w:rFonts w:ascii="Financier Text" w:hAnsi="Financier Text"/>
          <w:color w:val="0B0B0B"/>
          <w:sz w:val="32"/>
          <w:szCs w:val="32"/>
        </w:rPr>
        <w:t>Lloyds Banking's (LLOY)</w:t>
      </w:r>
      <w:r>
        <w:rPr>
          <w:rFonts w:ascii="Financier Text" w:hAnsi="Financier Text"/>
          <w:color w:val="0B0B0B"/>
          <w:sz w:val="32"/>
          <w:szCs w:val="32"/>
        </w:rPr>
        <w:t xml:space="preserve"> shares suffered the double effect of investors generally running for the exits at the same time as managing to undershoot consensus estimates for its pre-tax profits. These </w:t>
      </w:r>
      <w:r>
        <w:rPr>
          <w:rFonts w:ascii="Financier Text" w:hAnsi="Financier Text"/>
          <w:color w:val="0B0B0B"/>
          <w:sz w:val="32"/>
          <w:szCs w:val="32"/>
        </w:rPr>
        <w:lastRenderedPageBreak/>
        <w:t>came in at £6.9bn, slightly less than the £7.2bn that the market had been expecting. The culprit was the bank’s usual mix of difficult to control operating costs and legacy issues generating unexpected exceptional charges.</w:t>
      </w:r>
    </w:p>
    <w:p w14:paraId="716F68DF" w14:textId="77777777" w:rsidR="00A43864" w:rsidRDefault="00A43864" w:rsidP="00A43864">
      <w:pPr>
        <w:rPr>
          <w:rStyle w:val="Hyperlink"/>
          <w:rFonts w:ascii="Arial" w:hAnsi="Arial" w:cs="Arial"/>
          <w:sz w:val="15"/>
          <w:szCs w:val="15"/>
          <w:u w:val="none"/>
        </w:rPr>
      </w:pPr>
      <w:r>
        <w:rPr>
          <w:rFonts w:ascii="Arial" w:hAnsi="Arial" w:cs="Arial"/>
          <w:color w:val="182323"/>
          <w:sz w:val="15"/>
          <w:szCs w:val="15"/>
        </w:rPr>
        <w:fldChar w:fldCharType="begin"/>
      </w:r>
      <w:r>
        <w:rPr>
          <w:rFonts w:ascii="Arial" w:hAnsi="Arial" w:cs="Arial"/>
          <w:color w:val="182323"/>
          <w:sz w:val="15"/>
          <w:szCs w:val="15"/>
        </w:rPr>
        <w:instrText xml:space="preserve"> HYPERLINK "http://markets.investorschronicle.co.uk/research/Markets/Companies/Summary?s=LLOY:LSE" </w:instrText>
      </w:r>
      <w:r>
        <w:rPr>
          <w:rFonts w:ascii="Arial" w:hAnsi="Arial" w:cs="Arial"/>
          <w:color w:val="182323"/>
          <w:sz w:val="15"/>
          <w:szCs w:val="15"/>
        </w:rPr>
        <w:fldChar w:fldCharType="separate"/>
      </w:r>
    </w:p>
    <w:p w14:paraId="5A173709" w14:textId="77777777" w:rsidR="00A43864" w:rsidRDefault="00A43864" w:rsidP="00A43864">
      <w:pPr>
        <w:pStyle w:val="Heading4"/>
        <w:spacing w:before="0" w:line="585" w:lineRule="atLeast"/>
        <w:rPr>
          <w:rFonts w:ascii="Metric" w:hAnsi="Metric"/>
          <w:color w:val="182323"/>
          <w:sz w:val="45"/>
          <w:szCs w:val="45"/>
        </w:rPr>
      </w:pPr>
      <w:proofErr w:type="gramStart"/>
      <w:r>
        <w:rPr>
          <w:rFonts w:ascii="Metric" w:hAnsi="Metric" w:cs="Arial"/>
          <w:color w:val="182323"/>
          <w:sz w:val="45"/>
          <w:szCs w:val="45"/>
        </w:rPr>
        <w:t>LLOY:LSE</w:t>
      </w:r>
      <w:proofErr w:type="gramEnd"/>
    </w:p>
    <w:p w14:paraId="47A73035" w14:textId="77777777" w:rsidR="00A43864" w:rsidRDefault="00A43864" w:rsidP="00A43864">
      <w:pPr>
        <w:pStyle w:val="company-widgetname"/>
        <w:spacing w:before="0" w:beforeAutospacing="0" w:after="0" w:afterAutospacing="0" w:line="555" w:lineRule="atLeast"/>
        <w:rPr>
          <w:rFonts w:ascii="Metric" w:hAnsi="Metric" w:cs="Arial"/>
          <w:color w:val="464F4F"/>
          <w:sz w:val="32"/>
          <w:szCs w:val="32"/>
        </w:rPr>
      </w:pPr>
      <w:r>
        <w:rPr>
          <w:rFonts w:ascii="Metric" w:hAnsi="Metric" w:cs="Arial"/>
          <w:color w:val="464F4F"/>
          <w:sz w:val="32"/>
          <w:szCs w:val="32"/>
        </w:rPr>
        <w:t>Lloyds Banking Group plc</w:t>
      </w:r>
    </w:p>
    <w:p w14:paraId="73F13638" w14:textId="77777777" w:rsidR="00A43864" w:rsidRDefault="00A43864" w:rsidP="00A43864">
      <w:pPr>
        <w:rPr>
          <w:rFonts w:ascii="Arial" w:hAnsi="Arial" w:cs="Arial"/>
          <w:color w:val="0000FF"/>
          <w:sz w:val="15"/>
          <w:szCs w:val="15"/>
        </w:rPr>
      </w:pPr>
      <w:r>
        <w:rPr>
          <w:rStyle w:val="company-widgetx-axis-label"/>
          <w:rFonts w:ascii="Arial" w:hAnsi="Arial" w:cs="Arial"/>
          <w:color w:val="464F4F"/>
          <w:sz w:val="18"/>
          <w:szCs w:val="18"/>
          <w:shd w:val="clear" w:color="auto" w:fill="FFFFFF"/>
        </w:rPr>
        <w:t>1mth</w:t>
      </w:r>
    </w:p>
    <w:p w14:paraId="07BA01CD" w14:textId="77777777" w:rsidR="00A43864" w:rsidRDefault="00A43864" w:rsidP="00A43864">
      <w:pPr>
        <w:rPr>
          <w:rFonts w:ascii="Arial" w:hAnsi="Arial" w:cs="Arial"/>
          <w:color w:val="0000FF"/>
          <w:sz w:val="15"/>
          <w:szCs w:val="15"/>
        </w:rPr>
      </w:pPr>
      <w:r>
        <w:rPr>
          <w:rStyle w:val="company-widgetstat-title"/>
          <w:rFonts w:ascii="Metric" w:hAnsi="Metric" w:cs="Arial"/>
          <w:b/>
          <w:bCs/>
          <w:color w:val="464F4F"/>
        </w:rPr>
        <w:t>Today change</w:t>
      </w:r>
      <w:r>
        <w:rPr>
          <w:rFonts w:ascii="Arial" w:hAnsi="Arial" w:cs="Arial"/>
          <w:color w:val="0000FF"/>
          <w:sz w:val="15"/>
          <w:szCs w:val="15"/>
        </w:rPr>
        <w:br/>
      </w:r>
      <w:r>
        <w:rPr>
          <w:rStyle w:val="company-widgetstat"/>
          <w:rFonts w:ascii="Metric" w:hAnsi="Metric" w:cs="Arial"/>
          <w:b/>
          <w:bCs/>
          <w:color w:val="AA1419"/>
          <w:sz w:val="45"/>
          <w:szCs w:val="45"/>
        </w:rPr>
        <w:t>-0.85%</w:t>
      </w:r>
    </w:p>
    <w:p w14:paraId="05E3C7E7" w14:textId="77777777" w:rsidR="00A43864" w:rsidRDefault="00A43864" w:rsidP="00A43864">
      <w:pPr>
        <w:jc w:val="right"/>
        <w:rPr>
          <w:rFonts w:ascii="Arial" w:hAnsi="Arial" w:cs="Arial"/>
          <w:color w:val="0000FF"/>
          <w:sz w:val="15"/>
          <w:szCs w:val="15"/>
        </w:rPr>
      </w:pPr>
      <w:r>
        <w:rPr>
          <w:rStyle w:val="company-widgetstat-title"/>
          <w:rFonts w:ascii="Metric" w:hAnsi="Metric" w:cs="Arial"/>
          <w:b/>
          <w:bCs/>
          <w:color w:val="464F4F"/>
        </w:rPr>
        <w:t>Price (GBP)</w:t>
      </w:r>
      <w:r>
        <w:rPr>
          <w:rFonts w:ascii="Arial" w:hAnsi="Arial" w:cs="Arial"/>
          <w:color w:val="0000FF"/>
          <w:sz w:val="15"/>
          <w:szCs w:val="15"/>
        </w:rPr>
        <w:br/>
      </w:r>
      <w:r>
        <w:rPr>
          <w:rStyle w:val="company-widgetstat"/>
          <w:rFonts w:ascii="Metric" w:hAnsi="Metric" w:cs="Arial"/>
          <w:b/>
          <w:bCs/>
          <w:color w:val="464F4F"/>
          <w:sz w:val="45"/>
          <w:szCs w:val="45"/>
        </w:rPr>
        <w:t>44.79</w:t>
      </w:r>
    </w:p>
    <w:p w14:paraId="0E78A5C3" w14:textId="77777777" w:rsidR="00A43864" w:rsidRDefault="00A43864" w:rsidP="00A43864">
      <w:pPr>
        <w:rPr>
          <w:rFonts w:ascii="Arial" w:hAnsi="Arial" w:cs="Arial"/>
          <w:color w:val="182323"/>
          <w:sz w:val="15"/>
          <w:szCs w:val="15"/>
        </w:rPr>
      </w:pPr>
      <w:r>
        <w:rPr>
          <w:rFonts w:ascii="Arial" w:hAnsi="Arial" w:cs="Arial"/>
          <w:color w:val="182323"/>
          <w:sz w:val="15"/>
          <w:szCs w:val="15"/>
        </w:rPr>
        <w:fldChar w:fldCharType="end"/>
      </w:r>
    </w:p>
    <w:p w14:paraId="457BF033" w14:textId="77777777" w:rsidR="00A43864" w:rsidRDefault="00A43864" w:rsidP="00A43864">
      <w:pPr>
        <w:pStyle w:val="NormalWeb"/>
        <w:spacing w:before="450" w:beforeAutospacing="0" w:after="450" w:afterAutospacing="0" w:line="555" w:lineRule="atLeast"/>
        <w:rPr>
          <w:rFonts w:ascii="Financier Text" w:hAnsi="Financier Text"/>
          <w:color w:val="0B0B0B"/>
          <w:sz w:val="32"/>
          <w:szCs w:val="32"/>
        </w:rPr>
      </w:pPr>
      <w:r>
        <w:rPr>
          <w:rFonts w:ascii="Financier Text" w:hAnsi="Financier Text"/>
          <w:color w:val="0B0B0B"/>
          <w:sz w:val="32"/>
          <w:szCs w:val="32"/>
        </w:rPr>
        <w:t>The bank racked up £1.3bn in remediation costs, up from £379mn last year. £790mn of this, alone, was Lloyd’s estimate of its liability to the victims of the HBOS Reading impaired assets scandal. In one of the worst banking fraud scandals in recent years, corrupt HBOS staff working at the impaired assets division of HBOS Reading systematically ripped off hundreds of business owners who had their business improperly designated as impaired, with the assets then illegally seized. Settling the affair is one of Lloyd's most intractable problems.</w:t>
      </w:r>
    </w:p>
    <w:p w14:paraId="3EBA9D82" w14:textId="77777777" w:rsidR="00A43864" w:rsidRDefault="00A43864" w:rsidP="00A43864">
      <w:pPr>
        <w:pStyle w:val="NormalWeb"/>
        <w:spacing w:before="450" w:beforeAutospacing="0" w:after="450" w:afterAutospacing="0" w:line="555" w:lineRule="atLeast"/>
        <w:rPr>
          <w:rFonts w:ascii="Financier Text" w:hAnsi="Financier Text"/>
          <w:color w:val="0B0B0B"/>
          <w:sz w:val="32"/>
          <w:szCs w:val="32"/>
        </w:rPr>
      </w:pPr>
      <w:r>
        <w:rPr>
          <w:rFonts w:ascii="Financier Text" w:hAnsi="Financier Text"/>
          <w:color w:val="0B0B0B"/>
          <w:sz w:val="32"/>
          <w:szCs w:val="32"/>
        </w:rPr>
        <w:t xml:space="preserve">A change in accounting may also explain the generally sour mood. The bank has been struggling to cut its operating costs </w:t>
      </w:r>
      <w:r>
        <w:rPr>
          <w:rFonts w:ascii="Financier Text" w:hAnsi="Financier Text"/>
          <w:color w:val="0B0B0B"/>
          <w:sz w:val="32"/>
          <w:szCs w:val="32"/>
        </w:rPr>
        <w:lastRenderedPageBreak/>
        <w:t>meaningfully and, in these results, it announced a change in the method of accounting which will mean that operating costs are forecast at £8.8bn this year, compared with £7.6bn in 2021 under the old treatment. The radical change is because Lloyds will now include all exceptional costs in the operating line, apart from those generated by mergers and acquisitions.</w:t>
      </w:r>
    </w:p>
    <w:p w14:paraId="18395AEC" w14:textId="77777777" w:rsidR="00A43864" w:rsidRDefault="00A43864" w:rsidP="00A43864">
      <w:pPr>
        <w:pStyle w:val="NormalWeb"/>
        <w:spacing w:before="450" w:beforeAutospacing="0" w:after="450" w:afterAutospacing="0" w:line="555" w:lineRule="atLeast"/>
        <w:rPr>
          <w:rFonts w:ascii="Financier Text" w:hAnsi="Financier Text"/>
          <w:color w:val="0B0B0B"/>
          <w:sz w:val="32"/>
          <w:szCs w:val="32"/>
        </w:rPr>
      </w:pPr>
      <w:r>
        <w:rPr>
          <w:rFonts w:ascii="Financier Text" w:hAnsi="Financier Text"/>
          <w:color w:val="0B0B0B"/>
          <w:sz w:val="32"/>
          <w:szCs w:val="32"/>
        </w:rPr>
        <w:t>The £2bn share buyback should give some cheer, but investors must be wondering when the "kitchen sink" announcements will eventually end. Lloyds share price currently trades at a PE ratio of 5.5 times Jefferies' estimates. Not expensive, by any means, but it is hard to see the catalyst for a meaningful re-rating. </w:t>
      </w:r>
    </w:p>
    <w:p w14:paraId="5936DD32" w14:textId="77777777" w:rsidR="00A43864" w:rsidRDefault="00A43864"/>
    <w:sectPr w:rsidR="00A438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Metric">
    <w:altName w:val="Cambria"/>
    <w:panose1 w:val="00000000000000000000"/>
    <w:charset w:val="00"/>
    <w:family w:val="roman"/>
    <w:notTrueType/>
    <w:pitch w:val="default"/>
  </w:font>
  <w:font w:name="Financier Display Semibold">
    <w:altName w:val="Cambria"/>
    <w:panose1 w:val="00000000000000000000"/>
    <w:charset w:val="00"/>
    <w:family w:val="roman"/>
    <w:notTrueType/>
    <w:pitch w:val="default"/>
  </w:font>
  <w:font w:name="Financier Tex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6D4FFA"/>
    <w:multiLevelType w:val="multilevel"/>
    <w:tmpl w:val="D1F2A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84E369F"/>
    <w:multiLevelType w:val="multilevel"/>
    <w:tmpl w:val="58F05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333"/>
    <w:rsid w:val="006A4333"/>
    <w:rsid w:val="00A438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C12CB"/>
  <w15:chartTrackingRefBased/>
  <w15:docId w15:val="{24047557-6763-4F0C-AD9E-AB6286AEA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A4333"/>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4">
    <w:name w:val="heading 4"/>
    <w:basedOn w:val="Normal"/>
    <w:next w:val="Normal"/>
    <w:link w:val="Heading4Char"/>
    <w:uiPriority w:val="9"/>
    <w:semiHidden/>
    <w:unhideWhenUsed/>
    <w:qFormat/>
    <w:rsid w:val="00A4386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4333"/>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6A433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dcr-l6t30p">
    <w:name w:val="dcr-l6t30p"/>
    <w:basedOn w:val="DefaultParagraphFont"/>
    <w:rsid w:val="006A4333"/>
  </w:style>
  <w:style w:type="character" w:customStyle="1" w:styleId="dcr-19x4pdv">
    <w:name w:val="dcr-19x4pdv"/>
    <w:basedOn w:val="DefaultParagraphFont"/>
    <w:rsid w:val="006A4333"/>
  </w:style>
  <w:style w:type="paragraph" w:styleId="HTMLAddress">
    <w:name w:val="HTML Address"/>
    <w:basedOn w:val="Normal"/>
    <w:link w:val="HTMLAddressChar"/>
    <w:uiPriority w:val="99"/>
    <w:semiHidden/>
    <w:unhideWhenUsed/>
    <w:rsid w:val="006A4333"/>
    <w:pPr>
      <w:spacing w:after="0" w:line="240" w:lineRule="auto"/>
    </w:pPr>
    <w:rPr>
      <w:rFonts w:ascii="Times New Roman" w:eastAsia="Times New Roman" w:hAnsi="Times New Roman" w:cs="Times New Roman"/>
      <w:i/>
      <w:iCs/>
      <w:sz w:val="24"/>
      <w:szCs w:val="24"/>
    </w:rPr>
  </w:style>
  <w:style w:type="character" w:customStyle="1" w:styleId="HTMLAddressChar">
    <w:name w:val="HTML Address Char"/>
    <w:basedOn w:val="DefaultParagraphFont"/>
    <w:link w:val="HTMLAddress"/>
    <w:uiPriority w:val="99"/>
    <w:semiHidden/>
    <w:rsid w:val="006A4333"/>
    <w:rPr>
      <w:rFonts w:ascii="Times New Roman" w:eastAsia="Times New Roman" w:hAnsi="Times New Roman" w:cs="Times New Roman"/>
      <w:i/>
      <w:iCs/>
      <w:sz w:val="24"/>
      <w:szCs w:val="24"/>
    </w:rPr>
  </w:style>
  <w:style w:type="character" w:styleId="Hyperlink">
    <w:name w:val="Hyperlink"/>
    <w:basedOn w:val="DefaultParagraphFont"/>
    <w:uiPriority w:val="99"/>
    <w:semiHidden/>
    <w:unhideWhenUsed/>
    <w:rsid w:val="006A4333"/>
    <w:rPr>
      <w:color w:val="0000FF"/>
      <w:u w:val="single"/>
    </w:rPr>
  </w:style>
  <w:style w:type="paragraph" w:customStyle="1" w:styleId="dcr-i43ppq">
    <w:name w:val="dcr-i43ppq"/>
    <w:basedOn w:val="Normal"/>
    <w:rsid w:val="006A4333"/>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dcr-1wj398p">
    <w:name w:val="dcr-1wj398p"/>
    <w:basedOn w:val="Normal"/>
    <w:rsid w:val="006A433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semiHidden/>
    <w:rsid w:val="00A43864"/>
    <w:rPr>
      <w:rFonts w:asciiTheme="majorHAnsi" w:eastAsiaTheme="majorEastAsia" w:hAnsiTheme="majorHAnsi" w:cstheme="majorBidi"/>
      <w:i/>
      <w:iCs/>
      <w:color w:val="2F5496" w:themeColor="accent1" w:themeShade="BF"/>
    </w:rPr>
  </w:style>
  <w:style w:type="character" w:customStyle="1" w:styleId="specialistheadertaglabel">
    <w:name w:val="specialist__header__tag_label"/>
    <w:basedOn w:val="DefaultParagraphFont"/>
    <w:rsid w:val="00A43864"/>
  </w:style>
  <w:style w:type="character" w:styleId="Strong">
    <w:name w:val="Strong"/>
    <w:basedOn w:val="DefaultParagraphFont"/>
    <w:uiPriority w:val="22"/>
    <w:qFormat/>
    <w:rsid w:val="00A43864"/>
    <w:rPr>
      <w:b/>
      <w:bCs/>
    </w:rPr>
  </w:style>
  <w:style w:type="paragraph" w:customStyle="1" w:styleId="company-widgetname">
    <w:name w:val="company-widget__name"/>
    <w:basedOn w:val="Normal"/>
    <w:rsid w:val="00A4386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ompany-widgetx-axis-label">
    <w:name w:val="company-widget__x-axis-label"/>
    <w:basedOn w:val="DefaultParagraphFont"/>
    <w:rsid w:val="00A43864"/>
  </w:style>
  <w:style w:type="character" w:customStyle="1" w:styleId="company-widgetstat-title">
    <w:name w:val="company-widget__stat-title"/>
    <w:basedOn w:val="DefaultParagraphFont"/>
    <w:rsid w:val="00A43864"/>
  </w:style>
  <w:style w:type="character" w:customStyle="1" w:styleId="company-widgetstat">
    <w:name w:val="company-widget__stat"/>
    <w:basedOn w:val="DefaultParagraphFont"/>
    <w:rsid w:val="00A438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6821369">
      <w:bodyDiv w:val="1"/>
      <w:marLeft w:val="0"/>
      <w:marRight w:val="0"/>
      <w:marTop w:val="0"/>
      <w:marBottom w:val="0"/>
      <w:divBdr>
        <w:top w:val="none" w:sz="0" w:space="0" w:color="auto"/>
        <w:left w:val="none" w:sz="0" w:space="0" w:color="auto"/>
        <w:bottom w:val="none" w:sz="0" w:space="0" w:color="auto"/>
        <w:right w:val="none" w:sz="0" w:space="0" w:color="auto"/>
      </w:divBdr>
      <w:divsChild>
        <w:div w:id="1589729543">
          <w:marLeft w:val="0"/>
          <w:marRight w:val="0"/>
          <w:marTop w:val="0"/>
          <w:marBottom w:val="0"/>
          <w:divBdr>
            <w:top w:val="none" w:sz="0" w:space="0" w:color="auto"/>
            <w:left w:val="none" w:sz="0" w:space="0" w:color="auto"/>
            <w:bottom w:val="none" w:sz="0" w:space="0" w:color="auto"/>
            <w:right w:val="none" w:sz="0" w:space="0" w:color="auto"/>
          </w:divBdr>
          <w:divsChild>
            <w:div w:id="1481726518">
              <w:marLeft w:val="0"/>
              <w:marRight w:val="0"/>
              <w:marTop w:val="0"/>
              <w:marBottom w:val="0"/>
              <w:divBdr>
                <w:top w:val="none" w:sz="0" w:space="0" w:color="auto"/>
                <w:left w:val="none" w:sz="0" w:space="0" w:color="auto"/>
                <w:bottom w:val="none" w:sz="0" w:space="0" w:color="auto"/>
                <w:right w:val="none" w:sz="0" w:space="0" w:color="auto"/>
              </w:divBdr>
              <w:divsChild>
                <w:div w:id="214630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859696">
          <w:marLeft w:val="0"/>
          <w:marRight w:val="0"/>
          <w:marTop w:val="0"/>
          <w:marBottom w:val="0"/>
          <w:divBdr>
            <w:top w:val="none" w:sz="0" w:space="0" w:color="auto"/>
            <w:left w:val="none" w:sz="0" w:space="0" w:color="auto"/>
            <w:bottom w:val="none" w:sz="0" w:space="0" w:color="auto"/>
            <w:right w:val="none" w:sz="0" w:space="0" w:color="auto"/>
          </w:divBdr>
          <w:divsChild>
            <w:div w:id="214004691">
              <w:marLeft w:val="0"/>
              <w:marRight w:val="0"/>
              <w:marTop w:val="0"/>
              <w:marBottom w:val="180"/>
              <w:divBdr>
                <w:top w:val="none" w:sz="0" w:space="0" w:color="auto"/>
                <w:left w:val="none" w:sz="0" w:space="0" w:color="auto"/>
                <w:bottom w:val="none" w:sz="0" w:space="0" w:color="auto"/>
                <w:right w:val="none" w:sz="0" w:space="0" w:color="auto"/>
              </w:divBdr>
            </w:div>
          </w:divsChild>
        </w:div>
        <w:div w:id="2091385079">
          <w:marLeft w:val="0"/>
          <w:marRight w:val="0"/>
          <w:marTop w:val="0"/>
          <w:marBottom w:val="0"/>
          <w:divBdr>
            <w:top w:val="none" w:sz="0" w:space="0" w:color="auto"/>
            <w:left w:val="none" w:sz="0" w:space="0" w:color="auto"/>
            <w:bottom w:val="none" w:sz="0" w:space="0" w:color="auto"/>
            <w:right w:val="none" w:sz="0" w:space="0" w:color="auto"/>
          </w:divBdr>
          <w:divsChild>
            <w:div w:id="1135562490">
              <w:marLeft w:val="0"/>
              <w:marRight w:val="0"/>
              <w:marTop w:val="0"/>
              <w:marBottom w:val="0"/>
              <w:divBdr>
                <w:top w:val="none" w:sz="0" w:space="0" w:color="auto"/>
                <w:left w:val="none" w:sz="0" w:space="0" w:color="auto"/>
                <w:bottom w:val="none" w:sz="0" w:space="0" w:color="auto"/>
                <w:right w:val="none" w:sz="0" w:space="0" w:color="auto"/>
              </w:divBdr>
              <w:divsChild>
                <w:div w:id="1515922203">
                  <w:marLeft w:val="0"/>
                  <w:marRight w:val="0"/>
                  <w:marTop w:val="0"/>
                  <w:marBottom w:val="0"/>
                  <w:divBdr>
                    <w:top w:val="none" w:sz="0" w:space="0" w:color="auto"/>
                    <w:left w:val="none" w:sz="0" w:space="0" w:color="auto"/>
                    <w:bottom w:val="none" w:sz="0" w:space="0" w:color="auto"/>
                    <w:right w:val="none" w:sz="0" w:space="0" w:color="auto"/>
                  </w:divBdr>
                  <w:divsChild>
                    <w:div w:id="314145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3560556">
          <w:marLeft w:val="0"/>
          <w:marRight w:val="0"/>
          <w:marTop w:val="0"/>
          <w:marBottom w:val="0"/>
          <w:divBdr>
            <w:top w:val="none" w:sz="0" w:space="0" w:color="auto"/>
            <w:left w:val="none" w:sz="0" w:space="0" w:color="auto"/>
            <w:bottom w:val="none" w:sz="0" w:space="0" w:color="auto"/>
            <w:right w:val="none" w:sz="0" w:space="0" w:color="auto"/>
          </w:divBdr>
          <w:divsChild>
            <w:div w:id="1111244859">
              <w:marLeft w:val="0"/>
              <w:marRight w:val="0"/>
              <w:marTop w:val="0"/>
              <w:marBottom w:val="0"/>
              <w:divBdr>
                <w:top w:val="none" w:sz="0" w:space="0" w:color="auto"/>
                <w:left w:val="none" w:sz="0" w:space="0" w:color="auto"/>
                <w:bottom w:val="none" w:sz="0" w:space="0" w:color="auto"/>
                <w:right w:val="none" w:sz="0" w:space="0" w:color="auto"/>
              </w:divBdr>
              <w:divsChild>
                <w:div w:id="349769727">
                  <w:marLeft w:val="0"/>
                  <w:marRight w:val="0"/>
                  <w:marTop w:val="0"/>
                  <w:marBottom w:val="0"/>
                  <w:divBdr>
                    <w:top w:val="none" w:sz="0" w:space="0" w:color="auto"/>
                    <w:left w:val="none" w:sz="0" w:space="0" w:color="auto"/>
                    <w:bottom w:val="none" w:sz="0" w:space="0" w:color="auto"/>
                    <w:right w:val="none" w:sz="0" w:space="0" w:color="auto"/>
                  </w:divBdr>
                  <w:divsChild>
                    <w:div w:id="1039474849">
                      <w:marLeft w:val="0"/>
                      <w:marRight w:val="0"/>
                      <w:marTop w:val="0"/>
                      <w:marBottom w:val="0"/>
                      <w:divBdr>
                        <w:top w:val="none" w:sz="0" w:space="0" w:color="auto"/>
                        <w:left w:val="none" w:sz="0" w:space="0" w:color="auto"/>
                        <w:bottom w:val="none" w:sz="0" w:space="0" w:color="auto"/>
                        <w:right w:val="none" w:sz="0" w:space="0" w:color="auto"/>
                      </w:divBdr>
                      <w:divsChild>
                        <w:div w:id="1336106816">
                          <w:marLeft w:val="0"/>
                          <w:marRight w:val="0"/>
                          <w:marTop w:val="0"/>
                          <w:marBottom w:val="0"/>
                          <w:divBdr>
                            <w:top w:val="none" w:sz="0" w:space="0" w:color="auto"/>
                            <w:left w:val="none" w:sz="0" w:space="0" w:color="auto"/>
                            <w:bottom w:val="none" w:sz="0" w:space="0" w:color="auto"/>
                            <w:right w:val="none" w:sz="0" w:space="0" w:color="auto"/>
                          </w:divBdr>
                          <w:divsChild>
                            <w:div w:id="482621980">
                              <w:marLeft w:val="0"/>
                              <w:marRight w:val="0"/>
                              <w:marTop w:val="0"/>
                              <w:marBottom w:val="0"/>
                              <w:divBdr>
                                <w:top w:val="none" w:sz="0" w:space="0" w:color="auto"/>
                                <w:left w:val="none" w:sz="0" w:space="0" w:color="auto"/>
                                <w:bottom w:val="none" w:sz="0" w:space="0" w:color="auto"/>
                                <w:right w:val="none" w:sz="0" w:space="0" w:color="auto"/>
                              </w:divBdr>
                            </w:div>
                            <w:div w:id="1811900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9064492">
                      <w:marLeft w:val="0"/>
                      <w:marRight w:val="0"/>
                      <w:marTop w:val="0"/>
                      <w:marBottom w:val="90"/>
                      <w:divBdr>
                        <w:top w:val="none" w:sz="0" w:space="0" w:color="auto"/>
                        <w:left w:val="none" w:sz="0" w:space="0" w:color="auto"/>
                        <w:bottom w:val="none" w:sz="0" w:space="0" w:color="auto"/>
                        <w:right w:val="none" w:sz="0" w:space="0" w:color="auto"/>
                      </w:divBdr>
                      <w:divsChild>
                        <w:div w:id="1116290705">
                          <w:marLeft w:val="0"/>
                          <w:marRight w:val="0"/>
                          <w:marTop w:val="0"/>
                          <w:marBottom w:val="0"/>
                          <w:divBdr>
                            <w:top w:val="single" w:sz="6" w:space="5" w:color="DCDCDC"/>
                            <w:left w:val="none" w:sz="0" w:space="0" w:color="auto"/>
                            <w:bottom w:val="none" w:sz="0" w:space="0" w:color="auto"/>
                            <w:right w:val="none" w:sz="0" w:space="0" w:color="auto"/>
                          </w:divBdr>
                        </w:div>
                      </w:divsChild>
                    </w:div>
                  </w:divsChild>
                </w:div>
              </w:divsChild>
            </w:div>
          </w:divsChild>
        </w:div>
        <w:div w:id="624704068">
          <w:marLeft w:val="0"/>
          <w:marRight w:val="0"/>
          <w:marTop w:val="0"/>
          <w:marBottom w:val="0"/>
          <w:divBdr>
            <w:top w:val="none" w:sz="0" w:space="0" w:color="auto"/>
            <w:left w:val="none" w:sz="0" w:space="0" w:color="auto"/>
            <w:bottom w:val="none" w:sz="0" w:space="0" w:color="auto"/>
            <w:right w:val="none" w:sz="0" w:space="0" w:color="auto"/>
          </w:divBdr>
          <w:divsChild>
            <w:div w:id="816266952">
              <w:marLeft w:val="0"/>
              <w:marRight w:val="0"/>
              <w:marTop w:val="0"/>
              <w:marBottom w:val="0"/>
              <w:divBdr>
                <w:top w:val="none" w:sz="0" w:space="0" w:color="auto"/>
                <w:left w:val="none" w:sz="0" w:space="0" w:color="auto"/>
                <w:bottom w:val="none" w:sz="0" w:space="0" w:color="auto"/>
                <w:right w:val="none" w:sz="0" w:space="0" w:color="auto"/>
              </w:divBdr>
              <w:divsChild>
                <w:div w:id="766850353">
                  <w:marLeft w:val="0"/>
                  <w:marRight w:val="0"/>
                  <w:marTop w:val="0"/>
                  <w:marBottom w:val="0"/>
                  <w:divBdr>
                    <w:top w:val="none" w:sz="0" w:space="0" w:color="auto"/>
                    <w:left w:val="none" w:sz="0" w:space="0" w:color="auto"/>
                    <w:bottom w:val="none" w:sz="0" w:space="0" w:color="auto"/>
                    <w:right w:val="none" w:sz="0" w:space="0" w:color="auto"/>
                  </w:divBdr>
                  <w:divsChild>
                    <w:div w:id="1602031201">
                      <w:marLeft w:val="0"/>
                      <w:marRight w:val="0"/>
                      <w:marTop w:val="0"/>
                      <w:marBottom w:val="0"/>
                      <w:divBdr>
                        <w:top w:val="none" w:sz="0" w:space="0" w:color="auto"/>
                        <w:left w:val="none" w:sz="0" w:space="0" w:color="auto"/>
                        <w:bottom w:val="none" w:sz="0" w:space="0" w:color="auto"/>
                        <w:right w:val="none" w:sz="0" w:space="0" w:color="auto"/>
                      </w:divBdr>
                      <w:divsChild>
                        <w:div w:id="797914650">
                          <w:marLeft w:val="0"/>
                          <w:marRight w:val="0"/>
                          <w:marTop w:val="60"/>
                          <w:marBottom w:val="0"/>
                          <w:divBdr>
                            <w:top w:val="none" w:sz="0" w:space="0" w:color="auto"/>
                            <w:left w:val="none" w:sz="0" w:space="0" w:color="auto"/>
                            <w:bottom w:val="none" w:sz="0" w:space="0" w:color="auto"/>
                            <w:right w:val="none" w:sz="0" w:space="0" w:color="auto"/>
                          </w:divBdr>
                          <w:divsChild>
                            <w:div w:id="528763200">
                              <w:marLeft w:val="525"/>
                              <w:marRight w:val="525"/>
                              <w:marTop w:val="0"/>
                              <w:marBottom w:val="0"/>
                              <w:divBdr>
                                <w:top w:val="single" w:sz="6" w:space="0" w:color="DCDCDC"/>
                                <w:left w:val="none" w:sz="0" w:space="6" w:color="auto"/>
                                <w:bottom w:val="none" w:sz="0" w:space="0" w:color="auto"/>
                                <w:right w:val="none" w:sz="0" w:space="6" w:color="auto"/>
                              </w:divBdr>
                            </w:div>
                          </w:divsChild>
                        </w:div>
                        <w:div w:id="893615451">
                          <w:marLeft w:val="0"/>
                          <w:marRight w:val="0"/>
                          <w:marTop w:val="0"/>
                          <w:marBottom w:val="0"/>
                          <w:divBdr>
                            <w:top w:val="none" w:sz="0" w:space="0" w:color="auto"/>
                            <w:left w:val="none" w:sz="0" w:space="0" w:color="auto"/>
                            <w:bottom w:val="none" w:sz="0" w:space="0" w:color="auto"/>
                            <w:right w:val="none" w:sz="0" w:space="0" w:color="auto"/>
                          </w:divBdr>
                          <w:divsChild>
                            <w:div w:id="422341034">
                              <w:marLeft w:val="0"/>
                              <w:marRight w:val="0"/>
                              <w:marTop w:val="0"/>
                              <w:marBottom w:val="0"/>
                              <w:divBdr>
                                <w:top w:val="none" w:sz="0" w:space="0" w:color="auto"/>
                                <w:left w:val="none" w:sz="0" w:space="0" w:color="auto"/>
                                <w:bottom w:val="none" w:sz="0" w:space="0" w:color="auto"/>
                                <w:right w:val="none" w:sz="0" w:space="0" w:color="auto"/>
                              </w:divBdr>
                            </w:div>
                          </w:divsChild>
                        </w:div>
                        <w:div w:id="157504644">
                          <w:marLeft w:val="300"/>
                          <w:marRight w:val="-5970"/>
                          <w:marTop w:val="60"/>
                          <w:marBottom w:val="0"/>
                          <w:divBdr>
                            <w:top w:val="none" w:sz="0" w:space="0" w:color="auto"/>
                            <w:left w:val="none" w:sz="0" w:space="0" w:color="auto"/>
                            <w:bottom w:val="none" w:sz="0" w:space="0" w:color="auto"/>
                            <w:right w:val="none" w:sz="0" w:space="0" w:color="auto"/>
                          </w:divBdr>
                          <w:divsChild>
                            <w:div w:id="1066803019">
                              <w:marLeft w:val="0"/>
                              <w:marRight w:val="0"/>
                              <w:marTop w:val="0"/>
                              <w:marBottom w:val="0"/>
                              <w:divBdr>
                                <w:top w:val="single" w:sz="6" w:space="0" w:color="DCDCDC"/>
                                <w:left w:val="none" w:sz="0" w:space="6" w:color="auto"/>
                                <w:bottom w:val="none" w:sz="0" w:space="0" w:color="auto"/>
                                <w:right w:val="none" w:sz="0" w:space="6" w:color="auto"/>
                              </w:divBdr>
                            </w:div>
                          </w:divsChild>
                        </w:div>
                      </w:divsChild>
                    </w:div>
                  </w:divsChild>
                </w:div>
              </w:divsChild>
            </w:div>
          </w:divsChild>
        </w:div>
      </w:divsChild>
    </w:div>
    <w:div w:id="1924214614">
      <w:bodyDiv w:val="1"/>
      <w:marLeft w:val="0"/>
      <w:marRight w:val="0"/>
      <w:marTop w:val="0"/>
      <w:marBottom w:val="0"/>
      <w:divBdr>
        <w:top w:val="none" w:sz="0" w:space="0" w:color="auto"/>
        <w:left w:val="none" w:sz="0" w:space="0" w:color="auto"/>
        <w:bottom w:val="none" w:sz="0" w:space="0" w:color="auto"/>
        <w:right w:val="none" w:sz="0" w:space="0" w:color="auto"/>
      </w:divBdr>
      <w:divsChild>
        <w:div w:id="315451992">
          <w:marLeft w:val="0"/>
          <w:marRight w:val="0"/>
          <w:marTop w:val="0"/>
          <w:marBottom w:val="0"/>
          <w:divBdr>
            <w:top w:val="none" w:sz="0" w:space="0" w:color="auto"/>
            <w:left w:val="none" w:sz="0" w:space="0" w:color="auto"/>
            <w:bottom w:val="none" w:sz="0" w:space="0" w:color="auto"/>
            <w:right w:val="none" w:sz="0" w:space="0" w:color="auto"/>
          </w:divBdr>
          <w:divsChild>
            <w:div w:id="118502037">
              <w:marLeft w:val="0"/>
              <w:marRight w:val="0"/>
              <w:marTop w:val="0"/>
              <w:marBottom w:val="0"/>
              <w:divBdr>
                <w:top w:val="none" w:sz="0" w:space="0" w:color="auto"/>
                <w:left w:val="none" w:sz="0" w:space="0" w:color="auto"/>
                <w:bottom w:val="none" w:sz="0" w:space="0" w:color="auto"/>
                <w:right w:val="none" w:sz="0" w:space="0" w:color="auto"/>
              </w:divBdr>
              <w:divsChild>
                <w:div w:id="1872720966">
                  <w:marLeft w:val="0"/>
                  <w:marRight w:val="0"/>
                  <w:marTop w:val="0"/>
                  <w:marBottom w:val="0"/>
                  <w:divBdr>
                    <w:top w:val="none" w:sz="0" w:space="0" w:color="auto"/>
                    <w:left w:val="none" w:sz="0" w:space="0" w:color="auto"/>
                    <w:bottom w:val="none" w:sz="0" w:space="0" w:color="auto"/>
                    <w:right w:val="none" w:sz="0" w:space="0" w:color="auto"/>
                  </w:divBdr>
                </w:div>
                <w:div w:id="1753382527">
                  <w:marLeft w:val="0"/>
                  <w:marRight w:val="0"/>
                  <w:marTop w:val="0"/>
                  <w:marBottom w:val="0"/>
                  <w:divBdr>
                    <w:top w:val="none" w:sz="0" w:space="0" w:color="auto"/>
                    <w:left w:val="none" w:sz="0" w:space="0" w:color="auto"/>
                    <w:bottom w:val="none" w:sz="0" w:space="0" w:color="auto"/>
                    <w:right w:val="none" w:sz="0" w:space="0" w:color="auto"/>
                  </w:divBdr>
                  <w:divsChild>
                    <w:div w:id="1179928168">
                      <w:marLeft w:val="0"/>
                      <w:marRight w:val="0"/>
                      <w:marTop w:val="0"/>
                      <w:marBottom w:val="0"/>
                      <w:divBdr>
                        <w:top w:val="none" w:sz="0" w:space="0" w:color="auto"/>
                        <w:left w:val="none" w:sz="0" w:space="0" w:color="auto"/>
                        <w:bottom w:val="none" w:sz="0" w:space="0" w:color="auto"/>
                        <w:right w:val="none" w:sz="0" w:space="0" w:color="auto"/>
                      </w:divBdr>
                    </w:div>
                    <w:div w:id="762798481">
                      <w:marLeft w:val="0"/>
                      <w:marRight w:val="0"/>
                      <w:marTop w:val="0"/>
                      <w:marBottom w:val="270"/>
                      <w:divBdr>
                        <w:top w:val="none" w:sz="0" w:space="0" w:color="auto"/>
                        <w:left w:val="none" w:sz="0" w:space="0" w:color="auto"/>
                        <w:bottom w:val="none" w:sz="0" w:space="0" w:color="auto"/>
                        <w:right w:val="none" w:sz="0" w:space="0" w:color="auto"/>
                      </w:divBdr>
                    </w:div>
                    <w:div w:id="1627077819">
                      <w:marLeft w:val="0"/>
                      <w:marRight w:val="0"/>
                      <w:marTop w:val="0"/>
                      <w:marBottom w:val="225"/>
                      <w:divBdr>
                        <w:top w:val="none" w:sz="0" w:space="0" w:color="auto"/>
                        <w:left w:val="none" w:sz="0" w:space="0" w:color="auto"/>
                        <w:bottom w:val="none" w:sz="0" w:space="0" w:color="auto"/>
                        <w:right w:val="none" w:sz="0" w:space="0" w:color="auto"/>
                      </w:divBdr>
                      <w:divsChild>
                        <w:div w:id="1398479139">
                          <w:marLeft w:val="0"/>
                          <w:marRight w:val="0"/>
                          <w:marTop w:val="0"/>
                          <w:marBottom w:val="0"/>
                          <w:divBdr>
                            <w:top w:val="none" w:sz="0" w:space="0" w:color="auto"/>
                            <w:left w:val="none" w:sz="0" w:space="0" w:color="auto"/>
                            <w:bottom w:val="none" w:sz="0" w:space="0" w:color="auto"/>
                            <w:right w:val="none" w:sz="0" w:space="0" w:color="auto"/>
                          </w:divBdr>
                          <w:divsChild>
                            <w:div w:id="196312330">
                              <w:marLeft w:val="0"/>
                              <w:marRight w:val="0"/>
                              <w:marTop w:val="0"/>
                              <w:marBottom w:val="0"/>
                              <w:divBdr>
                                <w:top w:val="none" w:sz="0" w:space="0" w:color="auto"/>
                                <w:left w:val="none" w:sz="0" w:space="0" w:color="auto"/>
                                <w:bottom w:val="none" w:sz="0" w:space="0" w:color="auto"/>
                                <w:right w:val="none" w:sz="0" w:space="0" w:color="auto"/>
                              </w:divBdr>
                            </w:div>
                            <w:div w:id="438454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3554597">
          <w:marLeft w:val="0"/>
          <w:marRight w:val="0"/>
          <w:marTop w:val="0"/>
          <w:marBottom w:val="0"/>
          <w:divBdr>
            <w:top w:val="none" w:sz="0" w:space="0" w:color="auto"/>
            <w:left w:val="none" w:sz="0" w:space="0" w:color="auto"/>
            <w:bottom w:val="none" w:sz="0" w:space="0" w:color="auto"/>
            <w:right w:val="none" w:sz="0" w:space="0" w:color="auto"/>
          </w:divBdr>
          <w:divsChild>
            <w:div w:id="1700201157">
              <w:marLeft w:val="0"/>
              <w:marRight w:val="0"/>
              <w:marTop w:val="0"/>
              <w:marBottom w:val="0"/>
              <w:divBdr>
                <w:top w:val="none" w:sz="0" w:space="0" w:color="auto"/>
                <w:left w:val="none" w:sz="0" w:space="0" w:color="auto"/>
                <w:bottom w:val="none" w:sz="0" w:space="0" w:color="auto"/>
                <w:right w:val="none" w:sz="0" w:space="0" w:color="auto"/>
              </w:divBdr>
              <w:divsChild>
                <w:div w:id="844637403">
                  <w:marLeft w:val="0"/>
                  <w:marRight w:val="0"/>
                  <w:marTop w:val="0"/>
                  <w:marBottom w:val="0"/>
                  <w:divBdr>
                    <w:top w:val="none" w:sz="0" w:space="0" w:color="auto"/>
                    <w:left w:val="none" w:sz="0" w:space="0" w:color="auto"/>
                    <w:bottom w:val="none" w:sz="0" w:space="0" w:color="auto"/>
                    <w:right w:val="none" w:sz="0" w:space="0" w:color="auto"/>
                  </w:divBdr>
                  <w:divsChild>
                    <w:div w:id="1407150689">
                      <w:marLeft w:val="0"/>
                      <w:marRight w:val="0"/>
                      <w:marTop w:val="0"/>
                      <w:marBottom w:val="0"/>
                      <w:divBdr>
                        <w:top w:val="none" w:sz="0" w:space="0" w:color="auto"/>
                        <w:left w:val="none" w:sz="0" w:space="0" w:color="auto"/>
                        <w:bottom w:val="none" w:sz="0" w:space="0" w:color="auto"/>
                        <w:right w:val="none" w:sz="0" w:space="0" w:color="auto"/>
                      </w:divBdr>
                      <w:divsChild>
                        <w:div w:id="1939479397">
                          <w:marLeft w:val="0"/>
                          <w:marRight w:val="0"/>
                          <w:marTop w:val="0"/>
                          <w:marBottom w:val="675"/>
                          <w:divBdr>
                            <w:top w:val="none" w:sz="0" w:space="0" w:color="auto"/>
                            <w:left w:val="none" w:sz="0" w:space="0" w:color="auto"/>
                            <w:bottom w:val="none" w:sz="0" w:space="0" w:color="auto"/>
                            <w:right w:val="none" w:sz="0" w:space="0" w:color="auto"/>
                          </w:divBdr>
                        </w:div>
                        <w:div w:id="1833526895">
                          <w:marLeft w:val="0"/>
                          <w:marRight w:val="225"/>
                          <w:marTop w:val="225"/>
                          <w:marBottom w:val="225"/>
                          <w:divBdr>
                            <w:top w:val="single" w:sz="6" w:space="0" w:color="CCCCCC"/>
                            <w:left w:val="single" w:sz="6" w:space="0" w:color="CCCCCC"/>
                            <w:bottom w:val="single" w:sz="6" w:space="0" w:color="CCCCCC"/>
                            <w:right w:val="single" w:sz="6" w:space="0" w:color="CCCCCC"/>
                          </w:divBdr>
                          <w:divsChild>
                            <w:div w:id="386493980">
                              <w:marLeft w:val="0"/>
                              <w:marRight w:val="0"/>
                              <w:marTop w:val="0"/>
                              <w:marBottom w:val="0"/>
                              <w:divBdr>
                                <w:top w:val="none" w:sz="0" w:space="0" w:color="auto"/>
                                <w:left w:val="none" w:sz="0" w:space="0" w:color="auto"/>
                                <w:bottom w:val="none" w:sz="0" w:space="0" w:color="auto"/>
                                <w:right w:val="none" w:sz="0" w:space="0" w:color="auto"/>
                              </w:divBdr>
                            </w:div>
                            <w:div w:id="1981570509">
                              <w:marLeft w:val="0"/>
                              <w:marRight w:val="0"/>
                              <w:marTop w:val="0"/>
                              <w:marBottom w:val="75"/>
                              <w:divBdr>
                                <w:top w:val="none" w:sz="0" w:space="0" w:color="auto"/>
                                <w:left w:val="none" w:sz="0" w:space="0" w:color="auto"/>
                                <w:bottom w:val="none" w:sz="0" w:space="0" w:color="auto"/>
                                <w:right w:val="none" w:sz="0" w:space="0" w:color="auto"/>
                              </w:divBdr>
                            </w:div>
                            <w:div w:id="606355096">
                              <w:marLeft w:val="0"/>
                              <w:marRight w:val="0"/>
                              <w:marTop w:val="0"/>
                              <w:marBottom w:val="0"/>
                              <w:divBdr>
                                <w:top w:val="none" w:sz="0" w:space="0" w:color="auto"/>
                                <w:left w:val="none" w:sz="0" w:space="0" w:color="auto"/>
                                <w:bottom w:val="none" w:sz="0" w:space="0" w:color="auto"/>
                                <w:right w:val="none" w:sz="0" w:space="0" w:color="auto"/>
                              </w:divBdr>
                              <w:divsChild>
                                <w:div w:id="1353072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21/oct/20/lloyds-halifax-bank-branches-close" TargetMode="External"/><Relationship Id="rId13" Type="http://schemas.openxmlformats.org/officeDocument/2006/relationships/hyperlink" Target="https://www.investorschronicle.co.uk/julian-hofmann/" TargetMode="External"/><Relationship Id="rId3" Type="http://schemas.openxmlformats.org/officeDocument/2006/relationships/settings" Target="settings.xml"/><Relationship Id="rId7" Type="http://schemas.openxmlformats.org/officeDocument/2006/relationships/hyperlink" Target="https://www.twitter.com/jjpjolly" TargetMode="External"/><Relationship Id="rId12" Type="http://schemas.openxmlformats.org/officeDocument/2006/relationships/hyperlink" Target="https://www.investorschronicle.co.uk/compani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profile/jasper-jolly" TargetMode="External"/><Relationship Id="rId11" Type="http://schemas.openxmlformats.org/officeDocument/2006/relationships/image" Target="media/image2.jpe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www.theguardian.com/business/2021/dec/27/uk-bank-branch-numbers-have-almost-halved-since-2015" TargetMode="External"/><Relationship Id="rId4" Type="http://schemas.openxmlformats.org/officeDocument/2006/relationships/webSettings" Target="webSettings.xml"/><Relationship Id="rId9" Type="http://schemas.openxmlformats.org/officeDocument/2006/relationships/hyperlink" Target="https://www.theguardian.com/business/bank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5</Pages>
  <Words>816</Words>
  <Characters>4655</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James</dc:creator>
  <cp:keywords/>
  <dc:description/>
  <cp:lastModifiedBy>Laura James</cp:lastModifiedBy>
  <cp:revision>1</cp:revision>
  <dcterms:created xsi:type="dcterms:W3CDTF">2022-04-07T11:08:00Z</dcterms:created>
  <dcterms:modified xsi:type="dcterms:W3CDTF">2022-04-07T12:09:00Z</dcterms:modified>
</cp:coreProperties>
</file>