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946C9D" w14:textId="16B5DC1A" w:rsidR="0076523B" w:rsidRDefault="0076523B" w:rsidP="0076523B">
      <w:pPr>
        <w:pStyle w:val="NormalWeb"/>
        <w:spacing w:before="0" w:beforeAutospacing="0" w:after="0" w:afterAutospacing="0"/>
        <w:ind w:left="-180" w:right="-334"/>
      </w:pPr>
      <w:r>
        <w:rPr>
          <w:noProof/>
        </w:rPr>
        <w:drawing>
          <wp:inline distT="0" distB="0" distL="0" distR="0" wp14:anchorId="0F8F67F9" wp14:editId="25966BE4">
            <wp:extent cx="1905000" cy="632460"/>
            <wp:effectExtent l="19050" t="19050" r="19050" b="152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2460"/>
                    </a:xfrm>
                    <a:prstGeom prst="rect">
                      <a:avLst/>
                    </a:prstGeom>
                    <a:noFill/>
                    <a:ln w="19050" cmpd="sng">
                      <a:solidFill>
                        <a:srgbClr val="000000"/>
                      </a:solidFill>
                      <a:miter lim="800000"/>
                      <a:headEnd/>
                      <a:tailEnd/>
                    </a:ln>
                    <a:effectLst/>
                  </pic:spPr>
                </pic:pic>
              </a:graphicData>
            </a:graphic>
          </wp:inline>
        </w:drawing>
      </w:r>
    </w:p>
    <w:p w14:paraId="58177C81" w14:textId="77777777" w:rsidR="0076523B" w:rsidRDefault="0076523B" w:rsidP="0076523B">
      <w:pPr>
        <w:pStyle w:val="NormalWeb"/>
        <w:spacing w:before="0" w:beforeAutospacing="0" w:after="0" w:afterAutospacing="0"/>
        <w:ind w:left="-180" w:right="-334"/>
      </w:pPr>
    </w:p>
    <w:p w14:paraId="181046EB" w14:textId="77777777" w:rsidR="0076523B" w:rsidRDefault="0076523B" w:rsidP="0076523B">
      <w:pPr>
        <w:pStyle w:val="NormalWeb"/>
        <w:spacing w:before="0" w:beforeAutospacing="0" w:after="0" w:afterAutospacing="0"/>
        <w:ind w:left="-180" w:right="-334"/>
      </w:pPr>
    </w:p>
    <w:p w14:paraId="437D67FC" w14:textId="77777777" w:rsidR="0076523B" w:rsidRDefault="0076523B" w:rsidP="0076523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3D0AF461" w14:textId="77777777" w:rsidR="0076523B" w:rsidRPr="00230F35" w:rsidRDefault="0076523B" w:rsidP="0076523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684E122A" w14:textId="77777777" w:rsidR="0076523B" w:rsidRPr="00230F35" w:rsidRDefault="0076523B" w:rsidP="0076523B">
      <w:pPr>
        <w:rPr>
          <w:rFonts w:ascii="Arial" w:hAnsi="Arial" w:cs="Arial"/>
          <w:sz w:val="28"/>
          <w:szCs w:val="28"/>
          <w:lang w:val="cy-GB"/>
        </w:rPr>
      </w:pPr>
    </w:p>
    <w:p w14:paraId="161BC8CD" w14:textId="77777777" w:rsidR="0076523B" w:rsidRDefault="0076523B" w:rsidP="0076523B">
      <w:pPr>
        <w:pStyle w:val="Heading3"/>
        <w:jc w:val="center"/>
        <w:rPr>
          <w:lang w:val="cy-GB"/>
        </w:rPr>
      </w:pPr>
      <w:r>
        <w:rPr>
          <w:lang w:val="cy-GB"/>
        </w:rPr>
        <w:t>THIS SHEET MUST BE THE FIRST PAGE OF THE ASSIGNMENT YOU ARE SUBMITTING  (DO NOT SEND AS A SEPARATE FILE)</w:t>
      </w:r>
    </w:p>
    <w:p w14:paraId="42F31765" w14:textId="77777777" w:rsidR="0076523B" w:rsidRDefault="0076523B" w:rsidP="0076523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76523B" w:rsidRPr="00230F35" w14:paraId="4E5DA4A3" w14:textId="77777777" w:rsidTr="006A2E59">
        <w:trPr>
          <w:trHeight w:val="614"/>
        </w:trPr>
        <w:tc>
          <w:tcPr>
            <w:tcW w:w="8856" w:type="dxa"/>
            <w:gridSpan w:val="5"/>
          </w:tcPr>
          <w:p w14:paraId="02D55D01" w14:textId="77777777" w:rsidR="0076523B" w:rsidRPr="00230F35"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76523B" w:rsidRPr="00230F35" w14:paraId="23085EF7" w14:textId="77777777" w:rsidTr="006A2E59">
        <w:trPr>
          <w:trHeight w:val="718"/>
        </w:trPr>
        <w:tc>
          <w:tcPr>
            <w:tcW w:w="8856" w:type="dxa"/>
            <w:gridSpan w:val="5"/>
          </w:tcPr>
          <w:p w14:paraId="7981E0AC" w14:textId="77777777" w:rsidR="0076523B"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p>
          <w:p w14:paraId="06952711" w14:textId="77777777" w:rsidR="0076523B" w:rsidRPr="00230F35" w:rsidRDefault="0076523B" w:rsidP="006A2E59">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Bethany Collins </w:t>
            </w:r>
          </w:p>
        </w:tc>
      </w:tr>
      <w:tr w:rsidR="0076523B" w:rsidRPr="00230F35" w14:paraId="0DC58B4E" w14:textId="77777777" w:rsidTr="006A2E59">
        <w:trPr>
          <w:trHeight w:val="849"/>
        </w:trPr>
        <w:tc>
          <w:tcPr>
            <w:tcW w:w="4788" w:type="dxa"/>
          </w:tcPr>
          <w:p w14:paraId="132FEE85" w14:textId="77777777" w:rsidR="0076523B" w:rsidRPr="00230F35"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p>
          <w:p w14:paraId="30DE0E0D" w14:textId="77777777" w:rsidR="0076523B" w:rsidRPr="00230F35" w:rsidRDefault="0076523B" w:rsidP="006A2E59">
            <w:pPr>
              <w:pStyle w:val="NormalWeb"/>
              <w:spacing w:before="0" w:beforeAutospacing="0" w:after="0" w:afterAutospacing="0"/>
              <w:ind w:right="34"/>
              <w:rPr>
                <w:rFonts w:ascii="Arial" w:hAnsi="Arial" w:cs="Arial"/>
                <w:sz w:val="22"/>
                <w:szCs w:val="22"/>
              </w:rPr>
            </w:pPr>
            <w:r>
              <w:rPr>
                <w:rFonts w:ascii="Arial" w:hAnsi="Arial" w:cs="Arial"/>
                <w:sz w:val="22"/>
                <w:szCs w:val="22"/>
              </w:rPr>
              <w:t>AHHI7016</w:t>
            </w:r>
          </w:p>
          <w:p w14:paraId="51CDE93B" w14:textId="77777777" w:rsidR="0076523B"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p>
          <w:p w14:paraId="63795479" w14:textId="77777777" w:rsidR="0076523B" w:rsidRDefault="0076523B" w:rsidP="006A2E59">
            <w:pPr>
              <w:pStyle w:val="NormalWeb"/>
              <w:spacing w:before="0" w:beforeAutospacing="0" w:after="0" w:afterAutospacing="0"/>
              <w:ind w:right="34"/>
              <w:rPr>
                <w:rFonts w:ascii="Arial" w:hAnsi="Arial" w:cs="Arial"/>
                <w:sz w:val="22"/>
                <w:szCs w:val="22"/>
              </w:rPr>
            </w:pPr>
            <w:r>
              <w:rPr>
                <w:rFonts w:ascii="Arial" w:hAnsi="Arial" w:cs="Arial"/>
                <w:sz w:val="22"/>
                <w:szCs w:val="22"/>
              </w:rPr>
              <w:t>Studying the Medieval: Manuscripts and Records</w:t>
            </w:r>
          </w:p>
          <w:p w14:paraId="40AA9035" w14:textId="77777777" w:rsidR="0076523B" w:rsidRPr="00230F35" w:rsidRDefault="0076523B" w:rsidP="006A2E59">
            <w:pPr>
              <w:pStyle w:val="NormalWeb"/>
              <w:spacing w:before="0" w:beforeAutospacing="0" w:after="0" w:afterAutospacing="0"/>
              <w:ind w:right="34"/>
              <w:rPr>
                <w:rFonts w:ascii="Arial" w:hAnsi="Arial" w:cs="Arial"/>
                <w:sz w:val="22"/>
                <w:szCs w:val="22"/>
              </w:rPr>
            </w:pPr>
          </w:p>
        </w:tc>
        <w:tc>
          <w:tcPr>
            <w:tcW w:w="2266" w:type="dxa"/>
            <w:gridSpan w:val="3"/>
          </w:tcPr>
          <w:p w14:paraId="6A6B0A75" w14:textId="77777777" w:rsidR="0076523B"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277D161A" w14:textId="77777777" w:rsidR="0076523B" w:rsidRPr="00AA3808" w:rsidRDefault="0076523B" w:rsidP="006A2E59"/>
          <w:p w14:paraId="04C5B6FF" w14:textId="77777777" w:rsidR="0076523B" w:rsidRDefault="0076523B" w:rsidP="006A2E59">
            <w:pPr>
              <w:rPr>
                <w:rFonts w:ascii="Arial" w:hAnsi="Arial" w:cs="Arial"/>
                <w:color w:val="000000"/>
              </w:rPr>
            </w:pPr>
          </w:p>
          <w:p w14:paraId="3009F60E" w14:textId="77777777" w:rsidR="0076523B" w:rsidRPr="00AA3808" w:rsidRDefault="0076523B" w:rsidP="006A2E59">
            <w:pPr>
              <w:jc w:val="center"/>
            </w:pPr>
            <w:r>
              <w:t>1600127</w:t>
            </w:r>
          </w:p>
        </w:tc>
        <w:tc>
          <w:tcPr>
            <w:tcW w:w="1802" w:type="dxa"/>
          </w:tcPr>
          <w:p w14:paraId="09315161" w14:textId="77777777" w:rsidR="0076523B" w:rsidRPr="00230F35"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440BA4FE" w14:textId="77777777" w:rsidR="0076523B" w:rsidRPr="00230F35"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w:t>
            </w:r>
            <w:r w:rsidRPr="00AA3808">
              <w:rPr>
                <w:rFonts w:ascii="Arial" w:hAnsi="Arial" w:cs="Arial"/>
                <w:sz w:val="22"/>
                <w:szCs w:val="22"/>
                <w:highlight w:val="yellow"/>
              </w:rPr>
              <w:t>No</w:t>
            </w:r>
          </w:p>
        </w:tc>
      </w:tr>
      <w:tr w:rsidR="0076523B" w:rsidRPr="00230F35" w14:paraId="6F1C4B38" w14:textId="77777777" w:rsidTr="006A2E59">
        <w:trPr>
          <w:trHeight w:val="1139"/>
        </w:trPr>
        <w:tc>
          <w:tcPr>
            <w:tcW w:w="8856" w:type="dxa"/>
            <w:gridSpan w:val="5"/>
          </w:tcPr>
          <w:p w14:paraId="6E7DD971" w14:textId="77777777" w:rsidR="0076523B" w:rsidRPr="00230F35" w:rsidRDefault="0076523B" w:rsidP="006A2E59">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14:paraId="6D0BC766" w14:textId="77777777" w:rsidR="0076523B" w:rsidRPr="00230F35" w:rsidRDefault="0076523B" w:rsidP="006A2E59">
            <w:pPr>
              <w:pStyle w:val="NormalWeb"/>
              <w:tabs>
                <w:tab w:val="left" w:pos="2508"/>
              </w:tabs>
              <w:spacing w:before="0" w:beforeAutospacing="0" w:after="0" w:afterAutospacing="0"/>
              <w:ind w:right="34"/>
              <w:rPr>
                <w:rFonts w:ascii="Arial" w:hAnsi="Arial" w:cs="Arial"/>
                <w:sz w:val="22"/>
                <w:szCs w:val="22"/>
              </w:rPr>
            </w:pPr>
            <w:r>
              <w:rPr>
                <w:rFonts w:ascii="Arial" w:hAnsi="Arial" w:cs="Arial"/>
                <w:sz w:val="22"/>
                <w:szCs w:val="22"/>
              </w:rPr>
              <w:tab/>
              <w:t xml:space="preserve">Janet Burton </w:t>
            </w:r>
          </w:p>
          <w:p w14:paraId="77ED7DED" w14:textId="77777777" w:rsidR="0076523B" w:rsidRDefault="0076523B" w:rsidP="006A2E59">
            <w:pPr>
              <w:pStyle w:val="NormalWeb"/>
              <w:spacing w:before="0" w:beforeAutospacing="0" w:after="0" w:afterAutospacing="0"/>
              <w:ind w:right="34"/>
              <w:rPr>
                <w:rFonts w:ascii="Arial" w:hAnsi="Arial" w:cs="Arial"/>
                <w:sz w:val="22"/>
                <w:szCs w:val="22"/>
              </w:rPr>
            </w:pPr>
          </w:p>
          <w:p w14:paraId="6D04E043" w14:textId="77777777" w:rsidR="0076523B" w:rsidRPr="00230F35" w:rsidRDefault="0076523B" w:rsidP="006A2E59">
            <w:pPr>
              <w:pStyle w:val="NormalWeb"/>
              <w:tabs>
                <w:tab w:val="left" w:pos="3192"/>
              </w:tabs>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ab/>
              <w:t>05.08.2020</w:t>
            </w:r>
          </w:p>
        </w:tc>
      </w:tr>
      <w:tr w:rsidR="0076523B" w:rsidRPr="00230F35" w14:paraId="03384909" w14:textId="77777777" w:rsidTr="006A2E59">
        <w:trPr>
          <w:trHeight w:val="978"/>
        </w:trPr>
        <w:tc>
          <w:tcPr>
            <w:tcW w:w="8856" w:type="dxa"/>
            <w:gridSpan w:val="5"/>
            <w:tcBorders>
              <w:bottom w:val="single" w:sz="4" w:space="0" w:color="000000"/>
            </w:tcBorders>
          </w:tcPr>
          <w:p w14:paraId="2B7E9E4D" w14:textId="77777777" w:rsidR="0076523B" w:rsidRDefault="0076523B" w:rsidP="006A2E59">
            <w:pPr>
              <w:rPr>
                <w:rFonts w:ascii="Arial" w:hAnsi="Arial" w:cs="Arial"/>
              </w:rPr>
            </w:pPr>
            <w:r>
              <w:rPr>
                <w:rFonts w:ascii="Arial" w:hAnsi="Arial" w:cs="Arial"/>
              </w:rPr>
              <w:t>If your module has multiple submissions please indicate which piece of work this is.</w:t>
            </w:r>
          </w:p>
          <w:p w14:paraId="338BCCA9" w14:textId="77777777" w:rsidR="0076523B" w:rsidRDefault="0076523B" w:rsidP="006A2E59">
            <w:pPr>
              <w:rPr>
                <w:rFonts w:ascii="Arial" w:hAnsi="Arial" w:cs="Arial"/>
              </w:rPr>
            </w:pPr>
          </w:p>
          <w:p w14:paraId="15373D53" w14:textId="18D2C13C" w:rsidR="0076523B" w:rsidRPr="00230F35" w:rsidRDefault="0076523B" w:rsidP="006A2E59">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Pr>
                <w:rFonts w:ascii="Arial" w:hAnsi="Arial" w:cs="Arial"/>
              </w:rPr>
              <w:fldChar w:fldCharType="begin">
                <w:ffData>
                  <w:name w:val="Check15"/>
                  <w:enabled/>
                  <w:calcOnExit w:val="0"/>
                  <w:checkBox>
                    <w:sizeAuto/>
                    <w:default w:val="1"/>
                  </w:checkBox>
                </w:ffData>
              </w:fldChar>
            </w:r>
            <w:bookmarkStart w:id="2" w:name="Check15"/>
            <w:r>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2D71E1">
              <w:rPr>
                <w:rFonts w:ascii="Arial" w:hAnsi="Arial" w:cs="Arial"/>
              </w:rPr>
            </w:r>
            <w:r w:rsidR="002D71E1">
              <w:rPr>
                <w:rFonts w:ascii="Arial" w:hAnsi="Arial" w:cs="Arial"/>
              </w:rPr>
              <w:fldChar w:fldCharType="separate"/>
            </w:r>
            <w:r w:rsidRPr="00230F35">
              <w:rPr>
                <w:rFonts w:ascii="Arial" w:hAnsi="Arial" w:cs="Arial"/>
              </w:rPr>
              <w:fldChar w:fldCharType="end"/>
            </w:r>
            <w:bookmarkEnd w:id="5"/>
          </w:p>
        </w:tc>
      </w:tr>
      <w:tr w:rsidR="0076523B" w:rsidRPr="00230F35" w14:paraId="52739321" w14:textId="77777777" w:rsidTr="006A2E59">
        <w:trPr>
          <w:trHeight w:val="978"/>
        </w:trPr>
        <w:tc>
          <w:tcPr>
            <w:tcW w:w="8856" w:type="dxa"/>
            <w:gridSpan w:val="5"/>
            <w:shd w:val="clear" w:color="auto" w:fill="D9D9D9"/>
          </w:tcPr>
          <w:p w14:paraId="2156945F" w14:textId="77777777" w:rsidR="0076523B" w:rsidRPr="00230F35"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186B98A" w14:textId="77777777" w:rsidR="0076523B" w:rsidRDefault="0076523B" w:rsidP="006A2E5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B.Collins</w:t>
            </w:r>
            <w:r w:rsidRPr="00230F35">
              <w:rPr>
                <w:rFonts w:ascii="Arial" w:hAnsi="Arial" w:cs="Arial"/>
                <w:sz w:val="22"/>
                <w:szCs w:val="22"/>
              </w:rPr>
              <w:t>…………………………………………………</w:t>
            </w:r>
          </w:p>
          <w:p w14:paraId="78889003" w14:textId="7A449C0F" w:rsidR="0076523B" w:rsidRDefault="0076523B" w:rsidP="006A2E5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2A09BBBA" w14:textId="77777777" w:rsidR="0076523B" w:rsidRPr="00230F35" w:rsidRDefault="0076523B" w:rsidP="006A2E5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76523B" w:rsidRPr="00230F35" w14:paraId="5EBC1536" w14:textId="77777777" w:rsidTr="006A2E59">
        <w:trPr>
          <w:trHeight w:val="3972"/>
        </w:trPr>
        <w:tc>
          <w:tcPr>
            <w:tcW w:w="8856" w:type="dxa"/>
            <w:gridSpan w:val="5"/>
          </w:tcPr>
          <w:p w14:paraId="36E03A8C" w14:textId="77777777" w:rsidR="0076523B" w:rsidRDefault="0076523B" w:rsidP="006A2E59">
            <w:pPr>
              <w:rPr>
                <w:rFonts w:ascii="Arial" w:hAnsi="Arial"/>
                <w:b/>
              </w:rPr>
            </w:pPr>
          </w:p>
          <w:p w14:paraId="5332D35E" w14:textId="77777777" w:rsidR="0076523B" w:rsidRPr="00116CE6" w:rsidRDefault="0076523B" w:rsidP="006A2E5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76523B" w:rsidRPr="00116CE6" w14:paraId="517B9EA2" w14:textId="77777777" w:rsidTr="006A2E59">
              <w:tc>
                <w:tcPr>
                  <w:tcW w:w="6970" w:type="dxa"/>
                </w:tcPr>
                <w:p w14:paraId="5FE39410" w14:textId="77777777" w:rsidR="0076523B" w:rsidRPr="00116CE6" w:rsidRDefault="0076523B" w:rsidP="006A2E59">
                  <w:pPr>
                    <w:rPr>
                      <w:rFonts w:ascii="Arial" w:hAnsi="Arial"/>
                      <w:sz w:val="20"/>
                      <w:szCs w:val="20"/>
                    </w:rPr>
                  </w:pPr>
                </w:p>
                <w:p w14:paraId="38B41EA0" w14:textId="77777777" w:rsidR="0076523B" w:rsidRPr="00116CE6" w:rsidRDefault="0076523B" w:rsidP="006A2E5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107C0C8" w14:textId="77777777" w:rsidR="0076523B" w:rsidRPr="00116CE6" w:rsidRDefault="0076523B" w:rsidP="006A2E59">
                  <w:pPr>
                    <w:rPr>
                      <w:rFonts w:ascii="Arial" w:hAnsi="Arial"/>
                      <w:sz w:val="20"/>
                      <w:szCs w:val="20"/>
                    </w:rPr>
                  </w:pPr>
                </w:p>
              </w:tc>
            </w:tr>
            <w:tr w:rsidR="0076523B" w:rsidRPr="00116CE6" w14:paraId="0A9C9B5D" w14:textId="77777777" w:rsidTr="006A2E59">
              <w:tc>
                <w:tcPr>
                  <w:tcW w:w="6970" w:type="dxa"/>
                </w:tcPr>
                <w:p w14:paraId="0E818EF0" w14:textId="77777777" w:rsidR="0076523B" w:rsidRPr="00116CE6" w:rsidRDefault="0076523B" w:rsidP="006A2E59">
                  <w:pPr>
                    <w:rPr>
                      <w:rFonts w:ascii="Arial" w:hAnsi="Arial"/>
                      <w:sz w:val="20"/>
                      <w:szCs w:val="20"/>
                    </w:rPr>
                  </w:pPr>
                </w:p>
                <w:p w14:paraId="1B5537C0" w14:textId="77777777" w:rsidR="0076523B" w:rsidRPr="00116CE6" w:rsidRDefault="0076523B" w:rsidP="006A2E59">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2F487AD2" w14:textId="77777777" w:rsidR="0076523B" w:rsidRPr="00116CE6" w:rsidRDefault="0076523B" w:rsidP="006A2E59">
                  <w:pPr>
                    <w:rPr>
                      <w:rFonts w:ascii="Arial" w:hAnsi="Arial"/>
                      <w:sz w:val="20"/>
                      <w:szCs w:val="20"/>
                    </w:rPr>
                  </w:pPr>
                </w:p>
              </w:tc>
            </w:tr>
            <w:tr w:rsidR="0076523B" w:rsidRPr="00116CE6" w14:paraId="755D2677" w14:textId="77777777" w:rsidTr="006A2E59">
              <w:tc>
                <w:tcPr>
                  <w:tcW w:w="6970" w:type="dxa"/>
                </w:tcPr>
                <w:p w14:paraId="350106CB" w14:textId="77777777" w:rsidR="0076523B" w:rsidRPr="00116CE6" w:rsidRDefault="0076523B" w:rsidP="006A2E59">
                  <w:pPr>
                    <w:rPr>
                      <w:rFonts w:ascii="Arial" w:hAnsi="Arial"/>
                      <w:sz w:val="20"/>
                      <w:szCs w:val="20"/>
                    </w:rPr>
                  </w:pPr>
                </w:p>
                <w:p w14:paraId="036E6295" w14:textId="77777777" w:rsidR="0076523B" w:rsidRPr="00116CE6" w:rsidRDefault="0076523B" w:rsidP="006A2E59">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3CC89086" w14:textId="77777777" w:rsidR="0076523B" w:rsidRPr="00116CE6" w:rsidRDefault="0076523B" w:rsidP="006A2E59">
                  <w:pPr>
                    <w:rPr>
                      <w:rFonts w:ascii="Arial" w:hAnsi="Arial"/>
                      <w:sz w:val="20"/>
                      <w:szCs w:val="20"/>
                    </w:rPr>
                  </w:pPr>
                </w:p>
              </w:tc>
            </w:tr>
            <w:tr w:rsidR="0076523B" w:rsidRPr="00116CE6" w14:paraId="7D10ED5E" w14:textId="77777777" w:rsidTr="006A2E59">
              <w:tc>
                <w:tcPr>
                  <w:tcW w:w="6970" w:type="dxa"/>
                </w:tcPr>
                <w:p w14:paraId="11998F81" w14:textId="77777777" w:rsidR="0076523B" w:rsidRDefault="0076523B" w:rsidP="006A2E59">
                  <w:pPr>
                    <w:rPr>
                      <w:rFonts w:ascii="Arial" w:hAnsi="Arial"/>
                      <w:sz w:val="20"/>
                      <w:szCs w:val="20"/>
                    </w:rPr>
                  </w:pPr>
                </w:p>
                <w:p w14:paraId="4B230D79" w14:textId="77777777" w:rsidR="0076523B" w:rsidRPr="00022345" w:rsidRDefault="0076523B" w:rsidP="006A2E59">
                  <w:pPr>
                    <w:rPr>
                      <w:rFonts w:ascii="Arial" w:hAnsi="Arial"/>
                      <w:b/>
                      <w:sz w:val="20"/>
                      <w:szCs w:val="20"/>
                    </w:rPr>
                  </w:pPr>
                  <w:r w:rsidRPr="00022345">
                    <w:rPr>
                      <w:rFonts w:ascii="Arial" w:hAnsi="Arial"/>
                      <w:b/>
                      <w:sz w:val="20"/>
                      <w:szCs w:val="20"/>
                    </w:rPr>
                    <w:t>Final Mark</w:t>
                  </w:r>
                </w:p>
                <w:p w14:paraId="1AC8AAFC" w14:textId="77777777" w:rsidR="0076523B" w:rsidRPr="00116CE6" w:rsidRDefault="0076523B" w:rsidP="006A2E59">
                  <w:pPr>
                    <w:rPr>
                      <w:rFonts w:ascii="Arial" w:hAnsi="Arial"/>
                      <w:sz w:val="20"/>
                      <w:szCs w:val="20"/>
                    </w:rPr>
                  </w:pPr>
                </w:p>
              </w:tc>
              <w:tc>
                <w:tcPr>
                  <w:tcW w:w="1660" w:type="dxa"/>
                </w:tcPr>
                <w:p w14:paraId="1F5438BA" w14:textId="77777777" w:rsidR="0076523B" w:rsidRPr="00116CE6" w:rsidRDefault="0076523B" w:rsidP="006A2E59">
                  <w:pPr>
                    <w:rPr>
                      <w:rFonts w:ascii="Arial" w:hAnsi="Arial"/>
                      <w:sz w:val="20"/>
                      <w:szCs w:val="20"/>
                    </w:rPr>
                  </w:pPr>
                </w:p>
              </w:tc>
            </w:tr>
          </w:tbl>
          <w:p w14:paraId="0D6F1907" w14:textId="77777777" w:rsidR="0076523B" w:rsidRDefault="0076523B" w:rsidP="006A2E59">
            <w:pPr>
              <w:pStyle w:val="NormalWeb"/>
              <w:spacing w:before="0" w:beforeAutospacing="0" w:after="0" w:afterAutospacing="0"/>
              <w:ind w:left="142" w:right="34"/>
              <w:rPr>
                <w:rFonts w:ascii="Arial" w:hAnsi="Arial" w:cs="Arial"/>
                <w:b/>
                <w:sz w:val="22"/>
                <w:szCs w:val="22"/>
              </w:rPr>
            </w:pPr>
          </w:p>
          <w:p w14:paraId="7A1FC7FA" w14:textId="77777777" w:rsidR="0076523B" w:rsidRPr="00230F35" w:rsidRDefault="0076523B" w:rsidP="006A2E5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047C8FE" w14:textId="77777777" w:rsidR="0076523B" w:rsidRDefault="0076523B" w:rsidP="006A2E59">
            <w:pPr>
              <w:pStyle w:val="NormalWeb"/>
              <w:spacing w:before="0" w:beforeAutospacing="0" w:after="0" w:afterAutospacing="0"/>
              <w:rPr>
                <w:rFonts w:ascii="Arial" w:hAnsi="Arial" w:cs="Arial"/>
                <w:b/>
                <w:sz w:val="22"/>
                <w:szCs w:val="22"/>
              </w:rPr>
            </w:pPr>
          </w:p>
          <w:p w14:paraId="4CF685D3" w14:textId="77777777" w:rsidR="0076523B" w:rsidRDefault="0076523B" w:rsidP="006A2E59">
            <w:pPr>
              <w:pStyle w:val="NormalWeb"/>
              <w:spacing w:before="0" w:beforeAutospacing="0" w:after="0" w:afterAutospacing="0"/>
              <w:rPr>
                <w:rFonts w:ascii="Arial" w:hAnsi="Arial" w:cs="Arial"/>
                <w:b/>
                <w:sz w:val="22"/>
                <w:szCs w:val="22"/>
              </w:rPr>
            </w:pPr>
          </w:p>
          <w:p w14:paraId="2878C96B" w14:textId="77777777" w:rsidR="0076523B" w:rsidRDefault="0076523B" w:rsidP="006A2E59">
            <w:pPr>
              <w:pStyle w:val="NormalWeb"/>
              <w:spacing w:before="0" w:beforeAutospacing="0" w:after="0" w:afterAutospacing="0"/>
              <w:rPr>
                <w:rFonts w:ascii="Arial" w:hAnsi="Arial" w:cs="Arial"/>
                <w:b/>
                <w:sz w:val="22"/>
                <w:szCs w:val="22"/>
              </w:rPr>
            </w:pPr>
          </w:p>
          <w:p w14:paraId="3CD3D893" w14:textId="77777777" w:rsidR="0076523B" w:rsidRDefault="0076523B" w:rsidP="006A2E59">
            <w:pPr>
              <w:pStyle w:val="NormalWeb"/>
              <w:spacing w:before="0" w:beforeAutospacing="0" w:after="0" w:afterAutospacing="0"/>
              <w:rPr>
                <w:rFonts w:ascii="Arial" w:hAnsi="Arial" w:cs="Arial"/>
                <w:b/>
                <w:sz w:val="22"/>
                <w:szCs w:val="22"/>
              </w:rPr>
            </w:pPr>
          </w:p>
          <w:p w14:paraId="26285CEA" w14:textId="77777777" w:rsidR="0076523B" w:rsidRDefault="0076523B" w:rsidP="006A2E59">
            <w:pPr>
              <w:pStyle w:val="NormalWeb"/>
              <w:spacing w:before="0" w:beforeAutospacing="0" w:after="0" w:afterAutospacing="0"/>
              <w:rPr>
                <w:rFonts w:ascii="Arial" w:hAnsi="Arial" w:cs="Arial"/>
                <w:b/>
                <w:sz w:val="22"/>
                <w:szCs w:val="22"/>
              </w:rPr>
            </w:pPr>
          </w:p>
          <w:p w14:paraId="75814ADB" w14:textId="77777777" w:rsidR="0076523B" w:rsidRPr="00230F35" w:rsidRDefault="0076523B" w:rsidP="006A2E5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C21A931" w14:textId="77777777" w:rsidR="0076523B" w:rsidRDefault="0076523B" w:rsidP="006A2E5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3264C3E6" w14:textId="77777777" w:rsidR="0076523B" w:rsidRPr="00001C3B" w:rsidRDefault="0076523B" w:rsidP="006A2E59">
            <w:pPr>
              <w:pStyle w:val="NormalWeb"/>
              <w:rPr>
                <w:rFonts w:ascii="Arial" w:hAnsi="Arial" w:cs="Arial"/>
                <w:sz w:val="22"/>
                <w:szCs w:val="22"/>
              </w:rPr>
            </w:pPr>
          </w:p>
        </w:tc>
      </w:tr>
      <w:tr w:rsidR="0076523B" w:rsidRPr="00230F35" w14:paraId="6A57B9BD" w14:textId="77777777" w:rsidTr="006A2E59">
        <w:trPr>
          <w:trHeight w:val="492"/>
        </w:trPr>
        <w:tc>
          <w:tcPr>
            <w:tcW w:w="6768" w:type="dxa"/>
            <w:gridSpan w:val="3"/>
          </w:tcPr>
          <w:p w14:paraId="70869D78" w14:textId="77777777" w:rsidR="0076523B" w:rsidRPr="00230F35" w:rsidRDefault="0076523B" w:rsidP="006A2E59">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753F129" w14:textId="77777777" w:rsidR="0076523B" w:rsidRPr="00230F35" w:rsidRDefault="0076523B" w:rsidP="006A2E59">
            <w:pPr>
              <w:pStyle w:val="NormalWeb"/>
              <w:spacing w:after="0"/>
              <w:ind w:left="142" w:right="34"/>
              <w:rPr>
                <w:rFonts w:ascii="Arial" w:hAnsi="Arial" w:cs="Arial"/>
                <w:sz w:val="22"/>
                <w:szCs w:val="22"/>
              </w:rPr>
            </w:pPr>
            <w:r w:rsidRPr="00230F35">
              <w:rPr>
                <w:rFonts w:ascii="Arial" w:hAnsi="Arial" w:cs="Arial"/>
                <w:sz w:val="22"/>
                <w:szCs w:val="22"/>
              </w:rPr>
              <w:t>Date:</w:t>
            </w:r>
          </w:p>
        </w:tc>
      </w:tr>
      <w:tr w:rsidR="0076523B" w:rsidRPr="002F467C" w14:paraId="3F3B1A73" w14:textId="77777777" w:rsidTr="006A2E59">
        <w:tc>
          <w:tcPr>
            <w:tcW w:w="8856" w:type="dxa"/>
            <w:gridSpan w:val="5"/>
          </w:tcPr>
          <w:p w14:paraId="427D6DA3" w14:textId="77777777" w:rsidR="0076523B" w:rsidRPr="00230F35" w:rsidRDefault="0076523B" w:rsidP="006A2E59">
            <w:pPr>
              <w:pStyle w:val="NormalWeb"/>
              <w:spacing w:before="0" w:beforeAutospacing="0" w:after="0" w:afterAutospacing="0"/>
              <w:ind w:right="-334"/>
              <w:rPr>
                <w:rFonts w:ascii="Arial" w:hAnsi="Arial" w:cs="Arial"/>
                <w:bCs/>
                <w:i/>
                <w:sz w:val="22"/>
                <w:szCs w:val="22"/>
              </w:rPr>
            </w:pPr>
          </w:p>
          <w:p w14:paraId="60E3E838" w14:textId="77777777" w:rsidR="0076523B" w:rsidRPr="00230F35" w:rsidRDefault="0076523B" w:rsidP="006A2E5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2509CAA" w14:textId="77777777" w:rsidR="0076523B" w:rsidRPr="00230F35" w:rsidRDefault="0076523B" w:rsidP="006A2E59">
            <w:pPr>
              <w:pStyle w:val="NormalWeb"/>
              <w:spacing w:before="0" w:beforeAutospacing="0" w:after="0" w:afterAutospacing="0"/>
              <w:ind w:right="-334"/>
              <w:rPr>
                <w:rFonts w:ascii="Arial" w:hAnsi="Arial" w:cs="Arial"/>
                <w:b/>
                <w:bCs/>
                <w:sz w:val="22"/>
                <w:szCs w:val="22"/>
              </w:rPr>
            </w:pPr>
          </w:p>
          <w:p w14:paraId="0996E3F4"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CB3B1F9"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p w14:paraId="14BF8F5A"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p w14:paraId="13EB26C5"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tc>
      </w:tr>
      <w:tr w:rsidR="0076523B" w:rsidRPr="002F467C" w14:paraId="581B1B55" w14:textId="77777777" w:rsidTr="006A2E59">
        <w:trPr>
          <w:trHeight w:val="720"/>
        </w:trPr>
        <w:tc>
          <w:tcPr>
            <w:tcW w:w="5211" w:type="dxa"/>
            <w:gridSpan w:val="2"/>
          </w:tcPr>
          <w:p w14:paraId="5972812C"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8D25532"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76523B" w:rsidRPr="002F467C" w14:paraId="6DEAF7FA" w14:textId="77777777" w:rsidTr="006A2E59">
        <w:trPr>
          <w:trHeight w:val="720"/>
        </w:trPr>
        <w:tc>
          <w:tcPr>
            <w:tcW w:w="8856" w:type="dxa"/>
            <w:gridSpan w:val="5"/>
          </w:tcPr>
          <w:p w14:paraId="22F46040" w14:textId="77777777" w:rsidR="0076523B" w:rsidRPr="00B34964" w:rsidRDefault="0076523B" w:rsidP="006A2E59">
            <w:pPr>
              <w:rPr>
                <w:rFonts w:ascii="Arial" w:hAnsi="Arial" w:cs="Arial"/>
                <w:b/>
              </w:rPr>
            </w:pPr>
            <w:r w:rsidRPr="00B34964">
              <w:rPr>
                <w:rFonts w:ascii="Arial" w:hAnsi="Arial" w:cs="Arial"/>
                <w:b/>
              </w:rPr>
              <w:t>External Examiner’s comments (if relevant)</w:t>
            </w:r>
          </w:p>
          <w:p w14:paraId="141D3EF6"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p w14:paraId="41051053"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p w14:paraId="7A501964" w14:textId="77777777" w:rsidR="0076523B" w:rsidRPr="00230F35" w:rsidRDefault="0076523B" w:rsidP="006A2E59">
            <w:pPr>
              <w:pStyle w:val="NormalWeb"/>
              <w:spacing w:before="0" w:beforeAutospacing="0" w:after="0" w:afterAutospacing="0"/>
              <w:ind w:right="-334"/>
              <w:rPr>
                <w:rFonts w:ascii="Arial" w:hAnsi="Arial" w:cs="Arial"/>
                <w:bCs/>
                <w:sz w:val="22"/>
                <w:szCs w:val="22"/>
              </w:rPr>
            </w:pPr>
          </w:p>
        </w:tc>
      </w:tr>
      <w:tr w:rsidR="0076523B" w:rsidRPr="002F467C" w14:paraId="6C77B1C3" w14:textId="77777777" w:rsidTr="006A2E59">
        <w:trPr>
          <w:trHeight w:val="720"/>
        </w:trPr>
        <w:tc>
          <w:tcPr>
            <w:tcW w:w="5211" w:type="dxa"/>
            <w:gridSpan w:val="2"/>
          </w:tcPr>
          <w:p w14:paraId="6A382C53" w14:textId="77777777" w:rsidR="0076523B" w:rsidRPr="00230F35" w:rsidRDefault="0076523B" w:rsidP="006A2E59">
            <w:pPr>
              <w:rPr>
                <w:rFonts w:ascii="Arial" w:hAnsi="Arial" w:cs="Arial"/>
              </w:rPr>
            </w:pPr>
            <w:r w:rsidRPr="00230F35">
              <w:rPr>
                <w:rFonts w:ascii="Arial" w:hAnsi="Arial" w:cs="Arial"/>
              </w:rPr>
              <w:t>External Examiner’s Signature:</w:t>
            </w:r>
          </w:p>
        </w:tc>
        <w:tc>
          <w:tcPr>
            <w:tcW w:w="3645" w:type="dxa"/>
            <w:gridSpan w:val="3"/>
          </w:tcPr>
          <w:p w14:paraId="08096BC2" w14:textId="77777777" w:rsidR="0076523B" w:rsidRPr="00230F35" w:rsidRDefault="0076523B" w:rsidP="006A2E59">
            <w:pPr>
              <w:rPr>
                <w:rFonts w:ascii="Arial" w:hAnsi="Arial" w:cs="Arial"/>
              </w:rPr>
            </w:pPr>
            <w:r w:rsidRPr="00230F35">
              <w:rPr>
                <w:rFonts w:ascii="Arial" w:hAnsi="Arial" w:cs="Arial"/>
              </w:rPr>
              <w:t>Date:</w:t>
            </w:r>
          </w:p>
        </w:tc>
      </w:tr>
    </w:tbl>
    <w:p w14:paraId="563C5B94" w14:textId="77777777" w:rsidR="0076523B" w:rsidRDefault="0076523B" w:rsidP="00FD3FAB">
      <w:pPr>
        <w:rPr>
          <w:bCs/>
        </w:rPr>
      </w:pPr>
    </w:p>
    <w:p w14:paraId="536BAAA0" w14:textId="77777777" w:rsidR="0076523B" w:rsidRDefault="0076523B" w:rsidP="00FD3FAB">
      <w:pPr>
        <w:rPr>
          <w:bCs/>
        </w:rPr>
      </w:pPr>
    </w:p>
    <w:p w14:paraId="429C1DEA" w14:textId="0189CD49" w:rsidR="0076523B" w:rsidRPr="0076523B" w:rsidRDefault="0076523B" w:rsidP="0076523B">
      <w:pPr>
        <w:pStyle w:val="ListParagraph"/>
        <w:tabs>
          <w:tab w:val="left" w:pos="0"/>
        </w:tabs>
        <w:suppressAutoHyphens/>
        <w:spacing w:after="0" w:line="240" w:lineRule="auto"/>
        <w:ind w:left="0"/>
        <w:jc w:val="both"/>
        <w:rPr>
          <w:rFonts w:asciiTheme="minorHAnsi" w:hAnsiTheme="minorHAnsi" w:cs="Times New Roman"/>
          <w:b/>
          <w:spacing w:val="-3"/>
          <w:sz w:val="24"/>
          <w:szCs w:val="24"/>
        </w:rPr>
      </w:pPr>
      <w:r w:rsidRPr="0076523B">
        <w:rPr>
          <w:b/>
          <w:sz w:val="24"/>
          <w:szCs w:val="24"/>
        </w:rPr>
        <w:lastRenderedPageBreak/>
        <w:t xml:space="preserve">Commentary: </w:t>
      </w:r>
      <w:r w:rsidRPr="0076523B">
        <w:rPr>
          <w:rFonts w:asciiTheme="minorHAnsi" w:hAnsiTheme="minorHAnsi" w:cs="Times New Roman"/>
          <w:spacing w:val="-3"/>
          <w:sz w:val="24"/>
          <w:szCs w:val="24"/>
        </w:rPr>
        <w:t>Comment on the significant features of an extract from a documentary source (e.g. from medieval will, manorial court roll etc).</w:t>
      </w:r>
    </w:p>
    <w:p w14:paraId="4BD3E068" w14:textId="77777777" w:rsidR="0076523B" w:rsidRDefault="0076523B" w:rsidP="00FD3FAB">
      <w:pPr>
        <w:rPr>
          <w:bCs/>
          <w:i/>
          <w:iCs/>
          <w:sz w:val="24"/>
          <w:szCs w:val="24"/>
        </w:rPr>
      </w:pPr>
    </w:p>
    <w:p w14:paraId="604D322E" w14:textId="58C59CF9" w:rsidR="005D1198" w:rsidRDefault="005D1198" w:rsidP="00FD3FAB">
      <w:pPr>
        <w:rPr>
          <w:rFonts w:cstheme="minorHAnsi"/>
          <w:i/>
          <w:iCs/>
          <w:sz w:val="24"/>
          <w:szCs w:val="24"/>
        </w:rPr>
      </w:pPr>
      <w:r w:rsidRPr="0076523B">
        <w:rPr>
          <w:bCs/>
          <w:i/>
          <w:iCs/>
        </w:rPr>
        <w:t>In the name of God Amen. This is the testament and last will of Lady Isabella, countess of Warwick, made in London on 1 December 1439. First I bequeath my soul to Almighty God and my body to be buried in the abbey of Tewkesbury in the place that I have assigned. My great ‘templys’ [jewels worn on the forehead] with the pale rubies are to be sold for the highest price, and the money delivered to the abbot and house of Tewkesbury so that they do not grumble about my burial or about anything else that I will have done about my body. My image is to be made completely naked, with nothing on my head, and the hair cast back, and is to be of the same size and design that Thomas Porchalyn has made. At my head is to be Mary Magdalene laying my hands across my breast. On the right hand side is to be St John the Evangelist and on the left St Anthony and at my feet a scutcheon of my arms impaled with my lord’s and supported by two griffins. And all around my tomb poor men and women are to be depicted in their poor array with their beads in their hands . . .</w:t>
      </w:r>
    </w:p>
    <w:p w14:paraId="3023E8EB" w14:textId="77777777" w:rsidR="0076523B" w:rsidRPr="0076523B" w:rsidRDefault="0076523B" w:rsidP="00FD3FAB">
      <w:pPr>
        <w:rPr>
          <w:rFonts w:cstheme="minorHAnsi"/>
          <w:i/>
          <w:iCs/>
          <w:sz w:val="24"/>
          <w:szCs w:val="24"/>
        </w:rPr>
      </w:pPr>
    </w:p>
    <w:p w14:paraId="1875AEB5" w14:textId="27B18522" w:rsidR="00FD3FAB" w:rsidRPr="00ED566D" w:rsidRDefault="00FD3FAB" w:rsidP="00FD3FAB">
      <w:pPr>
        <w:rPr>
          <w:rFonts w:cstheme="minorHAnsi"/>
          <w:color w:val="202122"/>
          <w:sz w:val="24"/>
          <w:szCs w:val="24"/>
          <w:shd w:val="clear" w:color="auto" w:fill="FFFFFF"/>
        </w:rPr>
      </w:pPr>
      <w:r w:rsidRPr="00ED566D">
        <w:rPr>
          <w:rFonts w:cstheme="minorHAnsi"/>
          <w:sz w:val="24"/>
          <w:szCs w:val="24"/>
        </w:rPr>
        <w:t>Lady Isabella, Countess of Warwick was the daughter of Thomas, 1</w:t>
      </w:r>
      <w:r w:rsidRPr="00ED566D">
        <w:rPr>
          <w:rFonts w:cstheme="minorHAnsi"/>
          <w:sz w:val="24"/>
          <w:szCs w:val="24"/>
          <w:vertAlign w:val="superscript"/>
        </w:rPr>
        <w:t>st</w:t>
      </w:r>
      <w:r w:rsidRPr="00ED566D">
        <w:rPr>
          <w:rFonts w:cstheme="minorHAnsi"/>
          <w:sz w:val="24"/>
          <w:szCs w:val="24"/>
        </w:rPr>
        <w:t xml:space="preserve"> Earl of Gloucester, who was beheaded for his plot against the English King, Henry IV.</w:t>
      </w:r>
      <w:r w:rsidRPr="00ED566D">
        <w:rPr>
          <w:rStyle w:val="FootnoteReference"/>
          <w:rFonts w:cstheme="minorHAnsi"/>
          <w:sz w:val="24"/>
          <w:szCs w:val="24"/>
        </w:rPr>
        <w:footnoteReference w:id="1"/>
      </w:r>
      <w:r w:rsidRPr="00ED566D">
        <w:rPr>
          <w:rFonts w:cstheme="minorHAnsi"/>
          <w:color w:val="202122"/>
          <w:sz w:val="24"/>
          <w:szCs w:val="24"/>
          <w:shd w:val="clear" w:color="auto" w:fill="FFFFFF"/>
        </w:rPr>
        <w:t xml:space="preserve"> She married twice, firstly to Richard de Beauchamp, 1</w:t>
      </w:r>
      <w:r w:rsidRPr="00ED566D">
        <w:rPr>
          <w:rFonts w:cstheme="minorHAnsi"/>
          <w:color w:val="202122"/>
          <w:sz w:val="24"/>
          <w:szCs w:val="24"/>
          <w:shd w:val="clear" w:color="auto" w:fill="FFFFFF"/>
          <w:vertAlign w:val="superscript"/>
        </w:rPr>
        <w:t>st</w:t>
      </w:r>
      <w:r w:rsidRPr="00ED566D">
        <w:rPr>
          <w:rFonts w:cstheme="minorHAnsi"/>
          <w:color w:val="202122"/>
          <w:sz w:val="24"/>
          <w:szCs w:val="24"/>
          <w:shd w:val="clear" w:color="auto" w:fill="FFFFFF"/>
        </w:rPr>
        <w:t xml:space="preserve"> Earl of Worcester, with whom she had a daughter, and secondly to another Richard de Beauchamp, 13</w:t>
      </w:r>
      <w:r w:rsidRPr="00ED566D">
        <w:rPr>
          <w:rFonts w:cstheme="minorHAnsi"/>
          <w:color w:val="202122"/>
          <w:sz w:val="24"/>
          <w:szCs w:val="24"/>
          <w:shd w:val="clear" w:color="auto" w:fill="FFFFFF"/>
          <w:vertAlign w:val="superscript"/>
        </w:rPr>
        <w:t>th</w:t>
      </w:r>
      <w:r w:rsidRPr="00ED566D">
        <w:rPr>
          <w:rFonts w:cstheme="minorHAnsi"/>
          <w:color w:val="202122"/>
          <w:sz w:val="24"/>
          <w:szCs w:val="24"/>
          <w:shd w:val="clear" w:color="auto" w:fill="FFFFFF"/>
        </w:rPr>
        <w:t xml:space="preserve"> Earl of Warwick, and her first husband’s cousin, with whom she bore two children, a son and a daughter.</w:t>
      </w:r>
      <w:r w:rsidRPr="00ED566D">
        <w:rPr>
          <w:rStyle w:val="FootnoteReference"/>
          <w:rFonts w:cstheme="minorHAnsi"/>
          <w:color w:val="202122"/>
          <w:sz w:val="24"/>
          <w:szCs w:val="24"/>
          <w:shd w:val="clear" w:color="auto" w:fill="FFFFFF"/>
        </w:rPr>
        <w:footnoteReference w:id="2"/>
      </w:r>
      <w:r w:rsidRPr="00ED566D">
        <w:rPr>
          <w:rFonts w:cstheme="minorHAnsi"/>
          <w:color w:val="202122"/>
          <w:sz w:val="24"/>
          <w:szCs w:val="24"/>
          <w:shd w:val="clear" w:color="auto" w:fill="FFFFFF"/>
        </w:rPr>
        <w:t xml:space="preserve"> With these titles, Lady Isabella was seemingly a noble member of English society, and therefore led an elite lifestyle that should be taken into consideration while analysing </w:t>
      </w:r>
      <w:r w:rsidR="00285E0B" w:rsidRPr="00ED566D">
        <w:rPr>
          <w:rFonts w:cstheme="minorHAnsi"/>
          <w:color w:val="202122"/>
          <w:sz w:val="24"/>
          <w:szCs w:val="24"/>
          <w:shd w:val="clear" w:color="auto" w:fill="FFFFFF"/>
        </w:rPr>
        <w:t>this documentary source.</w:t>
      </w:r>
    </w:p>
    <w:p w14:paraId="6D7CEFE7" w14:textId="0DF2C101" w:rsidR="00285E0B" w:rsidRPr="00ED566D" w:rsidRDefault="00285E0B" w:rsidP="00FD3FAB">
      <w:pPr>
        <w:rPr>
          <w:rFonts w:cstheme="minorHAnsi"/>
          <w:color w:val="202122"/>
          <w:sz w:val="24"/>
          <w:szCs w:val="24"/>
          <w:shd w:val="clear" w:color="auto" w:fill="FFFFFF"/>
        </w:rPr>
      </w:pPr>
      <w:r w:rsidRPr="00ED566D">
        <w:rPr>
          <w:rFonts w:cstheme="minorHAnsi"/>
          <w:color w:val="202122"/>
          <w:sz w:val="24"/>
          <w:szCs w:val="24"/>
          <w:shd w:val="clear" w:color="auto" w:fill="FFFFFF"/>
        </w:rPr>
        <w:t xml:space="preserve">Aforementioned documentary source is an extract of the final will of Lady Isabella and details the </w:t>
      </w:r>
      <w:r w:rsidR="00320B94" w:rsidRPr="00ED566D">
        <w:rPr>
          <w:rFonts w:cstheme="minorHAnsi"/>
          <w:color w:val="202122"/>
          <w:sz w:val="24"/>
          <w:szCs w:val="24"/>
          <w:shd w:val="clear" w:color="auto" w:fill="FFFFFF"/>
        </w:rPr>
        <w:t>consequential details of her death. In the Medieval period, women were only allowed to make wills such as this one under two circumstances; if she were widowed, or if she were given expressed permission from her husband.</w:t>
      </w:r>
      <w:r w:rsidR="00320B94" w:rsidRPr="00ED566D">
        <w:rPr>
          <w:rStyle w:val="FootnoteReference"/>
          <w:rFonts w:cstheme="minorHAnsi"/>
          <w:color w:val="202122"/>
          <w:sz w:val="24"/>
          <w:szCs w:val="24"/>
          <w:shd w:val="clear" w:color="auto" w:fill="FFFFFF"/>
        </w:rPr>
        <w:footnoteReference w:id="3"/>
      </w:r>
      <w:r w:rsidR="00320B94" w:rsidRPr="00ED566D">
        <w:rPr>
          <w:rFonts w:cstheme="minorHAnsi"/>
          <w:color w:val="202122"/>
          <w:sz w:val="24"/>
          <w:szCs w:val="24"/>
          <w:shd w:val="clear" w:color="auto" w:fill="FFFFFF"/>
        </w:rPr>
        <w:t xml:space="preserve"> In the case of </w:t>
      </w:r>
      <w:r w:rsidR="006A167D" w:rsidRPr="00ED566D">
        <w:rPr>
          <w:rFonts w:cstheme="minorHAnsi"/>
          <w:color w:val="202122"/>
          <w:sz w:val="24"/>
          <w:szCs w:val="24"/>
          <w:shd w:val="clear" w:color="auto" w:fill="FFFFFF"/>
        </w:rPr>
        <w:t xml:space="preserve">Lady </w:t>
      </w:r>
      <w:r w:rsidR="00320B94" w:rsidRPr="00ED566D">
        <w:rPr>
          <w:rFonts w:cstheme="minorHAnsi"/>
          <w:color w:val="202122"/>
          <w:sz w:val="24"/>
          <w:szCs w:val="24"/>
          <w:shd w:val="clear" w:color="auto" w:fill="FFFFFF"/>
        </w:rPr>
        <w:t>Isabella, her second husband died in the April of 1439 in Rouen Normandy, two years after writing his own will at Caversham Castle in Oxford in 1437,</w:t>
      </w:r>
      <w:r w:rsidR="00320B94" w:rsidRPr="00ED566D">
        <w:rPr>
          <w:rStyle w:val="FootnoteReference"/>
          <w:rFonts w:cstheme="minorHAnsi"/>
          <w:color w:val="202122"/>
          <w:sz w:val="24"/>
          <w:szCs w:val="24"/>
          <w:shd w:val="clear" w:color="auto" w:fill="FFFFFF"/>
        </w:rPr>
        <w:footnoteReference w:id="4"/>
      </w:r>
      <w:r w:rsidR="00320B94" w:rsidRPr="00ED566D">
        <w:rPr>
          <w:rFonts w:cstheme="minorHAnsi"/>
          <w:color w:val="202122"/>
          <w:sz w:val="24"/>
          <w:szCs w:val="24"/>
          <w:shd w:val="clear" w:color="auto" w:fill="FFFFFF"/>
        </w:rPr>
        <w:t xml:space="preserve"> as we know Isabella wrote her testament and last will on the 1</w:t>
      </w:r>
      <w:r w:rsidR="00320B94" w:rsidRPr="00ED566D">
        <w:rPr>
          <w:rFonts w:cstheme="minorHAnsi"/>
          <w:color w:val="202122"/>
          <w:sz w:val="24"/>
          <w:szCs w:val="24"/>
          <w:shd w:val="clear" w:color="auto" w:fill="FFFFFF"/>
          <w:vertAlign w:val="superscript"/>
        </w:rPr>
        <w:t>st</w:t>
      </w:r>
      <w:r w:rsidR="00320B94" w:rsidRPr="00ED566D">
        <w:rPr>
          <w:rFonts w:cstheme="minorHAnsi"/>
          <w:color w:val="202122"/>
          <w:sz w:val="24"/>
          <w:szCs w:val="24"/>
          <w:shd w:val="clear" w:color="auto" w:fill="FFFFFF"/>
        </w:rPr>
        <w:t xml:space="preserve"> December 1439, as read in the passage, we are able to deduce that this was written while Isabella was widowed. Another date to note is Isabella’s death on the 27</w:t>
      </w:r>
      <w:r w:rsidR="00320B94" w:rsidRPr="00ED566D">
        <w:rPr>
          <w:rFonts w:cstheme="minorHAnsi"/>
          <w:color w:val="202122"/>
          <w:sz w:val="24"/>
          <w:szCs w:val="24"/>
          <w:shd w:val="clear" w:color="auto" w:fill="FFFFFF"/>
          <w:vertAlign w:val="superscript"/>
        </w:rPr>
        <w:t>th</w:t>
      </w:r>
      <w:r w:rsidR="00320B94" w:rsidRPr="00ED566D">
        <w:rPr>
          <w:rFonts w:cstheme="minorHAnsi"/>
          <w:color w:val="202122"/>
          <w:sz w:val="24"/>
          <w:szCs w:val="24"/>
          <w:shd w:val="clear" w:color="auto" w:fill="FFFFFF"/>
        </w:rPr>
        <w:t xml:space="preserve"> December 1439,</w:t>
      </w:r>
      <w:r w:rsidR="006061A9" w:rsidRPr="00ED566D">
        <w:rPr>
          <w:rStyle w:val="FootnoteReference"/>
          <w:rFonts w:cstheme="minorHAnsi"/>
          <w:color w:val="202122"/>
          <w:sz w:val="24"/>
          <w:szCs w:val="24"/>
          <w:shd w:val="clear" w:color="auto" w:fill="FFFFFF"/>
        </w:rPr>
        <w:footnoteReference w:id="5"/>
      </w:r>
      <w:r w:rsidR="00320B94" w:rsidRPr="00ED566D">
        <w:rPr>
          <w:rFonts w:cstheme="minorHAnsi"/>
          <w:color w:val="202122"/>
          <w:sz w:val="24"/>
          <w:szCs w:val="24"/>
          <w:shd w:val="clear" w:color="auto" w:fill="FFFFFF"/>
        </w:rPr>
        <w:t xml:space="preserve"> </w:t>
      </w:r>
      <w:r w:rsidR="006061A9" w:rsidRPr="00ED566D">
        <w:rPr>
          <w:rFonts w:cstheme="minorHAnsi"/>
          <w:color w:val="202122"/>
          <w:sz w:val="24"/>
          <w:szCs w:val="24"/>
          <w:shd w:val="clear" w:color="auto" w:fill="FFFFFF"/>
        </w:rPr>
        <w:t xml:space="preserve">merely 26 days after completing her will. Though we have little knowledge regarding the circumstances of her death, it is plausible that she wrote the testament while ill and preparing for her imminent demise. This perhaps leads to a greater discussion regarding the social implications of allowing only widows and certain women to make wills, as it leads to last minute, perhaps highly influenced wills written in a time of uncertainty, fear and vulnerability for the person writing. </w:t>
      </w:r>
    </w:p>
    <w:p w14:paraId="4119B132" w14:textId="77777777" w:rsidR="006A167D" w:rsidRPr="00ED566D" w:rsidRDefault="0078029C" w:rsidP="00FD3FAB">
      <w:pPr>
        <w:rPr>
          <w:rFonts w:cstheme="minorHAnsi"/>
          <w:color w:val="202122"/>
          <w:sz w:val="24"/>
          <w:szCs w:val="24"/>
          <w:shd w:val="clear" w:color="auto" w:fill="FFFFFF"/>
        </w:rPr>
      </w:pPr>
      <w:r w:rsidRPr="00ED566D">
        <w:rPr>
          <w:rFonts w:cstheme="minorHAnsi"/>
          <w:color w:val="202122"/>
          <w:sz w:val="24"/>
          <w:szCs w:val="24"/>
          <w:shd w:val="clear" w:color="auto" w:fill="FFFFFF"/>
        </w:rPr>
        <w:lastRenderedPageBreak/>
        <w:t xml:space="preserve">Through this passage it is also visible the alliances to certain religious houses Isabella holds. She requests to be buried at Tewkesbury Abbey, and is willing to secure that burial position through monetary gifts if required. Like expected in a will, Isabella includes the outcome she would like for her prized possessions, in this passage specifically she details the selling of her jewels to the highest bidder, in order to offer the money to the house of Tewkesbury. Both the financial and physical devotion she makes to the house of Tewkesbury solidifies her connection to this house. Similarly, is it easily deciphered which saints Isabella held particular devotion to, while describing the way in which she wanted to remain visible to people, she discusses Mary Magdalene laying her hands across her breasts as well as St John the Evangelist and St Anthony being at her right and left sides respectfully. </w:t>
      </w:r>
      <w:r w:rsidR="0066412B" w:rsidRPr="00ED566D">
        <w:rPr>
          <w:rFonts w:cstheme="minorHAnsi"/>
          <w:color w:val="202122"/>
          <w:sz w:val="24"/>
          <w:szCs w:val="24"/>
          <w:shd w:val="clear" w:color="auto" w:fill="FFFFFF"/>
        </w:rPr>
        <w:t>The inclusion of these Saints can provide insight to the spiritual devotion of Isabella, and her d</w:t>
      </w:r>
      <w:r w:rsidR="005C5AB3" w:rsidRPr="00ED566D">
        <w:rPr>
          <w:rFonts w:cstheme="minorHAnsi"/>
          <w:color w:val="202122"/>
          <w:sz w:val="24"/>
          <w:szCs w:val="24"/>
          <w:shd w:val="clear" w:color="auto" w:fill="FFFFFF"/>
        </w:rPr>
        <w:t xml:space="preserve">edication to certain saints and religious figures. </w:t>
      </w:r>
    </w:p>
    <w:p w14:paraId="499836D6" w14:textId="3F988397" w:rsidR="0078029C" w:rsidRDefault="006A167D" w:rsidP="00FD3FAB">
      <w:pPr>
        <w:rPr>
          <w:rFonts w:cstheme="minorHAnsi"/>
          <w:color w:val="202122"/>
          <w:sz w:val="24"/>
          <w:szCs w:val="24"/>
          <w:shd w:val="clear" w:color="auto" w:fill="FFFFFF"/>
        </w:rPr>
      </w:pPr>
      <w:r w:rsidRPr="00ED566D">
        <w:rPr>
          <w:rFonts w:cstheme="minorHAnsi"/>
          <w:color w:val="202122"/>
          <w:sz w:val="24"/>
          <w:szCs w:val="24"/>
          <w:shd w:val="clear" w:color="auto" w:fill="FFFFFF"/>
        </w:rPr>
        <w:t>The framing of the passage also attributes to the depiction of Lady Isabella, as we once more see her as a religiously motivated figure. She articulates the nature of which she writes this will, “in the name of God Amen”, in order to tie what she is saying, she also wills her soul to God, thus specifying the importance of her Christianity and her safeguarding into a Christian afterlife. This could perhaps also hint at the way in which she lived her life. Through this we know she is a devout Christian</w:t>
      </w:r>
      <w:r w:rsidR="00EF58C3">
        <w:rPr>
          <w:rFonts w:cstheme="minorHAnsi"/>
          <w:color w:val="202122"/>
          <w:sz w:val="24"/>
          <w:szCs w:val="24"/>
          <w:shd w:val="clear" w:color="auto" w:fill="FFFFFF"/>
        </w:rPr>
        <w:t xml:space="preserve"> and therefore an assumption can be made that she lived her life as such, although of this we cannot be certain and great deal further research would have to be conducted to confirm this. </w:t>
      </w:r>
    </w:p>
    <w:p w14:paraId="1E69AC8B" w14:textId="062A719D" w:rsidR="00FD3FAB" w:rsidRDefault="00EF58C3">
      <w:pPr>
        <w:rPr>
          <w:rFonts w:cstheme="minorHAnsi"/>
          <w:sz w:val="24"/>
          <w:szCs w:val="24"/>
        </w:rPr>
      </w:pPr>
      <w:r>
        <w:rPr>
          <w:rFonts w:cstheme="minorHAnsi"/>
          <w:sz w:val="24"/>
          <w:szCs w:val="24"/>
        </w:rPr>
        <w:t>Lady Isabella also mentions the inclusion of Griffins, a peculiar motif for the 15</w:t>
      </w:r>
      <w:r w:rsidRPr="00EF58C3">
        <w:rPr>
          <w:rFonts w:cstheme="minorHAnsi"/>
          <w:sz w:val="24"/>
          <w:szCs w:val="24"/>
          <w:vertAlign w:val="superscript"/>
        </w:rPr>
        <w:t>th</w:t>
      </w:r>
      <w:r>
        <w:rPr>
          <w:rFonts w:cstheme="minorHAnsi"/>
          <w:sz w:val="24"/>
          <w:szCs w:val="24"/>
        </w:rPr>
        <w:t xml:space="preserve"> Century. The Griffin is a legendary creature, usually </w:t>
      </w:r>
      <w:r w:rsidR="00F71866">
        <w:rPr>
          <w:rFonts w:cstheme="minorHAnsi"/>
          <w:sz w:val="24"/>
          <w:szCs w:val="24"/>
        </w:rPr>
        <w:t>associated with the Ancient Period, with the body, back legs and tail of a lion, the head and wings of an eagle.</w:t>
      </w:r>
      <w:r w:rsidR="00F71866">
        <w:rPr>
          <w:rStyle w:val="FootnoteReference"/>
          <w:rFonts w:cstheme="minorHAnsi"/>
          <w:sz w:val="24"/>
          <w:szCs w:val="24"/>
        </w:rPr>
        <w:footnoteReference w:id="6"/>
      </w:r>
      <w:r w:rsidR="00F71866">
        <w:rPr>
          <w:rFonts w:cstheme="minorHAnsi"/>
          <w:sz w:val="24"/>
          <w:szCs w:val="24"/>
        </w:rPr>
        <w:t xml:space="preserve"> Many believe the association of these two creatures is due to their status, the lion being the King of the land-dwelling beasts and the eagle being the King of the birds.</w:t>
      </w:r>
      <w:r w:rsidR="00F71866">
        <w:rPr>
          <w:rStyle w:val="FootnoteReference"/>
          <w:rFonts w:cstheme="minorHAnsi"/>
          <w:sz w:val="24"/>
          <w:szCs w:val="24"/>
        </w:rPr>
        <w:footnoteReference w:id="7"/>
      </w:r>
      <w:r w:rsidR="00F71866">
        <w:rPr>
          <w:rFonts w:cstheme="minorHAnsi"/>
          <w:sz w:val="24"/>
          <w:szCs w:val="24"/>
        </w:rPr>
        <w:t xml:space="preserve"> In classical antiquity, the Griffin was known for guarding priceless treasures, however by the Middle Ages this depiction shifted slightly to view the Griffin as simply a majestic and powerful creature becoming the Christian symbol of divine power during the Medieval period.</w:t>
      </w:r>
      <w:r w:rsidR="00F71866">
        <w:rPr>
          <w:rStyle w:val="FootnoteReference"/>
          <w:rFonts w:cstheme="minorHAnsi"/>
          <w:sz w:val="24"/>
          <w:szCs w:val="24"/>
        </w:rPr>
        <w:footnoteReference w:id="8"/>
      </w:r>
      <w:r w:rsidR="00F71866">
        <w:rPr>
          <w:rFonts w:cstheme="minorHAnsi"/>
          <w:sz w:val="24"/>
          <w:szCs w:val="24"/>
        </w:rPr>
        <w:t xml:space="preserve"> </w:t>
      </w:r>
      <w:r w:rsidR="00C76F9F">
        <w:rPr>
          <w:rFonts w:cstheme="minorHAnsi"/>
          <w:sz w:val="24"/>
          <w:szCs w:val="24"/>
        </w:rPr>
        <w:t>This could perhaps insinuate the status Lady Isabella thought of herself during this period as a wealthy and powerful women of nobility, or instead links further to her religious devotion. While regarding the two Griffins, she notes that they are to be supporting her arms, which are “impaled by [her] lord’s”. With the Griffin being a symbol of land and aerial creatures combined, it was later seen as a symbol of Jesus, due to their overlapping associations of the human and divine and was often sculpted on churches as a symbol of him.</w:t>
      </w:r>
      <w:r w:rsidR="00C76F9F">
        <w:rPr>
          <w:rStyle w:val="FootnoteReference"/>
          <w:rFonts w:cstheme="minorHAnsi"/>
          <w:sz w:val="24"/>
          <w:szCs w:val="24"/>
        </w:rPr>
        <w:footnoteReference w:id="9"/>
      </w:r>
      <w:r w:rsidR="00C76F9F">
        <w:rPr>
          <w:rFonts w:cstheme="minorHAnsi"/>
          <w:sz w:val="24"/>
          <w:szCs w:val="24"/>
        </w:rPr>
        <w:t xml:space="preserve"> Thus linking the divine power of the Griffins to her religious beliefs. </w:t>
      </w:r>
    </w:p>
    <w:p w14:paraId="095AE308" w14:textId="4B9A7872" w:rsidR="00C76F9F" w:rsidRDefault="00C76F9F">
      <w:pPr>
        <w:rPr>
          <w:rFonts w:cstheme="minorHAnsi"/>
          <w:sz w:val="24"/>
          <w:szCs w:val="24"/>
        </w:rPr>
      </w:pPr>
      <w:r>
        <w:rPr>
          <w:rFonts w:cstheme="minorHAnsi"/>
          <w:sz w:val="24"/>
          <w:szCs w:val="24"/>
        </w:rPr>
        <w:t xml:space="preserve">Another symbol of the Griffin however, is of the church’s opposition to remarriage. In the medieval version of the legends of Griffins, the creatures mated for life, and would continue </w:t>
      </w:r>
      <w:r>
        <w:rPr>
          <w:rFonts w:cstheme="minorHAnsi"/>
          <w:sz w:val="24"/>
          <w:szCs w:val="24"/>
        </w:rPr>
        <w:lastRenderedPageBreak/>
        <w:t>the remainder of its life alone should their partner die, never to search for a new mate.</w:t>
      </w:r>
      <w:r>
        <w:rPr>
          <w:rStyle w:val="FootnoteReference"/>
          <w:rFonts w:cstheme="minorHAnsi"/>
          <w:sz w:val="24"/>
          <w:szCs w:val="24"/>
        </w:rPr>
        <w:footnoteReference w:id="10"/>
      </w:r>
      <w:r>
        <w:rPr>
          <w:rFonts w:cstheme="minorHAnsi"/>
          <w:sz w:val="24"/>
          <w:szCs w:val="24"/>
        </w:rPr>
        <w:t xml:space="preserve"> </w:t>
      </w:r>
      <w:r w:rsidR="001E3762">
        <w:rPr>
          <w:rFonts w:cstheme="minorHAnsi"/>
          <w:sz w:val="24"/>
          <w:szCs w:val="24"/>
        </w:rPr>
        <w:t xml:space="preserve">This, considering Lady Isabella’s </w:t>
      </w:r>
      <w:r w:rsidR="00094640">
        <w:rPr>
          <w:rFonts w:cstheme="minorHAnsi"/>
          <w:sz w:val="24"/>
          <w:szCs w:val="24"/>
        </w:rPr>
        <w:t xml:space="preserve">marriage history of remarrying after being widowed, seems like a peculiar choice of symbol for her. Therefore, the validation of this symbol being able to provide any further insight into the mind and life of Lady Isabella is no longer viable. </w:t>
      </w:r>
    </w:p>
    <w:p w14:paraId="000B9977" w14:textId="467DA416" w:rsidR="00094640" w:rsidRDefault="00094640">
      <w:pPr>
        <w:rPr>
          <w:rFonts w:cstheme="minorHAnsi"/>
          <w:sz w:val="24"/>
          <w:szCs w:val="24"/>
        </w:rPr>
      </w:pPr>
      <w:r>
        <w:rPr>
          <w:rFonts w:cstheme="minorHAnsi"/>
          <w:sz w:val="24"/>
          <w:szCs w:val="24"/>
        </w:rPr>
        <w:t>While discussing her “image”, Lady Isabella explains her desire to be “made completely naked”. This links to her role as a female in this time period, as a male would not be depicted as such. The noble males of 15</w:t>
      </w:r>
      <w:r w:rsidRPr="00094640">
        <w:rPr>
          <w:rFonts w:cstheme="minorHAnsi"/>
          <w:sz w:val="24"/>
          <w:szCs w:val="24"/>
          <w:vertAlign w:val="superscript"/>
        </w:rPr>
        <w:t>th</w:t>
      </w:r>
      <w:r>
        <w:rPr>
          <w:rFonts w:cstheme="minorHAnsi"/>
          <w:sz w:val="24"/>
          <w:szCs w:val="24"/>
        </w:rPr>
        <w:t xml:space="preserve"> Century England would be adorned in their coat of arms, </w:t>
      </w:r>
      <w:r w:rsidR="00763A6D">
        <w:rPr>
          <w:rFonts w:cstheme="minorHAnsi"/>
          <w:sz w:val="24"/>
          <w:szCs w:val="24"/>
        </w:rPr>
        <w:t>armour and any other significant adornment relevant to their roles, status and family name.</w:t>
      </w:r>
      <w:r w:rsidR="001C2FCA">
        <w:rPr>
          <w:rStyle w:val="FootnoteReference"/>
          <w:rFonts w:cstheme="minorHAnsi"/>
          <w:sz w:val="24"/>
          <w:szCs w:val="24"/>
        </w:rPr>
        <w:footnoteReference w:id="11"/>
      </w:r>
      <w:r w:rsidR="001C2FCA">
        <w:rPr>
          <w:rFonts w:cstheme="minorHAnsi"/>
          <w:sz w:val="24"/>
          <w:szCs w:val="24"/>
        </w:rPr>
        <w:t xml:space="preserve"> However, Lady Isabella does not specify any desire for these things, instead reverting back to a more primeval look for her final state. Instead of being adorned with material statements of status, she instead is emulating depictions of women before her and portraying herself nude. This perhaps comes from popular motif the 15</w:t>
      </w:r>
      <w:r w:rsidR="001C2FCA" w:rsidRPr="001C2FCA">
        <w:rPr>
          <w:rFonts w:cstheme="minorHAnsi"/>
          <w:sz w:val="24"/>
          <w:szCs w:val="24"/>
          <w:vertAlign w:val="superscript"/>
        </w:rPr>
        <w:t>th</w:t>
      </w:r>
      <w:r w:rsidR="001C2FCA">
        <w:rPr>
          <w:rFonts w:cstheme="minorHAnsi"/>
          <w:sz w:val="24"/>
          <w:szCs w:val="24"/>
        </w:rPr>
        <w:t xml:space="preserve"> century that original sin was bought into the world through Eve, and her portrayal in art at this time was almost always completely nude, without any sort of modesty covering as she often is shown with.</w:t>
      </w:r>
      <w:r w:rsidR="001C2FCA">
        <w:rPr>
          <w:rStyle w:val="FootnoteReference"/>
          <w:rFonts w:cstheme="minorHAnsi"/>
          <w:sz w:val="24"/>
          <w:szCs w:val="24"/>
        </w:rPr>
        <w:footnoteReference w:id="12"/>
      </w:r>
      <w:r w:rsidR="001C2FCA">
        <w:rPr>
          <w:rFonts w:cstheme="minorHAnsi"/>
          <w:sz w:val="24"/>
          <w:szCs w:val="24"/>
        </w:rPr>
        <w:t xml:space="preserve"> This depiction is seemingly to portray Eve as the seductress, as the Virgin Mary in art at this time was always shown fully clothed, to the extent of covering her head as well.</w:t>
      </w:r>
      <w:r w:rsidR="001C2FCA">
        <w:rPr>
          <w:rStyle w:val="FootnoteReference"/>
          <w:rFonts w:cstheme="minorHAnsi"/>
          <w:sz w:val="24"/>
          <w:szCs w:val="24"/>
        </w:rPr>
        <w:footnoteReference w:id="13"/>
      </w:r>
      <w:r w:rsidR="001C2FCA">
        <w:rPr>
          <w:rFonts w:cstheme="minorHAnsi"/>
          <w:sz w:val="24"/>
          <w:szCs w:val="24"/>
        </w:rPr>
        <w:t xml:space="preserve"> Once more this could be used to analyse Isabella and her role in 15</w:t>
      </w:r>
      <w:r w:rsidR="001C2FCA" w:rsidRPr="001C2FCA">
        <w:rPr>
          <w:rFonts w:cstheme="minorHAnsi"/>
          <w:sz w:val="24"/>
          <w:szCs w:val="24"/>
          <w:vertAlign w:val="superscript"/>
        </w:rPr>
        <w:t>th</w:t>
      </w:r>
      <w:r w:rsidR="001C2FCA">
        <w:rPr>
          <w:rFonts w:cstheme="minorHAnsi"/>
          <w:sz w:val="24"/>
          <w:szCs w:val="24"/>
        </w:rPr>
        <w:t xml:space="preserve"> Century England, as perhaps a figure of ego, or of devotion to accurate depiction of the religious figures she holds loyalty to. </w:t>
      </w:r>
    </w:p>
    <w:p w14:paraId="5D0CAF7D" w14:textId="44C41847" w:rsidR="001C2FCA" w:rsidRDefault="001C2FCA">
      <w:pPr>
        <w:rPr>
          <w:rFonts w:cstheme="minorHAnsi"/>
          <w:sz w:val="24"/>
          <w:szCs w:val="24"/>
        </w:rPr>
      </w:pPr>
      <w:r>
        <w:rPr>
          <w:rFonts w:cstheme="minorHAnsi"/>
          <w:sz w:val="24"/>
          <w:szCs w:val="24"/>
        </w:rPr>
        <w:t xml:space="preserve">A final interesting </w:t>
      </w:r>
      <w:r w:rsidR="006421AB">
        <w:rPr>
          <w:rFonts w:cstheme="minorHAnsi"/>
          <w:sz w:val="24"/>
          <w:szCs w:val="24"/>
        </w:rPr>
        <w:t xml:space="preserve">desire of Isabella’s will is her desire to have “poor men and women” depicted around her tomb, she specifies that she wants them to look noticeably poor and hold their “beads in their hands”. These beads are presumably prayer beads and therefore the depiction is of people less economically fortunate than Lady Isabella, praying at her tomb. Once again an argument can be made that Isabella is egotistical and thinks herself above others, as she wants to be depicted with peasants at her feet, as if to emulate her status above them. However, this could also be a desire to show herself as a woman of the people, perhaps a prominent figure in her lands and therefore as a show of her devotion. </w:t>
      </w:r>
    </w:p>
    <w:p w14:paraId="5C9B6B46" w14:textId="1147A37A" w:rsidR="006421AB" w:rsidRDefault="006421AB">
      <w:pPr>
        <w:rPr>
          <w:rFonts w:cstheme="minorHAnsi"/>
          <w:sz w:val="24"/>
          <w:szCs w:val="24"/>
        </w:rPr>
      </w:pPr>
      <w:r>
        <w:rPr>
          <w:rFonts w:cstheme="minorHAnsi"/>
          <w:sz w:val="24"/>
          <w:szCs w:val="24"/>
        </w:rPr>
        <w:t xml:space="preserve">To conclude, there are many factors of this passage of Lady Isabella’s will which can hold significance or meaning to her, we are able to deduce many important factors of her life through her last will such as her devotion to particular Saints and religious houses, her material and economic wealth and her literal desires of her afterlife. However, for many of these factors there are many readings which can lead to multiple interpretations of Lady Isabella. There is seemingly a lot of religious devotion and goodwill in her testimony, however some of this may be misconstrued for ego and a desire to show herself above others. This could be an incredibly useful text to help further analyse Lady Isabella as a historical figure, though more likely with an already established understanding of her motives and life, this could provide evidence for such characteristics. However, without an </w:t>
      </w:r>
      <w:r>
        <w:rPr>
          <w:rFonts w:cstheme="minorHAnsi"/>
          <w:sz w:val="24"/>
          <w:szCs w:val="24"/>
        </w:rPr>
        <w:lastRenderedPageBreak/>
        <w:t xml:space="preserve">extensive knowledge of the character of Lady Isabella, there is little concrete evidence for her personality in this passage alone, other than mere facts such as her religion, and prioritised religious house. </w:t>
      </w:r>
    </w:p>
    <w:p w14:paraId="04573F2A" w14:textId="221ED872" w:rsidR="004C3524" w:rsidRDefault="004C3524">
      <w:pPr>
        <w:rPr>
          <w:rFonts w:cstheme="minorHAnsi"/>
          <w:sz w:val="24"/>
          <w:szCs w:val="24"/>
        </w:rPr>
      </w:pPr>
    </w:p>
    <w:p w14:paraId="14624B02" w14:textId="19E44B0B" w:rsidR="004C3524" w:rsidRDefault="004C3524">
      <w:pPr>
        <w:rPr>
          <w:rFonts w:cstheme="minorHAnsi"/>
          <w:sz w:val="24"/>
          <w:szCs w:val="24"/>
        </w:rPr>
      </w:pPr>
    </w:p>
    <w:p w14:paraId="661FAB21" w14:textId="67F4EB6D" w:rsidR="004C3524" w:rsidRDefault="004C3524">
      <w:pPr>
        <w:rPr>
          <w:rFonts w:cstheme="minorHAnsi"/>
          <w:sz w:val="24"/>
          <w:szCs w:val="24"/>
        </w:rPr>
      </w:pPr>
    </w:p>
    <w:p w14:paraId="39F897A7" w14:textId="10DEC075" w:rsidR="004C3524" w:rsidRDefault="004C3524">
      <w:pPr>
        <w:rPr>
          <w:rFonts w:cstheme="minorHAnsi"/>
          <w:sz w:val="24"/>
          <w:szCs w:val="24"/>
        </w:rPr>
      </w:pPr>
    </w:p>
    <w:p w14:paraId="4C89F35D" w14:textId="634A0CBA" w:rsidR="004C3524" w:rsidRDefault="004C3524">
      <w:pPr>
        <w:rPr>
          <w:rFonts w:cstheme="minorHAnsi"/>
          <w:sz w:val="24"/>
          <w:szCs w:val="24"/>
        </w:rPr>
      </w:pPr>
    </w:p>
    <w:p w14:paraId="2AD72286" w14:textId="1A543830" w:rsidR="004C3524" w:rsidRDefault="004C3524">
      <w:pPr>
        <w:rPr>
          <w:rFonts w:cstheme="minorHAnsi"/>
          <w:sz w:val="24"/>
          <w:szCs w:val="24"/>
        </w:rPr>
      </w:pPr>
    </w:p>
    <w:p w14:paraId="2BFC442F" w14:textId="07D08224" w:rsidR="004C3524" w:rsidRDefault="004C3524">
      <w:pPr>
        <w:rPr>
          <w:rFonts w:cstheme="minorHAnsi"/>
          <w:sz w:val="24"/>
          <w:szCs w:val="24"/>
        </w:rPr>
      </w:pPr>
    </w:p>
    <w:p w14:paraId="651D41FE" w14:textId="2E799FD7" w:rsidR="004C3524" w:rsidRDefault="004C3524">
      <w:pPr>
        <w:rPr>
          <w:rFonts w:cstheme="minorHAnsi"/>
          <w:sz w:val="24"/>
          <w:szCs w:val="24"/>
        </w:rPr>
      </w:pPr>
    </w:p>
    <w:p w14:paraId="0AF5CA88" w14:textId="12678B91" w:rsidR="004C3524" w:rsidRDefault="004C3524">
      <w:pPr>
        <w:rPr>
          <w:rFonts w:cstheme="minorHAnsi"/>
          <w:sz w:val="24"/>
          <w:szCs w:val="24"/>
        </w:rPr>
      </w:pPr>
    </w:p>
    <w:p w14:paraId="2961EA15" w14:textId="2C5DE825" w:rsidR="004C3524" w:rsidRDefault="004C3524">
      <w:pPr>
        <w:rPr>
          <w:rFonts w:cstheme="minorHAnsi"/>
          <w:sz w:val="24"/>
          <w:szCs w:val="24"/>
        </w:rPr>
      </w:pPr>
    </w:p>
    <w:p w14:paraId="299F95FB" w14:textId="6A497D0C" w:rsidR="004C3524" w:rsidRDefault="004C3524">
      <w:pPr>
        <w:rPr>
          <w:rFonts w:cstheme="minorHAnsi"/>
          <w:sz w:val="24"/>
          <w:szCs w:val="24"/>
        </w:rPr>
      </w:pPr>
    </w:p>
    <w:p w14:paraId="204F1E69" w14:textId="164E6EF3" w:rsidR="004C3524" w:rsidRDefault="004C3524">
      <w:pPr>
        <w:rPr>
          <w:rFonts w:cstheme="minorHAnsi"/>
          <w:sz w:val="24"/>
          <w:szCs w:val="24"/>
        </w:rPr>
      </w:pPr>
    </w:p>
    <w:p w14:paraId="5A031AB8" w14:textId="4424F8C2" w:rsidR="004C3524" w:rsidRDefault="004C3524">
      <w:pPr>
        <w:rPr>
          <w:rFonts w:cstheme="minorHAnsi"/>
          <w:sz w:val="24"/>
          <w:szCs w:val="24"/>
        </w:rPr>
      </w:pPr>
    </w:p>
    <w:p w14:paraId="5968043D" w14:textId="0677893B" w:rsidR="004C3524" w:rsidRDefault="004C3524">
      <w:pPr>
        <w:rPr>
          <w:rFonts w:cstheme="minorHAnsi"/>
          <w:sz w:val="24"/>
          <w:szCs w:val="24"/>
        </w:rPr>
      </w:pPr>
    </w:p>
    <w:p w14:paraId="32D85395" w14:textId="300B48FB" w:rsidR="004C3524" w:rsidRDefault="004C3524">
      <w:pPr>
        <w:rPr>
          <w:rFonts w:cstheme="minorHAnsi"/>
          <w:sz w:val="24"/>
          <w:szCs w:val="24"/>
        </w:rPr>
      </w:pPr>
    </w:p>
    <w:p w14:paraId="3BFB9475" w14:textId="3D7B2D16" w:rsidR="004C3524" w:rsidRDefault="004C3524">
      <w:pPr>
        <w:rPr>
          <w:rFonts w:cstheme="minorHAnsi"/>
          <w:sz w:val="24"/>
          <w:szCs w:val="24"/>
        </w:rPr>
      </w:pPr>
    </w:p>
    <w:p w14:paraId="397D8401" w14:textId="1F3DDA21" w:rsidR="004C3524" w:rsidRDefault="004C3524">
      <w:pPr>
        <w:rPr>
          <w:rFonts w:cstheme="minorHAnsi"/>
          <w:sz w:val="24"/>
          <w:szCs w:val="24"/>
        </w:rPr>
      </w:pPr>
    </w:p>
    <w:p w14:paraId="22E5ED92" w14:textId="69D7BBC0" w:rsidR="004C3524" w:rsidRDefault="004C3524">
      <w:pPr>
        <w:rPr>
          <w:rFonts w:cstheme="minorHAnsi"/>
          <w:sz w:val="24"/>
          <w:szCs w:val="24"/>
        </w:rPr>
      </w:pPr>
    </w:p>
    <w:p w14:paraId="144A9A0E" w14:textId="0D04D4BE" w:rsidR="004C3524" w:rsidRDefault="004C3524">
      <w:pPr>
        <w:rPr>
          <w:rFonts w:cstheme="minorHAnsi"/>
          <w:sz w:val="24"/>
          <w:szCs w:val="24"/>
        </w:rPr>
      </w:pPr>
    </w:p>
    <w:p w14:paraId="0D6245B5" w14:textId="0E18EB93" w:rsidR="004C3524" w:rsidRDefault="004C3524">
      <w:pPr>
        <w:rPr>
          <w:rFonts w:cstheme="minorHAnsi"/>
          <w:sz w:val="24"/>
          <w:szCs w:val="24"/>
        </w:rPr>
      </w:pPr>
    </w:p>
    <w:p w14:paraId="6D12306E" w14:textId="6DD8D77B" w:rsidR="004C3524" w:rsidRDefault="004C3524">
      <w:pPr>
        <w:rPr>
          <w:rFonts w:cstheme="minorHAnsi"/>
          <w:sz w:val="24"/>
          <w:szCs w:val="24"/>
        </w:rPr>
      </w:pPr>
    </w:p>
    <w:p w14:paraId="32CF7CB3" w14:textId="5CEFB1F9" w:rsidR="004C3524" w:rsidRDefault="004C3524">
      <w:pPr>
        <w:rPr>
          <w:rFonts w:cstheme="minorHAnsi"/>
          <w:sz w:val="24"/>
          <w:szCs w:val="24"/>
        </w:rPr>
      </w:pPr>
    </w:p>
    <w:p w14:paraId="728B7A37" w14:textId="6BDC8B3C" w:rsidR="004C3524" w:rsidRDefault="004C3524">
      <w:pPr>
        <w:rPr>
          <w:rFonts w:cstheme="minorHAnsi"/>
          <w:sz w:val="24"/>
          <w:szCs w:val="24"/>
        </w:rPr>
      </w:pPr>
    </w:p>
    <w:p w14:paraId="06D6755C" w14:textId="6C6107F0" w:rsidR="004C3524" w:rsidRDefault="004C3524">
      <w:pPr>
        <w:rPr>
          <w:rFonts w:cstheme="minorHAnsi"/>
          <w:sz w:val="24"/>
          <w:szCs w:val="24"/>
        </w:rPr>
      </w:pPr>
    </w:p>
    <w:p w14:paraId="617A60E5" w14:textId="2EE421CF" w:rsidR="004C3524" w:rsidRDefault="004C3524">
      <w:pPr>
        <w:rPr>
          <w:rFonts w:cstheme="minorHAnsi"/>
          <w:sz w:val="24"/>
          <w:szCs w:val="24"/>
        </w:rPr>
      </w:pPr>
    </w:p>
    <w:p w14:paraId="00F1DC44" w14:textId="599BDCEA" w:rsidR="004C3524" w:rsidRDefault="004C3524">
      <w:pPr>
        <w:rPr>
          <w:rFonts w:cstheme="minorHAnsi"/>
          <w:sz w:val="24"/>
          <w:szCs w:val="24"/>
        </w:rPr>
      </w:pPr>
    </w:p>
    <w:p w14:paraId="4B76F066" w14:textId="2CF153DF" w:rsidR="004C3524" w:rsidRDefault="004C3524">
      <w:pPr>
        <w:rPr>
          <w:rFonts w:cstheme="minorHAnsi"/>
          <w:sz w:val="24"/>
          <w:szCs w:val="24"/>
        </w:rPr>
      </w:pPr>
    </w:p>
    <w:p w14:paraId="078772B3" w14:textId="21E064F3" w:rsidR="004C3524" w:rsidRPr="004C3524" w:rsidRDefault="004C3524">
      <w:pPr>
        <w:rPr>
          <w:rFonts w:cstheme="minorHAnsi"/>
          <w:b/>
          <w:bCs/>
          <w:sz w:val="24"/>
          <w:szCs w:val="24"/>
          <w:u w:val="single"/>
        </w:rPr>
      </w:pPr>
      <w:r w:rsidRPr="004C3524">
        <w:rPr>
          <w:rFonts w:cstheme="minorHAnsi"/>
          <w:b/>
          <w:bCs/>
          <w:sz w:val="24"/>
          <w:szCs w:val="24"/>
          <w:u w:val="single"/>
        </w:rPr>
        <w:lastRenderedPageBreak/>
        <w:t>Bibliography:</w:t>
      </w:r>
    </w:p>
    <w:p w14:paraId="6B5B8463" w14:textId="77777777" w:rsidR="004C3524" w:rsidRPr="004C3524" w:rsidRDefault="004C3524" w:rsidP="004C3524">
      <w:pPr>
        <w:rPr>
          <w:sz w:val="24"/>
          <w:szCs w:val="24"/>
        </w:rPr>
      </w:pPr>
      <w:r w:rsidRPr="004C3524">
        <w:rPr>
          <w:sz w:val="24"/>
          <w:szCs w:val="24"/>
        </w:rPr>
        <w:t>Dunning, R.</w:t>
      </w:r>
      <w:r w:rsidRPr="004C3524">
        <w:rPr>
          <w:i/>
          <w:iCs/>
          <w:sz w:val="24"/>
          <w:szCs w:val="24"/>
        </w:rPr>
        <w:t xml:space="preserve"> A Noble Way to Go: Deaths of English, Scot and Irish Peers 1100 - 1900</w:t>
      </w:r>
      <w:r w:rsidRPr="004C3524">
        <w:rPr>
          <w:sz w:val="24"/>
          <w:szCs w:val="24"/>
        </w:rPr>
        <w:t xml:space="preserve"> (Stroud: Fronthill Media, 2020)</w:t>
      </w:r>
      <w:r>
        <w:rPr>
          <w:sz w:val="24"/>
          <w:szCs w:val="24"/>
        </w:rPr>
        <w:t>.</w:t>
      </w:r>
    </w:p>
    <w:p w14:paraId="2B56496D" w14:textId="77777777" w:rsidR="004C3524" w:rsidRPr="004C3524" w:rsidRDefault="004C3524" w:rsidP="004C3524">
      <w:pPr>
        <w:rPr>
          <w:sz w:val="24"/>
          <w:szCs w:val="24"/>
        </w:rPr>
      </w:pPr>
      <w:r w:rsidRPr="004C3524">
        <w:rPr>
          <w:sz w:val="24"/>
          <w:szCs w:val="24"/>
        </w:rPr>
        <w:t>Friar</w:t>
      </w:r>
      <w:r w:rsidRPr="004C3524">
        <w:rPr>
          <w:i/>
          <w:iCs/>
          <w:sz w:val="24"/>
          <w:szCs w:val="24"/>
        </w:rPr>
        <w:t>,</w:t>
      </w:r>
      <w:r>
        <w:rPr>
          <w:i/>
          <w:iCs/>
          <w:sz w:val="24"/>
          <w:szCs w:val="24"/>
        </w:rPr>
        <w:t xml:space="preserve"> </w:t>
      </w:r>
      <w:r w:rsidRPr="004C3524">
        <w:rPr>
          <w:sz w:val="24"/>
          <w:szCs w:val="24"/>
        </w:rPr>
        <w:t>S.</w:t>
      </w:r>
      <w:r w:rsidRPr="004C3524">
        <w:rPr>
          <w:i/>
          <w:iCs/>
          <w:sz w:val="24"/>
          <w:szCs w:val="24"/>
        </w:rPr>
        <w:t xml:space="preserve"> A New Dictionary of Heraldry</w:t>
      </w:r>
      <w:r w:rsidRPr="004C3524">
        <w:rPr>
          <w:sz w:val="24"/>
          <w:szCs w:val="24"/>
        </w:rPr>
        <w:t xml:space="preserve"> (London: Alphabooks, 1987)</w:t>
      </w:r>
      <w:r>
        <w:rPr>
          <w:sz w:val="24"/>
          <w:szCs w:val="24"/>
        </w:rPr>
        <w:t>.</w:t>
      </w:r>
    </w:p>
    <w:p w14:paraId="0825E6F8" w14:textId="77777777" w:rsidR="004C3524" w:rsidRPr="004C3524" w:rsidRDefault="004C3524" w:rsidP="004C3524">
      <w:pPr>
        <w:rPr>
          <w:sz w:val="24"/>
          <w:szCs w:val="24"/>
        </w:rPr>
      </w:pPr>
      <w:r w:rsidRPr="004C3524">
        <w:rPr>
          <w:sz w:val="24"/>
          <w:szCs w:val="24"/>
        </w:rPr>
        <w:t xml:space="preserve">Grossinger, C. et al., </w:t>
      </w:r>
      <w:r w:rsidRPr="004C3524">
        <w:rPr>
          <w:i/>
          <w:iCs/>
          <w:sz w:val="24"/>
          <w:szCs w:val="24"/>
        </w:rPr>
        <w:t>Picturing Women in Late Medieval and Renaissance Art</w:t>
      </w:r>
      <w:r w:rsidRPr="004C3524">
        <w:rPr>
          <w:sz w:val="24"/>
          <w:szCs w:val="24"/>
        </w:rPr>
        <w:t xml:space="preserve"> (Manchester: Manchester University Press, 1997).</w:t>
      </w:r>
    </w:p>
    <w:p w14:paraId="51403F5B" w14:textId="77777777" w:rsidR="004C3524" w:rsidRPr="004C3524" w:rsidRDefault="004C3524" w:rsidP="004C3524">
      <w:pPr>
        <w:rPr>
          <w:sz w:val="24"/>
          <w:szCs w:val="24"/>
        </w:rPr>
      </w:pPr>
      <w:r w:rsidRPr="004C3524">
        <w:rPr>
          <w:sz w:val="24"/>
          <w:szCs w:val="24"/>
        </w:rPr>
        <w:t xml:space="preserve">Hicks, M. ‘The Beauchamp Trust 1439 – 87’, </w:t>
      </w:r>
      <w:r w:rsidRPr="004C3524">
        <w:rPr>
          <w:i/>
          <w:iCs/>
          <w:sz w:val="24"/>
          <w:szCs w:val="24"/>
        </w:rPr>
        <w:t>Historical Research</w:t>
      </w:r>
      <w:r w:rsidRPr="004C3524">
        <w:rPr>
          <w:sz w:val="24"/>
          <w:szCs w:val="24"/>
        </w:rPr>
        <w:t xml:space="preserve"> (1981).</w:t>
      </w:r>
    </w:p>
    <w:p w14:paraId="5FD87950" w14:textId="77777777" w:rsidR="004C3524" w:rsidRPr="004C3524" w:rsidRDefault="004C3524" w:rsidP="004C3524">
      <w:pPr>
        <w:rPr>
          <w:sz w:val="24"/>
          <w:szCs w:val="24"/>
        </w:rPr>
      </w:pPr>
      <w:r w:rsidRPr="004C3524">
        <w:rPr>
          <w:sz w:val="24"/>
          <w:szCs w:val="24"/>
        </w:rPr>
        <w:t xml:space="preserve">Walker, S </w:t>
      </w:r>
      <w:r w:rsidRPr="004C3524">
        <w:rPr>
          <w:i/>
          <w:iCs/>
          <w:sz w:val="24"/>
          <w:szCs w:val="24"/>
        </w:rPr>
        <w:t>Wife and Widow in Medieval Europe</w:t>
      </w:r>
      <w:r w:rsidRPr="004C3524">
        <w:rPr>
          <w:sz w:val="24"/>
          <w:szCs w:val="24"/>
        </w:rPr>
        <w:t xml:space="preserve"> (Michigan: University of Michigan Press, 1993).</w:t>
      </w:r>
    </w:p>
    <w:p w14:paraId="388D707B" w14:textId="612AC738" w:rsidR="004C3524" w:rsidRPr="004C3524" w:rsidRDefault="004C3524">
      <w:pPr>
        <w:rPr>
          <w:sz w:val="24"/>
          <w:szCs w:val="24"/>
        </w:rPr>
      </w:pPr>
      <w:r w:rsidRPr="004C3524">
        <w:rPr>
          <w:sz w:val="24"/>
          <w:szCs w:val="24"/>
        </w:rPr>
        <w:t xml:space="preserve">Ward, J. </w:t>
      </w:r>
      <w:r w:rsidRPr="004C3524">
        <w:rPr>
          <w:i/>
          <w:iCs/>
          <w:sz w:val="24"/>
          <w:szCs w:val="24"/>
        </w:rPr>
        <w:t>Women in Medieval Europe: 1200 – 1500</w:t>
      </w:r>
      <w:r w:rsidRPr="004C3524">
        <w:rPr>
          <w:sz w:val="24"/>
          <w:szCs w:val="24"/>
        </w:rPr>
        <w:t xml:space="preserve"> (New York: Routledge, 2014).</w:t>
      </w:r>
    </w:p>
    <w:p w14:paraId="1A4A7F1D" w14:textId="7A7B989E" w:rsidR="004C3524" w:rsidRPr="004C3524" w:rsidRDefault="004C3524">
      <w:pPr>
        <w:rPr>
          <w:rFonts w:cstheme="minorHAnsi"/>
          <w:sz w:val="32"/>
          <w:szCs w:val="32"/>
        </w:rPr>
      </w:pPr>
      <w:r w:rsidRPr="004C3524">
        <w:rPr>
          <w:sz w:val="24"/>
          <w:szCs w:val="24"/>
        </w:rPr>
        <w:t xml:space="preserve">Von-Volborth, </w:t>
      </w:r>
      <w:r>
        <w:rPr>
          <w:sz w:val="24"/>
          <w:szCs w:val="24"/>
        </w:rPr>
        <w:t xml:space="preserve">C. </w:t>
      </w:r>
      <w:r w:rsidRPr="004C3524">
        <w:rPr>
          <w:i/>
          <w:iCs/>
          <w:sz w:val="24"/>
          <w:szCs w:val="24"/>
        </w:rPr>
        <w:t>Heraldry: Customs, Rules and</w:t>
      </w:r>
      <w:r w:rsidRPr="004C3524">
        <w:rPr>
          <w:sz w:val="24"/>
          <w:szCs w:val="24"/>
        </w:rPr>
        <w:t xml:space="preserve"> Styles (Poole: New Orchard Editions, 1981</w:t>
      </w:r>
      <w:r>
        <w:rPr>
          <w:sz w:val="24"/>
          <w:szCs w:val="24"/>
        </w:rPr>
        <w:t>).</w:t>
      </w:r>
    </w:p>
    <w:sectPr w:rsidR="004C3524" w:rsidRPr="004C35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96375B" w14:textId="77777777" w:rsidR="002D71E1" w:rsidRDefault="002D71E1" w:rsidP="00FD3FAB">
      <w:pPr>
        <w:spacing w:after="0" w:line="240" w:lineRule="auto"/>
      </w:pPr>
      <w:r>
        <w:separator/>
      </w:r>
    </w:p>
  </w:endnote>
  <w:endnote w:type="continuationSeparator" w:id="0">
    <w:p w14:paraId="043321B8" w14:textId="77777777" w:rsidR="002D71E1" w:rsidRDefault="002D71E1" w:rsidP="00FD3F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9CE8D7" w14:textId="77777777" w:rsidR="002D71E1" w:rsidRDefault="002D71E1" w:rsidP="00FD3FAB">
      <w:pPr>
        <w:spacing w:after="0" w:line="240" w:lineRule="auto"/>
      </w:pPr>
      <w:r>
        <w:separator/>
      </w:r>
    </w:p>
  </w:footnote>
  <w:footnote w:type="continuationSeparator" w:id="0">
    <w:p w14:paraId="46CDA16C" w14:textId="77777777" w:rsidR="002D71E1" w:rsidRDefault="002D71E1" w:rsidP="00FD3FAB">
      <w:pPr>
        <w:spacing w:after="0" w:line="240" w:lineRule="auto"/>
      </w:pPr>
      <w:r>
        <w:continuationSeparator/>
      </w:r>
    </w:p>
  </w:footnote>
  <w:footnote w:id="1">
    <w:p w14:paraId="64578342" w14:textId="1C5C8ABF" w:rsidR="00FD3FAB" w:rsidRDefault="00FD3FAB">
      <w:pPr>
        <w:pStyle w:val="FootnoteText"/>
      </w:pPr>
      <w:r>
        <w:rPr>
          <w:rStyle w:val="FootnoteReference"/>
        </w:rPr>
        <w:footnoteRef/>
      </w:r>
      <w:r>
        <w:t xml:space="preserve"> </w:t>
      </w:r>
      <w:r w:rsidR="00FA758E">
        <w:t xml:space="preserve">J. </w:t>
      </w:r>
      <w:r>
        <w:t>Ward</w:t>
      </w:r>
      <w:r w:rsidR="00FA758E">
        <w:t xml:space="preserve">, </w:t>
      </w:r>
      <w:r w:rsidR="00FA758E" w:rsidRPr="00FA758E">
        <w:rPr>
          <w:i/>
          <w:iCs/>
        </w:rPr>
        <w:t>Women in Medieval Europe: 1200 – 1500</w:t>
      </w:r>
      <w:r w:rsidR="00FA758E">
        <w:t xml:space="preserve"> (New York: Routledge, 2014),</w:t>
      </w:r>
      <w:r>
        <w:t xml:space="preserve"> p.145</w:t>
      </w:r>
      <w:r w:rsidR="00FA758E">
        <w:t>.</w:t>
      </w:r>
    </w:p>
  </w:footnote>
  <w:footnote w:id="2">
    <w:p w14:paraId="35A6AF71" w14:textId="667902F7" w:rsidR="00FD3FAB" w:rsidRDefault="00FD3FAB">
      <w:pPr>
        <w:pStyle w:val="FootnoteText"/>
      </w:pPr>
      <w:r>
        <w:rPr>
          <w:rStyle w:val="FootnoteReference"/>
        </w:rPr>
        <w:footnoteRef/>
      </w:r>
      <w:r>
        <w:t xml:space="preserve"> </w:t>
      </w:r>
      <w:r w:rsidR="00FA758E" w:rsidRPr="00FA758E">
        <w:rPr>
          <w:i/>
          <w:iCs/>
        </w:rPr>
        <w:t>i</w:t>
      </w:r>
      <w:r w:rsidRPr="00FA758E">
        <w:rPr>
          <w:i/>
          <w:iCs/>
        </w:rPr>
        <w:t>bid</w:t>
      </w:r>
      <w:r w:rsidR="00FA758E" w:rsidRPr="00FA758E">
        <w:rPr>
          <w:i/>
          <w:iCs/>
        </w:rPr>
        <w:t>.</w:t>
      </w:r>
      <w:r>
        <w:t xml:space="preserve"> </w:t>
      </w:r>
    </w:p>
  </w:footnote>
  <w:footnote w:id="3">
    <w:p w14:paraId="5F0D86DE" w14:textId="0F186ECC" w:rsidR="00320B94" w:rsidRDefault="00320B94">
      <w:pPr>
        <w:pStyle w:val="FootnoteText"/>
      </w:pPr>
      <w:r>
        <w:rPr>
          <w:rStyle w:val="FootnoteReference"/>
        </w:rPr>
        <w:footnoteRef/>
      </w:r>
      <w:r>
        <w:t xml:space="preserve"> </w:t>
      </w:r>
      <w:r w:rsidR="00FA758E">
        <w:t xml:space="preserve">S. </w:t>
      </w:r>
      <w:r>
        <w:t>Walker</w:t>
      </w:r>
      <w:r w:rsidR="00FA758E">
        <w:t xml:space="preserve">, </w:t>
      </w:r>
      <w:r w:rsidR="00FA758E" w:rsidRPr="00FA758E">
        <w:rPr>
          <w:i/>
          <w:iCs/>
        </w:rPr>
        <w:t>Wife and Widow in Medieval Europe</w:t>
      </w:r>
      <w:r w:rsidR="00FA758E">
        <w:t xml:space="preserve"> (Michigan: University of Michigan Press, 1993),</w:t>
      </w:r>
      <w:r>
        <w:t xml:space="preserve"> p.167</w:t>
      </w:r>
      <w:r w:rsidR="00FA758E">
        <w:t>.</w:t>
      </w:r>
    </w:p>
  </w:footnote>
  <w:footnote w:id="4">
    <w:p w14:paraId="1B730ABF" w14:textId="5FBD9CDC" w:rsidR="00320B94" w:rsidRDefault="00320B94">
      <w:pPr>
        <w:pStyle w:val="FootnoteText"/>
      </w:pPr>
      <w:r>
        <w:rPr>
          <w:rStyle w:val="FootnoteReference"/>
        </w:rPr>
        <w:footnoteRef/>
      </w:r>
      <w:r>
        <w:t xml:space="preserve"> </w:t>
      </w:r>
      <w:r w:rsidR="00FA758E">
        <w:t xml:space="preserve">M. </w:t>
      </w:r>
      <w:r>
        <w:t>Hicks</w:t>
      </w:r>
      <w:r w:rsidR="00FA758E">
        <w:t xml:space="preserve">, ‘The Beauchamp Trust 1439 – 87’, </w:t>
      </w:r>
      <w:r w:rsidR="00FA758E" w:rsidRPr="00FA758E">
        <w:rPr>
          <w:i/>
          <w:iCs/>
        </w:rPr>
        <w:t>Historical Research</w:t>
      </w:r>
      <w:r w:rsidR="00FA758E">
        <w:t xml:space="preserve"> (1981),</w:t>
      </w:r>
      <w:r>
        <w:t xml:space="preserve"> pp.135-140</w:t>
      </w:r>
      <w:r w:rsidR="00FA758E">
        <w:t>.</w:t>
      </w:r>
    </w:p>
  </w:footnote>
  <w:footnote w:id="5">
    <w:p w14:paraId="23BF75DA" w14:textId="2F5C7ED5" w:rsidR="006061A9" w:rsidRDefault="006061A9">
      <w:pPr>
        <w:pStyle w:val="FootnoteText"/>
      </w:pPr>
      <w:r>
        <w:rPr>
          <w:rStyle w:val="FootnoteReference"/>
        </w:rPr>
        <w:footnoteRef/>
      </w:r>
      <w:r>
        <w:t xml:space="preserve"> Walker</w:t>
      </w:r>
      <w:r w:rsidR="00FA758E">
        <w:t xml:space="preserve">, </w:t>
      </w:r>
      <w:r w:rsidR="00FA758E" w:rsidRPr="00FA758E">
        <w:rPr>
          <w:i/>
          <w:iCs/>
        </w:rPr>
        <w:t>Wife and Widow in Medieval Europe</w:t>
      </w:r>
      <w:r w:rsidR="00FA758E">
        <w:rPr>
          <w:i/>
          <w:iCs/>
        </w:rPr>
        <w:t>,</w:t>
      </w:r>
      <w:r w:rsidR="00FA758E">
        <w:t xml:space="preserve"> </w:t>
      </w:r>
      <w:r>
        <w:t>p.167</w:t>
      </w:r>
      <w:r w:rsidR="00FA758E">
        <w:t>.</w:t>
      </w:r>
    </w:p>
  </w:footnote>
  <w:footnote w:id="6">
    <w:p w14:paraId="6E41B2A6" w14:textId="7534B9E6" w:rsidR="00F71866" w:rsidRDefault="00F71866">
      <w:pPr>
        <w:pStyle w:val="FootnoteText"/>
      </w:pPr>
      <w:r>
        <w:rPr>
          <w:rStyle w:val="FootnoteReference"/>
        </w:rPr>
        <w:footnoteRef/>
      </w:r>
      <w:r>
        <w:t xml:space="preserve"> </w:t>
      </w:r>
      <w:r w:rsidR="00FA758E">
        <w:t xml:space="preserve">C. Von-Volborth, </w:t>
      </w:r>
      <w:r w:rsidR="00FA758E" w:rsidRPr="00FA758E">
        <w:rPr>
          <w:i/>
          <w:iCs/>
        </w:rPr>
        <w:t>Heraldry: Customs, Rules and</w:t>
      </w:r>
      <w:r w:rsidR="00FA758E">
        <w:t xml:space="preserve"> Styles (Poole: New Orchard Editions, 1981), </w:t>
      </w:r>
      <w:r>
        <w:t xml:space="preserve"> pp.44-45</w:t>
      </w:r>
      <w:r w:rsidR="00FA758E">
        <w:t>.</w:t>
      </w:r>
    </w:p>
  </w:footnote>
  <w:footnote w:id="7">
    <w:p w14:paraId="6752B84C" w14:textId="4B210C86" w:rsidR="00F71866" w:rsidRDefault="00F71866">
      <w:pPr>
        <w:pStyle w:val="FootnoteText"/>
      </w:pPr>
      <w:r>
        <w:rPr>
          <w:rStyle w:val="FootnoteReference"/>
        </w:rPr>
        <w:footnoteRef/>
      </w:r>
      <w:r>
        <w:t xml:space="preserve"> </w:t>
      </w:r>
      <w:r w:rsidR="00FA758E" w:rsidRPr="00FA758E">
        <w:rPr>
          <w:i/>
          <w:iCs/>
        </w:rPr>
        <w:t>i</w:t>
      </w:r>
      <w:r w:rsidRPr="00FA758E">
        <w:rPr>
          <w:i/>
          <w:iCs/>
        </w:rPr>
        <w:t>bid</w:t>
      </w:r>
      <w:r w:rsidR="00FA758E" w:rsidRPr="00FA758E">
        <w:rPr>
          <w:i/>
          <w:iCs/>
        </w:rPr>
        <w:t>.</w:t>
      </w:r>
    </w:p>
  </w:footnote>
  <w:footnote w:id="8">
    <w:p w14:paraId="3826B086" w14:textId="3147D5D5" w:rsidR="00F71866" w:rsidRDefault="00F71866">
      <w:pPr>
        <w:pStyle w:val="FootnoteText"/>
      </w:pPr>
      <w:r>
        <w:rPr>
          <w:rStyle w:val="FootnoteReference"/>
        </w:rPr>
        <w:footnoteRef/>
      </w:r>
      <w:r>
        <w:t xml:space="preserve"> </w:t>
      </w:r>
      <w:r w:rsidR="00FA758E" w:rsidRPr="00FA758E">
        <w:rPr>
          <w:i/>
          <w:iCs/>
        </w:rPr>
        <w:t>i</w:t>
      </w:r>
      <w:r w:rsidRPr="00FA758E">
        <w:rPr>
          <w:i/>
          <w:iCs/>
        </w:rPr>
        <w:t>bid</w:t>
      </w:r>
      <w:r w:rsidR="00FA758E" w:rsidRPr="00FA758E">
        <w:rPr>
          <w:i/>
          <w:iCs/>
        </w:rPr>
        <w:t>.</w:t>
      </w:r>
    </w:p>
  </w:footnote>
  <w:footnote w:id="9">
    <w:p w14:paraId="255553BA" w14:textId="69358E1C" w:rsidR="00C76F9F" w:rsidRDefault="00C76F9F">
      <w:pPr>
        <w:pStyle w:val="FootnoteText"/>
      </w:pPr>
      <w:r>
        <w:rPr>
          <w:rStyle w:val="FootnoteReference"/>
        </w:rPr>
        <w:footnoteRef/>
      </w:r>
      <w:r>
        <w:t xml:space="preserve"> </w:t>
      </w:r>
      <w:r w:rsidR="004C3524">
        <w:t xml:space="preserve">S. </w:t>
      </w:r>
      <w:r>
        <w:t>Friar</w:t>
      </w:r>
      <w:r w:rsidR="004C3524" w:rsidRPr="004C3524">
        <w:rPr>
          <w:i/>
          <w:iCs/>
        </w:rPr>
        <w:t>, A New Dictionary of Heraldry</w:t>
      </w:r>
      <w:r w:rsidR="004C3524">
        <w:t xml:space="preserve"> (London: Alphabooks, 1987),</w:t>
      </w:r>
      <w:r>
        <w:t xml:space="preserve"> p.173</w:t>
      </w:r>
      <w:r w:rsidR="004C3524">
        <w:t>.</w:t>
      </w:r>
    </w:p>
  </w:footnote>
  <w:footnote w:id="10">
    <w:p w14:paraId="4A1FCC7D" w14:textId="01EFF1B1" w:rsidR="00C76F9F" w:rsidRDefault="00C76F9F">
      <w:pPr>
        <w:pStyle w:val="FootnoteText"/>
      </w:pPr>
      <w:r>
        <w:rPr>
          <w:rStyle w:val="FootnoteReference"/>
        </w:rPr>
        <w:footnoteRef/>
      </w:r>
      <w:r>
        <w:t xml:space="preserve"> </w:t>
      </w:r>
      <w:r w:rsidR="00FA758E" w:rsidRPr="00FA758E">
        <w:rPr>
          <w:i/>
          <w:iCs/>
        </w:rPr>
        <w:t>i</w:t>
      </w:r>
      <w:r w:rsidRPr="00FA758E">
        <w:rPr>
          <w:i/>
          <w:iCs/>
        </w:rPr>
        <w:t>bid</w:t>
      </w:r>
      <w:r w:rsidR="00FA758E" w:rsidRPr="00FA758E">
        <w:rPr>
          <w:i/>
          <w:iCs/>
        </w:rPr>
        <w:t>.</w:t>
      </w:r>
    </w:p>
  </w:footnote>
  <w:footnote w:id="11">
    <w:p w14:paraId="1B52A09C" w14:textId="76912D46" w:rsidR="001C2FCA" w:rsidRDefault="001C2FCA">
      <w:pPr>
        <w:pStyle w:val="FootnoteText"/>
      </w:pPr>
      <w:r>
        <w:rPr>
          <w:rStyle w:val="FootnoteReference"/>
        </w:rPr>
        <w:footnoteRef/>
      </w:r>
      <w:r>
        <w:t xml:space="preserve"> </w:t>
      </w:r>
      <w:r w:rsidR="00FA758E">
        <w:t xml:space="preserve">R. </w:t>
      </w:r>
      <w:r>
        <w:t>Du</w:t>
      </w:r>
      <w:r w:rsidR="00FA758E">
        <w:t>nn</w:t>
      </w:r>
      <w:r>
        <w:t>ing</w:t>
      </w:r>
      <w:r w:rsidR="00FA758E" w:rsidRPr="00FA758E">
        <w:rPr>
          <w:i/>
          <w:iCs/>
        </w:rPr>
        <w:t>, A Noble Way to Go: Deaths of English, Scot and Irish Peers 1100 - 1900</w:t>
      </w:r>
      <w:r>
        <w:t xml:space="preserve"> </w:t>
      </w:r>
      <w:r w:rsidR="00FA758E">
        <w:t xml:space="preserve">(Stroud: Fronthill Media, 2020), </w:t>
      </w:r>
      <w:r>
        <w:t>p.54</w:t>
      </w:r>
      <w:r w:rsidR="00FA758E">
        <w:t>.</w:t>
      </w:r>
    </w:p>
  </w:footnote>
  <w:footnote w:id="12">
    <w:p w14:paraId="12DC4806" w14:textId="55A958F6" w:rsidR="001C2FCA" w:rsidRDefault="001C2FCA">
      <w:pPr>
        <w:pStyle w:val="FootnoteText"/>
      </w:pPr>
      <w:r>
        <w:rPr>
          <w:rStyle w:val="FootnoteReference"/>
        </w:rPr>
        <w:footnoteRef/>
      </w:r>
      <w:r>
        <w:t xml:space="preserve"> </w:t>
      </w:r>
      <w:r w:rsidR="00FA758E">
        <w:t xml:space="preserve">C. Grossinger, et al., </w:t>
      </w:r>
      <w:r w:rsidR="00FA758E" w:rsidRPr="00FA758E">
        <w:rPr>
          <w:i/>
          <w:iCs/>
        </w:rPr>
        <w:t>Picturing Women in Late Medieval and Renaissance Art</w:t>
      </w:r>
      <w:r w:rsidR="00FA758E">
        <w:t xml:space="preserve"> (Manchester: Manchester University Press, 1997),</w:t>
      </w:r>
      <w:r>
        <w:t xml:space="preserve"> p.5</w:t>
      </w:r>
      <w:r w:rsidR="00FA758E">
        <w:t>.</w:t>
      </w:r>
    </w:p>
  </w:footnote>
  <w:footnote w:id="13">
    <w:p w14:paraId="67188972" w14:textId="1134E20D" w:rsidR="001C2FCA" w:rsidRDefault="001C2FCA">
      <w:pPr>
        <w:pStyle w:val="FootnoteText"/>
      </w:pPr>
      <w:r>
        <w:rPr>
          <w:rStyle w:val="FootnoteReference"/>
        </w:rPr>
        <w:footnoteRef/>
      </w:r>
      <w:r>
        <w:t xml:space="preserve"> </w:t>
      </w:r>
      <w:r w:rsidR="00FA758E" w:rsidRPr="00FA758E">
        <w:rPr>
          <w:i/>
          <w:iCs/>
        </w:rPr>
        <w:t>i</w:t>
      </w:r>
      <w:r w:rsidRPr="00FA758E">
        <w:rPr>
          <w:i/>
          <w:iCs/>
        </w:rPr>
        <w:t>bid</w:t>
      </w:r>
      <w:r w:rsidR="00FA758E" w:rsidRPr="00FA758E">
        <w:rPr>
          <w:i/>
          <w:iCs/>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834FE8"/>
    <w:multiLevelType w:val="hybridMultilevel"/>
    <w:tmpl w:val="1EFC248C"/>
    <w:lvl w:ilvl="0" w:tplc="6F78CFC8">
      <w:start w:val="1"/>
      <w:numFmt w:val="lowerLetter"/>
      <w:lvlText w:val="(%1)"/>
      <w:lvlJc w:val="left"/>
      <w:pPr>
        <w:ind w:left="2345" w:hanging="360"/>
      </w:pPr>
      <w:rPr>
        <w:b w:val="0"/>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C17"/>
    <w:rsid w:val="00094640"/>
    <w:rsid w:val="000F39FC"/>
    <w:rsid w:val="001C2FCA"/>
    <w:rsid w:val="001E3762"/>
    <w:rsid w:val="00285E0B"/>
    <w:rsid w:val="002D71E1"/>
    <w:rsid w:val="002E7BB7"/>
    <w:rsid w:val="00320B94"/>
    <w:rsid w:val="004C3524"/>
    <w:rsid w:val="005C5AB3"/>
    <w:rsid w:val="005D1198"/>
    <w:rsid w:val="00600EFE"/>
    <w:rsid w:val="006061A9"/>
    <w:rsid w:val="006421AB"/>
    <w:rsid w:val="0066412B"/>
    <w:rsid w:val="006A167D"/>
    <w:rsid w:val="00762C17"/>
    <w:rsid w:val="00763A6D"/>
    <w:rsid w:val="0076523B"/>
    <w:rsid w:val="0078029C"/>
    <w:rsid w:val="007B4539"/>
    <w:rsid w:val="00B54E06"/>
    <w:rsid w:val="00C7693B"/>
    <w:rsid w:val="00C76F9F"/>
    <w:rsid w:val="00CA3D63"/>
    <w:rsid w:val="00ED566D"/>
    <w:rsid w:val="00EF58C3"/>
    <w:rsid w:val="00F71866"/>
    <w:rsid w:val="00FA758E"/>
    <w:rsid w:val="00FD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D36A4"/>
  <w15:chartTrackingRefBased/>
  <w15:docId w15:val="{2DDD04F3-5E3F-497C-9BE7-331C20E29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qFormat/>
    <w:rsid w:val="0076523B"/>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FAB"/>
    <w:rPr>
      <w:color w:val="0000FF"/>
      <w:u w:val="single"/>
    </w:rPr>
  </w:style>
  <w:style w:type="paragraph" w:styleId="FootnoteText">
    <w:name w:val="footnote text"/>
    <w:basedOn w:val="Normal"/>
    <w:link w:val="FootnoteTextChar"/>
    <w:uiPriority w:val="99"/>
    <w:semiHidden/>
    <w:unhideWhenUsed/>
    <w:rsid w:val="00FD3F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D3FAB"/>
    <w:rPr>
      <w:sz w:val="20"/>
      <w:szCs w:val="20"/>
    </w:rPr>
  </w:style>
  <w:style w:type="character" w:styleId="FootnoteReference">
    <w:name w:val="footnote reference"/>
    <w:basedOn w:val="DefaultParagraphFont"/>
    <w:uiPriority w:val="99"/>
    <w:semiHidden/>
    <w:unhideWhenUsed/>
    <w:rsid w:val="00FD3FAB"/>
    <w:rPr>
      <w:vertAlign w:val="superscript"/>
    </w:rPr>
  </w:style>
  <w:style w:type="character" w:customStyle="1" w:styleId="Heading3Char">
    <w:name w:val="Heading 3 Char"/>
    <w:basedOn w:val="DefaultParagraphFont"/>
    <w:link w:val="Heading3"/>
    <w:rsid w:val="0076523B"/>
    <w:rPr>
      <w:rFonts w:ascii="Tahoma" w:eastAsia="SimSun" w:hAnsi="Tahoma" w:cs="Tahoma"/>
      <w:b/>
      <w:bCs/>
      <w:sz w:val="20"/>
      <w:szCs w:val="20"/>
      <w:lang w:eastAsia="zh-CN"/>
    </w:rPr>
  </w:style>
  <w:style w:type="paragraph" w:styleId="NormalWeb">
    <w:name w:val="Normal (Web)"/>
    <w:basedOn w:val="Normal"/>
    <w:rsid w:val="0076523B"/>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ListParagraph">
    <w:name w:val="List Paragraph"/>
    <w:basedOn w:val="Normal"/>
    <w:uiPriority w:val="34"/>
    <w:qFormat/>
    <w:rsid w:val="0076523B"/>
    <w:pPr>
      <w:spacing w:after="200" w:line="276" w:lineRule="auto"/>
      <w:ind w:left="720"/>
      <w:contextualSpacing/>
    </w:pPr>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514172-639B-485B-82E0-1180F2FC06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1781</Words>
  <Characters>10155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Jane Collins</dc:creator>
  <cp:keywords/>
  <dc:description/>
  <cp:lastModifiedBy>Bethany Jane Collins</cp:lastModifiedBy>
  <cp:revision>8</cp:revision>
  <dcterms:created xsi:type="dcterms:W3CDTF">2020-07-21T11:56:00Z</dcterms:created>
  <dcterms:modified xsi:type="dcterms:W3CDTF">2020-07-31T12:52:00Z</dcterms:modified>
</cp:coreProperties>
</file>