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27B382E" w14:textId="77777777" w:rsidR="00541E81" w:rsidRDefault="00541E81" w:rsidP="00541E81">
      <w:pPr>
        <w:jc w:val="center"/>
        <w:rPr>
          <w:rFonts w:ascii="Times New Roman" w:hAnsi="Times New Roman" w:cs="Times New Roman"/>
        </w:rPr>
      </w:pPr>
    </w:p>
    <w:p w14:paraId="6C271187" w14:textId="77777777" w:rsidR="00541E81" w:rsidRDefault="00541E81" w:rsidP="00541E81">
      <w:pPr>
        <w:jc w:val="center"/>
        <w:rPr>
          <w:rFonts w:ascii="Times New Roman" w:hAnsi="Times New Roman" w:cs="Times New Roman"/>
        </w:rPr>
      </w:pPr>
    </w:p>
    <w:p w14:paraId="31D8598F" w14:textId="77777777" w:rsidR="00541E81" w:rsidRDefault="00541E81" w:rsidP="00541E81">
      <w:pPr>
        <w:jc w:val="center"/>
        <w:rPr>
          <w:rFonts w:ascii="Times New Roman" w:hAnsi="Times New Roman" w:cs="Times New Roman"/>
        </w:rPr>
      </w:pPr>
    </w:p>
    <w:p w14:paraId="53F0A3FB" w14:textId="77777777" w:rsidR="00541E81" w:rsidRDefault="00541E81" w:rsidP="00541E81">
      <w:pPr>
        <w:jc w:val="center"/>
        <w:rPr>
          <w:rFonts w:ascii="Times New Roman" w:hAnsi="Times New Roman" w:cs="Times New Roman"/>
        </w:rPr>
      </w:pPr>
      <w:r w:rsidRPr="00167F80">
        <w:rPr>
          <w:rFonts w:ascii="Times New Roman" w:hAnsi="Times New Roman" w:cs="Times New Roman"/>
          <w:noProof/>
        </w:rPr>
        <w:drawing>
          <wp:inline distT="0" distB="0" distL="0" distR="0" wp14:anchorId="34C8F39C" wp14:editId="1C3666FD">
            <wp:extent cx="2381372" cy="920797"/>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
                    <a:stretch>
                      <a:fillRect/>
                    </a:stretch>
                  </pic:blipFill>
                  <pic:spPr>
                    <a:xfrm>
                      <a:off x="0" y="0"/>
                      <a:ext cx="2381372" cy="920797"/>
                    </a:xfrm>
                    <a:prstGeom prst="rect">
                      <a:avLst/>
                    </a:prstGeom>
                  </pic:spPr>
                </pic:pic>
              </a:graphicData>
            </a:graphic>
          </wp:inline>
        </w:drawing>
      </w:r>
    </w:p>
    <w:p w14:paraId="51CFB6A3" w14:textId="77777777" w:rsidR="00541E81" w:rsidRDefault="00541E81" w:rsidP="00541E81">
      <w:pPr>
        <w:jc w:val="center"/>
        <w:rPr>
          <w:rFonts w:ascii="Times New Roman" w:hAnsi="Times New Roman" w:cs="Times New Roman"/>
        </w:rPr>
      </w:pPr>
    </w:p>
    <w:p w14:paraId="289E7EFB" w14:textId="77777777" w:rsidR="00541E81" w:rsidRPr="00167F80" w:rsidRDefault="00541E81" w:rsidP="00541E81">
      <w:pPr>
        <w:jc w:val="center"/>
        <w:rPr>
          <w:rFonts w:ascii="Times New Roman" w:hAnsi="Times New Roman" w:cs="Times New Roman"/>
        </w:rPr>
      </w:pPr>
    </w:p>
    <w:tbl>
      <w:tblPr>
        <w:tblStyle w:val="TableGrid"/>
        <w:tblW w:w="9493" w:type="dxa"/>
        <w:jc w:val="center"/>
        <w:tblLook w:val="04A0" w:firstRow="1" w:lastRow="0" w:firstColumn="1" w:lastColumn="0" w:noHBand="0" w:noVBand="1"/>
      </w:tblPr>
      <w:tblGrid>
        <w:gridCol w:w="4776"/>
        <w:gridCol w:w="4717"/>
      </w:tblGrid>
      <w:tr w:rsidR="00541E81" w:rsidRPr="00383E56" w14:paraId="47E68B08" w14:textId="77777777" w:rsidTr="004D41BB">
        <w:trPr>
          <w:jc w:val="center"/>
        </w:trPr>
        <w:tc>
          <w:tcPr>
            <w:tcW w:w="4776" w:type="dxa"/>
            <w:hideMark/>
          </w:tcPr>
          <w:p w14:paraId="637A2F02" w14:textId="77777777" w:rsidR="00541E81" w:rsidRPr="00383E56" w:rsidRDefault="00541E81" w:rsidP="004D41BB">
            <w:pPr>
              <w:jc w:val="center"/>
              <w:rPr>
                <w:rFonts w:ascii="Times New Roman" w:eastAsia="Times New Roman" w:hAnsi="Times New Roman" w:cs="Times New Roman"/>
                <w:b/>
                <w:bCs/>
                <w:sz w:val="24"/>
                <w:szCs w:val="24"/>
                <w:lang w:eastAsia="en-GB"/>
              </w:rPr>
            </w:pPr>
            <w:r w:rsidRPr="00383E56">
              <w:rPr>
                <w:rFonts w:ascii="Times New Roman" w:eastAsia="Times New Roman" w:hAnsi="Times New Roman" w:cs="Times New Roman"/>
                <w:b/>
                <w:bCs/>
                <w:sz w:val="24"/>
                <w:szCs w:val="24"/>
                <w:lang w:eastAsia="en-GB"/>
              </w:rPr>
              <w:t>Field</w:t>
            </w:r>
          </w:p>
        </w:tc>
        <w:tc>
          <w:tcPr>
            <w:tcW w:w="4717" w:type="dxa"/>
            <w:hideMark/>
          </w:tcPr>
          <w:p w14:paraId="616A5909" w14:textId="77777777" w:rsidR="00541E81" w:rsidRPr="00383E56" w:rsidRDefault="00541E81" w:rsidP="004D41BB">
            <w:pPr>
              <w:jc w:val="center"/>
              <w:rPr>
                <w:rFonts w:ascii="Times New Roman" w:eastAsia="Times New Roman" w:hAnsi="Times New Roman" w:cs="Times New Roman"/>
                <w:b/>
                <w:bCs/>
                <w:sz w:val="24"/>
                <w:szCs w:val="24"/>
                <w:lang w:eastAsia="en-GB"/>
              </w:rPr>
            </w:pPr>
            <w:r w:rsidRPr="00383E56">
              <w:rPr>
                <w:rFonts w:ascii="Times New Roman" w:eastAsia="Times New Roman" w:hAnsi="Times New Roman" w:cs="Times New Roman"/>
                <w:b/>
                <w:bCs/>
                <w:sz w:val="24"/>
                <w:szCs w:val="24"/>
                <w:lang w:eastAsia="en-GB"/>
              </w:rPr>
              <w:t>Details</w:t>
            </w:r>
          </w:p>
        </w:tc>
      </w:tr>
      <w:tr w:rsidR="00541E81" w:rsidRPr="00383E56" w14:paraId="57B7FC0E" w14:textId="77777777" w:rsidTr="004D41BB">
        <w:trPr>
          <w:jc w:val="center"/>
        </w:trPr>
        <w:tc>
          <w:tcPr>
            <w:tcW w:w="4776" w:type="dxa"/>
            <w:hideMark/>
          </w:tcPr>
          <w:p w14:paraId="727086CC" w14:textId="77777777" w:rsidR="00541E81" w:rsidRPr="00383E56" w:rsidRDefault="00541E81" w:rsidP="004D41BB">
            <w:pPr>
              <w:rPr>
                <w:rFonts w:ascii="Times New Roman" w:eastAsia="Times New Roman" w:hAnsi="Times New Roman" w:cs="Times New Roman"/>
                <w:sz w:val="24"/>
                <w:szCs w:val="24"/>
                <w:lang w:eastAsia="en-GB"/>
              </w:rPr>
            </w:pPr>
            <w:r w:rsidRPr="00383E56">
              <w:rPr>
                <w:rFonts w:ascii="Times New Roman" w:eastAsia="Times New Roman" w:hAnsi="Times New Roman" w:cs="Times New Roman"/>
                <w:sz w:val="24"/>
                <w:szCs w:val="24"/>
                <w:lang w:eastAsia="en-GB"/>
              </w:rPr>
              <w:t>Student Name</w:t>
            </w:r>
          </w:p>
        </w:tc>
        <w:tc>
          <w:tcPr>
            <w:tcW w:w="4717" w:type="dxa"/>
            <w:hideMark/>
          </w:tcPr>
          <w:p w14:paraId="61F03898" w14:textId="77777777" w:rsidR="00541E81" w:rsidRPr="00383E56" w:rsidRDefault="00541E81" w:rsidP="004D41BB">
            <w:pPr>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 xml:space="preserve">Rezaul Karim </w:t>
            </w:r>
          </w:p>
        </w:tc>
      </w:tr>
      <w:tr w:rsidR="00541E81" w:rsidRPr="00383E56" w14:paraId="46A25901" w14:textId="77777777" w:rsidTr="004D41BB">
        <w:trPr>
          <w:jc w:val="center"/>
        </w:trPr>
        <w:tc>
          <w:tcPr>
            <w:tcW w:w="4776" w:type="dxa"/>
            <w:hideMark/>
          </w:tcPr>
          <w:p w14:paraId="484D80F3" w14:textId="77777777" w:rsidR="00541E81" w:rsidRPr="00383E56" w:rsidRDefault="00541E81" w:rsidP="004D41BB">
            <w:pPr>
              <w:rPr>
                <w:rFonts w:ascii="Times New Roman" w:eastAsia="Times New Roman" w:hAnsi="Times New Roman" w:cs="Times New Roman"/>
                <w:sz w:val="24"/>
                <w:szCs w:val="24"/>
                <w:lang w:eastAsia="en-GB"/>
              </w:rPr>
            </w:pPr>
            <w:r w:rsidRPr="00383E56">
              <w:rPr>
                <w:rFonts w:ascii="Times New Roman" w:eastAsia="Times New Roman" w:hAnsi="Times New Roman" w:cs="Times New Roman"/>
                <w:sz w:val="24"/>
                <w:szCs w:val="24"/>
                <w:lang w:eastAsia="en-GB"/>
              </w:rPr>
              <w:t>Student ID Number</w:t>
            </w:r>
          </w:p>
        </w:tc>
        <w:tc>
          <w:tcPr>
            <w:tcW w:w="4717" w:type="dxa"/>
            <w:hideMark/>
          </w:tcPr>
          <w:p w14:paraId="6058B847" w14:textId="77777777" w:rsidR="00541E81" w:rsidRPr="00383E56" w:rsidRDefault="00541E81" w:rsidP="004D41BB">
            <w:pPr>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2436008</w:t>
            </w:r>
          </w:p>
        </w:tc>
      </w:tr>
      <w:tr w:rsidR="00541E81" w:rsidRPr="00383E56" w14:paraId="4B2F90E3" w14:textId="77777777" w:rsidTr="004D41BB">
        <w:trPr>
          <w:jc w:val="center"/>
        </w:trPr>
        <w:tc>
          <w:tcPr>
            <w:tcW w:w="4776" w:type="dxa"/>
            <w:hideMark/>
          </w:tcPr>
          <w:p w14:paraId="5D3D53B4" w14:textId="77777777" w:rsidR="00541E81" w:rsidRPr="00383E56" w:rsidRDefault="00541E81" w:rsidP="004D41BB">
            <w:pPr>
              <w:rPr>
                <w:rFonts w:ascii="Times New Roman" w:eastAsia="Times New Roman" w:hAnsi="Times New Roman" w:cs="Times New Roman"/>
                <w:sz w:val="24"/>
                <w:szCs w:val="24"/>
                <w:lang w:eastAsia="en-GB"/>
              </w:rPr>
            </w:pPr>
            <w:r w:rsidRPr="00383E56">
              <w:rPr>
                <w:rFonts w:ascii="Times New Roman" w:eastAsia="Times New Roman" w:hAnsi="Times New Roman" w:cs="Times New Roman"/>
                <w:sz w:val="24"/>
                <w:szCs w:val="24"/>
                <w:lang w:eastAsia="en-GB"/>
              </w:rPr>
              <w:t>Programme</w:t>
            </w:r>
          </w:p>
        </w:tc>
        <w:tc>
          <w:tcPr>
            <w:tcW w:w="4717" w:type="dxa"/>
            <w:hideMark/>
          </w:tcPr>
          <w:p w14:paraId="14C10027" w14:textId="77777777" w:rsidR="00541E81" w:rsidRPr="00383E56" w:rsidRDefault="00541E81" w:rsidP="004D41BB">
            <w:pPr>
              <w:rPr>
                <w:rFonts w:ascii="Times New Roman" w:eastAsia="Times New Roman" w:hAnsi="Times New Roman" w:cs="Times New Roman"/>
                <w:sz w:val="24"/>
                <w:szCs w:val="24"/>
                <w:lang w:eastAsia="en-GB"/>
              </w:rPr>
            </w:pPr>
            <w:r w:rsidRPr="00383E56">
              <w:rPr>
                <w:rFonts w:ascii="Times New Roman" w:eastAsia="Times New Roman" w:hAnsi="Times New Roman" w:cs="Times New Roman"/>
                <w:sz w:val="24"/>
                <w:szCs w:val="24"/>
                <w:lang w:eastAsia="en-GB"/>
              </w:rPr>
              <w:t>Master of Business Administration</w:t>
            </w:r>
          </w:p>
        </w:tc>
      </w:tr>
      <w:tr w:rsidR="00541E81" w:rsidRPr="00383E56" w14:paraId="2F10CC18" w14:textId="77777777" w:rsidTr="004D41BB">
        <w:trPr>
          <w:jc w:val="center"/>
        </w:trPr>
        <w:tc>
          <w:tcPr>
            <w:tcW w:w="4776" w:type="dxa"/>
            <w:hideMark/>
          </w:tcPr>
          <w:p w14:paraId="7AD6418F" w14:textId="77777777" w:rsidR="00541E81" w:rsidRPr="00383E56" w:rsidRDefault="00541E81" w:rsidP="004D41BB">
            <w:pPr>
              <w:rPr>
                <w:rFonts w:ascii="Times New Roman" w:eastAsia="Times New Roman" w:hAnsi="Times New Roman" w:cs="Times New Roman"/>
                <w:sz w:val="24"/>
                <w:szCs w:val="24"/>
                <w:lang w:eastAsia="en-GB"/>
              </w:rPr>
            </w:pPr>
            <w:r w:rsidRPr="00383E56">
              <w:rPr>
                <w:rFonts w:ascii="Times New Roman" w:eastAsia="Times New Roman" w:hAnsi="Times New Roman" w:cs="Times New Roman"/>
                <w:sz w:val="24"/>
                <w:szCs w:val="24"/>
                <w:lang w:eastAsia="en-GB"/>
              </w:rPr>
              <w:t>Module</w:t>
            </w:r>
          </w:p>
        </w:tc>
        <w:tc>
          <w:tcPr>
            <w:tcW w:w="4717" w:type="dxa"/>
            <w:hideMark/>
          </w:tcPr>
          <w:p w14:paraId="089DF6C6" w14:textId="3752B590" w:rsidR="00541E81" w:rsidRPr="00383E56" w:rsidRDefault="00541E81" w:rsidP="004D41BB">
            <w:pPr>
              <w:rPr>
                <w:rFonts w:ascii="Times New Roman" w:eastAsia="Times New Roman" w:hAnsi="Times New Roman" w:cs="Times New Roman"/>
                <w:sz w:val="24"/>
                <w:szCs w:val="24"/>
                <w:lang w:eastAsia="en-GB"/>
              </w:rPr>
            </w:pPr>
            <w:r w:rsidRPr="00541E81">
              <w:rPr>
                <w:rFonts w:ascii="Times New Roman" w:eastAsia="Times New Roman" w:hAnsi="Times New Roman" w:cs="Times New Roman"/>
                <w:sz w:val="24"/>
                <w:szCs w:val="24"/>
                <w:lang w:eastAsia="en-GB"/>
              </w:rPr>
              <w:t>Marketing Management</w:t>
            </w:r>
          </w:p>
        </w:tc>
      </w:tr>
      <w:tr w:rsidR="00541E81" w:rsidRPr="00383E56" w14:paraId="589F965F" w14:textId="77777777" w:rsidTr="004D41BB">
        <w:trPr>
          <w:jc w:val="center"/>
        </w:trPr>
        <w:tc>
          <w:tcPr>
            <w:tcW w:w="4776" w:type="dxa"/>
            <w:hideMark/>
          </w:tcPr>
          <w:p w14:paraId="3272771B" w14:textId="77777777" w:rsidR="00541E81" w:rsidRPr="00383E56" w:rsidRDefault="00541E81" w:rsidP="004D41BB">
            <w:pPr>
              <w:rPr>
                <w:rFonts w:ascii="Times New Roman" w:eastAsia="Times New Roman" w:hAnsi="Times New Roman" w:cs="Times New Roman"/>
                <w:sz w:val="24"/>
                <w:szCs w:val="24"/>
                <w:lang w:eastAsia="en-GB"/>
              </w:rPr>
            </w:pPr>
            <w:r w:rsidRPr="00383E56">
              <w:rPr>
                <w:rFonts w:ascii="Times New Roman" w:eastAsia="Times New Roman" w:hAnsi="Times New Roman" w:cs="Times New Roman"/>
                <w:sz w:val="24"/>
                <w:szCs w:val="24"/>
                <w:lang w:eastAsia="en-GB"/>
              </w:rPr>
              <w:t>Module Code</w:t>
            </w:r>
          </w:p>
        </w:tc>
        <w:tc>
          <w:tcPr>
            <w:tcW w:w="4717" w:type="dxa"/>
            <w:hideMark/>
          </w:tcPr>
          <w:p w14:paraId="6C501E19" w14:textId="666979D8" w:rsidR="00541E81" w:rsidRPr="00383E56" w:rsidRDefault="00D97224" w:rsidP="004D41BB">
            <w:pPr>
              <w:rPr>
                <w:rFonts w:ascii="Times New Roman" w:eastAsia="Times New Roman" w:hAnsi="Times New Roman" w:cs="Times New Roman"/>
                <w:sz w:val="24"/>
                <w:szCs w:val="24"/>
                <w:lang w:eastAsia="en-GB"/>
              </w:rPr>
            </w:pPr>
            <w:r w:rsidRPr="00D97224">
              <w:rPr>
                <w:rFonts w:ascii="Times New Roman" w:eastAsia="Times New Roman" w:hAnsi="Times New Roman" w:cs="Times New Roman"/>
                <w:sz w:val="24"/>
                <w:szCs w:val="24"/>
                <w:lang w:eastAsia="en-GB"/>
              </w:rPr>
              <w:t>LCMB7024</w:t>
            </w:r>
          </w:p>
        </w:tc>
      </w:tr>
      <w:tr w:rsidR="00541E81" w:rsidRPr="00383E56" w14:paraId="614525D3" w14:textId="77777777" w:rsidTr="004D41BB">
        <w:trPr>
          <w:jc w:val="center"/>
        </w:trPr>
        <w:tc>
          <w:tcPr>
            <w:tcW w:w="4776" w:type="dxa"/>
            <w:hideMark/>
          </w:tcPr>
          <w:p w14:paraId="7D58ACEC" w14:textId="77777777" w:rsidR="00541E81" w:rsidRPr="00383E56" w:rsidRDefault="00541E81" w:rsidP="004D41BB">
            <w:pPr>
              <w:rPr>
                <w:rFonts w:ascii="Times New Roman" w:eastAsia="Times New Roman" w:hAnsi="Times New Roman" w:cs="Times New Roman"/>
                <w:sz w:val="24"/>
                <w:szCs w:val="24"/>
                <w:lang w:eastAsia="en-GB"/>
              </w:rPr>
            </w:pPr>
            <w:r w:rsidRPr="00383E56">
              <w:rPr>
                <w:rFonts w:ascii="Times New Roman" w:eastAsia="Times New Roman" w:hAnsi="Times New Roman" w:cs="Times New Roman"/>
                <w:sz w:val="24"/>
                <w:szCs w:val="24"/>
                <w:lang w:eastAsia="en-GB"/>
              </w:rPr>
              <w:t>Lecturer</w:t>
            </w:r>
          </w:p>
        </w:tc>
        <w:tc>
          <w:tcPr>
            <w:tcW w:w="4717" w:type="dxa"/>
          </w:tcPr>
          <w:p w14:paraId="4DEEE7F3" w14:textId="25F5D2BB" w:rsidR="00541E81" w:rsidRPr="00383E56" w:rsidRDefault="00053A89" w:rsidP="004D41BB">
            <w:pPr>
              <w:rPr>
                <w:rFonts w:ascii="Times New Roman" w:eastAsia="Times New Roman" w:hAnsi="Times New Roman" w:cs="Times New Roman"/>
                <w:sz w:val="24"/>
                <w:szCs w:val="24"/>
                <w:lang w:eastAsia="en-GB"/>
              </w:rPr>
            </w:pPr>
            <w:r w:rsidRPr="00053A89">
              <w:rPr>
                <w:rFonts w:ascii="Times New Roman" w:eastAsia="Times New Roman" w:hAnsi="Times New Roman" w:cs="Times New Roman"/>
                <w:sz w:val="24"/>
                <w:szCs w:val="24"/>
                <w:lang w:eastAsia="en-GB"/>
              </w:rPr>
              <w:t>Dr Laila Maazouz</w:t>
            </w:r>
          </w:p>
        </w:tc>
      </w:tr>
    </w:tbl>
    <w:p w14:paraId="0651F6FD" w14:textId="05331C97" w:rsidR="00E41D59" w:rsidRDefault="00E41D59" w:rsidP="00E41D59">
      <w:pPr>
        <w:jc w:val="center"/>
        <w:rPr>
          <w:rFonts w:ascii="Times New Roman" w:hAnsi="Times New Roman" w:cs="Times New Roman"/>
          <w:sz w:val="24"/>
          <w:szCs w:val="24"/>
        </w:rPr>
      </w:pPr>
    </w:p>
    <w:p w14:paraId="14DC70E6" w14:textId="67E3E931" w:rsidR="00541E81" w:rsidRDefault="00541E81" w:rsidP="00E41D59">
      <w:pPr>
        <w:jc w:val="center"/>
        <w:rPr>
          <w:rFonts w:ascii="Times New Roman" w:hAnsi="Times New Roman" w:cs="Times New Roman"/>
          <w:sz w:val="24"/>
          <w:szCs w:val="24"/>
        </w:rPr>
      </w:pPr>
    </w:p>
    <w:p w14:paraId="2D75DB23" w14:textId="1D649B7E" w:rsidR="00541E81" w:rsidRDefault="00541E81" w:rsidP="00E41D59">
      <w:pPr>
        <w:jc w:val="center"/>
        <w:rPr>
          <w:rFonts w:ascii="Times New Roman" w:hAnsi="Times New Roman" w:cs="Times New Roman"/>
          <w:sz w:val="24"/>
          <w:szCs w:val="24"/>
        </w:rPr>
      </w:pPr>
    </w:p>
    <w:p w14:paraId="37ADF914" w14:textId="283958F9" w:rsidR="00541E81" w:rsidRDefault="00541E81" w:rsidP="00E41D59">
      <w:pPr>
        <w:jc w:val="center"/>
        <w:rPr>
          <w:rFonts w:ascii="Times New Roman" w:hAnsi="Times New Roman" w:cs="Times New Roman"/>
          <w:sz w:val="24"/>
          <w:szCs w:val="24"/>
        </w:rPr>
      </w:pPr>
    </w:p>
    <w:p w14:paraId="3B1700BB" w14:textId="7C83C937" w:rsidR="00541E81" w:rsidRDefault="00541E81" w:rsidP="00E41D59">
      <w:pPr>
        <w:jc w:val="center"/>
        <w:rPr>
          <w:rFonts w:ascii="Times New Roman" w:hAnsi="Times New Roman" w:cs="Times New Roman"/>
          <w:sz w:val="24"/>
          <w:szCs w:val="24"/>
        </w:rPr>
      </w:pPr>
    </w:p>
    <w:p w14:paraId="66CB4787" w14:textId="1F83EC53" w:rsidR="00541E81" w:rsidRDefault="00541E81" w:rsidP="00E41D59">
      <w:pPr>
        <w:jc w:val="center"/>
        <w:rPr>
          <w:rFonts w:ascii="Times New Roman" w:hAnsi="Times New Roman" w:cs="Times New Roman"/>
          <w:sz w:val="24"/>
          <w:szCs w:val="24"/>
        </w:rPr>
      </w:pPr>
    </w:p>
    <w:p w14:paraId="230DDD4F" w14:textId="65EFD92B" w:rsidR="00541E81" w:rsidRDefault="00541E81" w:rsidP="00E41D59">
      <w:pPr>
        <w:jc w:val="center"/>
        <w:rPr>
          <w:rFonts w:ascii="Times New Roman" w:hAnsi="Times New Roman" w:cs="Times New Roman"/>
          <w:sz w:val="24"/>
          <w:szCs w:val="24"/>
        </w:rPr>
      </w:pPr>
    </w:p>
    <w:p w14:paraId="3D6B2CAD" w14:textId="539DAB75" w:rsidR="00541E81" w:rsidRDefault="00541E81" w:rsidP="00E41D59">
      <w:pPr>
        <w:jc w:val="center"/>
        <w:rPr>
          <w:rFonts w:ascii="Times New Roman" w:hAnsi="Times New Roman" w:cs="Times New Roman"/>
          <w:sz w:val="24"/>
          <w:szCs w:val="24"/>
        </w:rPr>
      </w:pPr>
    </w:p>
    <w:p w14:paraId="62C793B3" w14:textId="1D7A1EF5" w:rsidR="00541E81" w:rsidRDefault="00541E81" w:rsidP="00E41D59">
      <w:pPr>
        <w:jc w:val="center"/>
        <w:rPr>
          <w:rFonts w:ascii="Times New Roman" w:hAnsi="Times New Roman" w:cs="Times New Roman"/>
          <w:sz w:val="24"/>
          <w:szCs w:val="24"/>
        </w:rPr>
      </w:pPr>
    </w:p>
    <w:p w14:paraId="71026A2D" w14:textId="04B04400" w:rsidR="00541E81" w:rsidRDefault="00541E81" w:rsidP="00E41D59">
      <w:pPr>
        <w:jc w:val="center"/>
        <w:rPr>
          <w:rFonts w:ascii="Times New Roman" w:hAnsi="Times New Roman" w:cs="Times New Roman"/>
          <w:sz w:val="24"/>
          <w:szCs w:val="24"/>
        </w:rPr>
      </w:pPr>
    </w:p>
    <w:p w14:paraId="792D6D04" w14:textId="5EBC3B6C" w:rsidR="00541E81" w:rsidRDefault="00541E81" w:rsidP="00E41D59">
      <w:pPr>
        <w:jc w:val="center"/>
        <w:rPr>
          <w:rFonts w:ascii="Times New Roman" w:hAnsi="Times New Roman" w:cs="Times New Roman"/>
          <w:sz w:val="24"/>
          <w:szCs w:val="24"/>
        </w:rPr>
      </w:pPr>
    </w:p>
    <w:p w14:paraId="76407992" w14:textId="2284BFFD" w:rsidR="00541E81" w:rsidRDefault="00541E81" w:rsidP="00E41D59">
      <w:pPr>
        <w:jc w:val="center"/>
        <w:rPr>
          <w:rFonts w:ascii="Times New Roman" w:hAnsi="Times New Roman" w:cs="Times New Roman"/>
          <w:sz w:val="24"/>
          <w:szCs w:val="24"/>
        </w:rPr>
      </w:pPr>
    </w:p>
    <w:p w14:paraId="59C620C1" w14:textId="20E36FC5" w:rsidR="00541E81" w:rsidRDefault="00541E81" w:rsidP="00E41D59">
      <w:pPr>
        <w:jc w:val="center"/>
        <w:rPr>
          <w:rFonts w:ascii="Times New Roman" w:hAnsi="Times New Roman" w:cs="Times New Roman"/>
          <w:sz w:val="24"/>
          <w:szCs w:val="24"/>
        </w:rPr>
      </w:pPr>
    </w:p>
    <w:p w14:paraId="5043A25F" w14:textId="4DB8ED21" w:rsidR="00541E81" w:rsidRDefault="00541E81" w:rsidP="00E41D59">
      <w:pPr>
        <w:jc w:val="center"/>
        <w:rPr>
          <w:rFonts w:ascii="Times New Roman" w:hAnsi="Times New Roman" w:cs="Times New Roman"/>
          <w:sz w:val="24"/>
          <w:szCs w:val="24"/>
        </w:rPr>
      </w:pPr>
    </w:p>
    <w:p w14:paraId="4A6DE3EE" w14:textId="74CDEC3D" w:rsidR="00541E81" w:rsidRDefault="00541E81" w:rsidP="00E41D59">
      <w:pPr>
        <w:jc w:val="center"/>
        <w:rPr>
          <w:rFonts w:ascii="Times New Roman" w:hAnsi="Times New Roman" w:cs="Times New Roman"/>
          <w:sz w:val="24"/>
          <w:szCs w:val="24"/>
        </w:rPr>
      </w:pPr>
    </w:p>
    <w:p w14:paraId="1AECC4A4" w14:textId="08409163" w:rsidR="00541E81" w:rsidRDefault="00541E81" w:rsidP="00E41D59">
      <w:pPr>
        <w:jc w:val="center"/>
        <w:rPr>
          <w:rFonts w:ascii="Times New Roman" w:hAnsi="Times New Roman" w:cs="Times New Roman"/>
          <w:sz w:val="24"/>
          <w:szCs w:val="24"/>
        </w:rPr>
      </w:pPr>
    </w:p>
    <w:p w14:paraId="305C8259" w14:textId="68014BC0" w:rsidR="00541E81" w:rsidRDefault="00541E81" w:rsidP="00156F64">
      <w:pPr>
        <w:rPr>
          <w:rFonts w:ascii="Times New Roman" w:hAnsi="Times New Roman" w:cs="Times New Roman"/>
          <w:sz w:val="24"/>
          <w:szCs w:val="24"/>
        </w:rPr>
      </w:pPr>
    </w:p>
    <w:p w14:paraId="0296D8B6" w14:textId="77777777" w:rsidR="00E41D59" w:rsidRDefault="00E41D59" w:rsidP="00156F64">
      <w:pPr>
        <w:rPr>
          <w:rFonts w:ascii="Times New Roman" w:hAnsi="Times New Roman" w:cs="Times New Roman"/>
          <w:sz w:val="24"/>
          <w:szCs w:val="24"/>
        </w:rPr>
      </w:pPr>
    </w:p>
    <w:sdt>
      <w:sdtPr>
        <w:rPr>
          <w:rFonts w:asciiTheme="minorHAnsi" w:eastAsiaTheme="minorHAnsi" w:hAnsiTheme="minorHAnsi" w:cstheme="minorBidi"/>
          <w:color w:val="auto"/>
          <w:sz w:val="22"/>
          <w:szCs w:val="22"/>
          <w:lang w:val="en-GB"/>
        </w:rPr>
        <w:id w:val="-441760358"/>
        <w:docPartObj>
          <w:docPartGallery w:val="Table of Contents"/>
          <w:docPartUnique/>
        </w:docPartObj>
      </w:sdtPr>
      <w:sdtEndPr>
        <w:rPr>
          <w:b/>
          <w:bCs/>
          <w:noProof/>
        </w:rPr>
      </w:sdtEndPr>
      <w:sdtContent>
        <w:p w14:paraId="3AD02324" w14:textId="2E28EB44" w:rsidR="00BC5079" w:rsidRDefault="00BC5079">
          <w:pPr>
            <w:pStyle w:val="TOCHeading"/>
          </w:pPr>
          <w:r>
            <w:t>Contents</w:t>
          </w:r>
        </w:p>
        <w:p w14:paraId="6FD11962" w14:textId="04EE4941" w:rsidR="00BC5079" w:rsidRDefault="00BC5079">
          <w:pPr>
            <w:pStyle w:val="TOC1"/>
            <w:tabs>
              <w:tab w:val="right" w:leader="dot" w:pos="9016"/>
            </w:tabs>
            <w:rPr>
              <w:noProof/>
            </w:rPr>
          </w:pPr>
          <w:r>
            <w:fldChar w:fldCharType="begin"/>
          </w:r>
          <w:r>
            <w:instrText xml:space="preserve"> TOC \o "1-3" \h \z \u </w:instrText>
          </w:r>
          <w:r>
            <w:fldChar w:fldCharType="separate"/>
          </w:r>
          <w:hyperlink w:anchor="_Toc214581088" w:history="1">
            <w:r w:rsidRPr="00F31AD0">
              <w:rPr>
                <w:rStyle w:val="Hyperlink"/>
                <w:noProof/>
              </w:rPr>
              <w:t>Introduction</w:t>
            </w:r>
            <w:r>
              <w:rPr>
                <w:noProof/>
                <w:webHidden/>
              </w:rPr>
              <w:tab/>
            </w:r>
            <w:r>
              <w:rPr>
                <w:noProof/>
                <w:webHidden/>
              </w:rPr>
              <w:fldChar w:fldCharType="begin"/>
            </w:r>
            <w:r>
              <w:rPr>
                <w:noProof/>
                <w:webHidden/>
              </w:rPr>
              <w:instrText xml:space="preserve"> PAGEREF _Toc214581088 \h </w:instrText>
            </w:r>
            <w:r>
              <w:rPr>
                <w:noProof/>
                <w:webHidden/>
              </w:rPr>
            </w:r>
            <w:r>
              <w:rPr>
                <w:noProof/>
                <w:webHidden/>
              </w:rPr>
              <w:fldChar w:fldCharType="separate"/>
            </w:r>
            <w:r>
              <w:rPr>
                <w:noProof/>
                <w:webHidden/>
              </w:rPr>
              <w:t>3</w:t>
            </w:r>
            <w:r>
              <w:rPr>
                <w:noProof/>
                <w:webHidden/>
              </w:rPr>
              <w:fldChar w:fldCharType="end"/>
            </w:r>
          </w:hyperlink>
        </w:p>
        <w:p w14:paraId="43C7A855" w14:textId="049277FC" w:rsidR="00BC5079" w:rsidRDefault="00053A89">
          <w:pPr>
            <w:pStyle w:val="TOC1"/>
            <w:tabs>
              <w:tab w:val="right" w:leader="dot" w:pos="9016"/>
            </w:tabs>
            <w:rPr>
              <w:noProof/>
            </w:rPr>
          </w:pPr>
          <w:hyperlink w:anchor="_Toc214581089" w:history="1">
            <w:r w:rsidR="00BC5079" w:rsidRPr="00F31AD0">
              <w:rPr>
                <w:rStyle w:val="Hyperlink"/>
                <w:noProof/>
              </w:rPr>
              <w:t>Task 1: Critical Analysis of Macro Marketing Environment</w:t>
            </w:r>
            <w:r w:rsidR="00BC5079">
              <w:rPr>
                <w:noProof/>
                <w:webHidden/>
              </w:rPr>
              <w:tab/>
            </w:r>
            <w:r w:rsidR="00BC5079">
              <w:rPr>
                <w:noProof/>
                <w:webHidden/>
              </w:rPr>
              <w:fldChar w:fldCharType="begin"/>
            </w:r>
            <w:r w:rsidR="00BC5079">
              <w:rPr>
                <w:noProof/>
                <w:webHidden/>
              </w:rPr>
              <w:instrText xml:space="preserve"> PAGEREF _Toc214581089 \h </w:instrText>
            </w:r>
            <w:r w:rsidR="00BC5079">
              <w:rPr>
                <w:noProof/>
                <w:webHidden/>
              </w:rPr>
            </w:r>
            <w:r w:rsidR="00BC5079">
              <w:rPr>
                <w:noProof/>
                <w:webHidden/>
              </w:rPr>
              <w:fldChar w:fldCharType="separate"/>
            </w:r>
            <w:r w:rsidR="00BC5079">
              <w:rPr>
                <w:noProof/>
                <w:webHidden/>
              </w:rPr>
              <w:t>3</w:t>
            </w:r>
            <w:r w:rsidR="00BC5079">
              <w:rPr>
                <w:noProof/>
                <w:webHidden/>
              </w:rPr>
              <w:fldChar w:fldCharType="end"/>
            </w:r>
          </w:hyperlink>
        </w:p>
        <w:p w14:paraId="5D9195BA" w14:textId="71C3DA2B" w:rsidR="00BC5079" w:rsidRDefault="00053A89">
          <w:pPr>
            <w:pStyle w:val="TOC2"/>
            <w:tabs>
              <w:tab w:val="right" w:leader="dot" w:pos="9016"/>
            </w:tabs>
            <w:rPr>
              <w:noProof/>
            </w:rPr>
          </w:pPr>
          <w:hyperlink w:anchor="_Toc214581090" w:history="1">
            <w:r w:rsidR="00BC5079" w:rsidRPr="00F31AD0">
              <w:rPr>
                <w:rStyle w:val="Hyperlink"/>
                <w:noProof/>
              </w:rPr>
              <w:t>1.1 Technological Factors: Opportunities and Threats</w:t>
            </w:r>
            <w:r w:rsidR="00BC5079">
              <w:rPr>
                <w:noProof/>
                <w:webHidden/>
              </w:rPr>
              <w:tab/>
            </w:r>
            <w:r w:rsidR="00BC5079">
              <w:rPr>
                <w:noProof/>
                <w:webHidden/>
              </w:rPr>
              <w:fldChar w:fldCharType="begin"/>
            </w:r>
            <w:r w:rsidR="00BC5079">
              <w:rPr>
                <w:noProof/>
                <w:webHidden/>
              </w:rPr>
              <w:instrText xml:space="preserve"> PAGEREF _Toc214581090 \h </w:instrText>
            </w:r>
            <w:r w:rsidR="00BC5079">
              <w:rPr>
                <w:noProof/>
                <w:webHidden/>
              </w:rPr>
            </w:r>
            <w:r w:rsidR="00BC5079">
              <w:rPr>
                <w:noProof/>
                <w:webHidden/>
              </w:rPr>
              <w:fldChar w:fldCharType="separate"/>
            </w:r>
            <w:r w:rsidR="00BC5079">
              <w:rPr>
                <w:noProof/>
                <w:webHidden/>
              </w:rPr>
              <w:t>3</w:t>
            </w:r>
            <w:r w:rsidR="00BC5079">
              <w:rPr>
                <w:noProof/>
                <w:webHidden/>
              </w:rPr>
              <w:fldChar w:fldCharType="end"/>
            </w:r>
          </w:hyperlink>
        </w:p>
        <w:p w14:paraId="3529DA09" w14:textId="5A6EB622" w:rsidR="00BC5079" w:rsidRDefault="00053A89">
          <w:pPr>
            <w:pStyle w:val="TOC2"/>
            <w:tabs>
              <w:tab w:val="right" w:leader="dot" w:pos="9016"/>
            </w:tabs>
            <w:rPr>
              <w:noProof/>
            </w:rPr>
          </w:pPr>
          <w:hyperlink w:anchor="_Toc214581091" w:history="1">
            <w:r w:rsidR="00BC5079" w:rsidRPr="00F31AD0">
              <w:rPr>
                <w:rStyle w:val="Hyperlink"/>
                <w:noProof/>
              </w:rPr>
              <w:t>1.2 Political-Legal Factors: Opportunities and Threats</w:t>
            </w:r>
            <w:r w:rsidR="00BC5079">
              <w:rPr>
                <w:noProof/>
                <w:webHidden/>
              </w:rPr>
              <w:tab/>
            </w:r>
            <w:r w:rsidR="00BC5079">
              <w:rPr>
                <w:noProof/>
                <w:webHidden/>
              </w:rPr>
              <w:fldChar w:fldCharType="begin"/>
            </w:r>
            <w:r w:rsidR="00BC5079">
              <w:rPr>
                <w:noProof/>
                <w:webHidden/>
              </w:rPr>
              <w:instrText xml:space="preserve"> PAGEREF _Toc214581091 \h </w:instrText>
            </w:r>
            <w:r w:rsidR="00BC5079">
              <w:rPr>
                <w:noProof/>
                <w:webHidden/>
              </w:rPr>
            </w:r>
            <w:r w:rsidR="00BC5079">
              <w:rPr>
                <w:noProof/>
                <w:webHidden/>
              </w:rPr>
              <w:fldChar w:fldCharType="separate"/>
            </w:r>
            <w:r w:rsidR="00BC5079">
              <w:rPr>
                <w:noProof/>
                <w:webHidden/>
              </w:rPr>
              <w:t>4</w:t>
            </w:r>
            <w:r w:rsidR="00BC5079">
              <w:rPr>
                <w:noProof/>
                <w:webHidden/>
              </w:rPr>
              <w:fldChar w:fldCharType="end"/>
            </w:r>
          </w:hyperlink>
        </w:p>
        <w:p w14:paraId="219E6077" w14:textId="72E14B26" w:rsidR="00BC5079" w:rsidRDefault="00053A89">
          <w:pPr>
            <w:pStyle w:val="TOC1"/>
            <w:tabs>
              <w:tab w:val="right" w:leader="dot" w:pos="9016"/>
            </w:tabs>
            <w:rPr>
              <w:noProof/>
            </w:rPr>
          </w:pPr>
          <w:hyperlink w:anchor="_Toc214581092" w:history="1">
            <w:r w:rsidR="00BC5079" w:rsidRPr="00F31AD0">
              <w:rPr>
                <w:rStyle w:val="Hyperlink"/>
                <w:noProof/>
              </w:rPr>
              <w:t>Task 2: Strategic Responses to External Factors</w:t>
            </w:r>
            <w:r w:rsidR="00BC5079">
              <w:rPr>
                <w:noProof/>
                <w:webHidden/>
              </w:rPr>
              <w:tab/>
            </w:r>
            <w:r w:rsidR="00BC5079">
              <w:rPr>
                <w:noProof/>
                <w:webHidden/>
              </w:rPr>
              <w:fldChar w:fldCharType="begin"/>
            </w:r>
            <w:r w:rsidR="00BC5079">
              <w:rPr>
                <w:noProof/>
                <w:webHidden/>
              </w:rPr>
              <w:instrText xml:space="preserve"> PAGEREF _Toc214581092 \h </w:instrText>
            </w:r>
            <w:r w:rsidR="00BC5079">
              <w:rPr>
                <w:noProof/>
                <w:webHidden/>
              </w:rPr>
            </w:r>
            <w:r w:rsidR="00BC5079">
              <w:rPr>
                <w:noProof/>
                <w:webHidden/>
              </w:rPr>
              <w:fldChar w:fldCharType="separate"/>
            </w:r>
            <w:r w:rsidR="00BC5079">
              <w:rPr>
                <w:noProof/>
                <w:webHidden/>
              </w:rPr>
              <w:t>6</w:t>
            </w:r>
            <w:r w:rsidR="00BC5079">
              <w:rPr>
                <w:noProof/>
                <w:webHidden/>
              </w:rPr>
              <w:fldChar w:fldCharType="end"/>
            </w:r>
          </w:hyperlink>
        </w:p>
        <w:p w14:paraId="53E77CDC" w14:textId="3B9C0969" w:rsidR="00BC5079" w:rsidRDefault="00053A89">
          <w:pPr>
            <w:pStyle w:val="TOC2"/>
            <w:tabs>
              <w:tab w:val="right" w:leader="dot" w:pos="9016"/>
            </w:tabs>
            <w:rPr>
              <w:noProof/>
            </w:rPr>
          </w:pPr>
          <w:hyperlink w:anchor="_Toc214581093" w:history="1">
            <w:r w:rsidR="00BC5079" w:rsidRPr="00F31AD0">
              <w:rPr>
                <w:rStyle w:val="Hyperlink"/>
                <w:noProof/>
              </w:rPr>
              <w:t>2.1 Strategic Responses to Technological Factors</w:t>
            </w:r>
            <w:r w:rsidR="00BC5079">
              <w:rPr>
                <w:noProof/>
                <w:webHidden/>
              </w:rPr>
              <w:tab/>
            </w:r>
            <w:r w:rsidR="00BC5079">
              <w:rPr>
                <w:noProof/>
                <w:webHidden/>
              </w:rPr>
              <w:fldChar w:fldCharType="begin"/>
            </w:r>
            <w:r w:rsidR="00BC5079">
              <w:rPr>
                <w:noProof/>
                <w:webHidden/>
              </w:rPr>
              <w:instrText xml:space="preserve"> PAGEREF _Toc214581093 \h </w:instrText>
            </w:r>
            <w:r w:rsidR="00BC5079">
              <w:rPr>
                <w:noProof/>
                <w:webHidden/>
              </w:rPr>
            </w:r>
            <w:r w:rsidR="00BC5079">
              <w:rPr>
                <w:noProof/>
                <w:webHidden/>
              </w:rPr>
              <w:fldChar w:fldCharType="separate"/>
            </w:r>
            <w:r w:rsidR="00BC5079">
              <w:rPr>
                <w:noProof/>
                <w:webHidden/>
              </w:rPr>
              <w:t>6</w:t>
            </w:r>
            <w:r w:rsidR="00BC5079">
              <w:rPr>
                <w:noProof/>
                <w:webHidden/>
              </w:rPr>
              <w:fldChar w:fldCharType="end"/>
            </w:r>
          </w:hyperlink>
        </w:p>
        <w:p w14:paraId="72ADF6A2" w14:textId="170B7FEB" w:rsidR="00BC5079" w:rsidRDefault="00053A89">
          <w:pPr>
            <w:pStyle w:val="TOC2"/>
            <w:tabs>
              <w:tab w:val="right" w:leader="dot" w:pos="9016"/>
            </w:tabs>
            <w:rPr>
              <w:noProof/>
            </w:rPr>
          </w:pPr>
          <w:hyperlink w:anchor="_Toc214581094" w:history="1">
            <w:r w:rsidR="00BC5079" w:rsidRPr="00F31AD0">
              <w:rPr>
                <w:rStyle w:val="Hyperlink"/>
                <w:noProof/>
              </w:rPr>
              <w:t>2.2 Strategic Responses to Political-Legal Factors</w:t>
            </w:r>
            <w:r w:rsidR="00BC5079">
              <w:rPr>
                <w:noProof/>
                <w:webHidden/>
              </w:rPr>
              <w:tab/>
            </w:r>
            <w:r w:rsidR="00BC5079">
              <w:rPr>
                <w:noProof/>
                <w:webHidden/>
              </w:rPr>
              <w:fldChar w:fldCharType="begin"/>
            </w:r>
            <w:r w:rsidR="00BC5079">
              <w:rPr>
                <w:noProof/>
                <w:webHidden/>
              </w:rPr>
              <w:instrText xml:space="preserve"> PAGEREF _Toc214581094 \h </w:instrText>
            </w:r>
            <w:r w:rsidR="00BC5079">
              <w:rPr>
                <w:noProof/>
                <w:webHidden/>
              </w:rPr>
            </w:r>
            <w:r w:rsidR="00BC5079">
              <w:rPr>
                <w:noProof/>
                <w:webHidden/>
              </w:rPr>
              <w:fldChar w:fldCharType="separate"/>
            </w:r>
            <w:r w:rsidR="00BC5079">
              <w:rPr>
                <w:noProof/>
                <w:webHidden/>
              </w:rPr>
              <w:t>7</w:t>
            </w:r>
            <w:r w:rsidR="00BC5079">
              <w:rPr>
                <w:noProof/>
                <w:webHidden/>
              </w:rPr>
              <w:fldChar w:fldCharType="end"/>
            </w:r>
          </w:hyperlink>
        </w:p>
        <w:p w14:paraId="16DBA894" w14:textId="0E9149A9" w:rsidR="00BC5079" w:rsidRDefault="00053A89">
          <w:pPr>
            <w:pStyle w:val="TOC1"/>
            <w:tabs>
              <w:tab w:val="right" w:leader="dot" w:pos="9016"/>
            </w:tabs>
            <w:rPr>
              <w:noProof/>
            </w:rPr>
          </w:pPr>
          <w:hyperlink w:anchor="_Toc214581095" w:history="1">
            <w:r w:rsidR="00BC5079" w:rsidRPr="00F31AD0">
              <w:rPr>
                <w:rStyle w:val="Hyperlink"/>
                <w:noProof/>
              </w:rPr>
              <w:t>Conclusion</w:t>
            </w:r>
            <w:r w:rsidR="00BC5079">
              <w:rPr>
                <w:noProof/>
                <w:webHidden/>
              </w:rPr>
              <w:tab/>
            </w:r>
            <w:r w:rsidR="00BC5079">
              <w:rPr>
                <w:noProof/>
                <w:webHidden/>
              </w:rPr>
              <w:fldChar w:fldCharType="begin"/>
            </w:r>
            <w:r w:rsidR="00BC5079">
              <w:rPr>
                <w:noProof/>
                <w:webHidden/>
              </w:rPr>
              <w:instrText xml:space="preserve"> PAGEREF _Toc214581095 \h </w:instrText>
            </w:r>
            <w:r w:rsidR="00BC5079">
              <w:rPr>
                <w:noProof/>
                <w:webHidden/>
              </w:rPr>
            </w:r>
            <w:r w:rsidR="00BC5079">
              <w:rPr>
                <w:noProof/>
                <w:webHidden/>
              </w:rPr>
              <w:fldChar w:fldCharType="separate"/>
            </w:r>
            <w:r w:rsidR="00BC5079">
              <w:rPr>
                <w:noProof/>
                <w:webHidden/>
              </w:rPr>
              <w:t>8</w:t>
            </w:r>
            <w:r w:rsidR="00BC5079">
              <w:rPr>
                <w:noProof/>
                <w:webHidden/>
              </w:rPr>
              <w:fldChar w:fldCharType="end"/>
            </w:r>
          </w:hyperlink>
        </w:p>
        <w:p w14:paraId="03DEF5D5" w14:textId="517F2048" w:rsidR="00BC5079" w:rsidRDefault="00053A89">
          <w:pPr>
            <w:pStyle w:val="TOC1"/>
            <w:tabs>
              <w:tab w:val="right" w:leader="dot" w:pos="9016"/>
            </w:tabs>
            <w:rPr>
              <w:noProof/>
            </w:rPr>
          </w:pPr>
          <w:hyperlink w:anchor="_Toc214581096" w:history="1">
            <w:r w:rsidR="00BC5079" w:rsidRPr="00F31AD0">
              <w:rPr>
                <w:rStyle w:val="Hyperlink"/>
                <w:noProof/>
              </w:rPr>
              <w:t>References</w:t>
            </w:r>
            <w:r w:rsidR="00BC5079">
              <w:rPr>
                <w:noProof/>
                <w:webHidden/>
              </w:rPr>
              <w:tab/>
            </w:r>
            <w:r w:rsidR="00BC5079">
              <w:rPr>
                <w:noProof/>
                <w:webHidden/>
              </w:rPr>
              <w:fldChar w:fldCharType="begin"/>
            </w:r>
            <w:r w:rsidR="00BC5079">
              <w:rPr>
                <w:noProof/>
                <w:webHidden/>
              </w:rPr>
              <w:instrText xml:space="preserve"> PAGEREF _Toc214581096 \h </w:instrText>
            </w:r>
            <w:r w:rsidR="00BC5079">
              <w:rPr>
                <w:noProof/>
                <w:webHidden/>
              </w:rPr>
            </w:r>
            <w:r w:rsidR="00BC5079">
              <w:rPr>
                <w:noProof/>
                <w:webHidden/>
              </w:rPr>
              <w:fldChar w:fldCharType="separate"/>
            </w:r>
            <w:r w:rsidR="00BC5079">
              <w:rPr>
                <w:noProof/>
                <w:webHidden/>
              </w:rPr>
              <w:t>9</w:t>
            </w:r>
            <w:r w:rsidR="00BC5079">
              <w:rPr>
                <w:noProof/>
                <w:webHidden/>
              </w:rPr>
              <w:fldChar w:fldCharType="end"/>
            </w:r>
          </w:hyperlink>
        </w:p>
        <w:p w14:paraId="5DE0F34B" w14:textId="15064F9D" w:rsidR="00BC5079" w:rsidRDefault="00BC5079">
          <w:r>
            <w:rPr>
              <w:b/>
              <w:bCs/>
              <w:noProof/>
            </w:rPr>
            <w:fldChar w:fldCharType="end"/>
          </w:r>
        </w:p>
      </w:sdtContent>
    </w:sdt>
    <w:p w14:paraId="33D58803" w14:textId="77777777" w:rsidR="00BC5079" w:rsidRDefault="00BC5079" w:rsidP="00E41D59">
      <w:pPr>
        <w:jc w:val="center"/>
        <w:rPr>
          <w:rFonts w:ascii="Times New Roman" w:hAnsi="Times New Roman" w:cs="Times New Roman"/>
          <w:sz w:val="24"/>
          <w:szCs w:val="24"/>
        </w:rPr>
      </w:pPr>
    </w:p>
    <w:p w14:paraId="37E43C91" w14:textId="77777777" w:rsidR="00BC5079" w:rsidRDefault="00BC5079" w:rsidP="00E41D59">
      <w:pPr>
        <w:jc w:val="center"/>
        <w:rPr>
          <w:rFonts w:ascii="Times New Roman" w:hAnsi="Times New Roman" w:cs="Times New Roman"/>
          <w:sz w:val="24"/>
          <w:szCs w:val="24"/>
        </w:rPr>
      </w:pPr>
    </w:p>
    <w:p w14:paraId="40AB882B" w14:textId="77777777" w:rsidR="00BC5079" w:rsidRDefault="00BC5079" w:rsidP="00E41D59">
      <w:pPr>
        <w:jc w:val="center"/>
        <w:rPr>
          <w:rFonts w:ascii="Times New Roman" w:hAnsi="Times New Roman" w:cs="Times New Roman"/>
          <w:sz w:val="24"/>
          <w:szCs w:val="24"/>
        </w:rPr>
      </w:pPr>
    </w:p>
    <w:p w14:paraId="2D64898E" w14:textId="77777777" w:rsidR="00BC5079" w:rsidRDefault="00BC5079" w:rsidP="00E41D59">
      <w:pPr>
        <w:jc w:val="center"/>
        <w:rPr>
          <w:rFonts w:ascii="Times New Roman" w:hAnsi="Times New Roman" w:cs="Times New Roman"/>
          <w:sz w:val="24"/>
          <w:szCs w:val="24"/>
        </w:rPr>
      </w:pPr>
    </w:p>
    <w:p w14:paraId="171F8795" w14:textId="77777777" w:rsidR="00BC5079" w:rsidRDefault="00BC5079" w:rsidP="00E41D59">
      <w:pPr>
        <w:jc w:val="center"/>
        <w:rPr>
          <w:rFonts w:ascii="Times New Roman" w:hAnsi="Times New Roman" w:cs="Times New Roman"/>
          <w:sz w:val="24"/>
          <w:szCs w:val="24"/>
        </w:rPr>
      </w:pPr>
    </w:p>
    <w:p w14:paraId="500904DA" w14:textId="77777777" w:rsidR="00BC5079" w:rsidRDefault="00BC5079" w:rsidP="00E41D59">
      <w:pPr>
        <w:jc w:val="center"/>
        <w:rPr>
          <w:rFonts w:ascii="Times New Roman" w:hAnsi="Times New Roman" w:cs="Times New Roman"/>
          <w:sz w:val="24"/>
          <w:szCs w:val="24"/>
        </w:rPr>
      </w:pPr>
    </w:p>
    <w:p w14:paraId="3954A94F" w14:textId="77777777" w:rsidR="00BC5079" w:rsidRDefault="00BC5079" w:rsidP="00E41D59">
      <w:pPr>
        <w:jc w:val="center"/>
        <w:rPr>
          <w:rFonts w:ascii="Times New Roman" w:hAnsi="Times New Roman" w:cs="Times New Roman"/>
          <w:sz w:val="24"/>
          <w:szCs w:val="24"/>
        </w:rPr>
      </w:pPr>
    </w:p>
    <w:p w14:paraId="398DF443" w14:textId="77777777" w:rsidR="00BC5079" w:rsidRDefault="00BC5079" w:rsidP="00E41D59">
      <w:pPr>
        <w:jc w:val="center"/>
        <w:rPr>
          <w:rFonts w:ascii="Times New Roman" w:hAnsi="Times New Roman" w:cs="Times New Roman"/>
          <w:sz w:val="24"/>
          <w:szCs w:val="24"/>
        </w:rPr>
      </w:pPr>
    </w:p>
    <w:p w14:paraId="5F5CBAD5" w14:textId="77777777" w:rsidR="00BC5079" w:rsidRDefault="00BC5079" w:rsidP="00E41D59">
      <w:pPr>
        <w:jc w:val="center"/>
        <w:rPr>
          <w:rFonts w:ascii="Times New Roman" w:hAnsi="Times New Roman" w:cs="Times New Roman"/>
          <w:sz w:val="24"/>
          <w:szCs w:val="24"/>
        </w:rPr>
      </w:pPr>
    </w:p>
    <w:p w14:paraId="3E48E7E4" w14:textId="77777777" w:rsidR="00BC5079" w:rsidRDefault="00BC5079" w:rsidP="00E41D59">
      <w:pPr>
        <w:jc w:val="center"/>
        <w:rPr>
          <w:rFonts w:ascii="Times New Roman" w:hAnsi="Times New Roman" w:cs="Times New Roman"/>
          <w:sz w:val="24"/>
          <w:szCs w:val="24"/>
        </w:rPr>
      </w:pPr>
    </w:p>
    <w:p w14:paraId="079E502D" w14:textId="77777777" w:rsidR="00BC5079" w:rsidRDefault="00BC5079" w:rsidP="00E41D59">
      <w:pPr>
        <w:jc w:val="center"/>
        <w:rPr>
          <w:rFonts w:ascii="Times New Roman" w:hAnsi="Times New Roman" w:cs="Times New Roman"/>
          <w:sz w:val="24"/>
          <w:szCs w:val="24"/>
        </w:rPr>
      </w:pPr>
    </w:p>
    <w:p w14:paraId="62E8F018" w14:textId="77777777" w:rsidR="00BC5079" w:rsidRDefault="00BC5079" w:rsidP="00E41D59">
      <w:pPr>
        <w:jc w:val="center"/>
        <w:rPr>
          <w:rFonts w:ascii="Times New Roman" w:hAnsi="Times New Roman" w:cs="Times New Roman"/>
          <w:sz w:val="24"/>
          <w:szCs w:val="24"/>
        </w:rPr>
      </w:pPr>
    </w:p>
    <w:p w14:paraId="17326A8D" w14:textId="77777777" w:rsidR="00BC5079" w:rsidRDefault="00BC5079" w:rsidP="00E41D59">
      <w:pPr>
        <w:jc w:val="center"/>
        <w:rPr>
          <w:rFonts w:ascii="Times New Roman" w:hAnsi="Times New Roman" w:cs="Times New Roman"/>
          <w:sz w:val="24"/>
          <w:szCs w:val="24"/>
        </w:rPr>
      </w:pPr>
    </w:p>
    <w:p w14:paraId="001A2A34" w14:textId="77777777" w:rsidR="00BC5079" w:rsidRDefault="00BC5079" w:rsidP="00E41D59">
      <w:pPr>
        <w:jc w:val="center"/>
        <w:rPr>
          <w:rFonts w:ascii="Times New Roman" w:hAnsi="Times New Roman" w:cs="Times New Roman"/>
          <w:sz w:val="24"/>
          <w:szCs w:val="24"/>
        </w:rPr>
      </w:pPr>
    </w:p>
    <w:p w14:paraId="390F9957" w14:textId="77777777" w:rsidR="00BC5079" w:rsidRDefault="00BC5079" w:rsidP="00E41D59">
      <w:pPr>
        <w:jc w:val="center"/>
        <w:rPr>
          <w:rFonts w:ascii="Times New Roman" w:hAnsi="Times New Roman" w:cs="Times New Roman"/>
          <w:sz w:val="24"/>
          <w:szCs w:val="24"/>
        </w:rPr>
      </w:pPr>
    </w:p>
    <w:p w14:paraId="3F940F4E" w14:textId="77777777" w:rsidR="00BC5079" w:rsidRDefault="00BC5079" w:rsidP="00E41D59">
      <w:pPr>
        <w:jc w:val="center"/>
        <w:rPr>
          <w:rFonts w:ascii="Times New Roman" w:hAnsi="Times New Roman" w:cs="Times New Roman"/>
          <w:sz w:val="24"/>
          <w:szCs w:val="24"/>
        </w:rPr>
      </w:pPr>
    </w:p>
    <w:p w14:paraId="00E98EC0" w14:textId="77777777" w:rsidR="00BC5079" w:rsidRDefault="00BC5079" w:rsidP="00E41D59">
      <w:pPr>
        <w:jc w:val="center"/>
        <w:rPr>
          <w:rFonts w:ascii="Times New Roman" w:hAnsi="Times New Roman" w:cs="Times New Roman"/>
          <w:sz w:val="24"/>
          <w:szCs w:val="24"/>
        </w:rPr>
      </w:pPr>
    </w:p>
    <w:p w14:paraId="3886B36B" w14:textId="77777777" w:rsidR="00BC5079" w:rsidRDefault="00BC5079" w:rsidP="00E41D59">
      <w:pPr>
        <w:jc w:val="center"/>
        <w:rPr>
          <w:rFonts w:ascii="Times New Roman" w:hAnsi="Times New Roman" w:cs="Times New Roman"/>
          <w:sz w:val="24"/>
          <w:szCs w:val="24"/>
        </w:rPr>
      </w:pPr>
    </w:p>
    <w:p w14:paraId="00800A80" w14:textId="3A8FD127" w:rsidR="00BC5079" w:rsidRDefault="00BC5079" w:rsidP="00BC5079">
      <w:pPr>
        <w:rPr>
          <w:rFonts w:ascii="Times New Roman" w:hAnsi="Times New Roman" w:cs="Times New Roman"/>
          <w:sz w:val="24"/>
          <w:szCs w:val="24"/>
        </w:rPr>
      </w:pPr>
    </w:p>
    <w:p w14:paraId="3A578E73" w14:textId="77777777" w:rsidR="00BC5079" w:rsidRDefault="00BC5079" w:rsidP="00BC5079">
      <w:pPr>
        <w:rPr>
          <w:rFonts w:ascii="Times New Roman" w:hAnsi="Times New Roman" w:cs="Times New Roman"/>
          <w:sz w:val="24"/>
          <w:szCs w:val="24"/>
        </w:rPr>
      </w:pPr>
    </w:p>
    <w:p w14:paraId="2D03C0A5" w14:textId="02E75A4E" w:rsidR="00E41D59" w:rsidRPr="00E41D59" w:rsidRDefault="00E41D59" w:rsidP="00E41D59">
      <w:pPr>
        <w:jc w:val="center"/>
        <w:rPr>
          <w:rFonts w:ascii="Times New Roman" w:hAnsi="Times New Roman" w:cs="Times New Roman"/>
          <w:sz w:val="24"/>
          <w:szCs w:val="24"/>
        </w:rPr>
      </w:pPr>
      <w:r w:rsidRPr="00E41D59">
        <w:rPr>
          <w:rFonts w:ascii="Times New Roman" w:hAnsi="Times New Roman" w:cs="Times New Roman"/>
          <w:sz w:val="24"/>
          <w:szCs w:val="24"/>
        </w:rPr>
        <w:lastRenderedPageBreak/>
        <w:t>Marketing Environmental Analysis for Pioneers and Followers in the Middle Eastern Airline Industry</w:t>
      </w:r>
    </w:p>
    <w:p w14:paraId="04023F1B" w14:textId="77777777" w:rsidR="00E41D59" w:rsidRPr="00E41D59" w:rsidRDefault="00E41D59" w:rsidP="00D140C0">
      <w:pPr>
        <w:pStyle w:val="Heading1"/>
      </w:pPr>
      <w:bookmarkStart w:id="0" w:name="_Toc214581088"/>
      <w:r w:rsidRPr="00E41D59">
        <w:t>Introduction</w:t>
      </w:r>
      <w:bookmarkEnd w:id="0"/>
    </w:p>
    <w:p w14:paraId="653B9505" w14:textId="77777777" w:rsidR="00E41D59" w:rsidRPr="00E41D59" w:rsidRDefault="00E41D59" w:rsidP="00E41D59">
      <w:pPr>
        <w:jc w:val="both"/>
        <w:rPr>
          <w:rFonts w:ascii="Times New Roman" w:hAnsi="Times New Roman" w:cs="Times New Roman"/>
          <w:sz w:val="24"/>
          <w:szCs w:val="24"/>
        </w:rPr>
      </w:pPr>
      <w:r w:rsidRPr="00E41D59">
        <w:rPr>
          <w:rFonts w:ascii="Times New Roman" w:hAnsi="Times New Roman" w:cs="Times New Roman"/>
          <w:sz w:val="24"/>
          <w:szCs w:val="24"/>
        </w:rPr>
        <w:t>The airline industry operates within a dynamic and complex macro-environment where external forces continually reshape competitive landscapes and strategic imperatives. This analysis examines the strategic positioning of Emirates Airlines and Etihad Airways, two prominent Middle Eastern carriers that exemplify pioneering and follower strategies respectively within the highly competitive aviation sector. Emirates, established in 1985, has consistently demonstrated pioneering characteristics through aggressive expansion, innovation, and market leadership, whilst Etihad Airways, founded in 2003, has adopted strategic follower approaches, learning from established competitors whilst carving its distinct market position (O'Connell, 2011). This paper critically analyses two crucial macro-environmental factors—technological developments and political-legal factors—examining how changes within these dimensions create opportunities and threats for both strategic orientations, and evaluating their respective responses to maintain competitive advantage.</w:t>
      </w:r>
    </w:p>
    <w:p w14:paraId="39D0D315" w14:textId="77777777" w:rsidR="00E41D59" w:rsidRPr="00E41D59" w:rsidRDefault="00E41D59" w:rsidP="00D140C0">
      <w:pPr>
        <w:pStyle w:val="Heading1"/>
      </w:pPr>
      <w:bookmarkStart w:id="1" w:name="_Toc214581089"/>
      <w:r w:rsidRPr="00E41D59">
        <w:t>Task 1: Critical Analysis of Macro Marketing Environment</w:t>
      </w:r>
      <w:bookmarkEnd w:id="1"/>
    </w:p>
    <w:p w14:paraId="1B3EA68C" w14:textId="77777777" w:rsidR="00E41D59" w:rsidRPr="00E41D59" w:rsidRDefault="00E41D59" w:rsidP="00D140C0">
      <w:pPr>
        <w:pStyle w:val="Heading2"/>
      </w:pPr>
      <w:bookmarkStart w:id="2" w:name="_Toc214581090"/>
      <w:r w:rsidRPr="00E41D59">
        <w:t>1.1 Technological Factors: Opportunities and Threats</w:t>
      </w:r>
      <w:bookmarkEnd w:id="2"/>
    </w:p>
    <w:p w14:paraId="4D87FB23" w14:textId="77777777" w:rsidR="00E41D59" w:rsidRPr="00E41D59" w:rsidRDefault="00E41D59" w:rsidP="00E41D59">
      <w:pPr>
        <w:jc w:val="both"/>
        <w:rPr>
          <w:rFonts w:ascii="Times New Roman" w:hAnsi="Times New Roman" w:cs="Times New Roman"/>
          <w:sz w:val="24"/>
          <w:szCs w:val="24"/>
        </w:rPr>
      </w:pPr>
      <w:r w:rsidRPr="00E41D59">
        <w:rPr>
          <w:rFonts w:ascii="Times New Roman" w:hAnsi="Times New Roman" w:cs="Times New Roman"/>
          <w:sz w:val="24"/>
          <w:szCs w:val="24"/>
        </w:rPr>
        <w:t>Technological advancements represent a fundamental driver of transformation within the aviation industry, profoundly influencing operational efficiency, customer experience, and competitive positioning (Amankwah-Amoah, 2018). For pioneering organisations like Emirates, technological developments present substantial opportunities to reinforce market leadership through early adoption and competitive differentiation.</w:t>
      </w:r>
    </w:p>
    <w:p w14:paraId="74BA42FB" w14:textId="77777777" w:rsidR="00E41D59" w:rsidRPr="00E41D59" w:rsidRDefault="00E41D59" w:rsidP="00E41D59">
      <w:pPr>
        <w:jc w:val="both"/>
        <w:rPr>
          <w:rFonts w:ascii="Times New Roman" w:hAnsi="Times New Roman" w:cs="Times New Roman"/>
          <w:sz w:val="24"/>
          <w:szCs w:val="24"/>
        </w:rPr>
      </w:pPr>
      <w:r w:rsidRPr="00E41D59">
        <w:rPr>
          <w:rFonts w:ascii="Times New Roman" w:hAnsi="Times New Roman" w:cs="Times New Roman"/>
          <w:sz w:val="24"/>
          <w:szCs w:val="24"/>
        </w:rPr>
        <w:t>Emirates has capitalised on technological innovations through strategic investments in next-generation aircraft, particularly the Airbus A380 and Boeing 777 fleets, which offer superior fuel efficiency, passenger capacity, and operational capabilities (Clark, 2017). The airline's pioneering adoption of advanced in-flight entertainment systems, including personal screens with extensive content libraries across all classes, established industry benchmarks that competitors subsequently emulated (Gössling and Nilsson, 2010). Furthermore, Emirates' investment in digital transformation—encompassing mobile applications, artificial intelligence-powered customer service, and sophisticated revenue management systems—has enabled enhanced customer engagement and operational optimisation (Pearson and Merkert, 2014).</w:t>
      </w:r>
    </w:p>
    <w:p w14:paraId="28A88C26" w14:textId="77777777" w:rsidR="00E41D59" w:rsidRPr="00E41D59" w:rsidRDefault="00E41D59" w:rsidP="00E41D59">
      <w:pPr>
        <w:jc w:val="both"/>
        <w:rPr>
          <w:rFonts w:ascii="Times New Roman" w:hAnsi="Times New Roman" w:cs="Times New Roman"/>
          <w:sz w:val="24"/>
          <w:szCs w:val="24"/>
        </w:rPr>
      </w:pPr>
      <w:r w:rsidRPr="00E41D59">
        <w:rPr>
          <w:rFonts w:ascii="Times New Roman" w:hAnsi="Times New Roman" w:cs="Times New Roman"/>
          <w:sz w:val="24"/>
          <w:szCs w:val="24"/>
        </w:rPr>
        <w:t>However, technological advancement simultaneously poses threats to pioneering organisations. The substantial capital requirements associated with maintaining technological leadership create financial vulnerabilities, particularly during economic downturns or periods of reduced demand (O'Connell, 2011). Emirates' aggressive fleet expansion strategy, whilst providing capacity advantages, resulted in significant debt obligations and operational inflexibility when the COVID-19 pandemic dramatically reduced global air travel demand (Forsyth et al., 2020). Additionally, the rapid pace of technological change risks rendering recent investments obsolete, creating depreciation concerns and competitive disadvantages if newer technologies emerge before investment recoupment.</w:t>
      </w:r>
    </w:p>
    <w:p w14:paraId="6515561C" w14:textId="77777777" w:rsidR="00E41D59" w:rsidRPr="00E41D59" w:rsidRDefault="00E41D59" w:rsidP="00E41D59">
      <w:pPr>
        <w:jc w:val="both"/>
        <w:rPr>
          <w:rFonts w:ascii="Times New Roman" w:hAnsi="Times New Roman" w:cs="Times New Roman"/>
          <w:sz w:val="24"/>
          <w:szCs w:val="24"/>
        </w:rPr>
      </w:pPr>
      <w:r w:rsidRPr="00E41D59">
        <w:rPr>
          <w:rFonts w:ascii="Times New Roman" w:hAnsi="Times New Roman" w:cs="Times New Roman"/>
          <w:sz w:val="24"/>
          <w:szCs w:val="24"/>
        </w:rPr>
        <w:lastRenderedPageBreak/>
        <w:t>For follower organisations such as Etihad Airways, technological developments present distinct opportunity profiles characterised by reduced risk through observational learning and selective adoption. Etihad has strategically benefited from analysing Emirates' technological investments, adopting proven innovations whilst avoiding costly experimentation with unproven technologies (Homsombat et al., 2014). This approach enabled Etihad to implement comparable in-flight entertainment systems and digital customer interfaces at lower development costs and reduced implementation risks. Furthermore, follower positioning allows strategic timing flexibility, enabling technology adoption when maturity reduces costs and performance uncertainties.</w:t>
      </w:r>
    </w:p>
    <w:p w14:paraId="7E9554DF" w14:textId="77777777" w:rsidR="00E41D59" w:rsidRPr="00E41D59" w:rsidRDefault="00E41D59" w:rsidP="00E41D59">
      <w:pPr>
        <w:jc w:val="both"/>
        <w:rPr>
          <w:rFonts w:ascii="Times New Roman" w:hAnsi="Times New Roman" w:cs="Times New Roman"/>
          <w:sz w:val="24"/>
          <w:szCs w:val="24"/>
        </w:rPr>
      </w:pPr>
      <w:r w:rsidRPr="00E41D59">
        <w:rPr>
          <w:rFonts w:ascii="Times New Roman" w:hAnsi="Times New Roman" w:cs="Times New Roman"/>
          <w:sz w:val="24"/>
          <w:szCs w:val="24"/>
        </w:rPr>
        <w:t>Nevertheless, technological factors equally threaten follower organisations through competitive disadvantage and market perception challenges. Delayed technology adoption risks customer dissatisfaction when service offerings appear inferior to pioneering competitors, potentially eroding brand equity and customer loyalty (Tellis and Golder, 2002). Etihad's comparatively slower adoption of certain digital innovations created customer experience gaps relative to Emirates, particularly amongst technologically sophisticated traveller segments who prioritise cutting-edge amenities. Additionally, follower strategies may engender brand perceptions of imitativeness rather than innovation, complicating differentiation efforts and premium positioning strategies (Shankar et al., 1998).</w:t>
      </w:r>
    </w:p>
    <w:p w14:paraId="41E5F402" w14:textId="77777777" w:rsidR="00E41D59" w:rsidRPr="00E41D59" w:rsidRDefault="00E41D59" w:rsidP="00E41D59">
      <w:pPr>
        <w:jc w:val="both"/>
        <w:rPr>
          <w:rFonts w:ascii="Times New Roman" w:hAnsi="Times New Roman" w:cs="Times New Roman"/>
          <w:sz w:val="24"/>
          <w:szCs w:val="24"/>
        </w:rPr>
      </w:pPr>
      <w:r w:rsidRPr="00E41D59">
        <w:rPr>
          <w:rFonts w:ascii="Times New Roman" w:hAnsi="Times New Roman" w:cs="Times New Roman"/>
          <w:sz w:val="24"/>
          <w:szCs w:val="24"/>
        </w:rPr>
        <w:t>The democratisation of aviation technology through third-party suppliers increasingly enables rapid competitive convergence, diminishing sustainable advantages from technological investments alone (Amankwah-Amoah, 2018). Both Emirates and Etihad face threats from emerging technologies that fundamentally disrupt traditional business models, including sustainable aviation fuels, electric aircraft, and autonomous systems that may require substantial strategic reorientation and capital redeployment.</w:t>
      </w:r>
    </w:p>
    <w:p w14:paraId="2DCEDA74" w14:textId="77777777" w:rsidR="00E41D59" w:rsidRPr="00E41D59" w:rsidRDefault="00E41D59" w:rsidP="00D140C0">
      <w:pPr>
        <w:pStyle w:val="Heading2"/>
      </w:pPr>
      <w:bookmarkStart w:id="3" w:name="_Toc214581091"/>
      <w:r w:rsidRPr="00E41D59">
        <w:t>1.2 Political-Legal Factors: Opportunities and Threats</w:t>
      </w:r>
      <w:bookmarkEnd w:id="3"/>
    </w:p>
    <w:p w14:paraId="739F52ED" w14:textId="77777777" w:rsidR="00E41D59" w:rsidRPr="00E41D59" w:rsidRDefault="00E41D59" w:rsidP="00E41D59">
      <w:pPr>
        <w:jc w:val="both"/>
        <w:rPr>
          <w:rFonts w:ascii="Times New Roman" w:hAnsi="Times New Roman" w:cs="Times New Roman"/>
          <w:sz w:val="24"/>
          <w:szCs w:val="24"/>
        </w:rPr>
      </w:pPr>
      <w:r w:rsidRPr="00E41D59">
        <w:rPr>
          <w:rFonts w:ascii="Times New Roman" w:hAnsi="Times New Roman" w:cs="Times New Roman"/>
          <w:sz w:val="24"/>
          <w:szCs w:val="24"/>
        </w:rPr>
        <w:t>Political-legal factors exert profound influence upon airline operations, encompassing regulatory frameworks, bilateral air service agreements, government policies, and geopolitical dynamics that shape market access and competitive conditions (Doganis, 2019). The Middle Eastern aviation sector demonstrates particular sensitivity to political-legal developments given the region's complex geopolitical environment and the government ownership structures characterising Emirates and Etihad.</w:t>
      </w:r>
    </w:p>
    <w:p w14:paraId="423D568B" w14:textId="77777777" w:rsidR="00E41D59" w:rsidRPr="00E41D59" w:rsidRDefault="00E41D59" w:rsidP="00E41D59">
      <w:pPr>
        <w:jc w:val="both"/>
        <w:rPr>
          <w:rFonts w:ascii="Times New Roman" w:hAnsi="Times New Roman" w:cs="Times New Roman"/>
          <w:sz w:val="24"/>
          <w:szCs w:val="24"/>
        </w:rPr>
      </w:pPr>
      <w:r w:rsidRPr="00E41D59">
        <w:rPr>
          <w:rFonts w:ascii="Times New Roman" w:hAnsi="Times New Roman" w:cs="Times New Roman"/>
          <w:sz w:val="24"/>
          <w:szCs w:val="24"/>
        </w:rPr>
        <w:t>For pioneering organisations like Emirates, supportive political-legal environments create substantial opportunities for market expansion and competitive advantage. The United Arab Emirates government's aviation liberalisation policies and strategic support for Emirates through Dubai's development as a global aviation hub have facilitated unprecedented growth trajectories (O'Connell, 2011). Emirates has leveraged extensive bilateral air service agreements negotiated by the UAE government to establish one of the world's most comprehensive route networks, connecting over 150 destinations across six continents (Clark, 2017). Government investment in Dubai International Airport and the subsequent development of Al Maktoum International Airport provided infrastructure capabilities that enabled Emirates' capacity expansion strategies without the constraints facing competitors in congested markets.</w:t>
      </w:r>
    </w:p>
    <w:p w14:paraId="462DE37E" w14:textId="77777777" w:rsidR="00E41D59" w:rsidRPr="00E41D59" w:rsidRDefault="00E41D59" w:rsidP="00E41D59">
      <w:pPr>
        <w:jc w:val="both"/>
        <w:rPr>
          <w:rFonts w:ascii="Times New Roman" w:hAnsi="Times New Roman" w:cs="Times New Roman"/>
          <w:sz w:val="24"/>
          <w:szCs w:val="24"/>
        </w:rPr>
      </w:pPr>
      <w:r w:rsidRPr="00E41D59">
        <w:rPr>
          <w:rFonts w:ascii="Times New Roman" w:hAnsi="Times New Roman" w:cs="Times New Roman"/>
          <w:sz w:val="24"/>
          <w:szCs w:val="24"/>
        </w:rPr>
        <w:t xml:space="preserve">Additionally, favourable regulatory environments regarding foreign ownership restrictions, cabotage rules, and operational freedoms have enabled Emirates to implement aggressive competitive strategies that might face legal obstacles in more restrictive jurisdictions (Forsyth </w:t>
      </w:r>
      <w:r w:rsidRPr="00E41D59">
        <w:rPr>
          <w:rFonts w:ascii="Times New Roman" w:hAnsi="Times New Roman" w:cs="Times New Roman"/>
          <w:sz w:val="24"/>
          <w:szCs w:val="24"/>
        </w:rPr>
        <w:lastRenderedPageBreak/>
        <w:t>et al., 2020). The airline's ability to operate effectively unrestricted by legacy regulations governing many Western carriers represents a significant structural advantage in pursuing pioneering strategies.</w:t>
      </w:r>
    </w:p>
    <w:p w14:paraId="697D402C" w14:textId="77777777" w:rsidR="00E41D59" w:rsidRPr="00E41D59" w:rsidRDefault="00E41D59" w:rsidP="00E41D59">
      <w:pPr>
        <w:jc w:val="both"/>
        <w:rPr>
          <w:rFonts w:ascii="Times New Roman" w:hAnsi="Times New Roman" w:cs="Times New Roman"/>
          <w:sz w:val="24"/>
          <w:szCs w:val="24"/>
        </w:rPr>
      </w:pPr>
      <w:r w:rsidRPr="00E41D59">
        <w:rPr>
          <w:rFonts w:ascii="Times New Roman" w:hAnsi="Times New Roman" w:cs="Times New Roman"/>
          <w:sz w:val="24"/>
          <w:szCs w:val="24"/>
        </w:rPr>
        <w:t>However, political-legal factors equally generate substantial threats for pioneering organisations. Emirates' aggressive expansion and competitive positioning have attracted political opposition from competitors and their governments, manifesting in protectionist measures and accusations of unfair subsidisation (Homsombat et al., 2014). United States carriers successfully lobbied their government regarding alleged subsidies to Gulf carriers, creating diplomatic tensions and threatening market access to crucial routes. Brexit, regional conflicts, travel restrictions, and changing immigration policies introduce uncertainties that disproportionately impact airlines with extensive international networks like Emirates, potentially necessitating rapid strategic adjustments and route rationalisations (Doganis, 2019).</w:t>
      </w:r>
    </w:p>
    <w:p w14:paraId="0513CB4E" w14:textId="77777777" w:rsidR="00E41D59" w:rsidRPr="00E41D59" w:rsidRDefault="00E41D59" w:rsidP="00E41D59">
      <w:pPr>
        <w:jc w:val="both"/>
        <w:rPr>
          <w:rFonts w:ascii="Times New Roman" w:hAnsi="Times New Roman" w:cs="Times New Roman"/>
          <w:sz w:val="24"/>
          <w:szCs w:val="24"/>
        </w:rPr>
      </w:pPr>
      <w:r w:rsidRPr="00E41D59">
        <w:rPr>
          <w:rFonts w:ascii="Times New Roman" w:hAnsi="Times New Roman" w:cs="Times New Roman"/>
          <w:sz w:val="24"/>
          <w:szCs w:val="24"/>
        </w:rPr>
        <w:t>Geopolitical tensions within the Middle East region pose existential threats to pioneering Gulf carriers. The 2017-2021 Qatar diplomatic crisis demonstrated how political disputes can immediately sever market access, with Saudi Arabia, UAE, Bahrain, and Egypt closing their airspace to Qatari carriers, illustrating the fragility of political permissions upon which Gulf aviation success depends (O'Connell and Bueno, 2018). While this crisis primarily affected Qatar Airways, it underscored vulnerabilities facing all Gulf carriers, including Emirates, should similar political disagreements emerge.</w:t>
      </w:r>
    </w:p>
    <w:p w14:paraId="636B115A" w14:textId="77777777" w:rsidR="00E41D59" w:rsidRPr="00E41D59" w:rsidRDefault="00E41D59" w:rsidP="00E41D59">
      <w:pPr>
        <w:jc w:val="both"/>
        <w:rPr>
          <w:rFonts w:ascii="Times New Roman" w:hAnsi="Times New Roman" w:cs="Times New Roman"/>
          <w:sz w:val="24"/>
          <w:szCs w:val="24"/>
        </w:rPr>
      </w:pPr>
      <w:r w:rsidRPr="00E41D59">
        <w:rPr>
          <w:rFonts w:ascii="Times New Roman" w:hAnsi="Times New Roman" w:cs="Times New Roman"/>
          <w:sz w:val="24"/>
          <w:szCs w:val="24"/>
        </w:rPr>
        <w:t>For follower organisations like Etihad Airways, political-legal factors present opportunities through strategic positioning within geopolitical frameworks and differentiated regulatory approaches. Etihad's later market entry enabled strategic learning from regulatory challenges encountered by Emirates, potentially informing more politically sustainable growth strategies (Pearson and Merkert, 2014). Abu Dhabi's political positioning as a diplomatic and cultural hub somewhat distinct from Dubai's commercial focus has provided Etihad with alternative strategic pathways and potentially reduced political opposition from established carriers.</w:t>
      </w:r>
    </w:p>
    <w:p w14:paraId="1D85955F" w14:textId="77777777" w:rsidR="00E41D59" w:rsidRPr="00E41D59" w:rsidRDefault="00E41D59" w:rsidP="00E41D59">
      <w:pPr>
        <w:jc w:val="both"/>
        <w:rPr>
          <w:rFonts w:ascii="Times New Roman" w:hAnsi="Times New Roman" w:cs="Times New Roman"/>
          <w:sz w:val="24"/>
          <w:szCs w:val="24"/>
        </w:rPr>
      </w:pPr>
      <w:r w:rsidRPr="00E41D59">
        <w:rPr>
          <w:rFonts w:ascii="Times New Roman" w:hAnsi="Times New Roman" w:cs="Times New Roman"/>
          <w:sz w:val="24"/>
          <w:szCs w:val="24"/>
        </w:rPr>
        <w:t>Furthermore, changing political-legal environments occasionally favour follower positioning through regulatory responses to pioneering dominance. Antitrust concerns, capacity restrictions at congested hubs, and political pressures for market diversity may create deliberate opportunities for secondary players to gain market access or preferential treatment as regulators seek competitive balance (Doganis, 2019).</w:t>
      </w:r>
    </w:p>
    <w:p w14:paraId="28C011AA" w14:textId="77777777" w:rsidR="00E41D59" w:rsidRPr="00E41D59" w:rsidRDefault="00E41D59" w:rsidP="00E41D59">
      <w:pPr>
        <w:jc w:val="both"/>
        <w:rPr>
          <w:rFonts w:ascii="Times New Roman" w:hAnsi="Times New Roman" w:cs="Times New Roman"/>
          <w:sz w:val="24"/>
          <w:szCs w:val="24"/>
        </w:rPr>
      </w:pPr>
      <w:r w:rsidRPr="00E41D59">
        <w:rPr>
          <w:rFonts w:ascii="Times New Roman" w:hAnsi="Times New Roman" w:cs="Times New Roman"/>
          <w:sz w:val="24"/>
          <w:szCs w:val="24"/>
        </w:rPr>
        <w:t>Nonetheless, political-legal factors pose severe threats to follower organisations, particularly given their typically weaker financial positions and reduced political leverage compared to pioneers. Etihad's challenges in negotiating equivalent bilateral rights and airport access compared to Emirates reflects power asymmetries favouring established market leaders (Homsombat et al., 2014). Political instability, changing regulations, and protectionist measures disproportionately threaten follower organisations with fewer resources to weather disruptions or lobby for favourable policy outcomes.</w:t>
      </w:r>
    </w:p>
    <w:p w14:paraId="6B726A6A" w14:textId="77777777" w:rsidR="00E41D59" w:rsidRPr="00E41D59" w:rsidRDefault="00E41D59" w:rsidP="00E41D59">
      <w:pPr>
        <w:jc w:val="both"/>
        <w:rPr>
          <w:rFonts w:ascii="Times New Roman" w:hAnsi="Times New Roman" w:cs="Times New Roman"/>
          <w:sz w:val="24"/>
          <w:szCs w:val="24"/>
        </w:rPr>
      </w:pPr>
      <w:r w:rsidRPr="00E41D59">
        <w:rPr>
          <w:rFonts w:ascii="Times New Roman" w:hAnsi="Times New Roman" w:cs="Times New Roman"/>
          <w:sz w:val="24"/>
          <w:szCs w:val="24"/>
        </w:rPr>
        <w:t xml:space="preserve">The COVID-19 pandemic starkly illustrated political-legal vulnerabilities for both strategic orientations, with governments worldwide implementing unprecedented travel restrictions, border closures, and quarantine requirements that decimated aviation demand (Forsyth et al., 2020). However, government ownership structures that characterise both Emirates and Etihad provided critical advantages through state financial support unavailable to privately-owned </w:t>
      </w:r>
      <w:r w:rsidRPr="00E41D59">
        <w:rPr>
          <w:rFonts w:ascii="Times New Roman" w:hAnsi="Times New Roman" w:cs="Times New Roman"/>
          <w:sz w:val="24"/>
          <w:szCs w:val="24"/>
        </w:rPr>
        <w:lastRenderedPageBreak/>
        <w:t>competitors, demonstrating how political-legal positioning can constitute decisive advantages during existential crises.</w:t>
      </w:r>
    </w:p>
    <w:p w14:paraId="1F696589" w14:textId="77777777" w:rsidR="00E41D59" w:rsidRPr="00E41D59" w:rsidRDefault="00E41D59" w:rsidP="00D140C0">
      <w:pPr>
        <w:pStyle w:val="Heading1"/>
      </w:pPr>
      <w:bookmarkStart w:id="4" w:name="_Toc214581092"/>
      <w:r w:rsidRPr="00E41D59">
        <w:t>Task 2: Strategic Responses to External Factors</w:t>
      </w:r>
      <w:bookmarkEnd w:id="4"/>
    </w:p>
    <w:p w14:paraId="29690A85" w14:textId="77777777" w:rsidR="00E41D59" w:rsidRPr="00E41D59" w:rsidRDefault="00E41D59" w:rsidP="00D140C0">
      <w:pPr>
        <w:pStyle w:val="Heading2"/>
      </w:pPr>
      <w:bookmarkStart w:id="5" w:name="_Toc214581093"/>
      <w:r w:rsidRPr="00E41D59">
        <w:t>2.1 Strategic Responses to Technological Factors</w:t>
      </w:r>
      <w:bookmarkEnd w:id="5"/>
    </w:p>
    <w:p w14:paraId="3DC54A50" w14:textId="77777777" w:rsidR="00E41D59" w:rsidRPr="00E41D59" w:rsidRDefault="00E41D59" w:rsidP="00E41D59">
      <w:pPr>
        <w:jc w:val="both"/>
        <w:rPr>
          <w:rFonts w:ascii="Times New Roman" w:hAnsi="Times New Roman" w:cs="Times New Roman"/>
          <w:sz w:val="24"/>
          <w:szCs w:val="24"/>
        </w:rPr>
      </w:pPr>
      <w:r w:rsidRPr="00E41D59">
        <w:rPr>
          <w:rFonts w:ascii="Times New Roman" w:hAnsi="Times New Roman" w:cs="Times New Roman"/>
          <w:sz w:val="24"/>
          <w:szCs w:val="24"/>
        </w:rPr>
        <w:t>Emirates' pioneering approach to technological opportunities manifests through aggressive innovation leadership and first-mover advantage exploitation strategies. The airline consistently pursues product differentiation through technological superiority, exemplified by its industry-leading in-flight entertainment system, ICE (Information, Communication, Entertainment), which offers over 6,500 channels across multiple languages (Clark, 2017). This technological differentiation supports premium pricing strategies and reinforces Emirates' positioning as a quality leader within the full-service carrier segment.</w:t>
      </w:r>
    </w:p>
    <w:p w14:paraId="54C0A92A" w14:textId="77777777" w:rsidR="00E41D59" w:rsidRPr="00E41D59" w:rsidRDefault="00E41D59" w:rsidP="00E41D59">
      <w:pPr>
        <w:jc w:val="both"/>
        <w:rPr>
          <w:rFonts w:ascii="Times New Roman" w:hAnsi="Times New Roman" w:cs="Times New Roman"/>
          <w:sz w:val="24"/>
          <w:szCs w:val="24"/>
        </w:rPr>
      </w:pPr>
      <w:r w:rsidRPr="00E41D59">
        <w:rPr>
          <w:rFonts w:ascii="Times New Roman" w:hAnsi="Times New Roman" w:cs="Times New Roman"/>
          <w:sz w:val="24"/>
          <w:szCs w:val="24"/>
        </w:rPr>
        <w:t>Emirates employs fleet modernisation as a core competitive strategy, maintaining one of the youngest and most technologically advanced fleets globally through substantial capital investments in next-generation aircraft (O'Connell, 2011). This strategy aligns with broader differentiation objectives whilst delivering operational efficiencies through reduced fuel consumption and maintenance costs. The airline's pioneering commitment to the Airbus A380 programme, becoming the largest operator of this aircraft type, exemplifies its willingness to accept first-mover risks in pursuit of capacity advantages and service differentiation opportunities.</w:t>
      </w:r>
    </w:p>
    <w:p w14:paraId="7E26A2BF" w14:textId="77777777" w:rsidR="00E41D59" w:rsidRPr="00E41D59" w:rsidRDefault="00E41D59" w:rsidP="00E41D59">
      <w:pPr>
        <w:jc w:val="both"/>
        <w:rPr>
          <w:rFonts w:ascii="Times New Roman" w:hAnsi="Times New Roman" w:cs="Times New Roman"/>
          <w:sz w:val="24"/>
          <w:szCs w:val="24"/>
        </w:rPr>
      </w:pPr>
      <w:r w:rsidRPr="00E41D59">
        <w:rPr>
          <w:rFonts w:ascii="Times New Roman" w:hAnsi="Times New Roman" w:cs="Times New Roman"/>
          <w:sz w:val="24"/>
          <w:szCs w:val="24"/>
        </w:rPr>
        <w:t>Digital transformation represents another dimension of Emirates' technological response strategy, with substantial investments in customer relationship management systems, mobile applications, and artificial intelligence-powered customer service interfaces (Pearson and Merkert, 2014). These initiatives support market penetration strategies by reducing customer acquisition costs whilst enhancing retention through personalised service delivery and seamless customer experiences across digital and physical touchpoints.</w:t>
      </w:r>
    </w:p>
    <w:p w14:paraId="2B3E6835" w14:textId="77777777" w:rsidR="00E41D59" w:rsidRPr="00E41D59" w:rsidRDefault="00E41D59" w:rsidP="00E41D59">
      <w:pPr>
        <w:jc w:val="both"/>
        <w:rPr>
          <w:rFonts w:ascii="Times New Roman" w:hAnsi="Times New Roman" w:cs="Times New Roman"/>
          <w:sz w:val="24"/>
          <w:szCs w:val="24"/>
        </w:rPr>
      </w:pPr>
      <w:r w:rsidRPr="00E41D59">
        <w:rPr>
          <w:rFonts w:ascii="Times New Roman" w:hAnsi="Times New Roman" w:cs="Times New Roman"/>
          <w:sz w:val="24"/>
          <w:szCs w:val="24"/>
        </w:rPr>
        <w:t>To mitigate technological threats, Emirates employs strategic partnerships with technology providers and aircraft manufacturers, sharing development risks whilst securing early access to innovations (Gössling and Nilsson, 2010). Additionally, the airline maintains diversified fleet portfolios balancing innovation leadership with operational pragmatism, preventing over-dependence on single technologies or platforms that might underperform or face unforeseen challenges.</w:t>
      </w:r>
    </w:p>
    <w:p w14:paraId="1430859C" w14:textId="77777777" w:rsidR="00E41D59" w:rsidRPr="00E41D59" w:rsidRDefault="00E41D59" w:rsidP="00E41D59">
      <w:pPr>
        <w:jc w:val="both"/>
        <w:rPr>
          <w:rFonts w:ascii="Times New Roman" w:hAnsi="Times New Roman" w:cs="Times New Roman"/>
          <w:sz w:val="24"/>
          <w:szCs w:val="24"/>
        </w:rPr>
      </w:pPr>
      <w:r w:rsidRPr="00E41D59">
        <w:rPr>
          <w:rFonts w:ascii="Times New Roman" w:hAnsi="Times New Roman" w:cs="Times New Roman"/>
          <w:sz w:val="24"/>
          <w:szCs w:val="24"/>
        </w:rPr>
        <w:t>Etihad Airways' follower strategy regarding technological factors emphasises selective adoption, cost efficiency, and strategic imitation with differentiation. Rather than pursuing comprehensive innovation leadership, Etihad identifies specific technological domains where investment generates maximum competitive returns whilst accepting follower positioning in areas where pioneering offers limited sustainable advantages (Homsombat et al., 2014). This approach enabled Etihad to implement comparable technological capabilities at reduced costs through purchasing matured technologies and avoiding expensive developmental risks.</w:t>
      </w:r>
    </w:p>
    <w:p w14:paraId="248268AC" w14:textId="77777777" w:rsidR="00E41D59" w:rsidRPr="00E41D59" w:rsidRDefault="00E41D59" w:rsidP="00E41D59">
      <w:pPr>
        <w:jc w:val="both"/>
        <w:rPr>
          <w:rFonts w:ascii="Times New Roman" w:hAnsi="Times New Roman" w:cs="Times New Roman"/>
          <w:sz w:val="24"/>
          <w:szCs w:val="24"/>
        </w:rPr>
      </w:pPr>
      <w:r w:rsidRPr="00E41D59">
        <w:rPr>
          <w:rFonts w:ascii="Times New Roman" w:hAnsi="Times New Roman" w:cs="Times New Roman"/>
          <w:sz w:val="24"/>
          <w:szCs w:val="24"/>
        </w:rPr>
        <w:t xml:space="preserve">Etihad's "Residence" product on selected A380 aircraft exemplifies strategic differentiation through selective technological innovation, offering ultra-premium accommodation exceeding even Emirates' first-class offerings in specific market segments (O'Connell and Bueno, 2018). This focused differentiation strategy targets niche customer segments willing to pay substantial </w:t>
      </w:r>
      <w:r w:rsidRPr="00E41D59">
        <w:rPr>
          <w:rFonts w:ascii="Times New Roman" w:hAnsi="Times New Roman" w:cs="Times New Roman"/>
          <w:sz w:val="24"/>
          <w:szCs w:val="24"/>
        </w:rPr>
        <w:lastRenderedPageBreak/>
        <w:t>premiums for unique experiences, avoiding direct competition across all service dimensions whilst establishing distinctive brand positioning.</w:t>
      </w:r>
    </w:p>
    <w:p w14:paraId="39F64E66" w14:textId="77777777" w:rsidR="00E41D59" w:rsidRPr="00E41D59" w:rsidRDefault="00E41D59" w:rsidP="00E41D59">
      <w:pPr>
        <w:jc w:val="both"/>
        <w:rPr>
          <w:rFonts w:ascii="Times New Roman" w:hAnsi="Times New Roman" w:cs="Times New Roman"/>
          <w:sz w:val="24"/>
          <w:szCs w:val="24"/>
        </w:rPr>
      </w:pPr>
      <w:r w:rsidRPr="00E41D59">
        <w:rPr>
          <w:rFonts w:ascii="Times New Roman" w:hAnsi="Times New Roman" w:cs="Times New Roman"/>
          <w:sz w:val="24"/>
          <w:szCs w:val="24"/>
        </w:rPr>
        <w:t>The airline's technological strategy incorporates strategic alliances and partnerships to access innovations without full investment burdens. Etihad's previous equity partnerships with airlines including Air Berlin, Alitalia, and Virgin Australia intended to share technological capabilities, operational best practices, and economies of scale, although many of these partnerships subsequently struggled financially (Pearson and Merkert, 2014). Nevertheless, this approach reflects follower strategies emphasising collaborative advantage rather than independent innovation leadership.</w:t>
      </w:r>
    </w:p>
    <w:p w14:paraId="392A7692" w14:textId="77777777" w:rsidR="00E41D59" w:rsidRPr="00E41D59" w:rsidRDefault="00E41D59" w:rsidP="00E41D59">
      <w:pPr>
        <w:jc w:val="both"/>
        <w:rPr>
          <w:rFonts w:ascii="Times New Roman" w:hAnsi="Times New Roman" w:cs="Times New Roman"/>
          <w:sz w:val="24"/>
          <w:szCs w:val="24"/>
        </w:rPr>
      </w:pPr>
      <w:r w:rsidRPr="00E41D59">
        <w:rPr>
          <w:rFonts w:ascii="Times New Roman" w:hAnsi="Times New Roman" w:cs="Times New Roman"/>
          <w:sz w:val="24"/>
          <w:szCs w:val="24"/>
        </w:rPr>
        <w:t>To address technological threats, Etihad pursues operational flexibility and asset-light strategies where feasible, including aircraft leasing arrangements that reduce capital commitments whilst maintaining fleet modernity (Homsombat et al., 2014). This approach provides adaptation flexibility as technologies evolve, avoiding the sunk cost constraints facing pioneers with substantial owned-asset portfolios.</w:t>
      </w:r>
    </w:p>
    <w:p w14:paraId="2D139EE0" w14:textId="77777777" w:rsidR="00E41D59" w:rsidRPr="00E41D59" w:rsidRDefault="00E41D59" w:rsidP="00D140C0">
      <w:pPr>
        <w:pStyle w:val="Heading2"/>
      </w:pPr>
      <w:bookmarkStart w:id="6" w:name="_Toc214581094"/>
      <w:r w:rsidRPr="00E41D59">
        <w:t>2.2 Strategic Responses to Political-Legal Factors</w:t>
      </w:r>
      <w:bookmarkEnd w:id="6"/>
    </w:p>
    <w:p w14:paraId="64C2B710" w14:textId="77777777" w:rsidR="00E41D59" w:rsidRPr="00E41D59" w:rsidRDefault="00E41D59" w:rsidP="00E41D59">
      <w:pPr>
        <w:jc w:val="both"/>
        <w:rPr>
          <w:rFonts w:ascii="Times New Roman" w:hAnsi="Times New Roman" w:cs="Times New Roman"/>
          <w:sz w:val="24"/>
          <w:szCs w:val="24"/>
        </w:rPr>
      </w:pPr>
      <w:r w:rsidRPr="00E41D59">
        <w:rPr>
          <w:rFonts w:ascii="Times New Roman" w:hAnsi="Times New Roman" w:cs="Times New Roman"/>
          <w:sz w:val="24"/>
          <w:szCs w:val="24"/>
        </w:rPr>
        <w:t>Emirates' response to political-legal opportunities centres upon leveraging government support and diplomatic relationships to secure market access and preferential operating conditions. The airline maintains extraordinarily close alignment with UAE government objectives, positioning itself as a national flagship and economic development catalyst justifying continued state support (Clark, 2017). This strategic positioning has facilitated government investments in aviation infrastructure, bilateral air service negotiations favouring Emirates' route expansion, and financial support during crisis periods.</w:t>
      </w:r>
    </w:p>
    <w:p w14:paraId="1CF5C9CA" w14:textId="77777777" w:rsidR="00E41D59" w:rsidRPr="00E41D59" w:rsidRDefault="00E41D59" w:rsidP="00E41D59">
      <w:pPr>
        <w:jc w:val="both"/>
        <w:rPr>
          <w:rFonts w:ascii="Times New Roman" w:hAnsi="Times New Roman" w:cs="Times New Roman"/>
          <w:sz w:val="24"/>
          <w:szCs w:val="24"/>
        </w:rPr>
      </w:pPr>
      <w:r w:rsidRPr="00E41D59">
        <w:rPr>
          <w:rFonts w:ascii="Times New Roman" w:hAnsi="Times New Roman" w:cs="Times New Roman"/>
          <w:sz w:val="24"/>
          <w:szCs w:val="24"/>
        </w:rPr>
        <w:t>Emirates employs intensive lobbying and public relations strategies in key markets to counter protectionist pressures and maintain market access. The airline engages directly with foreign governments, industry associations, and public stakeholders to advocate for open skies policies and challenge accusations of unfair subsidisation (Forsyth et al., 2020). These defensive strategies aim to preserve existing advantages whilst expanding into new markets despite political opposition from incumbent carriers.</w:t>
      </w:r>
    </w:p>
    <w:p w14:paraId="1C4B1038" w14:textId="77777777" w:rsidR="00E41D59" w:rsidRPr="00E41D59" w:rsidRDefault="00E41D59" w:rsidP="00E41D59">
      <w:pPr>
        <w:jc w:val="both"/>
        <w:rPr>
          <w:rFonts w:ascii="Times New Roman" w:hAnsi="Times New Roman" w:cs="Times New Roman"/>
          <w:sz w:val="24"/>
          <w:szCs w:val="24"/>
        </w:rPr>
      </w:pPr>
      <w:r w:rsidRPr="00E41D59">
        <w:rPr>
          <w:rFonts w:ascii="Times New Roman" w:hAnsi="Times New Roman" w:cs="Times New Roman"/>
          <w:sz w:val="24"/>
          <w:szCs w:val="24"/>
        </w:rPr>
        <w:t>Geographic diversification represents Emirates' core strategy for mitigating political-legal threats, with extensive route networks dispersing risk across multiple political jurisdictions and reducing dependence upon any single market (O'Connell, 2011). When political circumstances deteriorate in specific regions, Emirates can redirect capacity toward more favourable markets, maintaining overall network viability despite localised disruptions.</w:t>
      </w:r>
    </w:p>
    <w:p w14:paraId="06B9F2EA" w14:textId="77777777" w:rsidR="00E41D59" w:rsidRPr="00E41D59" w:rsidRDefault="00E41D59" w:rsidP="00E41D59">
      <w:pPr>
        <w:jc w:val="both"/>
        <w:rPr>
          <w:rFonts w:ascii="Times New Roman" w:hAnsi="Times New Roman" w:cs="Times New Roman"/>
          <w:sz w:val="24"/>
          <w:szCs w:val="24"/>
        </w:rPr>
      </w:pPr>
      <w:r w:rsidRPr="00E41D59">
        <w:rPr>
          <w:rFonts w:ascii="Times New Roman" w:hAnsi="Times New Roman" w:cs="Times New Roman"/>
          <w:sz w:val="24"/>
          <w:szCs w:val="24"/>
        </w:rPr>
        <w:t>The airline strategically positions Dubai as a neutral, cosmopolitan hub appealing across diverse political and cultural contexts, enabling market access that might be restricted for carriers from more politically contentious origins (Doganis, 2019). This neutral positioning strategy facilitates traffic flows between regions with political tensions, capturing sixth-freedom traffic opportunities unavailable to carriers from politically aligned jurisdictions.</w:t>
      </w:r>
    </w:p>
    <w:p w14:paraId="26A8A1D3" w14:textId="77777777" w:rsidR="00E41D59" w:rsidRPr="00E41D59" w:rsidRDefault="00E41D59" w:rsidP="00E41D59">
      <w:pPr>
        <w:jc w:val="both"/>
        <w:rPr>
          <w:rFonts w:ascii="Times New Roman" w:hAnsi="Times New Roman" w:cs="Times New Roman"/>
          <w:sz w:val="24"/>
          <w:szCs w:val="24"/>
        </w:rPr>
      </w:pPr>
      <w:r w:rsidRPr="00E41D59">
        <w:rPr>
          <w:rFonts w:ascii="Times New Roman" w:hAnsi="Times New Roman" w:cs="Times New Roman"/>
          <w:sz w:val="24"/>
          <w:szCs w:val="24"/>
        </w:rPr>
        <w:t>Etihad Airways' political-legal response strategies emphasise diplomatic positioning, strategic patience, and opportunistic expansion within politically favourable circumstances. Abu Dhabi's distinct political identity and diplomatic approach provide Etihad with differentiated positioning opportunities relative to Emirates, potentially reducing political opposition in markets sensitive to Dubai's commercial aggressiveness (O'Connell and Bueno, 2018).</w:t>
      </w:r>
    </w:p>
    <w:p w14:paraId="2E54D294" w14:textId="77777777" w:rsidR="00E41D59" w:rsidRPr="00E41D59" w:rsidRDefault="00E41D59" w:rsidP="00E41D59">
      <w:pPr>
        <w:jc w:val="both"/>
        <w:rPr>
          <w:rFonts w:ascii="Times New Roman" w:hAnsi="Times New Roman" w:cs="Times New Roman"/>
          <w:sz w:val="24"/>
          <w:szCs w:val="24"/>
        </w:rPr>
      </w:pPr>
      <w:r w:rsidRPr="00E41D59">
        <w:rPr>
          <w:rFonts w:ascii="Times New Roman" w:hAnsi="Times New Roman" w:cs="Times New Roman"/>
          <w:sz w:val="24"/>
          <w:szCs w:val="24"/>
        </w:rPr>
        <w:lastRenderedPageBreak/>
        <w:t>Etihad's equity partnership strategy, whilst ultimately problematic financially, represented a sophisticated political-legal response attempting to secure market access and political legitimacy through local ownership stakes in foreign carriers (Pearson and Merkert, 2014). By partnering with established national carriers, Etihad sought to mitigate political opposition whilst accessing route networks and operational synergies. Although many partnerships ultimately failed, the strategic logic reflected follower adaptation to political-legal constraints limiting direct expansion opportunities available to pioneers.</w:t>
      </w:r>
    </w:p>
    <w:p w14:paraId="071F30B7" w14:textId="77777777" w:rsidR="00E41D59" w:rsidRPr="00E41D59" w:rsidRDefault="00E41D59" w:rsidP="00E41D59">
      <w:pPr>
        <w:jc w:val="both"/>
        <w:rPr>
          <w:rFonts w:ascii="Times New Roman" w:hAnsi="Times New Roman" w:cs="Times New Roman"/>
          <w:sz w:val="24"/>
          <w:szCs w:val="24"/>
        </w:rPr>
      </w:pPr>
      <w:r w:rsidRPr="00E41D59">
        <w:rPr>
          <w:rFonts w:ascii="Times New Roman" w:hAnsi="Times New Roman" w:cs="Times New Roman"/>
          <w:sz w:val="24"/>
          <w:szCs w:val="24"/>
        </w:rPr>
        <w:t>The airline employs focused market selection strategies, prioritising politically stable regions and markets with supportive regulatory environments rather than pursuing comprehensive global coverage (Homsombat et al., 2014). This selective approach reduces political risk exposure whilst concentrating resources on markets offering superior risk-adjusted returns.</w:t>
      </w:r>
    </w:p>
    <w:p w14:paraId="529C91C1" w14:textId="77777777" w:rsidR="00E41D59" w:rsidRPr="00E41D59" w:rsidRDefault="00E41D59" w:rsidP="00E41D59">
      <w:pPr>
        <w:jc w:val="both"/>
        <w:rPr>
          <w:rFonts w:ascii="Times New Roman" w:hAnsi="Times New Roman" w:cs="Times New Roman"/>
          <w:sz w:val="24"/>
          <w:szCs w:val="24"/>
        </w:rPr>
      </w:pPr>
      <w:r w:rsidRPr="00E41D59">
        <w:rPr>
          <w:rFonts w:ascii="Times New Roman" w:hAnsi="Times New Roman" w:cs="Times New Roman"/>
          <w:sz w:val="24"/>
          <w:szCs w:val="24"/>
        </w:rPr>
        <w:t>Both airlines have demonstrated crisis response capabilities during political-legal disruptions, with rapid route adjustments, capacity redeployments, and operational modifications preserving network viability during regional conflicts and political tensions (Forsyth et al., 2020). The COVID-19 pandemic responses illustrated both carriers' abilities to adapt to unprecedented political-legal disruptions, with fleet groundings, network suspensions, and financial restructurings enabling organisational survival through existential threats.</w:t>
      </w:r>
    </w:p>
    <w:p w14:paraId="5B907892" w14:textId="77777777" w:rsidR="00E41D59" w:rsidRPr="00E41D59" w:rsidRDefault="00E41D59" w:rsidP="00D140C0">
      <w:pPr>
        <w:pStyle w:val="Heading1"/>
      </w:pPr>
      <w:bookmarkStart w:id="7" w:name="_Toc214581095"/>
      <w:r w:rsidRPr="00E41D59">
        <w:t>Conclusion</w:t>
      </w:r>
      <w:bookmarkEnd w:id="7"/>
    </w:p>
    <w:p w14:paraId="506E629D" w14:textId="77777777" w:rsidR="00E41D59" w:rsidRPr="00E41D59" w:rsidRDefault="00E41D59" w:rsidP="00E41D59">
      <w:pPr>
        <w:jc w:val="both"/>
        <w:rPr>
          <w:rFonts w:ascii="Times New Roman" w:hAnsi="Times New Roman" w:cs="Times New Roman"/>
          <w:sz w:val="24"/>
          <w:szCs w:val="24"/>
        </w:rPr>
      </w:pPr>
      <w:r w:rsidRPr="00E41D59">
        <w:rPr>
          <w:rFonts w:ascii="Times New Roman" w:hAnsi="Times New Roman" w:cs="Times New Roman"/>
          <w:sz w:val="24"/>
          <w:szCs w:val="24"/>
        </w:rPr>
        <w:t>This analysis demonstrates that macro-environmental factors create fundamentally different opportunity and threat profiles for pioneering and follower organisations, necessitating distinct strategic responses aligned with competitive positioning. Emirates' pioneering strategy leverages technological and political-legal opportunities through aggressive innovation, extensive government support, and first-mover advantages, whilst managing associated threats through diversification, lobbying, and strategic partnerships. Etihad's follower approach emphasises selective adoption, reduced risk exposure, and strategic imitation with focused differentiation, accepting competitive disadvantages in some dimensions whilst avoiding costly pioneering risks.</w:t>
      </w:r>
    </w:p>
    <w:p w14:paraId="35C9F841" w14:textId="77777777" w:rsidR="00E41D59" w:rsidRPr="00E41D59" w:rsidRDefault="00E41D59" w:rsidP="00E41D59">
      <w:pPr>
        <w:jc w:val="both"/>
        <w:rPr>
          <w:rFonts w:ascii="Times New Roman" w:hAnsi="Times New Roman" w:cs="Times New Roman"/>
          <w:sz w:val="24"/>
          <w:szCs w:val="24"/>
        </w:rPr>
      </w:pPr>
      <w:r w:rsidRPr="00E41D59">
        <w:rPr>
          <w:rFonts w:ascii="Times New Roman" w:hAnsi="Times New Roman" w:cs="Times New Roman"/>
          <w:sz w:val="24"/>
          <w:szCs w:val="24"/>
        </w:rPr>
        <w:t>Technological factors favour pioneers through differentiation opportunities and market leadership, whilst threatening through high costs and rapid obsolescence. Followers benefit from reduced development costs and observational learning but face perception challenges and competitive gaps. Political-legal factors offer pioneers market access advantages through government support and diplomatic leverage whilst creating vulnerabilities through political opposition and geopolitical exposure. Followers navigate political-legal environments through strategic patience and diplomatic positioning but suffer from reduced political leverage and fewer resources for crisis management.</w:t>
      </w:r>
    </w:p>
    <w:p w14:paraId="20459993" w14:textId="77777777" w:rsidR="00E41D59" w:rsidRPr="00E41D59" w:rsidRDefault="00E41D59" w:rsidP="00E41D59">
      <w:pPr>
        <w:jc w:val="both"/>
        <w:rPr>
          <w:rFonts w:ascii="Times New Roman" w:hAnsi="Times New Roman" w:cs="Times New Roman"/>
          <w:sz w:val="24"/>
          <w:szCs w:val="24"/>
        </w:rPr>
      </w:pPr>
      <w:r w:rsidRPr="00E41D59">
        <w:rPr>
          <w:rFonts w:ascii="Times New Roman" w:hAnsi="Times New Roman" w:cs="Times New Roman"/>
          <w:sz w:val="24"/>
          <w:szCs w:val="24"/>
        </w:rPr>
        <w:t>Both strategic orientations remain viable within dynamic macro-environments, with success depending upon effective alignment between environmental positioning and organisational capabilities. The Middle Eastern airline industry illustrates how pioneering and follower strategies can coexist within competitive markets, with each approach offering distinct advantages and vulnerabilities requiring continuous strategic adaptation to maintain competitiveness amidst evolving external circumstances.</w:t>
      </w:r>
    </w:p>
    <w:p w14:paraId="7A1E8AF8" w14:textId="77777777" w:rsidR="00D140C0" w:rsidRDefault="00D140C0" w:rsidP="00E41D59">
      <w:pPr>
        <w:jc w:val="both"/>
        <w:rPr>
          <w:rFonts w:ascii="Times New Roman" w:hAnsi="Times New Roman" w:cs="Times New Roman"/>
          <w:sz w:val="24"/>
          <w:szCs w:val="24"/>
        </w:rPr>
      </w:pPr>
    </w:p>
    <w:p w14:paraId="29216C94" w14:textId="37A2C2F9" w:rsidR="00E41D59" w:rsidRPr="00E41D59" w:rsidRDefault="00E41D59" w:rsidP="00D140C0">
      <w:pPr>
        <w:pStyle w:val="Heading1"/>
      </w:pPr>
      <w:bookmarkStart w:id="8" w:name="_Toc214581096"/>
      <w:r w:rsidRPr="00E41D59">
        <w:lastRenderedPageBreak/>
        <w:t>References</w:t>
      </w:r>
      <w:bookmarkEnd w:id="8"/>
    </w:p>
    <w:p w14:paraId="024F2AE2" w14:textId="63905DF5" w:rsidR="00E41D59" w:rsidRPr="00E41D59" w:rsidRDefault="00E41D59" w:rsidP="00E41D59">
      <w:pPr>
        <w:jc w:val="both"/>
        <w:rPr>
          <w:rFonts w:ascii="Times New Roman" w:hAnsi="Times New Roman" w:cs="Times New Roman"/>
          <w:sz w:val="24"/>
          <w:szCs w:val="24"/>
        </w:rPr>
      </w:pPr>
      <w:r w:rsidRPr="00E41D59">
        <w:rPr>
          <w:rFonts w:ascii="Times New Roman" w:hAnsi="Times New Roman" w:cs="Times New Roman"/>
          <w:sz w:val="24"/>
          <w:szCs w:val="24"/>
        </w:rPr>
        <w:t>Amankwah-Amoah, J. 2018</w:t>
      </w:r>
      <w:r w:rsidR="00E15B3C">
        <w:rPr>
          <w:rFonts w:ascii="Times New Roman" w:hAnsi="Times New Roman" w:cs="Times New Roman"/>
          <w:sz w:val="24"/>
          <w:szCs w:val="24"/>
        </w:rPr>
        <w:t>.</w:t>
      </w:r>
      <w:r w:rsidRPr="00E41D59">
        <w:rPr>
          <w:rFonts w:ascii="Times New Roman" w:hAnsi="Times New Roman" w:cs="Times New Roman"/>
          <w:sz w:val="24"/>
          <w:szCs w:val="24"/>
        </w:rPr>
        <w:t xml:space="preserve"> </w:t>
      </w:r>
      <w:r w:rsidRPr="00E15B3C">
        <w:rPr>
          <w:rFonts w:ascii="Times New Roman" w:hAnsi="Times New Roman" w:cs="Times New Roman"/>
          <w:i/>
          <w:iCs/>
          <w:sz w:val="24"/>
          <w:szCs w:val="24"/>
        </w:rPr>
        <w:t>Why are so many new airline failures occurring in Africa?</w:t>
      </w:r>
      <w:r w:rsidR="00E15B3C">
        <w:rPr>
          <w:rFonts w:ascii="Times New Roman" w:hAnsi="Times New Roman" w:cs="Times New Roman"/>
          <w:sz w:val="24"/>
          <w:szCs w:val="24"/>
        </w:rPr>
        <w:t>.</w:t>
      </w:r>
      <w:r w:rsidRPr="00E41D59">
        <w:rPr>
          <w:rFonts w:ascii="Times New Roman" w:hAnsi="Times New Roman" w:cs="Times New Roman"/>
          <w:sz w:val="24"/>
          <w:szCs w:val="24"/>
        </w:rPr>
        <w:t xml:space="preserve"> Journal of Air Transport Management, 68, pp. 18-26.</w:t>
      </w:r>
    </w:p>
    <w:p w14:paraId="322CCDA9" w14:textId="73076FFC" w:rsidR="00E41D59" w:rsidRPr="00E41D59" w:rsidRDefault="00E41D59" w:rsidP="00E41D59">
      <w:pPr>
        <w:jc w:val="both"/>
        <w:rPr>
          <w:rFonts w:ascii="Times New Roman" w:hAnsi="Times New Roman" w:cs="Times New Roman"/>
          <w:sz w:val="24"/>
          <w:szCs w:val="24"/>
        </w:rPr>
      </w:pPr>
      <w:r w:rsidRPr="00E41D59">
        <w:rPr>
          <w:rFonts w:ascii="Times New Roman" w:hAnsi="Times New Roman" w:cs="Times New Roman"/>
          <w:sz w:val="24"/>
          <w:szCs w:val="24"/>
        </w:rPr>
        <w:t>Clark, P. 2017</w:t>
      </w:r>
      <w:r w:rsidR="00E15B3C">
        <w:rPr>
          <w:rFonts w:ascii="Times New Roman" w:hAnsi="Times New Roman" w:cs="Times New Roman"/>
          <w:sz w:val="24"/>
          <w:szCs w:val="24"/>
        </w:rPr>
        <w:t xml:space="preserve">. </w:t>
      </w:r>
      <w:r w:rsidRPr="00E15B3C">
        <w:rPr>
          <w:rFonts w:ascii="Times New Roman" w:hAnsi="Times New Roman" w:cs="Times New Roman"/>
          <w:i/>
          <w:iCs/>
          <w:sz w:val="24"/>
          <w:szCs w:val="24"/>
        </w:rPr>
        <w:t>Flights to Success: The Emirates Story</w:t>
      </w:r>
      <w:r w:rsidRPr="00E41D59">
        <w:rPr>
          <w:rFonts w:ascii="Times New Roman" w:hAnsi="Times New Roman" w:cs="Times New Roman"/>
          <w:sz w:val="24"/>
          <w:szCs w:val="24"/>
        </w:rPr>
        <w:t>. London: Profile Books.</w:t>
      </w:r>
    </w:p>
    <w:p w14:paraId="7BDA90A7" w14:textId="40447F6A" w:rsidR="00E41D59" w:rsidRPr="00E41D59" w:rsidRDefault="00E41D59" w:rsidP="00E41D59">
      <w:pPr>
        <w:jc w:val="both"/>
        <w:rPr>
          <w:rFonts w:ascii="Times New Roman" w:hAnsi="Times New Roman" w:cs="Times New Roman"/>
          <w:sz w:val="24"/>
          <w:szCs w:val="24"/>
        </w:rPr>
      </w:pPr>
      <w:r w:rsidRPr="00E41D59">
        <w:rPr>
          <w:rFonts w:ascii="Times New Roman" w:hAnsi="Times New Roman" w:cs="Times New Roman"/>
          <w:sz w:val="24"/>
          <w:szCs w:val="24"/>
        </w:rPr>
        <w:t xml:space="preserve">Doganis, R. </w:t>
      </w:r>
      <w:r w:rsidR="00E15B3C">
        <w:rPr>
          <w:rFonts w:ascii="Times New Roman" w:hAnsi="Times New Roman" w:cs="Times New Roman"/>
          <w:sz w:val="24"/>
          <w:szCs w:val="24"/>
        </w:rPr>
        <w:t>.</w:t>
      </w:r>
      <w:r w:rsidRPr="00E41D59">
        <w:rPr>
          <w:rFonts w:ascii="Times New Roman" w:hAnsi="Times New Roman" w:cs="Times New Roman"/>
          <w:sz w:val="24"/>
          <w:szCs w:val="24"/>
        </w:rPr>
        <w:t>2019</w:t>
      </w:r>
      <w:r w:rsidR="00E15B3C">
        <w:rPr>
          <w:rFonts w:ascii="Times New Roman" w:hAnsi="Times New Roman" w:cs="Times New Roman"/>
          <w:sz w:val="24"/>
          <w:szCs w:val="24"/>
        </w:rPr>
        <w:t>.</w:t>
      </w:r>
      <w:r w:rsidRPr="00E41D59">
        <w:rPr>
          <w:rFonts w:ascii="Times New Roman" w:hAnsi="Times New Roman" w:cs="Times New Roman"/>
          <w:sz w:val="24"/>
          <w:szCs w:val="24"/>
        </w:rPr>
        <w:t xml:space="preserve"> </w:t>
      </w:r>
      <w:r w:rsidRPr="00E15B3C">
        <w:rPr>
          <w:rFonts w:ascii="Times New Roman" w:hAnsi="Times New Roman" w:cs="Times New Roman"/>
          <w:i/>
          <w:iCs/>
          <w:sz w:val="24"/>
          <w:szCs w:val="24"/>
        </w:rPr>
        <w:t>Flying Off Course: Airline Economics and Marketing</w:t>
      </w:r>
      <w:r w:rsidRPr="00E41D59">
        <w:rPr>
          <w:rFonts w:ascii="Times New Roman" w:hAnsi="Times New Roman" w:cs="Times New Roman"/>
          <w:sz w:val="24"/>
          <w:szCs w:val="24"/>
        </w:rPr>
        <w:t>. 5th edn. London: Routledge.</w:t>
      </w:r>
    </w:p>
    <w:p w14:paraId="0AEC59B9" w14:textId="6D5C7FAD" w:rsidR="00E41D59" w:rsidRPr="00E41D59" w:rsidRDefault="00E41D59" w:rsidP="00E41D59">
      <w:pPr>
        <w:jc w:val="both"/>
        <w:rPr>
          <w:rFonts w:ascii="Times New Roman" w:hAnsi="Times New Roman" w:cs="Times New Roman"/>
          <w:sz w:val="24"/>
          <w:szCs w:val="24"/>
        </w:rPr>
      </w:pPr>
      <w:r w:rsidRPr="00E41D59">
        <w:rPr>
          <w:rFonts w:ascii="Times New Roman" w:hAnsi="Times New Roman" w:cs="Times New Roman"/>
          <w:sz w:val="24"/>
          <w:szCs w:val="24"/>
        </w:rPr>
        <w:t>Forsyth, P., Guiomard, C., and Niemeier, H.M. 2020</w:t>
      </w:r>
      <w:r w:rsidR="00E15B3C">
        <w:rPr>
          <w:rFonts w:ascii="Times New Roman" w:hAnsi="Times New Roman" w:cs="Times New Roman"/>
          <w:sz w:val="24"/>
          <w:szCs w:val="24"/>
        </w:rPr>
        <w:t xml:space="preserve">. </w:t>
      </w:r>
      <w:r w:rsidRPr="00E41D59">
        <w:rPr>
          <w:rFonts w:ascii="Times New Roman" w:hAnsi="Times New Roman" w:cs="Times New Roman"/>
          <w:sz w:val="24"/>
          <w:szCs w:val="24"/>
        </w:rPr>
        <w:t>Covid-19, the collapse in passenger demand and airport charges', Journal of Air Transport Management, 89, 101932.</w:t>
      </w:r>
    </w:p>
    <w:p w14:paraId="283AB5D9" w14:textId="35F97502" w:rsidR="00E41D59" w:rsidRPr="00E41D59" w:rsidRDefault="00E41D59" w:rsidP="00E41D59">
      <w:pPr>
        <w:jc w:val="both"/>
        <w:rPr>
          <w:rFonts w:ascii="Times New Roman" w:hAnsi="Times New Roman" w:cs="Times New Roman"/>
          <w:sz w:val="24"/>
          <w:szCs w:val="24"/>
        </w:rPr>
      </w:pPr>
      <w:r w:rsidRPr="00E41D59">
        <w:rPr>
          <w:rFonts w:ascii="Times New Roman" w:hAnsi="Times New Roman" w:cs="Times New Roman"/>
          <w:sz w:val="24"/>
          <w:szCs w:val="24"/>
        </w:rPr>
        <w:t>Gössling, S. and Nilsson, J.H. 2010</w:t>
      </w:r>
      <w:r w:rsidR="00E15B3C">
        <w:rPr>
          <w:rFonts w:ascii="Times New Roman" w:hAnsi="Times New Roman" w:cs="Times New Roman"/>
          <w:sz w:val="24"/>
          <w:szCs w:val="24"/>
        </w:rPr>
        <w:t xml:space="preserve">. </w:t>
      </w:r>
      <w:r w:rsidRPr="00E41D59">
        <w:rPr>
          <w:rFonts w:ascii="Times New Roman" w:hAnsi="Times New Roman" w:cs="Times New Roman"/>
          <w:sz w:val="24"/>
          <w:szCs w:val="24"/>
        </w:rPr>
        <w:t>Frequent flyer programmes and the reproduction of aeromobility</w:t>
      </w:r>
      <w:r w:rsidR="00E15B3C">
        <w:rPr>
          <w:rFonts w:ascii="Times New Roman" w:hAnsi="Times New Roman" w:cs="Times New Roman"/>
          <w:sz w:val="24"/>
          <w:szCs w:val="24"/>
        </w:rPr>
        <w:t xml:space="preserve">. </w:t>
      </w:r>
      <w:r w:rsidRPr="00E41D59">
        <w:rPr>
          <w:rFonts w:ascii="Times New Roman" w:hAnsi="Times New Roman" w:cs="Times New Roman"/>
          <w:sz w:val="24"/>
          <w:szCs w:val="24"/>
        </w:rPr>
        <w:t xml:space="preserve"> Environment and Planning A, 42(1), pp. 241-252.</w:t>
      </w:r>
    </w:p>
    <w:p w14:paraId="6F5EFCAD" w14:textId="0D470C93" w:rsidR="00E41D59" w:rsidRPr="00E41D59" w:rsidRDefault="00E41D59" w:rsidP="00E41D59">
      <w:pPr>
        <w:jc w:val="both"/>
        <w:rPr>
          <w:rFonts w:ascii="Times New Roman" w:hAnsi="Times New Roman" w:cs="Times New Roman"/>
          <w:sz w:val="24"/>
          <w:szCs w:val="24"/>
        </w:rPr>
      </w:pPr>
      <w:r w:rsidRPr="00E41D59">
        <w:rPr>
          <w:rFonts w:ascii="Times New Roman" w:hAnsi="Times New Roman" w:cs="Times New Roman"/>
          <w:sz w:val="24"/>
          <w:szCs w:val="24"/>
        </w:rPr>
        <w:t>Homsombat, W., Lei, Z., and Fu, X. 2014</w:t>
      </w:r>
      <w:r w:rsidR="00E15B3C">
        <w:rPr>
          <w:rFonts w:ascii="Times New Roman" w:hAnsi="Times New Roman" w:cs="Times New Roman"/>
          <w:sz w:val="24"/>
          <w:szCs w:val="24"/>
        </w:rPr>
        <w:t xml:space="preserve">. </w:t>
      </w:r>
      <w:r w:rsidRPr="00E15B3C">
        <w:rPr>
          <w:rFonts w:ascii="Times New Roman" w:hAnsi="Times New Roman" w:cs="Times New Roman"/>
          <w:i/>
          <w:iCs/>
          <w:sz w:val="24"/>
          <w:szCs w:val="24"/>
        </w:rPr>
        <w:t>Competitive effects of the airlines-within-airlines strategy: Pricing and route entry patterns</w:t>
      </w:r>
      <w:r w:rsidR="00E15B3C">
        <w:rPr>
          <w:rFonts w:ascii="Times New Roman" w:hAnsi="Times New Roman" w:cs="Times New Roman"/>
          <w:sz w:val="24"/>
          <w:szCs w:val="24"/>
        </w:rPr>
        <w:t xml:space="preserve"> </w:t>
      </w:r>
      <w:r w:rsidRPr="00E41D59">
        <w:rPr>
          <w:rFonts w:ascii="Times New Roman" w:hAnsi="Times New Roman" w:cs="Times New Roman"/>
          <w:sz w:val="24"/>
          <w:szCs w:val="24"/>
        </w:rPr>
        <w:t>Transportation Research Part E: Logistics and Transportation Review, 63, pp. 1-16.</w:t>
      </w:r>
    </w:p>
    <w:p w14:paraId="2A10778E" w14:textId="02A2736A" w:rsidR="00E41D59" w:rsidRPr="00E41D59" w:rsidRDefault="00E41D59" w:rsidP="00E41D59">
      <w:pPr>
        <w:jc w:val="both"/>
        <w:rPr>
          <w:rFonts w:ascii="Times New Roman" w:hAnsi="Times New Roman" w:cs="Times New Roman"/>
          <w:sz w:val="24"/>
          <w:szCs w:val="24"/>
        </w:rPr>
      </w:pPr>
      <w:r w:rsidRPr="00E41D59">
        <w:rPr>
          <w:rFonts w:ascii="Times New Roman" w:hAnsi="Times New Roman" w:cs="Times New Roman"/>
          <w:sz w:val="24"/>
          <w:szCs w:val="24"/>
        </w:rPr>
        <w:t xml:space="preserve">O'Connell, J.F. </w:t>
      </w:r>
      <w:r w:rsidR="00E15B3C" w:rsidRPr="00E41D59">
        <w:rPr>
          <w:rFonts w:ascii="Times New Roman" w:hAnsi="Times New Roman" w:cs="Times New Roman"/>
          <w:sz w:val="24"/>
          <w:szCs w:val="24"/>
        </w:rPr>
        <w:t>2011. The</w:t>
      </w:r>
      <w:r w:rsidRPr="00E15B3C">
        <w:rPr>
          <w:rFonts w:ascii="Times New Roman" w:hAnsi="Times New Roman" w:cs="Times New Roman"/>
          <w:i/>
          <w:iCs/>
          <w:sz w:val="24"/>
          <w:szCs w:val="24"/>
        </w:rPr>
        <w:t xml:space="preserve"> rise of the Arabian Gulf carriers: An insight into the business model of Emirates Airline</w:t>
      </w:r>
      <w:r w:rsidR="00E15B3C">
        <w:rPr>
          <w:rFonts w:ascii="Times New Roman" w:hAnsi="Times New Roman" w:cs="Times New Roman"/>
          <w:sz w:val="24"/>
          <w:szCs w:val="24"/>
        </w:rPr>
        <w:t>.</w:t>
      </w:r>
      <w:r w:rsidRPr="00E41D59">
        <w:rPr>
          <w:rFonts w:ascii="Times New Roman" w:hAnsi="Times New Roman" w:cs="Times New Roman"/>
          <w:sz w:val="24"/>
          <w:szCs w:val="24"/>
        </w:rPr>
        <w:t>Journal of Air Transport Management, 17(6), pp. 339-346.</w:t>
      </w:r>
    </w:p>
    <w:p w14:paraId="54C73C0E" w14:textId="35265A3D" w:rsidR="00E41D59" w:rsidRPr="00E41D59" w:rsidRDefault="00E41D59" w:rsidP="00E41D59">
      <w:pPr>
        <w:jc w:val="both"/>
        <w:rPr>
          <w:rFonts w:ascii="Times New Roman" w:hAnsi="Times New Roman" w:cs="Times New Roman"/>
          <w:sz w:val="24"/>
          <w:szCs w:val="24"/>
        </w:rPr>
      </w:pPr>
      <w:r w:rsidRPr="00E41D59">
        <w:rPr>
          <w:rFonts w:ascii="Times New Roman" w:hAnsi="Times New Roman" w:cs="Times New Roman"/>
          <w:sz w:val="24"/>
          <w:szCs w:val="24"/>
        </w:rPr>
        <w:t>O'Connell, J.F. and Bueno, O.E. 2018</w:t>
      </w:r>
      <w:r w:rsidR="00E15B3C">
        <w:rPr>
          <w:rFonts w:ascii="Times New Roman" w:hAnsi="Times New Roman" w:cs="Times New Roman"/>
          <w:sz w:val="24"/>
          <w:szCs w:val="24"/>
        </w:rPr>
        <w:t xml:space="preserve">. </w:t>
      </w:r>
      <w:r w:rsidRPr="00E15B3C">
        <w:rPr>
          <w:rFonts w:ascii="Times New Roman" w:hAnsi="Times New Roman" w:cs="Times New Roman"/>
          <w:i/>
          <w:iCs/>
          <w:sz w:val="24"/>
          <w:szCs w:val="24"/>
        </w:rPr>
        <w:t>A study into the hub performance Emirates, Etihad Airways and Qatar Airways and their competitive position against the major European hubbing airlines</w:t>
      </w:r>
      <w:r w:rsidR="00E15B3C">
        <w:rPr>
          <w:rFonts w:ascii="Times New Roman" w:hAnsi="Times New Roman" w:cs="Times New Roman"/>
          <w:i/>
          <w:iCs/>
          <w:sz w:val="24"/>
          <w:szCs w:val="24"/>
        </w:rPr>
        <w:t>.</w:t>
      </w:r>
      <w:r w:rsidRPr="00E41D59">
        <w:rPr>
          <w:rFonts w:ascii="Times New Roman" w:hAnsi="Times New Roman" w:cs="Times New Roman"/>
          <w:sz w:val="24"/>
          <w:szCs w:val="24"/>
        </w:rPr>
        <w:t xml:space="preserve"> Journal of Air Transport Management, 69, pp. 1-18.</w:t>
      </w:r>
    </w:p>
    <w:p w14:paraId="7A57CB23" w14:textId="61B0272B" w:rsidR="00E41D59" w:rsidRPr="00E41D59" w:rsidRDefault="00E41D59" w:rsidP="00E41D59">
      <w:pPr>
        <w:jc w:val="both"/>
        <w:rPr>
          <w:rFonts w:ascii="Times New Roman" w:hAnsi="Times New Roman" w:cs="Times New Roman"/>
          <w:sz w:val="24"/>
          <w:szCs w:val="24"/>
        </w:rPr>
      </w:pPr>
      <w:r w:rsidRPr="00E41D59">
        <w:rPr>
          <w:rFonts w:ascii="Times New Roman" w:hAnsi="Times New Roman" w:cs="Times New Roman"/>
          <w:sz w:val="24"/>
          <w:szCs w:val="24"/>
        </w:rPr>
        <w:t xml:space="preserve">Pearson, J. and Merkert, R. </w:t>
      </w:r>
      <w:r w:rsidR="00E15B3C">
        <w:rPr>
          <w:rFonts w:ascii="Times New Roman" w:hAnsi="Times New Roman" w:cs="Times New Roman"/>
          <w:sz w:val="24"/>
          <w:szCs w:val="24"/>
        </w:rPr>
        <w:t>2</w:t>
      </w:r>
      <w:r w:rsidRPr="00E41D59">
        <w:rPr>
          <w:rFonts w:ascii="Times New Roman" w:hAnsi="Times New Roman" w:cs="Times New Roman"/>
          <w:sz w:val="24"/>
          <w:szCs w:val="24"/>
        </w:rPr>
        <w:t>014</w:t>
      </w:r>
      <w:r w:rsidR="00E15B3C">
        <w:rPr>
          <w:rFonts w:ascii="Times New Roman" w:hAnsi="Times New Roman" w:cs="Times New Roman"/>
          <w:sz w:val="24"/>
          <w:szCs w:val="24"/>
        </w:rPr>
        <w:t>.</w:t>
      </w:r>
      <w:r w:rsidRPr="00E15B3C">
        <w:rPr>
          <w:rFonts w:ascii="Times New Roman" w:hAnsi="Times New Roman" w:cs="Times New Roman"/>
          <w:i/>
          <w:iCs/>
          <w:sz w:val="24"/>
          <w:szCs w:val="24"/>
        </w:rPr>
        <w:t>Airlines-within-airlines: A business model moving East</w:t>
      </w:r>
      <w:r w:rsidR="00E15B3C">
        <w:rPr>
          <w:rFonts w:ascii="Times New Roman" w:hAnsi="Times New Roman" w:cs="Times New Roman"/>
          <w:sz w:val="24"/>
          <w:szCs w:val="24"/>
        </w:rPr>
        <w:t>.</w:t>
      </w:r>
      <w:r w:rsidRPr="00E41D59">
        <w:rPr>
          <w:rFonts w:ascii="Times New Roman" w:hAnsi="Times New Roman" w:cs="Times New Roman"/>
          <w:sz w:val="24"/>
          <w:szCs w:val="24"/>
        </w:rPr>
        <w:t xml:space="preserve"> Journal of Air Transport Management, 38, pp. 21-26.</w:t>
      </w:r>
    </w:p>
    <w:p w14:paraId="1518E6B1" w14:textId="23F375FE" w:rsidR="00E41D59" w:rsidRPr="00E41D59" w:rsidRDefault="00E41D59" w:rsidP="00E41D59">
      <w:pPr>
        <w:jc w:val="both"/>
        <w:rPr>
          <w:rFonts w:ascii="Times New Roman" w:hAnsi="Times New Roman" w:cs="Times New Roman"/>
          <w:sz w:val="24"/>
          <w:szCs w:val="24"/>
        </w:rPr>
      </w:pPr>
      <w:r w:rsidRPr="00E41D59">
        <w:rPr>
          <w:rFonts w:ascii="Times New Roman" w:hAnsi="Times New Roman" w:cs="Times New Roman"/>
          <w:sz w:val="24"/>
          <w:szCs w:val="24"/>
        </w:rPr>
        <w:t xml:space="preserve">Shankar, V., Carpenter, G.S. and Krishnamurthi, L. </w:t>
      </w:r>
      <w:r w:rsidR="00E15B3C">
        <w:rPr>
          <w:rFonts w:ascii="Times New Roman" w:hAnsi="Times New Roman" w:cs="Times New Roman"/>
          <w:sz w:val="24"/>
          <w:szCs w:val="24"/>
        </w:rPr>
        <w:t>1</w:t>
      </w:r>
      <w:r w:rsidRPr="00E41D59">
        <w:rPr>
          <w:rFonts w:ascii="Times New Roman" w:hAnsi="Times New Roman" w:cs="Times New Roman"/>
          <w:sz w:val="24"/>
          <w:szCs w:val="24"/>
        </w:rPr>
        <w:t>998</w:t>
      </w:r>
      <w:r w:rsidR="00E15B3C">
        <w:rPr>
          <w:rFonts w:ascii="Times New Roman" w:hAnsi="Times New Roman" w:cs="Times New Roman"/>
          <w:sz w:val="24"/>
          <w:szCs w:val="24"/>
        </w:rPr>
        <w:t>.</w:t>
      </w:r>
      <w:r w:rsidRPr="00E15B3C">
        <w:rPr>
          <w:rFonts w:ascii="Times New Roman" w:hAnsi="Times New Roman" w:cs="Times New Roman"/>
          <w:i/>
          <w:iCs/>
          <w:sz w:val="24"/>
          <w:szCs w:val="24"/>
        </w:rPr>
        <w:t>Late mover advantage: How innovative late entrants outsell pioneers</w:t>
      </w:r>
      <w:r w:rsidR="00E15B3C">
        <w:rPr>
          <w:rFonts w:ascii="Times New Roman" w:hAnsi="Times New Roman" w:cs="Times New Roman"/>
          <w:i/>
          <w:iCs/>
          <w:sz w:val="24"/>
          <w:szCs w:val="24"/>
        </w:rPr>
        <w:t>.</w:t>
      </w:r>
      <w:r w:rsidRPr="00E41D59">
        <w:rPr>
          <w:rFonts w:ascii="Times New Roman" w:hAnsi="Times New Roman" w:cs="Times New Roman"/>
          <w:sz w:val="24"/>
          <w:szCs w:val="24"/>
        </w:rPr>
        <w:t xml:space="preserve"> Journal of Marketing Research, 35(1), pp. 54-70.</w:t>
      </w:r>
    </w:p>
    <w:p w14:paraId="5FD1E28D" w14:textId="77496D7D" w:rsidR="00E41D59" w:rsidRPr="00E41D59" w:rsidRDefault="00E41D59" w:rsidP="00E41D59">
      <w:pPr>
        <w:jc w:val="both"/>
        <w:rPr>
          <w:rFonts w:ascii="Times New Roman" w:hAnsi="Times New Roman" w:cs="Times New Roman"/>
          <w:sz w:val="24"/>
          <w:szCs w:val="24"/>
        </w:rPr>
      </w:pPr>
      <w:r w:rsidRPr="00E41D59">
        <w:rPr>
          <w:rFonts w:ascii="Times New Roman" w:hAnsi="Times New Roman" w:cs="Times New Roman"/>
          <w:sz w:val="24"/>
          <w:szCs w:val="24"/>
        </w:rPr>
        <w:t xml:space="preserve">Tellis, G.J. and Golder, P.N. </w:t>
      </w:r>
      <w:r w:rsidR="00E15B3C">
        <w:rPr>
          <w:rFonts w:ascii="Times New Roman" w:hAnsi="Times New Roman" w:cs="Times New Roman"/>
          <w:sz w:val="24"/>
          <w:szCs w:val="24"/>
        </w:rPr>
        <w:t>.</w:t>
      </w:r>
      <w:r w:rsidRPr="00E41D59">
        <w:rPr>
          <w:rFonts w:ascii="Times New Roman" w:hAnsi="Times New Roman" w:cs="Times New Roman"/>
          <w:sz w:val="24"/>
          <w:szCs w:val="24"/>
        </w:rPr>
        <w:t>2002</w:t>
      </w:r>
      <w:r w:rsidR="00E15B3C">
        <w:rPr>
          <w:rFonts w:ascii="Times New Roman" w:hAnsi="Times New Roman" w:cs="Times New Roman"/>
          <w:sz w:val="24"/>
          <w:szCs w:val="24"/>
        </w:rPr>
        <w:t>.</w:t>
      </w:r>
      <w:r w:rsidRPr="00E41D59">
        <w:rPr>
          <w:rFonts w:ascii="Times New Roman" w:hAnsi="Times New Roman" w:cs="Times New Roman"/>
          <w:sz w:val="24"/>
          <w:szCs w:val="24"/>
        </w:rPr>
        <w:t xml:space="preserve"> </w:t>
      </w:r>
      <w:r w:rsidRPr="00E15B3C">
        <w:rPr>
          <w:rFonts w:ascii="Times New Roman" w:hAnsi="Times New Roman" w:cs="Times New Roman"/>
          <w:i/>
          <w:iCs/>
          <w:sz w:val="24"/>
          <w:szCs w:val="24"/>
        </w:rPr>
        <w:t>Will and Vision: How Latecomers Grow to Dominate Markets</w:t>
      </w:r>
      <w:r w:rsidRPr="00E41D59">
        <w:rPr>
          <w:rFonts w:ascii="Times New Roman" w:hAnsi="Times New Roman" w:cs="Times New Roman"/>
          <w:sz w:val="24"/>
          <w:szCs w:val="24"/>
        </w:rPr>
        <w:t>. New York: McGraw-Hill.</w:t>
      </w:r>
    </w:p>
    <w:sectPr w:rsidR="00E41D59" w:rsidRPr="00E41D5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41D59"/>
    <w:rsid w:val="00053A89"/>
    <w:rsid w:val="00156F64"/>
    <w:rsid w:val="004207D5"/>
    <w:rsid w:val="00541E81"/>
    <w:rsid w:val="00545407"/>
    <w:rsid w:val="00BC5079"/>
    <w:rsid w:val="00D140C0"/>
    <w:rsid w:val="00D97224"/>
    <w:rsid w:val="00E15B3C"/>
    <w:rsid w:val="00E41D5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8D15A3"/>
  <w15:chartTrackingRefBased/>
  <w15:docId w15:val="{3732A8C8-5E3C-4386-A5F5-E6B052F1993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140C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D140C0"/>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41E8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D140C0"/>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D140C0"/>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BC5079"/>
    <w:pPr>
      <w:outlineLvl w:val="9"/>
    </w:pPr>
    <w:rPr>
      <w:lang w:val="en-US"/>
    </w:rPr>
  </w:style>
  <w:style w:type="paragraph" w:styleId="TOC1">
    <w:name w:val="toc 1"/>
    <w:basedOn w:val="Normal"/>
    <w:next w:val="Normal"/>
    <w:autoRedefine/>
    <w:uiPriority w:val="39"/>
    <w:unhideWhenUsed/>
    <w:rsid w:val="00BC5079"/>
    <w:pPr>
      <w:spacing w:after="100"/>
    </w:pPr>
  </w:style>
  <w:style w:type="paragraph" w:styleId="TOC2">
    <w:name w:val="toc 2"/>
    <w:basedOn w:val="Normal"/>
    <w:next w:val="Normal"/>
    <w:autoRedefine/>
    <w:uiPriority w:val="39"/>
    <w:unhideWhenUsed/>
    <w:rsid w:val="00BC5079"/>
    <w:pPr>
      <w:spacing w:after="100"/>
      <w:ind w:left="220"/>
    </w:pPr>
  </w:style>
  <w:style w:type="character" w:styleId="Hyperlink">
    <w:name w:val="Hyperlink"/>
    <w:basedOn w:val="DefaultParagraphFont"/>
    <w:uiPriority w:val="99"/>
    <w:unhideWhenUsed/>
    <w:rsid w:val="00BC5079"/>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617D734-C295-4121-A40B-335F8AF2E2D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27</TotalTime>
  <Pages>9</Pages>
  <Words>3632</Words>
  <Characters>20705</Characters>
  <Application>Microsoft Office Word</Application>
  <DocSecurity>0</DocSecurity>
  <Lines>172</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24289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Abu Zafar Md Imran [Student-PECS]</dc:creator>
  <cp:keywords/>
  <dc:description/>
  <cp:lastModifiedBy>Abu Zafar Md Imran [Student-PECS]</cp:lastModifiedBy>
  <cp:revision>10</cp:revision>
  <dcterms:created xsi:type="dcterms:W3CDTF">2025-11-19T21:40:00Z</dcterms:created>
  <dcterms:modified xsi:type="dcterms:W3CDTF">2025-11-21T07:46:00Z</dcterms:modified>
</cp:coreProperties>
</file>