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71612" w14:textId="2E352DE8" w:rsidR="00F10117" w:rsidRDefault="00C21CCF">
      <w:r>
        <w:t xml:space="preserve">The use of media to convey messages and information to the public is becoming increasingly popular nowadays. With media available to us in almost every household in the form of televisions and smart phones with internet access, it is no surprise that the government and other sources use media as a way of encouraging pro-social behaviour and for </w:t>
      </w:r>
      <w:r w:rsidR="000E5B15">
        <w:t xml:space="preserve">health </w:t>
      </w:r>
      <w:r>
        <w:t xml:space="preserve">educational purposes. Prosocial behaviour has been well-defined by </w:t>
      </w:r>
      <w:proofErr w:type="spellStart"/>
      <w:r>
        <w:t>Pennar</w:t>
      </w:r>
      <w:proofErr w:type="spellEnd"/>
      <w:r>
        <w:t xml:space="preserve"> et al (2005) as ‘a broad category of acts that are defined by some significant segment of society and/or one’s social group as generally beneficial to other people’. A large proportion of social media has an educational desire, from campaigns aimed at developing children’s education in schooling, to public health awareness and programmes that encourage healthy behaviours of the public. This essay will explore the latter; encouragement of healthy behaviours of the public, focusing specifically on campaigns and programmes that teach </w:t>
      </w:r>
      <w:r w:rsidR="00375084">
        <w:t xml:space="preserve">the public about the health risks involved with smoking, and advice on how to stop smoking. This will include looking at the different ways in which social media is portrayed regarding smoking, what the government are doing to help drive the educational messages and how it impacts the individuals that are targeted by the campaigns. </w:t>
      </w:r>
    </w:p>
    <w:p w14:paraId="6005762E" w14:textId="37D5BFD2" w:rsidR="00BA3A46" w:rsidRDefault="00F10117">
      <w:r>
        <w:t xml:space="preserve">The first mass media </w:t>
      </w:r>
      <w:r w:rsidR="000E5B15">
        <w:t xml:space="preserve">health </w:t>
      </w:r>
      <w:r>
        <w:t xml:space="preserve">campaign on record was from the year 1721 when a smallpox epidemic broke out. The campaign had the aim of educating the public about the risk of health from the illness outbreak, and information was spread to all areas of the USA for the public to understand and acquire knowledge about the smallpox epidemic. Since then, mass media has been using pro-social tactics as a way of passing information across to the public, in </w:t>
      </w:r>
      <w:proofErr w:type="gramStart"/>
      <w:r>
        <w:t>various different</w:t>
      </w:r>
      <w:proofErr w:type="gramEnd"/>
      <w:r>
        <w:t xml:space="preserve"> forms. Posters, adverts on television, large bill board displays in cities and public transport, television documentaries and the more recently the internet are all ways in which pro-social media can be portrayed to the public, along with countless more tactics in getting a message to the nation. Whichever type of media used, it must have seve</w:t>
      </w:r>
      <w:r w:rsidR="00786761">
        <w:t>ral</w:t>
      </w:r>
      <w:r>
        <w:t xml:space="preserve"> main functions; it must </w:t>
      </w:r>
      <w:r w:rsidR="00786761">
        <w:t>educate, reach large audiences, use multiple approaches, change attitudes or beliefs of its target audience positively</w:t>
      </w:r>
      <w:r w:rsidR="00342507">
        <w:t>.</w:t>
      </w:r>
      <w:r w:rsidR="00BA3A46">
        <w:t xml:space="preserve"> Preventing and minimizing the impact of poor health choices is a big challenge in todays society; and one main topic area which is of great focus is smoking. </w:t>
      </w:r>
      <w:r w:rsidR="00FA4939">
        <w:t xml:space="preserve">This essay will explore the </w:t>
      </w:r>
      <w:r w:rsidR="005372B6">
        <w:t>effects that prosocial media and health education have on smoking, on how media works towards smoking cessation and the theories behind educating the public on this topic.</w:t>
      </w:r>
    </w:p>
    <w:p w14:paraId="1E97C329" w14:textId="77777777" w:rsidR="00A56E60" w:rsidRPr="00A56E60" w:rsidRDefault="00A56E60" w:rsidP="00A56E60">
      <w:r w:rsidRPr="00A56E60">
        <w:t xml:space="preserve">Mass media campaigns work in both direct and indirect ways to reach the target audience. It may also attempt to create cognitive or emotional responses, such as placing graphic images of negative effects of smoking on cigarette packets. These campaigns aim to affect decision making thoughts of an individual whom it is targeting the campaign at. Anti-smoking campaigns often have the same sort of criteria; benefits of quitting, the health risks associated with the continuation of smoking, and a reminder of the positive social norms that come with quitting smoking. </w:t>
      </w:r>
    </w:p>
    <w:p w14:paraId="01A18A86" w14:textId="2D8BF649" w:rsidR="00BA3A46" w:rsidRDefault="00BA3A46">
      <w:r>
        <w:t>According to Cancer Research (statistics from 2017) smoking is the number one biggest cause of lung cancer in the UK and is the largest preventable cause of death worldwide.</w:t>
      </w:r>
      <w:r w:rsidR="0022489C">
        <w:t xml:space="preserve"> </w:t>
      </w:r>
      <w:proofErr w:type="spellStart"/>
      <w:r w:rsidR="0022489C">
        <w:t>Peto</w:t>
      </w:r>
      <w:proofErr w:type="spellEnd"/>
      <w:r w:rsidR="0022489C">
        <w:t xml:space="preserve">, Lopez and Boreham (1996) who studied smoking across 44 developed countries, found that smoking was the main cause of 24% male deaths and 7% female deaths across the developed world. With such high statistics for mortality rates directly associated to smoking, the media in the UK and worldwide are trying to use health campaigns and prosocial media to reduce the high death toll. </w:t>
      </w:r>
      <w:r w:rsidR="00BB2508">
        <w:t xml:space="preserve">But do they work? </w:t>
      </w:r>
    </w:p>
    <w:p w14:paraId="0F0B20FF" w14:textId="2D4DD549" w:rsidR="00210EE6" w:rsidRDefault="00BB2508">
      <w:r>
        <w:t xml:space="preserve">Durkin et al (2008) evaluated 194 potential mass media campaigns on promoting the fully quitting of smoking tobacco in adults, the influence the campaigns had on the target audience and the different channels and intensity of the health campaigns. They found that the studies strengthened the evidence that health campaigns promote quitting smoking and lowered the number of adults smoking who were in the target audience. It was also noted in the research that although successful in quitting prevalence, the amount of people the campaign can reach, the intensity and message </w:t>
      </w:r>
      <w:r>
        <w:lastRenderedPageBreak/>
        <w:t xml:space="preserve">type all affects the overall success of the campaigns. </w:t>
      </w:r>
      <w:r w:rsidR="00210EE6" w:rsidRPr="00210EE6">
        <w:t xml:space="preserve">It was found in this research by Durkin et al (2008) that television adverts were the most effective way of spreading health knowledge, but also the most expensive. To support this, UK database statistics show that mass media health campaigns to promote the quitting of smoking cost 38 million GBP throughout the years 2009 and 2010. </w:t>
      </w:r>
      <w:r w:rsidR="00210EE6">
        <w:t>The conclusions from this research was that anti-smoking campaigns are more affective when there is less competition from tobacco marketing, hence from 1</w:t>
      </w:r>
      <w:r w:rsidR="00210EE6" w:rsidRPr="00210EE6">
        <w:rPr>
          <w:vertAlign w:val="superscript"/>
        </w:rPr>
        <w:t>st</w:t>
      </w:r>
      <w:r w:rsidR="00210EE6">
        <w:t xml:space="preserve"> October 2008, UK Government gave tobacco manufacturers one year to ensure that ALL cigarette packaging carry pictorial warnings about the effects that smoking can have on the individual. </w:t>
      </w:r>
    </w:p>
    <w:p w14:paraId="1DFC2F2F" w14:textId="5196C202" w:rsidR="004B4E25" w:rsidRDefault="004B4E25">
      <w:proofErr w:type="spellStart"/>
      <w:r>
        <w:t>Kees</w:t>
      </w:r>
      <w:proofErr w:type="spellEnd"/>
      <w:r>
        <w:t xml:space="preserve"> et al (2010) studied the effectiveness of graphic pictures depicting the negative health consequences that smoking can lead to. The study used a participant amount of more than 500 smokers, and results found multiple benefits of the packaging changes. Firstly, the more graphic the image on the packaging the stronger the smoker’s intention to quit became; evoking fear for the smoker of the negative health effects that smoking could bestow on them. It was also found that having negative graphics in the form of health risk warnings typed on the cigarette packaging also inflicted fear upon the smoker’s and heightened their intentions to quit smoking. To support, Hammond (2011) studied the effects of graphic pictures on tobacco products and found that negative health images were more affective in smoking cessation than warning labels, </w:t>
      </w:r>
      <w:proofErr w:type="gramStart"/>
      <w:r>
        <w:t>and also</w:t>
      </w:r>
      <w:proofErr w:type="gramEnd"/>
      <w:r>
        <w:t xml:space="preserve"> decreased the amount of smoking uptake in adolescents. </w:t>
      </w:r>
    </w:p>
    <w:p w14:paraId="1F9DAB22" w14:textId="2A5C51BF" w:rsidR="001C1114" w:rsidRDefault="001C1114">
      <w:r>
        <w:t>A supporting theory that attempts to understand why prosocial media is so effective on positive health and wellbeing is the ‘Theory of Reasoned Action’ (</w:t>
      </w:r>
      <w:proofErr w:type="spellStart"/>
      <w:r>
        <w:t>Azjen</w:t>
      </w:r>
      <w:proofErr w:type="spellEnd"/>
      <w:r>
        <w:t xml:space="preserve"> &amp; Fishbein, 1970). This theory assumes that a potential change in behaviour is to do with the intention a person has to change. The individuals attitude towards the behaviour change, and an evaluation of the outcome they may expect. It is also to do with subjective norms, with the individual </w:t>
      </w:r>
      <w:proofErr w:type="gramStart"/>
      <w:r>
        <w:t>taking into account</w:t>
      </w:r>
      <w:proofErr w:type="gramEnd"/>
      <w:r>
        <w:t xml:space="preserve"> the</w:t>
      </w:r>
      <w:r>
        <w:t xml:space="preserve">ir </w:t>
      </w:r>
      <w:r>
        <w:t xml:space="preserve">social status and how it would reflect upon it. </w:t>
      </w:r>
    </w:p>
    <w:p w14:paraId="24435EC9" w14:textId="2DCF82D7" w:rsidR="00C76331" w:rsidRDefault="003131BD">
      <w:r>
        <w:t xml:space="preserve">There is plentiful research to suggest that mass media campaigns work in smoking cessation, but psychologists also want to know how and why the campaigns work in reducing smoking. According to </w:t>
      </w:r>
      <w:proofErr w:type="spellStart"/>
      <w:r>
        <w:t>Azjen</w:t>
      </w:r>
      <w:proofErr w:type="spellEnd"/>
      <w:r>
        <w:t xml:space="preserve"> (1991) the ‘</w:t>
      </w:r>
      <w:r w:rsidRPr="003131BD">
        <w:rPr>
          <w:i/>
        </w:rPr>
        <w:t>theory of planned behaviour’</w:t>
      </w:r>
      <w:r>
        <w:t xml:space="preserve"> attempts to understand why the media messaging would help. The most important factor in behaviour change is the intention to engage in a different behaviour. </w:t>
      </w:r>
      <w:proofErr w:type="spellStart"/>
      <w:r>
        <w:t>Azjen</w:t>
      </w:r>
      <w:proofErr w:type="spellEnd"/>
      <w:r>
        <w:t xml:space="preserve"> (1991) theory states that our intention to change our behaviour is dependant on three factors; our </w:t>
      </w:r>
      <w:r w:rsidRPr="003131BD">
        <w:rPr>
          <w:i/>
        </w:rPr>
        <w:t>attitude</w:t>
      </w:r>
      <w:r>
        <w:t xml:space="preserve">, </w:t>
      </w:r>
      <w:r w:rsidRPr="003131BD">
        <w:rPr>
          <w:i/>
        </w:rPr>
        <w:t>subjective norms</w:t>
      </w:r>
      <w:r>
        <w:t xml:space="preserve"> and </w:t>
      </w:r>
      <w:r w:rsidRPr="003131BD">
        <w:rPr>
          <w:i/>
        </w:rPr>
        <w:t>perceived behavioural control.</w:t>
      </w:r>
      <w:r>
        <w:t xml:space="preserve"> Our attitude to the campaign (in this instance, the anti-smoking campaign) is whether the behaviour is judged as good or bad. Subjective norms are about the people surrounding the target audience – family members or friends – and if they would like the participant to engage in the desired outcome. The perceived behavioural control is how easy or difficult the individual believes the process to be. Although the Theory of Planned Behaviour was not designed with health benefits in mind, it can be applied to the success of major health campaigns including anti-smoking trials. </w:t>
      </w:r>
      <w:r w:rsidR="00C76331">
        <w:t>According to Walker et al (2004) the theory of planned behaviour (</w:t>
      </w:r>
      <w:proofErr w:type="spellStart"/>
      <w:r w:rsidR="00C76331">
        <w:t>Ajzen</w:t>
      </w:r>
      <w:proofErr w:type="spellEnd"/>
      <w:r w:rsidR="00C76331">
        <w:t>, 1991) is the most popular and used theory in health promotion. The theory of planned behaviour has been quite successful with foreseeing negative health behaviours such as smoking</w:t>
      </w:r>
      <w:r w:rsidR="001C1114">
        <w:t>.</w:t>
      </w:r>
    </w:p>
    <w:p w14:paraId="0CDB2C1A" w14:textId="7C1720F5" w:rsidR="001C1114" w:rsidRDefault="001C1114">
      <w:r>
        <w:t xml:space="preserve">One study that explored if the Theory of Reasoned Action and the Theory of Planned Behaviour was a predictor of adolescent smoking rates in china, was led by Guo et al (2007). Data was analysed from almost 15,000 high school students, both male and female, testing perceived behavioural control as a main effect. The Theory of Planned Behaviour accounted for slightly more significance than the Theory of Reasoned Action, but the effects of smoking intention were supported by both theories in this study. Henceforth, both theories are a valid predictor of smoking in adolescence in China, particularly amongst students with lower perceived behavioural control. </w:t>
      </w:r>
    </w:p>
    <w:p w14:paraId="7359A5E9" w14:textId="078F4CE6" w:rsidR="008E6A54" w:rsidRDefault="008E6A54" w:rsidP="008E6A54">
      <w:pPr>
        <w:rPr>
          <w:highlight w:val="yellow"/>
        </w:rPr>
      </w:pPr>
      <w:r>
        <w:lastRenderedPageBreak/>
        <w:t xml:space="preserve">Although plenty evidence to support the above theories </w:t>
      </w:r>
      <w:r>
        <w:t>in</w:t>
      </w:r>
      <w:r>
        <w:t xml:space="preserve"> how mass media and prosocial media is beneficial to public health, there are also limitations. There is a lack of consistent behavioural intentions</w:t>
      </w:r>
      <w:r>
        <w:t xml:space="preserve">, instead of a predictor of behavioural change. To date, the above models have been tested mainly in western cultures, so may be biased to the western world and cannot be generalised across the world as there is lack of evidence to support. The models mentioned are very </w:t>
      </w:r>
      <w:proofErr w:type="gramStart"/>
      <w:r>
        <w:t>general, and</w:t>
      </w:r>
      <w:proofErr w:type="gramEnd"/>
      <w:r>
        <w:t xml:space="preserve"> can be applied to a whole different range of behaviours; perhaps a more beneficial tool in exploring the impact pro-social media has on the public would be to have specific models and theories that are health based in one area, such as in Catania et al (1990) risk reduction model of the AIDS/HIV issue.</w:t>
      </w:r>
    </w:p>
    <w:p w14:paraId="6160933B" w14:textId="3AAD452B" w:rsidR="008F1956" w:rsidRDefault="003131BD">
      <w:r>
        <w:t xml:space="preserve">On the other hand, a theory </w:t>
      </w:r>
      <w:r w:rsidR="003A4427">
        <w:t xml:space="preserve">that </w:t>
      </w:r>
      <w:r>
        <w:t xml:space="preserve">was designed with health specifically in mind is </w:t>
      </w:r>
      <w:r w:rsidRPr="003131BD">
        <w:rPr>
          <w:i/>
        </w:rPr>
        <w:t>the Protection Motivation Theory</w:t>
      </w:r>
      <w:r>
        <w:t xml:space="preserve"> (Rogers, 1983). Rogers specified that when an individual meets a health risk</w:t>
      </w:r>
      <w:r w:rsidR="00AC4464">
        <w:t xml:space="preserve"> (e.g. smoking) </w:t>
      </w:r>
      <w:r w:rsidR="003A4427">
        <w:t>there are</w:t>
      </w:r>
      <w:r w:rsidR="00AC4464">
        <w:t xml:space="preserve"> two cognitive processes; threat appraisal and coping appraisal. </w:t>
      </w:r>
      <w:r w:rsidR="00481D13">
        <w:t xml:space="preserve">Threat appraisal is considering how much of a threat the </w:t>
      </w:r>
      <w:r w:rsidR="00963453">
        <w:t xml:space="preserve">action would be. For example, when smoking an individual may think about the risk/threat of developing lung cancer. Coping appraisal is the cognitive function that takes place as </w:t>
      </w:r>
      <w:r w:rsidR="0087718C">
        <w:t>an individual may think</w:t>
      </w:r>
      <w:r w:rsidR="00963453">
        <w:t xml:space="preserve"> about how effective the right choice of action will be, for example a smoker evaluating how they will ‘cope’ if they were to quit smoking (which is the initial desire of the media health campaign). </w:t>
      </w:r>
    </w:p>
    <w:p w14:paraId="5475CB2B" w14:textId="7086428B" w:rsidR="00514C4E" w:rsidRDefault="00514C4E">
      <w:r>
        <w:t xml:space="preserve">Using Protection Motivation Theory (Rogers, 1983) to establish the effects of smoking advertisements on adolescents in the USA, </w:t>
      </w:r>
      <w:proofErr w:type="spellStart"/>
      <w:r>
        <w:t>Pechmann</w:t>
      </w:r>
      <w:proofErr w:type="spellEnd"/>
      <w:r>
        <w:t xml:space="preserve"> et al (2003) studied 1667 teenagers and found that three of the seven themes that occurred after analysis all contributed to a developed intention to stop smoking</w:t>
      </w:r>
      <w:r w:rsidR="0087718C">
        <w:t xml:space="preserve"> after watching the anti-smoking advertisements. Although a great study which supports the Rogers theory and media</w:t>
      </w:r>
      <w:r w:rsidR="00F0389A">
        <w:t xml:space="preserve"> health campaigns, this study only analysed intentions of adolescents to stop smoking, and not actual behaviour or smoking cessation, so the impact of the anti-smoking campaigns on the youths was not actually monitored. On the other hand, the participant amount makes this study a credible one. </w:t>
      </w:r>
    </w:p>
    <w:p w14:paraId="69B3B8E4" w14:textId="331256C1" w:rsidR="00F0389A" w:rsidRDefault="00F0389A">
      <w:r>
        <w:t xml:space="preserve">One study which did look at smoking cessation not just intentions of participants was conducted by Bauer et al (2000). In the study, Bauer et al analysed data regarding the ‘TRUTH’ campaign, an anti-smoking health campaign designed for children of school age in Florida, USA. The campaign shown a decrease in smoking of youths; 40% decline for children of middle school age, and 16% decline for children of high school age. This study shows how educational media can improve youth’s wellbeing and health. However, a study conducted by Johnston, O’Malley &amp; Bachman (2001) just after Bauer study, shown surprising results. They found that there were comparable declines in smoking for children of the same ages (30% and 14%) in southern USA, where there were no anti-smoking advertisements aimed at children of those ages. These contradictions make the success of pro-social media unclear as to whether they are </w:t>
      </w:r>
      <w:r w:rsidR="00AF30D2">
        <w:t>e</w:t>
      </w:r>
      <w:r>
        <w:t>ffective or not at reducing smoking</w:t>
      </w:r>
      <w:r w:rsidR="00AF30D2">
        <w:t xml:space="preserve">, if smoking rates were decreasing without the presence of anti-smoking campaigns. </w:t>
      </w:r>
    </w:p>
    <w:p w14:paraId="6196F6D7" w14:textId="49061D60" w:rsidR="006250EF" w:rsidRDefault="006250EF">
      <w:r>
        <w:t>Whilst the Protection Motivation Theory (Rogers, 1983) and the Theory of Planned Behaviour (</w:t>
      </w:r>
      <w:proofErr w:type="spellStart"/>
      <w:r>
        <w:t>Ajzen</w:t>
      </w:r>
      <w:proofErr w:type="spellEnd"/>
      <w:r>
        <w:t xml:space="preserve">, 1991) both look at what predicts health behaviours, they do not explain how to change an individual’s behaviour via forms of media. </w:t>
      </w:r>
      <w:proofErr w:type="gramStart"/>
      <w:r>
        <w:t>Both of the mentioned</w:t>
      </w:r>
      <w:proofErr w:type="gramEnd"/>
      <w:r>
        <w:t xml:space="preserve"> theories also focus of intentions of participants, and ‘intentions do not always translate into behaviour’ (Webb &amp; Sheeran, 2006)</w:t>
      </w:r>
      <w:r w:rsidR="002C1DFD">
        <w:t>. One theory that takes both predictions and intentions as well as attempting to explain behaviour change is the Transtheoretical Model (</w:t>
      </w:r>
      <w:bookmarkStart w:id="0" w:name="_Hlk510126870"/>
      <w:r w:rsidR="002C1DFD">
        <w:t>Prochaska, DiClemente &amp; Norcross</w:t>
      </w:r>
      <w:bookmarkEnd w:id="0"/>
      <w:r w:rsidR="002C1DFD">
        <w:t xml:space="preserve">, 1992). This theory proposes five stages which an individual must go through to change their behaviour. Precontemplation, contemplation, preparation, action and lastly maintenance. </w:t>
      </w:r>
      <w:r w:rsidR="002C1DFD" w:rsidRPr="002C1DFD">
        <w:t>Prochaska, DiClemente &amp; Norcross</w:t>
      </w:r>
      <w:r w:rsidR="002C1DFD">
        <w:t xml:space="preserve"> suggest that successful transition between the five stages depends on self-efficacy and decisional balance (believing in oneself and thinking about the pros and cons of the behaviour change). Although this theory is not directly linked to prosocial media, it can be used to explain how media </w:t>
      </w:r>
      <w:r w:rsidR="002C1DFD">
        <w:lastRenderedPageBreak/>
        <w:t xml:space="preserve">has a positive effect on behaviour change. </w:t>
      </w:r>
      <w:r w:rsidR="005A0DB3">
        <w:t xml:space="preserve">Prochaska and DiClemente (1986) studied smokers who were targeted by health campaigns in the media which urged them to go into stages 1, 2 and 3 of the transtheoretical model (precontemplation and contemplation, eventually </w:t>
      </w:r>
      <w:proofErr w:type="spellStart"/>
      <w:r w:rsidR="005A0DB3">
        <w:t>preperation</w:t>
      </w:r>
      <w:proofErr w:type="spellEnd"/>
      <w:r w:rsidR="005A0DB3">
        <w:t>). They found that 15% of smokers who ‘quit quitting’ regressed back to the precontemplation stage (after seeing anti-smoking media that led them to start behavioural change again). Whilst the transtheoretical model does not directly suggest prosocial media changes behaviour, it does explain how social media and health campaigns start off the behaviour change by encouraging stage 1 to develop (thinking about changing).</w:t>
      </w:r>
    </w:p>
    <w:p w14:paraId="596B953D" w14:textId="5A8C2C81" w:rsidR="003068C0" w:rsidRDefault="004D3B97">
      <w:r>
        <w:t>Another supporting study of the transtheoretical model was steered by Ratcliffe, Cairns and Platt (1997), who analysed data collected from the Scottish anti-smoking campaign ‘</w:t>
      </w:r>
      <w:proofErr w:type="spellStart"/>
      <w:r>
        <w:t>Smokeline</w:t>
      </w:r>
      <w:proofErr w:type="spellEnd"/>
      <w:r>
        <w:t xml:space="preserve">’ (a free helpline advertised aimed to help with smoking cessation). The aim of the study was to show a reduction in smoking prevalence, by educating the 970 participants (all of whom were smokers) reminding them of the negative health effects of smoking, and to provide advice and support on quitting smoking. The design of this study was underpinned by Rogers transtheoretical model, with Ratcliffe, Cairns and Platt suggesting that the first step to quitting smoking is to be ‘ready for the change’ and how important the first two stages of the model are in theory success. The participants were interviewed over the course of a year after first quitting smoking with help from the </w:t>
      </w:r>
      <w:r w:rsidR="001C1114">
        <w:t>‘</w:t>
      </w:r>
      <w:proofErr w:type="spellStart"/>
      <w:r>
        <w:t>smokeline</w:t>
      </w:r>
      <w:proofErr w:type="spellEnd"/>
      <w:r w:rsidR="001C1114">
        <w:t>’</w:t>
      </w:r>
      <w:r>
        <w:t xml:space="preserve"> campaign. At 12 months, 9.88% of participants branded themselves as ‘non-smokers’, a </w:t>
      </w:r>
      <w:proofErr w:type="gramStart"/>
      <w:r>
        <w:t>fairly considerable</w:t>
      </w:r>
      <w:proofErr w:type="gramEnd"/>
      <w:r>
        <w:t xml:space="preserve"> success rate as the smoking cessation was directly attributed to the </w:t>
      </w:r>
      <w:r w:rsidR="001C1114">
        <w:t>‘</w:t>
      </w:r>
      <w:proofErr w:type="spellStart"/>
      <w:r>
        <w:t>smokeline</w:t>
      </w:r>
      <w:proofErr w:type="spellEnd"/>
      <w:r w:rsidR="001C1114">
        <w:t>’</w:t>
      </w:r>
      <w:r>
        <w:t xml:space="preserve"> </w:t>
      </w:r>
      <w:r w:rsidRPr="002948CE">
        <w:t>campaign</w:t>
      </w:r>
      <w:r w:rsidR="003068C0" w:rsidRPr="002948CE">
        <w:t>, supporting that mass media campaigns are beneficial to public health and wellbeing.</w:t>
      </w:r>
      <w:r w:rsidR="003068C0">
        <w:t xml:space="preserve"> </w:t>
      </w:r>
    </w:p>
    <w:p w14:paraId="7701A829" w14:textId="435EF1E5" w:rsidR="0022489C" w:rsidRDefault="008E6A54">
      <w:r w:rsidRPr="003705F4">
        <w:t xml:space="preserve">in conclusion, mass media campaigns especially those that focus on smoking cessation are important and valuable tools that the prosocial media can use to help those in quitting smoking. This essay has looked at different studies of the media that can help smokers quit, and their success rates, such as Bauer et al (2000) TRUTH campaign research which led to up to a 40% drop in smoking, showing how powerful mass media and health campaigns can be for behavioural change. </w:t>
      </w:r>
      <w:r w:rsidR="003705F4" w:rsidRPr="003705F4">
        <w:t xml:space="preserve">The theories behind how the media inspire behaviour change are all positive predictors of change in smoking prevalence rates, </w:t>
      </w:r>
      <w:r w:rsidR="003705F4">
        <w:t>with changes of attitudes towards smoking and increasing the intentions to quit. Although the theories mentioned in this essay have their</w:t>
      </w:r>
      <w:bookmarkStart w:id="1" w:name="_GoBack"/>
      <w:bookmarkEnd w:id="1"/>
      <w:r w:rsidR="003705F4">
        <w:t xml:space="preserve"> limitations, (intention based, western culture bias) they can be generally applied to smoking behaviours as-well as other illnesses and maladaptive behaviours. Overall, the use of pro-social, educational media and health campaigns excel at tackling issues associated with public health and wellbeing. </w:t>
      </w:r>
    </w:p>
    <w:p w14:paraId="7F28DAC0" w14:textId="5D5CFAA6" w:rsidR="003705F4" w:rsidRDefault="003705F4"/>
    <w:p w14:paraId="530898BB" w14:textId="77777777" w:rsidR="003705F4" w:rsidRDefault="003705F4"/>
    <w:p w14:paraId="25BD6C1F" w14:textId="6EE9964F" w:rsidR="00A56E60" w:rsidRDefault="0022489C">
      <w:pPr>
        <w:rPr>
          <w:u w:val="single"/>
        </w:rPr>
      </w:pPr>
      <w:r w:rsidRPr="0022489C">
        <w:rPr>
          <w:u w:val="single"/>
        </w:rPr>
        <w:t xml:space="preserve">References </w:t>
      </w:r>
    </w:p>
    <w:p w14:paraId="751C437F" w14:textId="1238459F" w:rsidR="003A4427" w:rsidRDefault="003A4427">
      <w:pPr>
        <w:rPr>
          <w:rFonts w:ascii="Arial" w:hAnsi="Arial" w:cs="Arial"/>
          <w:color w:val="222222"/>
          <w:sz w:val="20"/>
          <w:szCs w:val="20"/>
        </w:rPr>
      </w:pPr>
      <w:proofErr w:type="spellStart"/>
      <w:r>
        <w:rPr>
          <w:rFonts w:ascii="Arial" w:hAnsi="Arial" w:cs="Arial"/>
          <w:color w:val="222222"/>
          <w:sz w:val="20"/>
          <w:szCs w:val="20"/>
        </w:rPr>
        <w:t>Ajzen</w:t>
      </w:r>
      <w:proofErr w:type="spellEnd"/>
      <w:r>
        <w:rPr>
          <w:rFonts w:ascii="Arial" w:hAnsi="Arial" w:cs="Arial"/>
          <w:color w:val="222222"/>
          <w:sz w:val="20"/>
          <w:szCs w:val="20"/>
        </w:rPr>
        <w:t xml:space="preserve">, I. (1991). The theory of planned </w:t>
      </w:r>
      <w:proofErr w:type="spellStart"/>
      <w:r>
        <w:rPr>
          <w:rFonts w:ascii="Arial" w:hAnsi="Arial" w:cs="Arial"/>
          <w:color w:val="222222"/>
          <w:sz w:val="20"/>
          <w:szCs w:val="20"/>
        </w:rPr>
        <w:t>behavior</w:t>
      </w:r>
      <w:proofErr w:type="spellEnd"/>
      <w:r>
        <w:rPr>
          <w:rFonts w:ascii="Arial" w:hAnsi="Arial" w:cs="Arial"/>
          <w:color w:val="222222"/>
          <w:sz w:val="20"/>
          <w:szCs w:val="20"/>
        </w:rPr>
        <w:t xml:space="preserve">. </w:t>
      </w:r>
      <w:r>
        <w:rPr>
          <w:rFonts w:ascii="Arial" w:hAnsi="Arial" w:cs="Arial"/>
          <w:i/>
          <w:iCs/>
          <w:color w:val="222222"/>
          <w:sz w:val="20"/>
          <w:szCs w:val="20"/>
        </w:rPr>
        <w:t xml:space="preserve">Organizational </w:t>
      </w:r>
      <w:proofErr w:type="spellStart"/>
      <w:r>
        <w:rPr>
          <w:rFonts w:ascii="Arial" w:hAnsi="Arial" w:cs="Arial"/>
          <w:i/>
          <w:iCs/>
          <w:color w:val="222222"/>
          <w:sz w:val="20"/>
          <w:szCs w:val="20"/>
        </w:rPr>
        <w:t>behavior</w:t>
      </w:r>
      <w:proofErr w:type="spellEnd"/>
      <w:r>
        <w:rPr>
          <w:rFonts w:ascii="Arial" w:hAnsi="Arial" w:cs="Arial"/>
          <w:i/>
          <w:iCs/>
          <w:color w:val="222222"/>
          <w:sz w:val="20"/>
          <w:szCs w:val="20"/>
        </w:rPr>
        <w:t xml:space="preserve"> and human decision processes</w:t>
      </w:r>
      <w:r>
        <w:rPr>
          <w:rFonts w:ascii="Arial" w:hAnsi="Arial" w:cs="Arial"/>
          <w:color w:val="222222"/>
          <w:sz w:val="20"/>
          <w:szCs w:val="20"/>
        </w:rPr>
        <w:t xml:space="preserve">, </w:t>
      </w:r>
      <w:r>
        <w:rPr>
          <w:rFonts w:ascii="Arial" w:hAnsi="Arial" w:cs="Arial"/>
          <w:i/>
          <w:iCs/>
          <w:color w:val="222222"/>
          <w:sz w:val="20"/>
          <w:szCs w:val="20"/>
        </w:rPr>
        <w:t>50</w:t>
      </w:r>
      <w:r>
        <w:rPr>
          <w:rFonts w:ascii="Arial" w:hAnsi="Arial" w:cs="Arial"/>
          <w:color w:val="222222"/>
          <w:sz w:val="20"/>
          <w:szCs w:val="20"/>
        </w:rPr>
        <w:t>(2), 179-211.</w:t>
      </w:r>
    </w:p>
    <w:p w14:paraId="13D38E0D" w14:textId="69B2A756" w:rsidR="00A56E60" w:rsidRDefault="00A56E60">
      <w:pPr>
        <w:rPr>
          <w:rFonts w:ascii="Arial" w:hAnsi="Arial" w:cs="Arial"/>
          <w:color w:val="222222"/>
          <w:sz w:val="20"/>
          <w:szCs w:val="20"/>
        </w:rPr>
      </w:pPr>
      <w:proofErr w:type="spellStart"/>
      <w:r>
        <w:rPr>
          <w:rFonts w:ascii="Arial" w:hAnsi="Arial" w:cs="Arial"/>
          <w:color w:val="222222"/>
          <w:sz w:val="20"/>
          <w:szCs w:val="20"/>
        </w:rPr>
        <w:t>Ajzen</w:t>
      </w:r>
      <w:proofErr w:type="spellEnd"/>
      <w:r>
        <w:rPr>
          <w:rFonts w:ascii="Arial" w:hAnsi="Arial" w:cs="Arial"/>
          <w:color w:val="222222"/>
          <w:sz w:val="20"/>
          <w:szCs w:val="20"/>
        </w:rPr>
        <w:t xml:space="preserve">, I., &amp; Fishbein, M. (1988). Theory of reasoned action-Theory of planned </w:t>
      </w:r>
      <w:proofErr w:type="spellStart"/>
      <w:r>
        <w:rPr>
          <w:rFonts w:ascii="Arial" w:hAnsi="Arial" w:cs="Arial"/>
          <w:color w:val="222222"/>
          <w:sz w:val="20"/>
          <w:szCs w:val="20"/>
        </w:rPr>
        <w:t>behavior</w:t>
      </w:r>
      <w:proofErr w:type="spellEnd"/>
      <w:r>
        <w:rPr>
          <w:rFonts w:ascii="Arial" w:hAnsi="Arial" w:cs="Arial"/>
          <w:color w:val="222222"/>
          <w:sz w:val="20"/>
          <w:szCs w:val="20"/>
        </w:rPr>
        <w:t xml:space="preserve">. </w:t>
      </w:r>
      <w:r>
        <w:rPr>
          <w:rFonts w:ascii="Arial" w:hAnsi="Arial" w:cs="Arial"/>
          <w:i/>
          <w:iCs/>
          <w:color w:val="222222"/>
          <w:sz w:val="20"/>
          <w:szCs w:val="20"/>
        </w:rPr>
        <w:t>University of South Florida</w:t>
      </w:r>
      <w:r>
        <w:rPr>
          <w:rFonts w:ascii="Arial" w:hAnsi="Arial" w:cs="Arial"/>
          <w:color w:val="222222"/>
          <w:sz w:val="20"/>
          <w:szCs w:val="20"/>
        </w:rPr>
        <w:t>.</w:t>
      </w:r>
    </w:p>
    <w:p w14:paraId="40B230FF" w14:textId="2C16CD08" w:rsidR="007A635F" w:rsidRDefault="00AF30D2">
      <w:pPr>
        <w:rPr>
          <w:rFonts w:ascii="Arial" w:hAnsi="Arial" w:cs="Arial"/>
          <w:color w:val="222222"/>
          <w:sz w:val="20"/>
          <w:szCs w:val="20"/>
        </w:rPr>
      </w:pPr>
      <w:r>
        <w:rPr>
          <w:rFonts w:ascii="Arial" w:hAnsi="Arial" w:cs="Arial"/>
          <w:color w:val="222222"/>
          <w:sz w:val="20"/>
          <w:szCs w:val="20"/>
        </w:rPr>
        <w:t xml:space="preserve">Bauer, U. E., Johnson, T. M., Hopkins, R. S., &amp; Brooks, R. G. (2000). Changes in youth cigarette use and intentions following implementation of a tobacco control program: findings from the Florida Youth Tobacco Survey, 1998-2000. </w:t>
      </w:r>
      <w:r>
        <w:rPr>
          <w:rFonts w:ascii="Arial" w:hAnsi="Arial" w:cs="Arial"/>
          <w:i/>
          <w:iCs/>
          <w:color w:val="222222"/>
          <w:sz w:val="20"/>
          <w:szCs w:val="20"/>
        </w:rPr>
        <w:t>Jama</w:t>
      </w:r>
      <w:r>
        <w:rPr>
          <w:rFonts w:ascii="Arial" w:hAnsi="Arial" w:cs="Arial"/>
          <w:color w:val="222222"/>
          <w:sz w:val="20"/>
          <w:szCs w:val="20"/>
        </w:rPr>
        <w:t xml:space="preserve">, </w:t>
      </w:r>
      <w:r>
        <w:rPr>
          <w:rFonts w:ascii="Arial" w:hAnsi="Arial" w:cs="Arial"/>
          <w:i/>
          <w:iCs/>
          <w:color w:val="222222"/>
          <w:sz w:val="20"/>
          <w:szCs w:val="20"/>
        </w:rPr>
        <w:t>284</w:t>
      </w:r>
      <w:r>
        <w:rPr>
          <w:rFonts w:ascii="Arial" w:hAnsi="Arial" w:cs="Arial"/>
          <w:color w:val="222222"/>
          <w:sz w:val="20"/>
          <w:szCs w:val="20"/>
        </w:rPr>
        <w:t>(6), 723-728.</w:t>
      </w:r>
    </w:p>
    <w:p w14:paraId="01C4671B" w14:textId="5445B977" w:rsidR="005C2615" w:rsidRDefault="005C2615">
      <w:pPr>
        <w:rPr>
          <w:rFonts w:ascii="Arial" w:hAnsi="Arial" w:cs="Arial"/>
          <w:color w:val="000000"/>
          <w:sz w:val="20"/>
          <w:szCs w:val="20"/>
        </w:rPr>
      </w:pPr>
      <w:r w:rsidRPr="005C2615">
        <w:rPr>
          <w:rFonts w:ascii="Arial" w:hAnsi="Arial" w:cs="Arial"/>
          <w:color w:val="000000"/>
          <w:sz w:val="20"/>
          <w:szCs w:val="20"/>
        </w:rPr>
        <w:t xml:space="preserve">Cancer Research. (2017). </w:t>
      </w:r>
      <w:r w:rsidRPr="005C2615">
        <w:rPr>
          <w:rFonts w:ascii="Arial" w:hAnsi="Arial" w:cs="Arial"/>
          <w:i/>
          <w:iCs/>
          <w:color w:val="000000"/>
          <w:sz w:val="20"/>
          <w:szCs w:val="20"/>
        </w:rPr>
        <w:t>Let</w:t>
      </w:r>
      <w:r>
        <w:rPr>
          <w:rFonts w:ascii="Arial" w:hAnsi="Arial" w:cs="Arial"/>
          <w:i/>
          <w:iCs/>
          <w:color w:val="000000"/>
          <w:sz w:val="20"/>
          <w:szCs w:val="20"/>
        </w:rPr>
        <w:t>’</w:t>
      </w:r>
      <w:r w:rsidRPr="005C2615">
        <w:rPr>
          <w:rFonts w:ascii="Arial" w:hAnsi="Arial" w:cs="Arial"/>
          <w:i/>
          <w:iCs/>
          <w:color w:val="000000"/>
          <w:sz w:val="20"/>
          <w:szCs w:val="20"/>
        </w:rPr>
        <w:t>s beat cancer sooner.</w:t>
      </w:r>
      <w:r w:rsidRPr="005C2615">
        <w:rPr>
          <w:rFonts w:ascii="Arial" w:hAnsi="Arial" w:cs="Arial"/>
          <w:color w:val="000000"/>
          <w:sz w:val="20"/>
          <w:szCs w:val="20"/>
        </w:rPr>
        <w:t xml:space="preserve"> Available: www.cancerresearchuk.org. Last accessed 27th March 2018</w:t>
      </w:r>
    </w:p>
    <w:p w14:paraId="11E8E51F" w14:textId="6358FDBF" w:rsidR="00844BCA" w:rsidRPr="005C2615" w:rsidRDefault="00844BCA">
      <w:pPr>
        <w:rPr>
          <w:rFonts w:ascii="Arial" w:hAnsi="Arial" w:cs="Arial"/>
          <w:u w:val="single"/>
        </w:rPr>
      </w:pPr>
      <w:r>
        <w:rPr>
          <w:rFonts w:ascii="Arial" w:hAnsi="Arial" w:cs="Arial"/>
          <w:color w:val="222222"/>
          <w:sz w:val="20"/>
          <w:szCs w:val="20"/>
        </w:rPr>
        <w:t xml:space="preserve">Crisp, R. J., &amp; Turner, R. N. (2014). </w:t>
      </w:r>
      <w:r>
        <w:rPr>
          <w:rFonts w:ascii="Arial" w:hAnsi="Arial" w:cs="Arial"/>
          <w:i/>
          <w:iCs/>
          <w:color w:val="222222"/>
          <w:sz w:val="20"/>
          <w:szCs w:val="20"/>
        </w:rPr>
        <w:t>Essential social psychology</w:t>
      </w:r>
      <w:r>
        <w:rPr>
          <w:rFonts w:ascii="Arial" w:hAnsi="Arial" w:cs="Arial"/>
          <w:color w:val="222222"/>
          <w:sz w:val="20"/>
          <w:szCs w:val="20"/>
        </w:rPr>
        <w:t xml:space="preserve">. Sage. </w:t>
      </w:r>
    </w:p>
    <w:p w14:paraId="7A8963B9" w14:textId="426B23F7" w:rsidR="00BB2508" w:rsidRDefault="00BB2508">
      <w:pPr>
        <w:rPr>
          <w:rFonts w:ascii="Arial" w:hAnsi="Arial" w:cs="Arial"/>
          <w:color w:val="222222"/>
          <w:sz w:val="20"/>
          <w:szCs w:val="20"/>
        </w:rPr>
      </w:pPr>
      <w:r>
        <w:rPr>
          <w:rFonts w:ascii="Arial" w:hAnsi="Arial" w:cs="Arial"/>
          <w:color w:val="222222"/>
          <w:sz w:val="20"/>
          <w:szCs w:val="20"/>
        </w:rPr>
        <w:lastRenderedPageBreak/>
        <w:t xml:space="preserve">Durkin, S., Brennan, E., &amp; Wakefield, M. (2012). Mass media campaigns to promote smoking cessation among adults: an integrative review. </w:t>
      </w:r>
      <w:r>
        <w:rPr>
          <w:rFonts w:ascii="Arial" w:hAnsi="Arial" w:cs="Arial"/>
          <w:i/>
          <w:iCs/>
          <w:color w:val="222222"/>
          <w:sz w:val="20"/>
          <w:szCs w:val="20"/>
        </w:rPr>
        <w:t>Tobacco control</w:t>
      </w:r>
      <w:r>
        <w:rPr>
          <w:rFonts w:ascii="Arial" w:hAnsi="Arial" w:cs="Arial"/>
          <w:color w:val="222222"/>
          <w:sz w:val="20"/>
          <w:szCs w:val="20"/>
        </w:rPr>
        <w:t xml:space="preserve">, </w:t>
      </w:r>
      <w:r>
        <w:rPr>
          <w:rFonts w:ascii="Arial" w:hAnsi="Arial" w:cs="Arial"/>
          <w:i/>
          <w:iCs/>
          <w:color w:val="222222"/>
          <w:sz w:val="20"/>
          <w:szCs w:val="20"/>
        </w:rPr>
        <w:t>21</w:t>
      </w:r>
      <w:r>
        <w:rPr>
          <w:rFonts w:ascii="Arial" w:hAnsi="Arial" w:cs="Arial"/>
          <w:color w:val="222222"/>
          <w:sz w:val="20"/>
          <w:szCs w:val="20"/>
        </w:rPr>
        <w:t>(2), 127-138.</w:t>
      </w:r>
    </w:p>
    <w:p w14:paraId="234F9B3D" w14:textId="78FCF09D" w:rsidR="00844BCA" w:rsidRDefault="00844BCA">
      <w:pPr>
        <w:rPr>
          <w:rFonts w:ascii="Arial" w:hAnsi="Arial" w:cs="Arial"/>
          <w:color w:val="222222"/>
          <w:sz w:val="20"/>
          <w:szCs w:val="20"/>
        </w:rPr>
      </w:pPr>
      <w:r w:rsidRPr="00844BCA">
        <w:rPr>
          <w:rFonts w:ascii="Arial" w:hAnsi="Arial" w:cs="Arial"/>
          <w:color w:val="222222"/>
          <w:sz w:val="20"/>
          <w:szCs w:val="20"/>
        </w:rPr>
        <w:t xml:space="preserve">Giles, D. (2010). </w:t>
      </w:r>
      <w:r w:rsidRPr="00844BCA">
        <w:rPr>
          <w:rFonts w:ascii="Arial" w:hAnsi="Arial" w:cs="Arial"/>
          <w:i/>
          <w:iCs/>
          <w:color w:val="222222"/>
          <w:sz w:val="20"/>
          <w:szCs w:val="20"/>
        </w:rPr>
        <w:t>Psychology of the media</w:t>
      </w:r>
      <w:r w:rsidRPr="00844BCA">
        <w:rPr>
          <w:rFonts w:ascii="Arial" w:hAnsi="Arial" w:cs="Arial"/>
          <w:color w:val="222222"/>
          <w:sz w:val="20"/>
          <w:szCs w:val="20"/>
        </w:rPr>
        <w:t>. Palgrave Macmillan.</w:t>
      </w:r>
    </w:p>
    <w:p w14:paraId="2A33F42E" w14:textId="1827FE24" w:rsidR="00C76331" w:rsidRDefault="00C76331">
      <w:pPr>
        <w:rPr>
          <w:rFonts w:ascii="Arial" w:hAnsi="Arial" w:cs="Arial"/>
          <w:color w:val="222222"/>
          <w:sz w:val="20"/>
          <w:szCs w:val="20"/>
        </w:rPr>
      </w:pPr>
      <w:r w:rsidRPr="00C76331">
        <w:rPr>
          <w:rFonts w:ascii="Arial" w:hAnsi="Arial" w:cs="Arial"/>
          <w:color w:val="222222"/>
          <w:sz w:val="20"/>
          <w:szCs w:val="20"/>
        </w:rPr>
        <w:t xml:space="preserve">Gross, R (2015). </w:t>
      </w:r>
      <w:r w:rsidRPr="00C76331">
        <w:rPr>
          <w:rFonts w:ascii="Arial" w:hAnsi="Arial" w:cs="Arial"/>
          <w:i/>
          <w:iCs/>
          <w:color w:val="222222"/>
          <w:sz w:val="20"/>
          <w:szCs w:val="20"/>
        </w:rPr>
        <w:t>Psychology; Science of Mind and Behaviour</w:t>
      </w:r>
      <w:r w:rsidRPr="00C76331">
        <w:rPr>
          <w:rFonts w:ascii="Arial" w:hAnsi="Arial" w:cs="Arial"/>
          <w:color w:val="222222"/>
          <w:sz w:val="20"/>
          <w:szCs w:val="20"/>
        </w:rPr>
        <w:t>. 7th ed. London: Hodder Education. p195-198.</w:t>
      </w:r>
    </w:p>
    <w:p w14:paraId="514D7C13" w14:textId="7FE30B05" w:rsidR="001C1114" w:rsidRDefault="001C1114">
      <w:pPr>
        <w:rPr>
          <w:rFonts w:ascii="Arial" w:hAnsi="Arial" w:cs="Arial"/>
          <w:color w:val="222222"/>
          <w:sz w:val="20"/>
          <w:szCs w:val="20"/>
        </w:rPr>
      </w:pPr>
      <w:r>
        <w:rPr>
          <w:rFonts w:ascii="Arial" w:hAnsi="Arial" w:cs="Arial"/>
          <w:color w:val="222222"/>
          <w:sz w:val="20"/>
          <w:szCs w:val="20"/>
        </w:rPr>
        <w:t xml:space="preserve">Guo, Q., Johnson, C. A., Unger, J. B., Lee, L., </w:t>
      </w:r>
      <w:proofErr w:type="spellStart"/>
      <w:r>
        <w:rPr>
          <w:rFonts w:ascii="Arial" w:hAnsi="Arial" w:cs="Arial"/>
          <w:color w:val="222222"/>
          <w:sz w:val="20"/>
          <w:szCs w:val="20"/>
        </w:rPr>
        <w:t>Xie</w:t>
      </w:r>
      <w:proofErr w:type="spellEnd"/>
      <w:r>
        <w:rPr>
          <w:rFonts w:ascii="Arial" w:hAnsi="Arial" w:cs="Arial"/>
          <w:color w:val="222222"/>
          <w:sz w:val="20"/>
          <w:szCs w:val="20"/>
        </w:rPr>
        <w:t xml:space="preserve">, B., Chou, C. P., ... &amp; </w:t>
      </w:r>
      <w:proofErr w:type="spellStart"/>
      <w:r>
        <w:rPr>
          <w:rFonts w:ascii="Arial" w:hAnsi="Arial" w:cs="Arial"/>
          <w:color w:val="222222"/>
          <w:sz w:val="20"/>
          <w:szCs w:val="20"/>
        </w:rPr>
        <w:t>Pentz</w:t>
      </w:r>
      <w:proofErr w:type="spellEnd"/>
      <w:r>
        <w:rPr>
          <w:rFonts w:ascii="Arial" w:hAnsi="Arial" w:cs="Arial"/>
          <w:color w:val="222222"/>
          <w:sz w:val="20"/>
          <w:szCs w:val="20"/>
        </w:rPr>
        <w:t xml:space="preserve">, M. (2007). Utility of the theory of reasoned action and theory of planned </w:t>
      </w:r>
      <w:proofErr w:type="spellStart"/>
      <w:r>
        <w:rPr>
          <w:rFonts w:ascii="Arial" w:hAnsi="Arial" w:cs="Arial"/>
          <w:color w:val="222222"/>
          <w:sz w:val="20"/>
          <w:szCs w:val="20"/>
        </w:rPr>
        <w:t>behavior</w:t>
      </w:r>
      <w:proofErr w:type="spellEnd"/>
      <w:r>
        <w:rPr>
          <w:rFonts w:ascii="Arial" w:hAnsi="Arial" w:cs="Arial"/>
          <w:color w:val="222222"/>
          <w:sz w:val="20"/>
          <w:szCs w:val="20"/>
        </w:rPr>
        <w:t xml:space="preserve"> for predicting Chinese adolescent smoking. </w:t>
      </w:r>
      <w:r>
        <w:rPr>
          <w:rFonts w:ascii="Arial" w:hAnsi="Arial" w:cs="Arial"/>
          <w:i/>
          <w:iCs/>
          <w:color w:val="222222"/>
          <w:sz w:val="20"/>
          <w:szCs w:val="20"/>
        </w:rPr>
        <w:t xml:space="preserve">Addictive </w:t>
      </w:r>
      <w:proofErr w:type="spellStart"/>
      <w:r>
        <w:rPr>
          <w:rFonts w:ascii="Arial" w:hAnsi="Arial" w:cs="Arial"/>
          <w:i/>
          <w:iCs/>
          <w:color w:val="222222"/>
          <w:sz w:val="20"/>
          <w:szCs w:val="20"/>
        </w:rPr>
        <w:t>behaviors</w:t>
      </w:r>
      <w:proofErr w:type="spellEnd"/>
      <w:r>
        <w:rPr>
          <w:rFonts w:ascii="Arial" w:hAnsi="Arial" w:cs="Arial"/>
          <w:color w:val="222222"/>
          <w:sz w:val="20"/>
          <w:szCs w:val="20"/>
        </w:rPr>
        <w:t xml:space="preserve">, </w:t>
      </w:r>
      <w:r>
        <w:rPr>
          <w:rFonts w:ascii="Arial" w:hAnsi="Arial" w:cs="Arial"/>
          <w:i/>
          <w:iCs/>
          <w:color w:val="222222"/>
          <w:sz w:val="20"/>
          <w:szCs w:val="20"/>
        </w:rPr>
        <w:t>32</w:t>
      </w:r>
      <w:r>
        <w:rPr>
          <w:rFonts w:ascii="Arial" w:hAnsi="Arial" w:cs="Arial"/>
          <w:color w:val="222222"/>
          <w:sz w:val="20"/>
          <w:szCs w:val="20"/>
        </w:rPr>
        <w:t>(5), 1066-1081.</w:t>
      </w:r>
    </w:p>
    <w:p w14:paraId="4D1BD8F8" w14:textId="4731680F" w:rsidR="004B4E25" w:rsidRDefault="004B4E25">
      <w:pPr>
        <w:rPr>
          <w:rFonts w:ascii="Arial" w:hAnsi="Arial" w:cs="Arial"/>
          <w:color w:val="222222"/>
          <w:sz w:val="20"/>
          <w:szCs w:val="20"/>
        </w:rPr>
      </w:pPr>
      <w:r>
        <w:rPr>
          <w:rFonts w:ascii="Arial" w:hAnsi="Arial" w:cs="Arial"/>
          <w:color w:val="222222"/>
          <w:sz w:val="20"/>
          <w:szCs w:val="20"/>
        </w:rPr>
        <w:t xml:space="preserve">Hammond, D. (2011). Health warning messages on tobacco products: a review. </w:t>
      </w:r>
      <w:r>
        <w:rPr>
          <w:rFonts w:ascii="Arial" w:hAnsi="Arial" w:cs="Arial"/>
          <w:i/>
          <w:iCs/>
          <w:color w:val="222222"/>
          <w:sz w:val="20"/>
          <w:szCs w:val="20"/>
        </w:rPr>
        <w:t>Tobacco control</w:t>
      </w:r>
      <w:r>
        <w:rPr>
          <w:rFonts w:ascii="Arial" w:hAnsi="Arial" w:cs="Arial"/>
          <w:color w:val="222222"/>
          <w:sz w:val="20"/>
          <w:szCs w:val="20"/>
        </w:rPr>
        <w:t xml:space="preserve">, </w:t>
      </w:r>
      <w:r>
        <w:rPr>
          <w:rFonts w:ascii="Arial" w:hAnsi="Arial" w:cs="Arial"/>
          <w:i/>
          <w:iCs/>
          <w:color w:val="222222"/>
          <w:sz w:val="20"/>
          <w:szCs w:val="20"/>
        </w:rPr>
        <w:t>20</w:t>
      </w:r>
      <w:r>
        <w:rPr>
          <w:rFonts w:ascii="Arial" w:hAnsi="Arial" w:cs="Arial"/>
          <w:color w:val="222222"/>
          <w:sz w:val="20"/>
          <w:szCs w:val="20"/>
        </w:rPr>
        <w:t>(5), 327-337.</w:t>
      </w:r>
    </w:p>
    <w:p w14:paraId="4D71E03D" w14:textId="78FF5872" w:rsidR="00AF30D2" w:rsidRDefault="00AF30D2">
      <w:pPr>
        <w:rPr>
          <w:rFonts w:ascii="Arial" w:hAnsi="Arial" w:cs="Arial"/>
          <w:color w:val="222222"/>
          <w:sz w:val="20"/>
          <w:szCs w:val="20"/>
        </w:rPr>
      </w:pPr>
      <w:r>
        <w:rPr>
          <w:rFonts w:ascii="Arial" w:hAnsi="Arial" w:cs="Arial"/>
          <w:color w:val="222222"/>
          <w:sz w:val="20"/>
          <w:szCs w:val="20"/>
        </w:rPr>
        <w:t xml:space="preserve">Johnston, L. D., </w:t>
      </w:r>
      <w:proofErr w:type="spellStart"/>
      <w:r>
        <w:rPr>
          <w:rFonts w:ascii="Arial" w:hAnsi="Arial" w:cs="Arial"/>
          <w:color w:val="222222"/>
          <w:sz w:val="20"/>
          <w:szCs w:val="20"/>
        </w:rPr>
        <w:t>O’malley</w:t>
      </w:r>
      <w:proofErr w:type="spellEnd"/>
      <w:r>
        <w:rPr>
          <w:rFonts w:ascii="Arial" w:hAnsi="Arial" w:cs="Arial"/>
          <w:color w:val="222222"/>
          <w:sz w:val="20"/>
          <w:szCs w:val="20"/>
        </w:rPr>
        <w:t>, P. M., Bachman, J. G., &amp; Schulenberg, J. E. (2010). Monitoring the Future national survey results on drug use, 1975-2009. Volume I: Secondary school students.</w:t>
      </w:r>
    </w:p>
    <w:p w14:paraId="480269F0" w14:textId="3DDFA5C7" w:rsidR="004B4E25" w:rsidRDefault="004B4E25">
      <w:pPr>
        <w:rPr>
          <w:rFonts w:ascii="Arial" w:hAnsi="Arial" w:cs="Arial"/>
          <w:color w:val="222222"/>
          <w:sz w:val="20"/>
          <w:szCs w:val="20"/>
        </w:rPr>
      </w:pPr>
      <w:proofErr w:type="spellStart"/>
      <w:r>
        <w:rPr>
          <w:rFonts w:ascii="Arial" w:hAnsi="Arial" w:cs="Arial"/>
          <w:color w:val="222222"/>
          <w:sz w:val="20"/>
          <w:szCs w:val="20"/>
        </w:rPr>
        <w:t>Kees</w:t>
      </w:r>
      <w:proofErr w:type="spellEnd"/>
      <w:r>
        <w:rPr>
          <w:rFonts w:ascii="Arial" w:hAnsi="Arial" w:cs="Arial"/>
          <w:color w:val="222222"/>
          <w:sz w:val="20"/>
          <w:szCs w:val="20"/>
        </w:rPr>
        <w:t xml:space="preserve">, J., Burton, S., Andrews, J. C., &amp; </w:t>
      </w:r>
      <w:proofErr w:type="spellStart"/>
      <w:r>
        <w:rPr>
          <w:rFonts w:ascii="Arial" w:hAnsi="Arial" w:cs="Arial"/>
          <w:color w:val="222222"/>
          <w:sz w:val="20"/>
          <w:szCs w:val="20"/>
        </w:rPr>
        <w:t>Kozup</w:t>
      </w:r>
      <w:proofErr w:type="spellEnd"/>
      <w:r>
        <w:rPr>
          <w:rFonts w:ascii="Arial" w:hAnsi="Arial" w:cs="Arial"/>
          <w:color w:val="222222"/>
          <w:sz w:val="20"/>
          <w:szCs w:val="20"/>
        </w:rPr>
        <w:t xml:space="preserve">, J. (2010). Understanding how graphic pictorial warnings work on cigarette packaging. </w:t>
      </w:r>
      <w:r>
        <w:rPr>
          <w:rFonts w:ascii="Arial" w:hAnsi="Arial" w:cs="Arial"/>
          <w:i/>
          <w:iCs/>
          <w:color w:val="222222"/>
          <w:sz w:val="20"/>
          <w:szCs w:val="20"/>
        </w:rPr>
        <w:t>Journal of Public Policy &amp; Marketing</w:t>
      </w:r>
      <w:r>
        <w:rPr>
          <w:rFonts w:ascii="Arial" w:hAnsi="Arial" w:cs="Arial"/>
          <w:color w:val="222222"/>
          <w:sz w:val="20"/>
          <w:szCs w:val="20"/>
        </w:rPr>
        <w:t xml:space="preserve">, </w:t>
      </w:r>
      <w:r>
        <w:rPr>
          <w:rFonts w:ascii="Arial" w:hAnsi="Arial" w:cs="Arial"/>
          <w:i/>
          <w:iCs/>
          <w:color w:val="222222"/>
          <w:sz w:val="20"/>
          <w:szCs w:val="20"/>
        </w:rPr>
        <w:t>29</w:t>
      </w:r>
      <w:r>
        <w:rPr>
          <w:rFonts w:ascii="Arial" w:hAnsi="Arial" w:cs="Arial"/>
          <w:color w:val="222222"/>
          <w:sz w:val="20"/>
          <w:szCs w:val="20"/>
        </w:rPr>
        <w:t>(2), 265-276.</w:t>
      </w:r>
    </w:p>
    <w:p w14:paraId="47E79EC8" w14:textId="1D0EA6B6" w:rsidR="007D5A30" w:rsidRDefault="007D5A30">
      <w:pPr>
        <w:rPr>
          <w:u w:val="single"/>
        </w:rPr>
      </w:pPr>
      <w:proofErr w:type="spellStart"/>
      <w:r>
        <w:rPr>
          <w:rFonts w:ascii="Arial" w:hAnsi="Arial" w:cs="Arial"/>
          <w:color w:val="222222"/>
          <w:sz w:val="20"/>
          <w:szCs w:val="20"/>
        </w:rPr>
        <w:t>Pechmann</w:t>
      </w:r>
      <w:proofErr w:type="spellEnd"/>
      <w:r>
        <w:rPr>
          <w:rFonts w:ascii="Arial" w:hAnsi="Arial" w:cs="Arial"/>
          <w:color w:val="222222"/>
          <w:sz w:val="20"/>
          <w:szCs w:val="20"/>
        </w:rPr>
        <w:t xml:space="preserve">, C., Zhao, G., Goldberg, M. E., &amp; </w:t>
      </w:r>
      <w:proofErr w:type="spellStart"/>
      <w:r>
        <w:rPr>
          <w:rFonts w:ascii="Arial" w:hAnsi="Arial" w:cs="Arial"/>
          <w:color w:val="222222"/>
          <w:sz w:val="20"/>
          <w:szCs w:val="20"/>
        </w:rPr>
        <w:t>Reibling</w:t>
      </w:r>
      <w:proofErr w:type="spellEnd"/>
      <w:r>
        <w:rPr>
          <w:rFonts w:ascii="Arial" w:hAnsi="Arial" w:cs="Arial"/>
          <w:color w:val="222222"/>
          <w:sz w:val="20"/>
          <w:szCs w:val="20"/>
        </w:rPr>
        <w:t xml:space="preserve">, E. T. (2003). What to convey in antismoking advertisements for adolescents: The use of protection motivation theory to identify effective message themes. </w:t>
      </w:r>
      <w:r>
        <w:rPr>
          <w:rFonts w:ascii="Arial" w:hAnsi="Arial" w:cs="Arial"/>
          <w:i/>
          <w:iCs/>
          <w:color w:val="222222"/>
          <w:sz w:val="20"/>
          <w:szCs w:val="20"/>
        </w:rPr>
        <w:t>Journal of Marketing</w:t>
      </w:r>
      <w:r>
        <w:rPr>
          <w:rFonts w:ascii="Arial" w:hAnsi="Arial" w:cs="Arial"/>
          <w:color w:val="222222"/>
          <w:sz w:val="20"/>
          <w:szCs w:val="20"/>
        </w:rPr>
        <w:t xml:space="preserve">, </w:t>
      </w:r>
      <w:r>
        <w:rPr>
          <w:rFonts w:ascii="Arial" w:hAnsi="Arial" w:cs="Arial"/>
          <w:i/>
          <w:iCs/>
          <w:color w:val="222222"/>
          <w:sz w:val="20"/>
          <w:szCs w:val="20"/>
        </w:rPr>
        <w:t>67</w:t>
      </w:r>
      <w:r>
        <w:rPr>
          <w:rFonts w:ascii="Arial" w:hAnsi="Arial" w:cs="Arial"/>
          <w:color w:val="222222"/>
          <w:sz w:val="20"/>
          <w:szCs w:val="20"/>
        </w:rPr>
        <w:t>(2), 1-18.</w:t>
      </w:r>
    </w:p>
    <w:p w14:paraId="228AD2ED" w14:textId="51297BDC" w:rsidR="0022489C" w:rsidRDefault="0022489C">
      <w:pPr>
        <w:rPr>
          <w:rFonts w:ascii="Arial" w:hAnsi="Arial" w:cs="Arial"/>
          <w:color w:val="222222"/>
          <w:sz w:val="20"/>
          <w:szCs w:val="20"/>
        </w:rPr>
      </w:pPr>
      <w:proofErr w:type="spellStart"/>
      <w:r>
        <w:rPr>
          <w:rFonts w:ascii="Arial" w:hAnsi="Arial" w:cs="Arial"/>
          <w:color w:val="222222"/>
          <w:sz w:val="20"/>
          <w:szCs w:val="20"/>
        </w:rPr>
        <w:t>Peto</w:t>
      </w:r>
      <w:proofErr w:type="spellEnd"/>
      <w:r>
        <w:rPr>
          <w:rFonts w:ascii="Arial" w:hAnsi="Arial" w:cs="Arial"/>
          <w:color w:val="222222"/>
          <w:sz w:val="20"/>
          <w:szCs w:val="20"/>
        </w:rPr>
        <w:t xml:space="preserve">, R., Lopez, A. D., Boreham, J., Thun, M., Heath Jr, C., &amp; Doll, R. (1996). Mortality from smoking worldwide. </w:t>
      </w:r>
      <w:r>
        <w:rPr>
          <w:rFonts w:ascii="Arial" w:hAnsi="Arial" w:cs="Arial"/>
          <w:i/>
          <w:iCs/>
          <w:color w:val="222222"/>
          <w:sz w:val="20"/>
          <w:szCs w:val="20"/>
        </w:rPr>
        <w:t>British medical bulletin</w:t>
      </w:r>
      <w:r>
        <w:rPr>
          <w:rFonts w:ascii="Arial" w:hAnsi="Arial" w:cs="Arial"/>
          <w:color w:val="222222"/>
          <w:sz w:val="20"/>
          <w:szCs w:val="20"/>
        </w:rPr>
        <w:t xml:space="preserve">, </w:t>
      </w:r>
      <w:r>
        <w:rPr>
          <w:rFonts w:ascii="Arial" w:hAnsi="Arial" w:cs="Arial"/>
          <w:i/>
          <w:iCs/>
          <w:color w:val="222222"/>
          <w:sz w:val="20"/>
          <w:szCs w:val="20"/>
        </w:rPr>
        <w:t>52</w:t>
      </w:r>
      <w:r>
        <w:rPr>
          <w:rFonts w:ascii="Arial" w:hAnsi="Arial" w:cs="Arial"/>
          <w:color w:val="222222"/>
          <w:sz w:val="20"/>
          <w:szCs w:val="20"/>
        </w:rPr>
        <w:t>(1), 12-21.</w:t>
      </w:r>
    </w:p>
    <w:p w14:paraId="3F817898" w14:textId="3CC4BA7E" w:rsidR="002C1DFD" w:rsidRDefault="002C1DFD">
      <w:pPr>
        <w:rPr>
          <w:rFonts w:ascii="Arial" w:hAnsi="Arial" w:cs="Arial"/>
          <w:color w:val="222222"/>
          <w:sz w:val="20"/>
          <w:szCs w:val="20"/>
        </w:rPr>
      </w:pPr>
      <w:r>
        <w:rPr>
          <w:rFonts w:ascii="Arial" w:hAnsi="Arial" w:cs="Arial"/>
          <w:color w:val="222222"/>
          <w:sz w:val="20"/>
          <w:szCs w:val="20"/>
        </w:rPr>
        <w:t xml:space="preserve">Prochaska, J. O., DiClemente, C. C., &amp; Norcross, J. C. (1992). In search of how people change: Applications to addictive </w:t>
      </w:r>
      <w:proofErr w:type="spellStart"/>
      <w:r>
        <w:rPr>
          <w:rFonts w:ascii="Arial" w:hAnsi="Arial" w:cs="Arial"/>
          <w:color w:val="222222"/>
          <w:sz w:val="20"/>
          <w:szCs w:val="20"/>
        </w:rPr>
        <w:t>behaviors</w:t>
      </w:r>
      <w:proofErr w:type="spellEnd"/>
      <w:r>
        <w:rPr>
          <w:rFonts w:ascii="Arial" w:hAnsi="Arial" w:cs="Arial"/>
          <w:color w:val="222222"/>
          <w:sz w:val="20"/>
          <w:szCs w:val="20"/>
        </w:rPr>
        <w:t xml:space="preserve">. </w:t>
      </w:r>
      <w:r>
        <w:rPr>
          <w:rFonts w:ascii="Arial" w:hAnsi="Arial" w:cs="Arial"/>
          <w:i/>
          <w:iCs/>
          <w:color w:val="222222"/>
          <w:sz w:val="20"/>
          <w:szCs w:val="20"/>
        </w:rPr>
        <w:t>American psychologist</w:t>
      </w:r>
      <w:r>
        <w:rPr>
          <w:rFonts w:ascii="Arial" w:hAnsi="Arial" w:cs="Arial"/>
          <w:color w:val="222222"/>
          <w:sz w:val="20"/>
          <w:szCs w:val="20"/>
        </w:rPr>
        <w:t xml:space="preserve">, </w:t>
      </w:r>
      <w:r>
        <w:rPr>
          <w:rFonts w:ascii="Arial" w:hAnsi="Arial" w:cs="Arial"/>
          <w:i/>
          <w:iCs/>
          <w:color w:val="222222"/>
          <w:sz w:val="20"/>
          <w:szCs w:val="20"/>
        </w:rPr>
        <w:t>47</w:t>
      </w:r>
      <w:r>
        <w:rPr>
          <w:rFonts w:ascii="Arial" w:hAnsi="Arial" w:cs="Arial"/>
          <w:color w:val="222222"/>
          <w:sz w:val="20"/>
          <w:szCs w:val="20"/>
        </w:rPr>
        <w:t>(9), 1102.</w:t>
      </w:r>
    </w:p>
    <w:p w14:paraId="623344EB" w14:textId="2D7EA335" w:rsidR="005372B6" w:rsidRDefault="005372B6">
      <w:pPr>
        <w:rPr>
          <w:rFonts w:ascii="Arial" w:hAnsi="Arial" w:cs="Arial"/>
          <w:color w:val="222222"/>
          <w:sz w:val="20"/>
          <w:szCs w:val="20"/>
        </w:rPr>
      </w:pPr>
      <w:r>
        <w:rPr>
          <w:rFonts w:ascii="Arial" w:hAnsi="Arial" w:cs="Arial"/>
          <w:color w:val="222222"/>
          <w:sz w:val="20"/>
          <w:szCs w:val="20"/>
        </w:rPr>
        <w:t xml:space="preserve">Ratcliffe, J., Cairns, J., &amp; Platt, S. (1997). Cost effectiveness of a mass media-led anti-smoking campaign in Scotland. </w:t>
      </w:r>
      <w:r>
        <w:rPr>
          <w:rFonts w:ascii="Arial" w:hAnsi="Arial" w:cs="Arial"/>
          <w:i/>
          <w:iCs/>
          <w:color w:val="222222"/>
          <w:sz w:val="20"/>
          <w:szCs w:val="20"/>
        </w:rPr>
        <w:t>Tobacco Control</w:t>
      </w:r>
      <w:r>
        <w:rPr>
          <w:rFonts w:ascii="Arial" w:hAnsi="Arial" w:cs="Arial"/>
          <w:color w:val="222222"/>
          <w:sz w:val="20"/>
          <w:szCs w:val="20"/>
        </w:rPr>
        <w:t xml:space="preserve">, </w:t>
      </w:r>
      <w:r>
        <w:rPr>
          <w:rFonts w:ascii="Arial" w:hAnsi="Arial" w:cs="Arial"/>
          <w:i/>
          <w:iCs/>
          <w:color w:val="222222"/>
          <w:sz w:val="20"/>
          <w:szCs w:val="20"/>
        </w:rPr>
        <w:t>6</w:t>
      </w:r>
      <w:r>
        <w:rPr>
          <w:rFonts w:ascii="Arial" w:hAnsi="Arial" w:cs="Arial"/>
          <w:color w:val="222222"/>
          <w:sz w:val="20"/>
          <w:szCs w:val="20"/>
        </w:rPr>
        <w:t>(2), 104-110.</w:t>
      </w:r>
    </w:p>
    <w:p w14:paraId="1406CB55" w14:textId="5A1C66BF" w:rsidR="002C1DFD" w:rsidRPr="0022489C" w:rsidRDefault="002C1DFD">
      <w:pPr>
        <w:rPr>
          <w:u w:val="single"/>
        </w:rPr>
      </w:pPr>
      <w:r>
        <w:rPr>
          <w:rFonts w:ascii="Arial" w:hAnsi="Arial" w:cs="Arial"/>
          <w:color w:val="222222"/>
          <w:sz w:val="20"/>
          <w:szCs w:val="20"/>
        </w:rPr>
        <w:t xml:space="preserve">Webb, T. L., &amp; Sheeran, P. (2006). Does changing </w:t>
      </w:r>
      <w:proofErr w:type="spellStart"/>
      <w:r>
        <w:rPr>
          <w:rFonts w:ascii="Arial" w:hAnsi="Arial" w:cs="Arial"/>
          <w:color w:val="222222"/>
          <w:sz w:val="20"/>
          <w:szCs w:val="20"/>
        </w:rPr>
        <w:t>behavioral</w:t>
      </w:r>
      <w:proofErr w:type="spellEnd"/>
      <w:r>
        <w:rPr>
          <w:rFonts w:ascii="Arial" w:hAnsi="Arial" w:cs="Arial"/>
          <w:color w:val="222222"/>
          <w:sz w:val="20"/>
          <w:szCs w:val="20"/>
        </w:rPr>
        <w:t xml:space="preserve"> intentions engender </w:t>
      </w:r>
      <w:proofErr w:type="spellStart"/>
      <w:r>
        <w:rPr>
          <w:rFonts w:ascii="Arial" w:hAnsi="Arial" w:cs="Arial"/>
          <w:color w:val="222222"/>
          <w:sz w:val="20"/>
          <w:szCs w:val="20"/>
        </w:rPr>
        <w:t>behavior</w:t>
      </w:r>
      <w:proofErr w:type="spellEnd"/>
      <w:r>
        <w:rPr>
          <w:rFonts w:ascii="Arial" w:hAnsi="Arial" w:cs="Arial"/>
          <w:color w:val="222222"/>
          <w:sz w:val="20"/>
          <w:szCs w:val="20"/>
        </w:rPr>
        <w:t xml:space="preserve"> change? A meta-analysis of the experimental evidence. </w:t>
      </w:r>
      <w:r>
        <w:rPr>
          <w:rFonts w:ascii="Arial" w:hAnsi="Arial" w:cs="Arial"/>
          <w:i/>
          <w:iCs/>
          <w:color w:val="222222"/>
          <w:sz w:val="20"/>
          <w:szCs w:val="20"/>
        </w:rPr>
        <w:t>Psychological bulletin</w:t>
      </w:r>
      <w:r>
        <w:rPr>
          <w:rFonts w:ascii="Arial" w:hAnsi="Arial" w:cs="Arial"/>
          <w:color w:val="222222"/>
          <w:sz w:val="20"/>
          <w:szCs w:val="20"/>
        </w:rPr>
        <w:t xml:space="preserve">, </w:t>
      </w:r>
      <w:r>
        <w:rPr>
          <w:rFonts w:ascii="Arial" w:hAnsi="Arial" w:cs="Arial"/>
          <w:i/>
          <w:iCs/>
          <w:color w:val="222222"/>
          <w:sz w:val="20"/>
          <w:szCs w:val="20"/>
        </w:rPr>
        <w:t>132</w:t>
      </w:r>
      <w:r>
        <w:rPr>
          <w:rFonts w:ascii="Arial" w:hAnsi="Arial" w:cs="Arial"/>
          <w:color w:val="222222"/>
          <w:sz w:val="20"/>
          <w:szCs w:val="20"/>
        </w:rPr>
        <w:t>(2), 249.</w:t>
      </w:r>
    </w:p>
    <w:p w14:paraId="204297C7" w14:textId="77777777" w:rsidR="00BA3A46" w:rsidRDefault="00BA3A46"/>
    <w:p w14:paraId="7B04D415" w14:textId="77777777" w:rsidR="00375084" w:rsidRDefault="00375084"/>
    <w:sectPr w:rsidR="003750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CF"/>
    <w:rsid w:val="000E5B15"/>
    <w:rsid w:val="001A0414"/>
    <w:rsid w:val="001C1114"/>
    <w:rsid w:val="00206E5F"/>
    <w:rsid w:val="00210EE6"/>
    <w:rsid w:val="0022489C"/>
    <w:rsid w:val="002948CE"/>
    <w:rsid w:val="002C1DFD"/>
    <w:rsid w:val="003068C0"/>
    <w:rsid w:val="003131BD"/>
    <w:rsid w:val="00342507"/>
    <w:rsid w:val="003705F4"/>
    <w:rsid w:val="00375084"/>
    <w:rsid w:val="003A4427"/>
    <w:rsid w:val="00481D13"/>
    <w:rsid w:val="004B4E25"/>
    <w:rsid w:val="004D3B97"/>
    <w:rsid w:val="00514C4E"/>
    <w:rsid w:val="005372B6"/>
    <w:rsid w:val="005A0DB3"/>
    <w:rsid w:val="005C2615"/>
    <w:rsid w:val="006250EF"/>
    <w:rsid w:val="00786761"/>
    <w:rsid w:val="007A635F"/>
    <w:rsid w:val="007C2458"/>
    <w:rsid w:val="007D5A30"/>
    <w:rsid w:val="00844BCA"/>
    <w:rsid w:val="0087718C"/>
    <w:rsid w:val="00877489"/>
    <w:rsid w:val="008E6A54"/>
    <w:rsid w:val="008F1956"/>
    <w:rsid w:val="00963453"/>
    <w:rsid w:val="00A43383"/>
    <w:rsid w:val="00A56E60"/>
    <w:rsid w:val="00AC4464"/>
    <w:rsid w:val="00AF30D2"/>
    <w:rsid w:val="00B20AD8"/>
    <w:rsid w:val="00BA3A46"/>
    <w:rsid w:val="00BB2508"/>
    <w:rsid w:val="00C21CCF"/>
    <w:rsid w:val="00C76331"/>
    <w:rsid w:val="00D36A9C"/>
    <w:rsid w:val="00EB0186"/>
    <w:rsid w:val="00EE367E"/>
    <w:rsid w:val="00F0389A"/>
    <w:rsid w:val="00F10117"/>
    <w:rsid w:val="00FA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99987"/>
  <w15:chartTrackingRefBased/>
  <w15:docId w15:val="{10912E60-149C-452A-AAEC-88821F80F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68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068C0"/>
    <w:rPr>
      <w:i/>
      <w:iCs/>
    </w:rPr>
  </w:style>
  <w:style w:type="paragraph" w:customStyle="1" w:styleId="p">
    <w:name w:val="p"/>
    <w:basedOn w:val="Normal"/>
    <w:rsid w:val="00A56E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56E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86478">
      <w:bodyDiv w:val="1"/>
      <w:marLeft w:val="0"/>
      <w:marRight w:val="0"/>
      <w:marTop w:val="0"/>
      <w:marBottom w:val="0"/>
      <w:divBdr>
        <w:top w:val="none" w:sz="0" w:space="0" w:color="auto"/>
        <w:left w:val="none" w:sz="0" w:space="0" w:color="auto"/>
        <w:bottom w:val="none" w:sz="0" w:space="0" w:color="auto"/>
        <w:right w:val="none" w:sz="0" w:space="0" w:color="auto"/>
      </w:divBdr>
    </w:div>
    <w:div w:id="736393603">
      <w:bodyDiv w:val="1"/>
      <w:marLeft w:val="0"/>
      <w:marRight w:val="0"/>
      <w:marTop w:val="0"/>
      <w:marBottom w:val="0"/>
      <w:divBdr>
        <w:top w:val="none" w:sz="0" w:space="0" w:color="auto"/>
        <w:left w:val="none" w:sz="0" w:space="0" w:color="auto"/>
        <w:bottom w:val="none" w:sz="0" w:space="0" w:color="auto"/>
        <w:right w:val="none" w:sz="0" w:space="0" w:color="auto"/>
      </w:divBdr>
    </w:div>
    <w:div w:id="204416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TotalTime>
  <Pages>5</Pages>
  <Words>2756</Words>
  <Characters>15713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Burgess</dc:creator>
  <cp:keywords/>
  <dc:description/>
  <cp:lastModifiedBy>Abigail Burgess</cp:lastModifiedBy>
  <cp:revision>18</cp:revision>
  <dcterms:created xsi:type="dcterms:W3CDTF">2018-03-28T20:04:00Z</dcterms:created>
  <dcterms:modified xsi:type="dcterms:W3CDTF">2018-03-30T10:12:00Z</dcterms:modified>
</cp:coreProperties>
</file>