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212A1C" w14:textId="59AC3AC7" w:rsidR="00D9590D" w:rsidRPr="00D9590D" w:rsidRDefault="00D9590D">
      <w:pPr>
        <w:rPr>
          <w:rFonts w:asciiTheme="majorHAnsi" w:hAnsiTheme="majorHAnsi" w:cstheme="majorHAnsi"/>
          <w:u w:val="single"/>
        </w:rPr>
      </w:pPr>
      <w:r w:rsidRPr="00D9590D">
        <w:rPr>
          <w:rFonts w:asciiTheme="majorHAnsi" w:hAnsiTheme="majorHAnsi" w:cstheme="majorHAnsi"/>
          <w:u w:val="single"/>
        </w:rPr>
        <w:t>Criminal Law – Emily Prothero (2204285)</w:t>
      </w:r>
    </w:p>
    <w:p w14:paraId="76A53CA2" w14:textId="7BAA91DD" w:rsidR="0025607C" w:rsidRDefault="00D9590D">
      <w:r w:rsidRPr="0025607C">
        <w:rPr>
          <w:noProof/>
        </w:rPr>
        <w:drawing>
          <wp:anchor distT="0" distB="0" distL="114300" distR="114300" simplePos="0" relativeHeight="251658240" behindDoc="1" locked="0" layoutInCell="1" allowOverlap="1" wp14:anchorId="6E211AD5" wp14:editId="5B374B6A">
            <wp:simplePos x="0" y="0"/>
            <wp:positionH relativeFrom="column">
              <wp:posOffset>349885</wp:posOffset>
            </wp:positionH>
            <wp:positionV relativeFrom="paragraph">
              <wp:posOffset>171450</wp:posOffset>
            </wp:positionV>
            <wp:extent cx="5200650" cy="4277995"/>
            <wp:effectExtent l="0" t="0" r="6350" b="1905"/>
            <wp:wrapNone/>
            <wp:docPr id="7" name="Picture 7" descr="Text, letter&#10;&#10;Description automatically generated">
              <a:extLst xmlns:a="http://schemas.openxmlformats.org/drawingml/2006/main">
                <a:ext uri="{FF2B5EF4-FFF2-40B4-BE49-F238E27FC236}">
                  <a16:creationId xmlns:a16="http://schemas.microsoft.com/office/drawing/2014/main" id="{77568DFE-3F9E-5E4F-7D37-8B69F5CC1AC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a:extLst>
                        <a:ext uri="{FF2B5EF4-FFF2-40B4-BE49-F238E27FC236}">
                          <a16:creationId xmlns:a16="http://schemas.microsoft.com/office/drawing/2014/main" id="{77568DFE-3F9E-5E4F-7D37-8B69F5CC1ACC}"/>
                        </a:ext>
                      </a:extLst>
                    </pic:cNvPr>
                    <pic:cNvPicPr>
                      <a:picLocks noGrp="1"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200650" cy="4277995"/>
                    </a:xfrm>
                    <a:prstGeom prst="rect">
                      <a:avLst/>
                    </a:prstGeom>
                  </pic:spPr>
                </pic:pic>
              </a:graphicData>
            </a:graphic>
            <wp14:sizeRelH relativeFrom="page">
              <wp14:pctWidth>0</wp14:pctWidth>
            </wp14:sizeRelH>
            <wp14:sizeRelV relativeFrom="page">
              <wp14:pctHeight>0</wp14:pctHeight>
            </wp14:sizeRelV>
          </wp:anchor>
        </w:drawing>
      </w:r>
    </w:p>
    <w:p w14:paraId="3A89970D" w14:textId="400CD833" w:rsidR="0025607C" w:rsidRDefault="0025607C"/>
    <w:p w14:paraId="56B740B0" w14:textId="5A7F4CDA" w:rsidR="0025607C" w:rsidRDefault="0025607C"/>
    <w:p w14:paraId="6D9C7AF5" w14:textId="6816FD4A" w:rsidR="0025607C" w:rsidRDefault="0025607C"/>
    <w:p w14:paraId="799DC39A" w14:textId="157D1C12" w:rsidR="0025607C" w:rsidRDefault="0025607C"/>
    <w:p w14:paraId="4234E26C" w14:textId="77777777" w:rsidR="0025607C" w:rsidRDefault="0025607C"/>
    <w:p w14:paraId="65912142" w14:textId="77777777" w:rsidR="0025607C" w:rsidRDefault="0025607C"/>
    <w:p w14:paraId="5790184C" w14:textId="77777777" w:rsidR="0025607C" w:rsidRDefault="0025607C"/>
    <w:p w14:paraId="152E55F4" w14:textId="77777777" w:rsidR="0025607C" w:rsidRDefault="0025607C"/>
    <w:p w14:paraId="0E72B317" w14:textId="77777777" w:rsidR="0025607C" w:rsidRDefault="0025607C"/>
    <w:p w14:paraId="687E7BE5" w14:textId="77777777" w:rsidR="0025607C" w:rsidRDefault="0025607C"/>
    <w:p w14:paraId="2EB59F4D" w14:textId="77777777" w:rsidR="0025607C" w:rsidRDefault="0025607C"/>
    <w:p w14:paraId="73B72240" w14:textId="77777777" w:rsidR="0025607C" w:rsidRDefault="0025607C"/>
    <w:p w14:paraId="3A41B9A5" w14:textId="77777777" w:rsidR="0025607C" w:rsidRDefault="0025607C"/>
    <w:p w14:paraId="56B5881C" w14:textId="77777777" w:rsidR="0025607C" w:rsidRDefault="0025607C"/>
    <w:p w14:paraId="0CD92787" w14:textId="77777777" w:rsidR="0025607C" w:rsidRDefault="0025607C"/>
    <w:p w14:paraId="5CE65BC5" w14:textId="77777777" w:rsidR="0025607C" w:rsidRDefault="0025607C"/>
    <w:p w14:paraId="2AE3D1BE" w14:textId="77777777" w:rsidR="0025607C" w:rsidRDefault="0025607C"/>
    <w:p w14:paraId="65A33452" w14:textId="77777777" w:rsidR="0025607C" w:rsidRDefault="0025607C"/>
    <w:p w14:paraId="490B5A11" w14:textId="77777777" w:rsidR="0025607C" w:rsidRPr="0025607C" w:rsidRDefault="0025607C">
      <w:pPr>
        <w:rPr>
          <w:sz w:val="18"/>
          <w:szCs w:val="18"/>
        </w:rPr>
      </w:pPr>
    </w:p>
    <w:p w14:paraId="1AC33C04" w14:textId="758BE094" w:rsidR="0025607C" w:rsidRPr="0025607C" w:rsidRDefault="0025607C">
      <w:pPr>
        <w:rPr>
          <w:rFonts w:asciiTheme="majorHAnsi" w:hAnsiTheme="majorHAnsi" w:cstheme="majorHAnsi"/>
          <w:sz w:val="18"/>
          <w:szCs w:val="18"/>
        </w:rPr>
      </w:pPr>
    </w:p>
    <w:p w14:paraId="70EA7816" w14:textId="77777777" w:rsidR="00BD3FEF" w:rsidRDefault="00BD3FEF" w:rsidP="0025607C">
      <w:pPr>
        <w:jc w:val="both"/>
        <w:rPr>
          <w:rFonts w:asciiTheme="majorHAnsi" w:hAnsiTheme="majorHAnsi" w:cstheme="majorHAnsi"/>
          <w:sz w:val="18"/>
          <w:szCs w:val="18"/>
        </w:rPr>
      </w:pPr>
    </w:p>
    <w:p w14:paraId="216358AE" w14:textId="77777777" w:rsidR="00BD3FEF" w:rsidRDefault="00BD3FEF" w:rsidP="0025607C">
      <w:pPr>
        <w:jc w:val="both"/>
        <w:rPr>
          <w:rFonts w:asciiTheme="majorHAnsi" w:hAnsiTheme="majorHAnsi" w:cstheme="majorHAnsi"/>
          <w:sz w:val="18"/>
          <w:szCs w:val="18"/>
        </w:rPr>
      </w:pPr>
    </w:p>
    <w:p w14:paraId="3C68A500" w14:textId="77777777" w:rsidR="00BD3FEF" w:rsidRDefault="00BD3FEF" w:rsidP="0025607C">
      <w:pPr>
        <w:jc w:val="both"/>
        <w:rPr>
          <w:rFonts w:asciiTheme="majorHAnsi" w:hAnsiTheme="majorHAnsi" w:cstheme="majorHAnsi"/>
          <w:sz w:val="18"/>
          <w:szCs w:val="18"/>
        </w:rPr>
      </w:pPr>
    </w:p>
    <w:p w14:paraId="1F454B98" w14:textId="77777777" w:rsidR="00BD3FEF" w:rsidRDefault="00BD3FEF" w:rsidP="0025607C">
      <w:pPr>
        <w:jc w:val="both"/>
        <w:rPr>
          <w:rFonts w:asciiTheme="majorHAnsi" w:hAnsiTheme="majorHAnsi" w:cstheme="majorHAnsi"/>
          <w:sz w:val="18"/>
          <w:szCs w:val="18"/>
        </w:rPr>
      </w:pPr>
    </w:p>
    <w:p w14:paraId="684F17EB" w14:textId="77777777" w:rsidR="00BD3FEF" w:rsidRDefault="00BD3FEF" w:rsidP="0025607C">
      <w:pPr>
        <w:jc w:val="both"/>
        <w:rPr>
          <w:rFonts w:asciiTheme="majorHAnsi" w:hAnsiTheme="majorHAnsi" w:cstheme="majorHAnsi"/>
          <w:sz w:val="18"/>
          <w:szCs w:val="18"/>
        </w:rPr>
      </w:pPr>
    </w:p>
    <w:p w14:paraId="12615711" w14:textId="77777777" w:rsidR="00BD3FEF" w:rsidRDefault="00BD3FEF" w:rsidP="0025607C">
      <w:pPr>
        <w:jc w:val="both"/>
        <w:rPr>
          <w:rFonts w:asciiTheme="majorHAnsi" w:hAnsiTheme="majorHAnsi" w:cstheme="majorHAnsi"/>
          <w:sz w:val="18"/>
          <w:szCs w:val="18"/>
        </w:rPr>
      </w:pPr>
    </w:p>
    <w:p w14:paraId="53590ED4" w14:textId="340F0A83" w:rsidR="0025607C" w:rsidRDefault="0025607C" w:rsidP="0025607C">
      <w:pPr>
        <w:jc w:val="both"/>
        <w:rPr>
          <w:rFonts w:asciiTheme="majorHAnsi" w:hAnsiTheme="majorHAnsi" w:cstheme="majorHAnsi"/>
          <w:sz w:val="18"/>
          <w:szCs w:val="18"/>
        </w:rPr>
      </w:pPr>
      <w:r>
        <w:rPr>
          <w:rFonts w:asciiTheme="majorHAnsi" w:hAnsiTheme="majorHAnsi" w:cstheme="majorHAnsi"/>
          <w:sz w:val="18"/>
          <w:szCs w:val="18"/>
        </w:rPr>
        <w:t>To</w:t>
      </w:r>
      <w:r w:rsidRPr="0025607C">
        <w:rPr>
          <w:rFonts w:asciiTheme="majorHAnsi" w:hAnsiTheme="majorHAnsi" w:cstheme="majorHAnsi"/>
          <w:sz w:val="18"/>
          <w:szCs w:val="18"/>
        </w:rPr>
        <w:t xml:space="preserve"> thoroughly discuss the given scenario, one must be competent enough to consider all criminal liabilities present. It is evident that there are three significant individuals entwined within the given circumstance, and so each offence shall be discussed in chronological order. </w:t>
      </w:r>
    </w:p>
    <w:p w14:paraId="6502938D" w14:textId="77777777" w:rsidR="0089609A" w:rsidRDefault="0089609A" w:rsidP="0025607C">
      <w:pPr>
        <w:jc w:val="both"/>
        <w:rPr>
          <w:rFonts w:asciiTheme="majorHAnsi" w:hAnsiTheme="majorHAnsi" w:cstheme="majorHAnsi"/>
          <w:sz w:val="18"/>
          <w:szCs w:val="18"/>
        </w:rPr>
      </w:pPr>
    </w:p>
    <w:p w14:paraId="38DF990A" w14:textId="497568A5" w:rsidR="0089609A" w:rsidRDefault="0089609A" w:rsidP="0089609A">
      <w:pPr>
        <w:jc w:val="both"/>
        <w:rPr>
          <w:rFonts w:asciiTheme="majorHAnsi" w:hAnsiTheme="majorHAnsi" w:cstheme="majorHAnsi"/>
          <w:sz w:val="18"/>
          <w:szCs w:val="18"/>
        </w:rPr>
      </w:pPr>
      <w:r>
        <w:rPr>
          <w:rFonts w:asciiTheme="majorHAnsi" w:hAnsiTheme="majorHAnsi" w:cstheme="majorHAnsi"/>
          <w:sz w:val="18"/>
          <w:szCs w:val="18"/>
        </w:rPr>
        <w:t>The first of the criminal liabilit</w:t>
      </w:r>
      <w:r w:rsidR="00C23874">
        <w:rPr>
          <w:rFonts w:asciiTheme="majorHAnsi" w:hAnsiTheme="majorHAnsi" w:cstheme="majorHAnsi"/>
          <w:sz w:val="18"/>
          <w:szCs w:val="18"/>
        </w:rPr>
        <w:t>ies</w:t>
      </w:r>
      <w:r>
        <w:rPr>
          <w:rFonts w:asciiTheme="majorHAnsi" w:hAnsiTheme="majorHAnsi" w:cstheme="majorHAnsi"/>
          <w:sz w:val="18"/>
          <w:szCs w:val="18"/>
        </w:rPr>
        <w:t xml:space="preserve"> demonstrated within the given scenario may be deemed as common assault. </w:t>
      </w:r>
      <w:r>
        <w:rPr>
          <w:rFonts w:asciiTheme="majorHAnsi" w:hAnsiTheme="majorHAnsi" w:cstheme="majorHAnsi"/>
          <w:sz w:val="18"/>
          <w:szCs w:val="18"/>
        </w:rPr>
        <w:t xml:space="preserve">Some may argue that Polly’s hand gesture and comment she condemned towards Roxanne </w:t>
      </w:r>
      <w:r>
        <w:rPr>
          <w:rFonts w:asciiTheme="majorHAnsi" w:hAnsiTheme="majorHAnsi" w:cstheme="majorHAnsi"/>
          <w:sz w:val="18"/>
          <w:szCs w:val="18"/>
        </w:rPr>
        <w:t xml:space="preserve">were indeed </w:t>
      </w:r>
      <w:r>
        <w:rPr>
          <w:rFonts w:asciiTheme="majorHAnsi" w:hAnsiTheme="majorHAnsi" w:cstheme="majorHAnsi"/>
          <w:sz w:val="18"/>
          <w:szCs w:val="18"/>
        </w:rPr>
        <w:t>verbal abuse.</w:t>
      </w:r>
      <w:r>
        <w:rPr>
          <w:rFonts w:asciiTheme="majorHAnsi" w:hAnsiTheme="majorHAnsi" w:cstheme="majorHAnsi"/>
          <w:sz w:val="18"/>
          <w:szCs w:val="18"/>
        </w:rPr>
        <w:t xml:space="preserve"> After thoroughly analysing </w:t>
      </w:r>
      <w:r w:rsidR="00512640">
        <w:rPr>
          <w:rFonts w:asciiTheme="majorHAnsi" w:hAnsiTheme="majorHAnsi" w:cstheme="majorHAnsi"/>
          <w:sz w:val="18"/>
          <w:szCs w:val="18"/>
        </w:rPr>
        <w:t>Common Assault which is located within Section 39 of the Criminal Justice Act 1988, Polly did not commit this offence (The Crown Prosecution Service, 2022). An assault is defined as any act (rather than an omission to act) in which a person intentionally or recklessly causes another person to suffer or be apprehended by imminent unlawful violence. Yes, one may contend with the fact that being called a ‘bitch’ is rather humiliating, however</w:t>
      </w:r>
      <w:r w:rsidR="00C23874">
        <w:rPr>
          <w:rFonts w:asciiTheme="majorHAnsi" w:hAnsiTheme="majorHAnsi" w:cstheme="majorHAnsi"/>
          <w:sz w:val="18"/>
          <w:szCs w:val="18"/>
        </w:rPr>
        <w:t>,</w:t>
      </w:r>
      <w:r w:rsidR="00512640">
        <w:rPr>
          <w:rFonts w:asciiTheme="majorHAnsi" w:hAnsiTheme="majorHAnsi" w:cstheme="majorHAnsi"/>
          <w:sz w:val="18"/>
          <w:szCs w:val="18"/>
        </w:rPr>
        <w:t xml:space="preserve"> </w:t>
      </w:r>
      <w:r w:rsidR="00C23874">
        <w:rPr>
          <w:rFonts w:asciiTheme="majorHAnsi" w:hAnsiTheme="majorHAnsi" w:cstheme="majorHAnsi"/>
          <w:sz w:val="18"/>
          <w:szCs w:val="18"/>
        </w:rPr>
        <w:t xml:space="preserve">it is not classed as terroristic or an assault in any shape or form.  </w:t>
      </w:r>
    </w:p>
    <w:p w14:paraId="0EF6B7A1" w14:textId="3A578BC1" w:rsidR="0025607C" w:rsidRPr="0025607C" w:rsidRDefault="0025607C" w:rsidP="0025607C">
      <w:pPr>
        <w:jc w:val="both"/>
        <w:rPr>
          <w:rFonts w:asciiTheme="majorHAnsi" w:hAnsiTheme="majorHAnsi" w:cstheme="majorHAnsi"/>
          <w:sz w:val="18"/>
          <w:szCs w:val="18"/>
        </w:rPr>
      </w:pPr>
      <w:r w:rsidRPr="0025607C">
        <w:rPr>
          <w:rFonts w:asciiTheme="majorHAnsi" w:hAnsiTheme="majorHAnsi" w:cstheme="majorHAnsi"/>
          <w:sz w:val="18"/>
          <w:szCs w:val="18"/>
        </w:rPr>
        <w:t xml:space="preserve">In the </w:t>
      </w:r>
      <w:r w:rsidR="0089609A">
        <w:rPr>
          <w:rFonts w:asciiTheme="majorHAnsi" w:hAnsiTheme="majorHAnsi" w:cstheme="majorHAnsi"/>
          <w:sz w:val="18"/>
          <w:szCs w:val="18"/>
        </w:rPr>
        <w:t xml:space="preserve">second </w:t>
      </w:r>
      <w:r w:rsidRPr="0025607C">
        <w:rPr>
          <w:rFonts w:asciiTheme="majorHAnsi" w:hAnsiTheme="majorHAnsi" w:cstheme="majorHAnsi"/>
          <w:sz w:val="18"/>
          <w:szCs w:val="18"/>
        </w:rPr>
        <w:t xml:space="preserve">instance, it must be recognised that Polly does indeed suffer from a serious mental disorder; Schizophrenia. According to NHS (2023), Schizophrenia affects the mind psychologically and can result in hallucinations and delusions. </w:t>
      </w:r>
    </w:p>
    <w:p w14:paraId="5B26439A" w14:textId="327D3AC2" w:rsidR="0025607C" w:rsidRPr="0025607C" w:rsidRDefault="0025607C" w:rsidP="0025607C">
      <w:pPr>
        <w:jc w:val="both"/>
        <w:rPr>
          <w:rFonts w:asciiTheme="majorHAnsi" w:hAnsiTheme="majorHAnsi" w:cstheme="majorHAnsi"/>
          <w:sz w:val="18"/>
          <w:szCs w:val="18"/>
        </w:rPr>
      </w:pPr>
      <w:r w:rsidRPr="0025607C">
        <w:rPr>
          <w:rFonts w:asciiTheme="majorHAnsi" w:hAnsiTheme="majorHAnsi" w:cstheme="majorHAnsi"/>
          <w:sz w:val="18"/>
          <w:szCs w:val="18"/>
        </w:rPr>
        <w:t xml:space="preserve">Within the scenario, as the result of Mohammad acting flirtatiously towards bar-lady, Roxanne, Polly utilises and proceeds to use a broken piece of glass to sever the brake cables of Roxanne’s moped. This is indeed Criminal Damage. </w:t>
      </w:r>
    </w:p>
    <w:p w14:paraId="0DDCD07F" w14:textId="663536D0" w:rsidR="0025607C" w:rsidRDefault="0025607C" w:rsidP="0025607C">
      <w:pPr>
        <w:jc w:val="both"/>
        <w:rPr>
          <w:rFonts w:asciiTheme="majorHAnsi" w:hAnsiTheme="majorHAnsi" w:cstheme="majorHAnsi"/>
          <w:sz w:val="18"/>
          <w:szCs w:val="18"/>
        </w:rPr>
      </w:pPr>
      <w:r w:rsidRPr="0025607C">
        <w:rPr>
          <w:rFonts w:asciiTheme="majorHAnsi" w:hAnsiTheme="majorHAnsi" w:cstheme="majorHAnsi"/>
          <w:sz w:val="18"/>
          <w:szCs w:val="18"/>
        </w:rPr>
        <w:t xml:space="preserve">A person who destroys or damages property belonging to another without legitimate cause, with the intent to destroy or damage such property, or who is reckless as to whether such property will be destroyed or damaged, commits an offence (Criminal Damage Act, 1971). Severing brake cables </w:t>
      </w:r>
      <w:r w:rsidR="00C23874">
        <w:rPr>
          <w:rFonts w:asciiTheme="majorHAnsi" w:hAnsiTheme="majorHAnsi" w:cstheme="majorHAnsi"/>
          <w:sz w:val="18"/>
          <w:szCs w:val="18"/>
        </w:rPr>
        <w:t xml:space="preserve">is </w:t>
      </w:r>
      <w:r w:rsidRPr="0025607C">
        <w:rPr>
          <w:rFonts w:asciiTheme="majorHAnsi" w:hAnsiTheme="majorHAnsi" w:cstheme="majorHAnsi"/>
          <w:sz w:val="18"/>
          <w:szCs w:val="18"/>
        </w:rPr>
        <w:t xml:space="preserve">considered </w:t>
      </w:r>
      <w:r>
        <w:rPr>
          <w:rFonts w:asciiTheme="majorHAnsi" w:hAnsiTheme="majorHAnsi" w:cstheme="majorHAnsi"/>
          <w:sz w:val="18"/>
          <w:szCs w:val="18"/>
        </w:rPr>
        <w:t xml:space="preserve">an act of criminal damage; Polly did indeed commit this offence recklessly and with the intention to destroy or damage </w:t>
      </w:r>
      <w:r w:rsidR="00C23874">
        <w:rPr>
          <w:rFonts w:asciiTheme="majorHAnsi" w:hAnsiTheme="majorHAnsi" w:cstheme="majorHAnsi"/>
          <w:sz w:val="18"/>
          <w:szCs w:val="18"/>
        </w:rPr>
        <w:t xml:space="preserve">the property. </w:t>
      </w:r>
    </w:p>
    <w:p w14:paraId="1934D33A" w14:textId="168B8221" w:rsidR="0025607C" w:rsidRDefault="0025607C" w:rsidP="0025607C">
      <w:pPr>
        <w:jc w:val="both"/>
        <w:rPr>
          <w:rFonts w:asciiTheme="majorHAnsi" w:hAnsiTheme="majorHAnsi" w:cstheme="majorHAnsi"/>
          <w:sz w:val="18"/>
          <w:szCs w:val="18"/>
        </w:rPr>
      </w:pPr>
      <w:r>
        <w:rPr>
          <w:rFonts w:asciiTheme="majorHAnsi" w:hAnsiTheme="majorHAnsi" w:cstheme="majorHAnsi"/>
          <w:sz w:val="18"/>
          <w:szCs w:val="18"/>
        </w:rPr>
        <w:t xml:space="preserve">It is evident that the statute mentions the term, ‘destroy or damage’. </w:t>
      </w:r>
      <w:r w:rsidRPr="0025607C">
        <w:rPr>
          <w:rFonts w:asciiTheme="majorHAnsi" w:hAnsiTheme="majorHAnsi" w:cstheme="majorHAnsi"/>
          <w:sz w:val="18"/>
          <w:szCs w:val="18"/>
        </w:rPr>
        <w:t xml:space="preserve">The phrase 'destruction' signifies that the </w:t>
      </w:r>
      <w:r>
        <w:rPr>
          <w:rFonts w:asciiTheme="majorHAnsi" w:hAnsiTheme="majorHAnsi" w:cstheme="majorHAnsi"/>
          <w:sz w:val="18"/>
          <w:szCs w:val="18"/>
        </w:rPr>
        <w:t xml:space="preserve">said object </w:t>
      </w:r>
      <w:r w:rsidRPr="0025607C">
        <w:rPr>
          <w:rFonts w:asciiTheme="majorHAnsi" w:hAnsiTheme="majorHAnsi" w:cstheme="majorHAnsi"/>
          <w:sz w:val="18"/>
          <w:szCs w:val="18"/>
        </w:rPr>
        <w:t>no longer exists as a result of the defendant's actions.</w:t>
      </w:r>
      <w:r>
        <w:rPr>
          <w:rFonts w:asciiTheme="majorHAnsi" w:hAnsiTheme="majorHAnsi" w:cstheme="majorHAnsi"/>
          <w:sz w:val="18"/>
          <w:szCs w:val="18"/>
        </w:rPr>
        <w:t xml:space="preserve"> T</w:t>
      </w:r>
      <w:r w:rsidRPr="0025607C">
        <w:rPr>
          <w:rFonts w:asciiTheme="majorHAnsi" w:hAnsiTheme="majorHAnsi" w:cstheme="majorHAnsi"/>
          <w:sz w:val="18"/>
          <w:szCs w:val="18"/>
        </w:rPr>
        <w:t>he term 'damage' implies that the acts harmed the property but did not destroy it.</w:t>
      </w:r>
    </w:p>
    <w:p w14:paraId="7B7AF74E" w14:textId="3C8D4CB9" w:rsidR="0025607C" w:rsidRDefault="0025607C" w:rsidP="0025607C">
      <w:pPr>
        <w:jc w:val="both"/>
        <w:rPr>
          <w:rFonts w:asciiTheme="majorHAnsi" w:hAnsiTheme="majorHAnsi" w:cstheme="majorHAnsi"/>
          <w:sz w:val="18"/>
          <w:szCs w:val="18"/>
        </w:rPr>
      </w:pPr>
      <w:r>
        <w:rPr>
          <w:rFonts w:asciiTheme="majorHAnsi" w:hAnsiTheme="majorHAnsi" w:cstheme="majorHAnsi"/>
          <w:sz w:val="18"/>
          <w:szCs w:val="18"/>
        </w:rPr>
        <w:t xml:space="preserve">In criminal law, the term ‘actus reus’ is used frequently. Within the Criminal Damage Act of 1971, this expression is condemned within section 1 (1) of the legislation. A person is deemed guilty if they purposely, recklessly harm or damage another person’s property without any lawful excuse. Within the given scenario, Polly severed Roxanne’s brake cables without lawful justification and so actus reus was indeed established. </w:t>
      </w:r>
    </w:p>
    <w:p w14:paraId="0FCA241A" w14:textId="316B0FE9" w:rsidR="0025607C" w:rsidRDefault="0025607C" w:rsidP="0025607C">
      <w:pPr>
        <w:jc w:val="both"/>
        <w:rPr>
          <w:rFonts w:asciiTheme="majorHAnsi" w:hAnsiTheme="majorHAnsi" w:cstheme="majorHAnsi"/>
          <w:sz w:val="18"/>
          <w:szCs w:val="18"/>
        </w:rPr>
      </w:pPr>
      <w:r>
        <w:rPr>
          <w:rFonts w:asciiTheme="majorHAnsi" w:hAnsiTheme="majorHAnsi" w:cstheme="majorHAnsi"/>
          <w:sz w:val="18"/>
          <w:szCs w:val="18"/>
        </w:rPr>
        <w:t xml:space="preserve">Furthermore, under review of </w:t>
      </w:r>
      <w:proofErr w:type="spellStart"/>
      <w:r>
        <w:rPr>
          <w:rFonts w:asciiTheme="majorHAnsi" w:hAnsiTheme="majorHAnsi" w:cstheme="majorHAnsi"/>
          <w:sz w:val="18"/>
          <w:szCs w:val="18"/>
        </w:rPr>
        <w:t>mens</w:t>
      </w:r>
      <w:proofErr w:type="spellEnd"/>
      <w:r>
        <w:rPr>
          <w:rFonts w:asciiTheme="majorHAnsi" w:hAnsiTheme="majorHAnsi" w:cstheme="majorHAnsi"/>
          <w:sz w:val="18"/>
          <w:szCs w:val="18"/>
        </w:rPr>
        <w:t xml:space="preserve"> rea for the unlawful act of criminal damage, </w:t>
      </w:r>
      <w:r w:rsidR="00C23874">
        <w:rPr>
          <w:rFonts w:asciiTheme="majorHAnsi" w:hAnsiTheme="majorHAnsi" w:cstheme="majorHAnsi"/>
          <w:sz w:val="18"/>
          <w:szCs w:val="18"/>
        </w:rPr>
        <w:t xml:space="preserve">it </w:t>
      </w:r>
      <w:r>
        <w:rPr>
          <w:rFonts w:asciiTheme="majorHAnsi" w:hAnsiTheme="majorHAnsi" w:cstheme="majorHAnsi"/>
          <w:sz w:val="18"/>
          <w:szCs w:val="18"/>
        </w:rPr>
        <w:t xml:space="preserve">may be easily satisfied within the given scenario. In essence, </w:t>
      </w:r>
      <w:proofErr w:type="spellStart"/>
      <w:r>
        <w:rPr>
          <w:rFonts w:asciiTheme="majorHAnsi" w:hAnsiTheme="majorHAnsi" w:cstheme="majorHAnsi"/>
          <w:sz w:val="18"/>
          <w:szCs w:val="18"/>
        </w:rPr>
        <w:t>mens</w:t>
      </w:r>
      <w:proofErr w:type="spellEnd"/>
      <w:r>
        <w:rPr>
          <w:rFonts w:asciiTheme="majorHAnsi" w:hAnsiTheme="majorHAnsi" w:cstheme="majorHAnsi"/>
          <w:sz w:val="18"/>
          <w:szCs w:val="18"/>
        </w:rPr>
        <w:t xml:space="preserve"> rea is otherwise pursued as the ‘guilty mind’ of the offender. </w:t>
      </w:r>
    </w:p>
    <w:p w14:paraId="36CD41D1" w14:textId="77777777" w:rsidR="005D6B85" w:rsidRDefault="0025607C" w:rsidP="0025607C">
      <w:pPr>
        <w:jc w:val="both"/>
        <w:rPr>
          <w:rFonts w:asciiTheme="majorHAnsi" w:hAnsiTheme="majorHAnsi" w:cstheme="majorHAnsi"/>
          <w:sz w:val="18"/>
          <w:szCs w:val="18"/>
        </w:rPr>
      </w:pPr>
      <w:r>
        <w:rPr>
          <w:rFonts w:asciiTheme="majorHAnsi" w:hAnsiTheme="majorHAnsi" w:cstheme="majorHAnsi"/>
          <w:sz w:val="18"/>
          <w:szCs w:val="18"/>
        </w:rPr>
        <w:lastRenderedPageBreak/>
        <w:t xml:space="preserve">Based on criminal damage, the </w:t>
      </w:r>
      <w:proofErr w:type="spellStart"/>
      <w:r>
        <w:rPr>
          <w:rFonts w:asciiTheme="majorHAnsi" w:hAnsiTheme="majorHAnsi" w:cstheme="majorHAnsi"/>
          <w:sz w:val="18"/>
          <w:szCs w:val="18"/>
        </w:rPr>
        <w:t>mens</w:t>
      </w:r>
      <w:proofErr w:type="spellEnd"/>
      <w:r>
        <w:rPr>
          <w:rFonts w:asciiTheme="majorHAnsi" w:hAnsiTheme="majorHAnsi" w:cstheme="majorHAnsi"/>
          <w:sz w:val="18"/>
          <w:szCs w:val="18"/>
        </w:rPr>
        <w:t xml:space="preserve"> rea is the intention whilst being reckless to either destroy or damage the said property that isn’t their own (GOV.UK, 2021). The moped is the property of Roxanne and not Polly; similar to the case of R v </w:t>
      </w:r>
      <w:proofErr w:type="gramStart"/>
      <w:r>
        <w:rPr>
          <w:rFonts w:asciiTheme="majorHAnsi" w:hAnsiTheme="majorHAnsi" w:cstheme="majorHAnsi"/>
          <w:sz w:val="18"/>
          <w:szCs w:val="18"/>
        </w:rPr>
        <w:t>Steer  (</w:t>
      </w:r>
      <w:proofErr w:type="gramEnd"/>
      <w:r>
        <w:rPr>
          <w:rFonts w:asciiTheme="majorHAnsi" w:hAnsiTheme="majorHAnsi" w:cstheme="majorHAnsi"/>
          <w:sz w:val="18"/>
          <w:szCs w:val="18"/>
        </w:rPr>
        <w:t xml:space="preserve">1988). </w:t>
      </w:r>
      <w:r w:rsidR="00877BAC">
        <w:rPr>
          <w:rFonts w:asciiTheme="majorHAnsi" w:hAnsiTheme="majorHAnsi" w:cstheme="majorHAnsi"/>
          <w:sz w:val="18"/>
          <w:szCs w:val="18"/>
        </w:rPr>
        <w:t xml:space="preserve">The defendant (D) </w:t>
      </w:r>
      <w:r>
        <w:rPr>
          <w:rFonts w:asciiTheme="majorHAnsi" w:hAnsiTheme="majorHAnsi" w:cstheme="majorHAnsi"/>
          <w:sz w:val="18"/>
          <w:szCs w:val="18"/>
        </w:rPr>
        <w:t>was convicted of criminal damage contrary to section 1 (1) of the Criminal Damage Act (1971). Following an argument with his business partner, the appellant advanced his way to their house, armed with a gun. D proceeded to ring the doorbell before firing shots through both the windows and doors</w:t>
      </w:r>
      <w:r w:rsidR="00877BAC">
        <w:rPr>
          <w:rFonts w:asciiTheme="majorHAnsi" w:hAnsiTheme="majorHAnsi" w:cstheme="majorHAnsi"/>
          <w:sz w:val="18"/>
          <w:szCs w:val="18"/>
        </w:rPr>
        <w:t xml:space="preserve">. </w:t>
      </w:r>
    </w:p>
    <w:p w14:paraId="3107D541" w14:textId="63CA0193" w:rsidR="00C23874" w:rsidRDefault="00C23874" w:rsidP="0025607C">
      <w:pPr>
        <w:jc w:val="both"/>
        <w:rPr>
          <w:rFonts w:asciiTheme="majorHAnsi" w:hAnsiTheme="majorHAnsi" w:cstheme="majorHAnsi"/>
          <w:sz w:val="18"/>
          <w:szCs w:val="18"/>
        </w:rPr>
      </w:pPr>
      <w:r>
        <w:rPr>
          <w:rFonts w:asciiTheme="majorHAnsi" w:hAnsiTheme="majorHAnsi" w:cstheme="majorHAnsi"/>
          <w:sz w:val="18"/>
          <w:szCs w:val="18"/>
        </w:rPr>
        <w:t xml:space="preserve">The scenario proceeds to mention that after </w:t>
      </w:r>
      <w:r w:rsidR="008D3C28">
        <w:rPr>
          <w:rFonts w:asciiTheme="majorHAnsi" w:hAnsiTheme="majorHAnsi" w:cstheme="majorHAnsi"/>
          <w:sz w:val="18"/>
          <w:szCs w:val="18"/>
        </w:rPr>
        <w:t xml:space="preserve">the </w:t>
      </w:r>
      <w:r>
        <w:rPr>
          <w:rFonts w:asciiTheme="majorHAnsi" w:hAnsiTheme="majorHAnsi" w:cstheme="majorHAnsi"/>
          <w:sz w:val="18"/>
          <w:szCs w:val="18"/>
        </w:rPr>
        <w:t xml:space="preserve">conversation, Mohammad establishes the fact that he and Roxanne have been seeing each other for the past nine months. </w:t>
      </w:r>
      <w:r w:rsidR="005D6B85">
        <w:rPr>
          <w:rFonts w:asciiTheme="majorHAnsi" w:hAnsiTheme="majorHAnsi" w:cstheme="majorHAnsi"/>
          <w:sz w:val="18"/>
          <w:szCs w:val="18"/>
        </w:rPr>
        <w:t xml:space="preserve">Polly bursts into tears, and out of anger, notices a glass ashtray. Polly proceeds to smash it over Mohammad’s head causing him to die instantly as a result. </w:t>
      </w:r>
    </w:p>
    <w:p w14:paraId="7419A9D6" w14:textId="66544203" w:rsidR="0025607C" w:rsidRDefault="005D6B85" w:rsidP="0025607C">
      <w:pPr>
        <w:jc w:val="both"/>
        <w:rPr>
          <w:rFonts w:asciiTheme="majorHAnsi" w:hAnsiTheme="majorHAnsi" w:cstheme="majorHAnsi"/>
          <w:sz w:val="18"/>
          <w:szCs w:val="18"/>
        </w:rPr>
      </w:pPr>
      <w:r>
        <w:rPr>
          <w:rFonts w:asciiTheme="majorHAnsi" w:hAnsiTheme="majorHAnsi" w:cstheme="majorHAnsi"/>
          <w:sz w:val="18"/>
          <w:szCs w:val="18"/>
        </w:rPr>
        <w:t xml:space="preserve">As mentioned previously, Polly suffers from schizophrenia, an abnormality of the mind; </w:t>
      </w:r>
      <w:r w:rsidR="008D3C28">
        <w:rPr>
          <w:rFonts w:asciiTheme="majorHAnsi" w:hAnsiTheme="majorHAnsi" w:cstheme="majorHAnsi"/>
          <w:sz w:val="18"/>
          <w:szCs w:val="18"/>
        </w:rPr>
        <w:t>that affects</w:t>
      </w:r>
      <w:r>
        <w:rPr>
          <w:rFonts w:asciiTheme="majorHAnsi" w:hAnsiTheme="majorHAnsi" w:cstheme="majorHAnsi"/>
          <w:sz w:val="18"/>
          <w:szCs w:val="18"/>
        </w:rPr>
        <w:t xml:space="preserve"> the way one thinks, feels and behaves.</w:t>
      </w:r>
    </w:p>
    <w:p w14:paraId="14891781" w14:textId="29C1C02A" w:rsidR="00037303" w:rsidRDefault="005D6B85" w:rsidP="0025607C">
      <w:pPr>
        <w:jc w:val="both"/>
        <w:rPr>
          <w:rFonts w:asciiTheme="majorHAnsi" w:hAnsiTheme="majorHAnsi" w:cstheme="majorHAnsi"/>
          <w:sz w:val="18"/>
          <w:szCs w:val="18"/>
        </w:rPr>
      </w:pPr>
      <w:r>
        <w:rPr>
          <w:rFonts w:asciiTheme="majorHAnsi" w:hAnsiTheme="majorHAnsi" w:cstheme="majorHAnsi"/>
          <w:sz w:val="18"/>
          <w:szCs w:val="18"/>
        </w:rPr>
        <w:t xml:space="preserve">Whilst Polly has </w:t>
      </w:r>
      <w:r w:rsidR="00BD3FEF">
        <w:rPr>
          <w:rFonts w:asciiTheme="majorHAnsi" w:hAnsiTheme="majorHAnsi" w:cstheme="majorHAnsi"/>
          <w:sz w:val="18"/>
          <w:szCs w:val="18"/>
        </w:rPr>
        <w:t>killed</w:t>
      </w:r>
      <w:r>
        <w:rPr>
          <w:rFonts w:asciiTheme="majorHAnsi" w:hAnsiTheme="majorHAnsi" w:cstheme="majorHAnsi"/>
          <w:sz w:val="18"/>
          <w:szCs w:val="18"/>
        </w:rPr>
        <w:t xml:space="preserve"> Mohammad</w:t>
      </w:r>
      <w:r w:rsidR="00BD3FEF">
        <w:rPr>
          <w:rFonts w:asciiTheme="majorHAnsi" w:hAnsiTheme="majorHAnsi" w:cstheme="majorHAnsi"/>
          <w:sz w:val="18"/>
          <w:szCs w:val="18"/>
        </w:rPr>
        <w:t>;</w:t>
      </w:r>
      <w:r>
        <w:rPr>
          <w:rFonts w:asciiTheme="majorHAnsi" w:hAnsiTheme="majorHAnsi" w:cstheme="majorHAnsi"/>
          <w:sz w:val="18"/>
          <w:szCs w:val="18"/>
        </w:rPr>
        <w:t xml:space="preserve"> due to her mental abnormality, she committed a partial offence of Diminished Responsibility under Section 52 of the Coroners and Justice Act </w:t>
      </w:r>
      <w:r w:rsidR="00037303">
        <w:rPr>
          <w:rFonts w:asciiTheme="majorHAnsi" w:hAnsiTheme="majorHAnsi" w:cstheme="majorHAnsi"/>
          <w:sz w:val="18"/>
          <w:szCs w:val="18"/>
        </w:rPr>
        <w:t>(</w:t>
      </w:r>
      <w:r>
        <w:rPr>
          <w:rFonts w:asciiTheme="majorHAnsi" w:hAnsiTheme="majorHAnsi" w:cstheme="majorHAnsi"/>
          <w:sz w:val="18"/>
          <w:szCs w:val="18"/>
        </w:rPr>
        <w:t>2009</w:t>
      </w:r>
      <w:r w:rsidR="00037303">
        <w:rPr>
          <w:rFonts w:asciiTheme="majorHAnsi" w:hAnsiTheme="majorHAnsi" w:cstheme="majorHAnsi"/>
          <w:sz w:val="18"/>
          <w:szCs w:val="18"/>
        </w:rPr>
        <w:t>)</w:t>
      </w:r>
      <w:r>
        <w:rPr>
          <w:rFonts w:asciiTheme="majorHAnsi" w:hAnsiTheme="majorHAnsi" w:cstheme="majorHAnsi"/>
          <w:sz w:val="18"/>
          <w:szCs w:val="18"/>
        </w:rPr>
        <w:t xml:space="preserve">. </w:t>
      </w:r>
      <w:r w:rsidR="00A50B1F">
        <w:rPr>
          <w:rFonts w:asciiTheme="majorHAnsi" w:hAnsiTheme="majorHAnsi" w:cstheme="majorHAnsi"/>
          <w:sz w:val="18"/>
          <w:szCs w:val="18"/>
        </w:rPr>
        <w:t xml:space="preserve">The term ‘partial’ </w:t>
      </w:r>
      <w:r w:rsidR="004B3BDD">
        <w:rPr>
          <w:rFonts w:asciiTheme="majorHAnsi" w:hAnsiTheme="majorHAnsi" w:cstheme="majorHAnsi"/>
          <w:sz w:val="18"/>
          <w:szCs w:val="18"/>
        </w:rPr>
        <w:t>means</w:t>
      </w:r>
      <w:r w:rsidR="00A50B1F">
        <w:rPr>
          <w:rFonts w:asciiTheme="majorHAnsi" w:hAnsiTheme="majorHAnsi" w:cstheme="majorHAnsi"/>
          <w:sz w:val="18"/>
          <w:szCs w:val="18"/>
        </w:rPr>
        <w:t xml:space="preserve"> less culpable. </w:t>
      </w:r>
    </w:p>
    <w:p w14:paraId="2C530BEE" w14:textId="59776361" w:rsidR="00037303" w:rsidRDefault="00037303" w:rsidP="0025607C">
      <w:pPr>
        <w:jc w:val="both"/>
        <w:rPr>
          <w:rFonts w:asciiTheme="majorHAnsi" w:hAnsiTheme="majorHAnsi" w:cstheme="majorHAnsi"/>
          <w:sz w:val="18"/>
          <w:szCs w:val="18"/>
        </w:rPr>
      </w:pPr>
      <w:r>
        <w:rPr>
          <w:rFonts w:asciiTheme="majorHAnsi" w:hAnsiTheme="majorHAnsi" w:cstheme="majorHAnsi"/>
          <w:sz w:val="18"/>
          <w:szCs w:val="18"/>
        </w:rPr>
        <w:t xml:space="preserve">Diminished Responsibility can be located within the </w:t>
      </w:r>
      <w:r w:rsidR="00BD3FEF">
        <w:rPr>
          <w:rFonts w:asciiTheme="majorHAnsi" w:hAnsiTheme="majorHAnsi" w:cstheme="majorHAnsi"/>
          <w:sz w:val="18"/>
          <w:szCs w:val="18"/>
        </w:rPr>
        <w:t>Homicide</w:t>
      </w:r>
      <w:r>
        <w:rPr>
          <w:rFonts w:asciiTheme="majorHAnsi" w:hAnsiTheme="majorHAnsi" w:cstheme="majorHAnsi"/>
          <w:sz w:val="18"/>
          <w:szCs w:val="18"/>
        </w:rPr>
        <w:t xml:space="preserve"> Act (1957</w:t>
      </w:r>
      <w:r w:rsidR="00BD3FEF">
        <w:rPr>
          <w:rFonts w:asciiTheme="majorHAnsi" w:hAnsiTheme="majorHAnsi" w:cstheme="majorHAnsi"/>
          <w:sz w:val="18"/>
          <w:szCs w:val="18"/>
        </w:rPr>
        <w:t>) yet</w:t>
      </w:r>
      <w:r>
        <w:rPr>
          <w:rFonts w:asciiTheme="majorHAnsi" w:hAnsiTheme="majorHAnsi" w:cstheme="majorHAnsi"/>
          <w:sz w:val="18"/>
          <w:szCs w:val="18"/>
        </w:rPr>
        <w:t xml:space="preserve"> modified by the Coroners and Justice Act (2009). Diminished Responsibility acts as a </w:t>
      </w:r>
      <w:r w:rsidR="00BD3FEF">
        <w:rPr>
          <w:rFonts w:asciiTheme="majorHAnsi" w:hAnsiTheme="majorHAnsi" w:cstheme="majorHAnsi"/>
          <w:sz w:val="18"/>
          <w:szCs w:val="18"/>
        </w:rPr>
        <w:t>stepping</w:t>
      </w:r>
      <w:r w:rsidR="004B3BDD">
        <w:rPr>
          <w:rFonts w:asciiTheme="majorHAnsi" w:hAnsiTheme="majorHAnsi" w:cstheme="majorHAnsi"/>
          <w:sz w:val="18"/>
          <w:szCs w:val="18"/>
        </w:rPr>
        <w:t>-</w:t>
      </w:r>
      <w:r w:rsidR="00BD3FEF">
        <w:rPr>
          <w:rFonts w:asciiTheme="majorHAnsi" w:hAnsiTheme="majorHAnsi" w:cstheme="majorHAnsi"/>
          <w:sz w:val="18"/>
          <w:szCs w:val="18"/>
        </w:rPr>
        <w:t>stone</w:t>
      </w:r>
      <w:r>
        <w:rPr>
          <w:rFonts w:asciiTheme="majorHAnsi" w:hAnsiTheme="majorHAnsi" w:cstheme="majorHAnsi"/>
          <w:sz w:val="18"/>
          <w:szCs w:val="18"/>
        </w:rPr>
        <w:t xml:space="preserve"> in the fact that if one is successful, </w:t>
      </w:r>
      <w:r w:rsidR="00BD3FEF">
        <w:rPr>
          <w:rFonts w:asciiTheme="majorHAnsi" w:hAnsiTheme="majorHAnsi" w:cstheme="majorHAnsi"/>
          <w:sz w:val="18"/>
          <w:szCs w:val="18"/>
        </w:rPr>
        <w:t>diminished responsibility</w:t>
      </w:r>
      <w:r>
        <w:rPr>
          <w:rFonts w:asciiTheme="majorHAnsi" w:hAnsiTheme="majorHAnsi" w:cstheme="majorHAnsi"/>
          <w:sz w:val="18"/>
          <w:szCs w:val="18"/>
        </w:rPr>
        <w:t xml:space="preserve"> creates an effect in the sense that it reduces a murder conviction to manslaughter. </w:t>
      </w:r>
    </w:p>
    <w:p w14:paraId="4B15A397" w14:textId="4EECBA5C" w:rsidR="0025607C" w:rsidRDefault="008D3C28" w:rsidP="0025607C">
      <w:pPr>
        <w:jc w:val="both"/>
        <w:rPr>
          <w:rFonts w:asciiTheme="majorHAnsi" w:hAnsiTheme="majorHAnsi" w:cstheme="majorHAnsi"/>
          <w:sz w:val="18"/>
          <w:szCs w:val="18"/>
        </w:rPr>
      </w:pPr>
      <w:proofErr w:type="gramStart"/>
      <w:r>
        <w:rPr>
          <w:rFonts w:asciiTheme="majorHAnsi" w:hAnsiTheme="majorHAnsi" w:cstheme="majorHAnsi"/>
          <w:sz w:val="18"/>
          <w:szCs w:val="18"/>
        </w:rPr>
        <w:t>Similar to</w:t>
      </w:r>
      <w:proofErr w:type="gramEnd"/>
      <w:r>
        <w:rPr>
          <w:rFonts w:asciiTheme="majorHAnsi" w:hAnsiTheme="majorHAnsi" w:cstheme="majorHAnsi"/>
          <w:sz w:val="18"/>
          <w:szCs w:val="18"/>
        </w:rPr>
        <w:t xml:space="preserve"> the case of R v Byrne (1960), where a man raped, killed and mutilated a young girl. He then went on to plead diminished responsibility causing him to be found guilty of manslaughter and not murder. The Judge recognised that he was indeed a sexual psychopath</w:t>
      </w:r>
      <w:r w:rsidR="00037303">
        <w:rPr>
          <w:rFonts w:asciiTheme="majorHAnsi" w:hAnsiTheme="majorHAnsi" w:cstheme="majorHAnsi"/>
          <w:sz w:val="18"/>
          <w:szCs w:val="18"/>
        </w:rPr>
        <w:t xml:space="preserve">, so bad that his behaviour became impossible to control when driven by sexual desires. </w:t>
      </w:r>
    </w:p>
    <w:p w14:paraId="482A22CB" w14:textId="01F1D5B8" w:rsidR="00D9590D" w:rsidRDefault="00D9590D" w:rsidP="0025607C">
      <w:pPr>
        <w:jc w:val="both"/>
        <w:rPr>
          <w:rFonts w:asciiTheme="majorHAnsi" w:hAnsiTheme="majorHAnsi" w:cstheme="majorHAnsi"/>
          <w:sz w:val="18"/>
          <w:szCs w:val="18"/>
        </w:rPr>
      </w:pPr>
      <w:r>
        <w:rPr>
          <w:rFonts w:asciiTheme="majorHAnsi" w:hAnsiTheme="majorHAnsi" w:cstheme="majorHAnsi"/>
          <w:sz w:val="18"/>
          <w:szCs w:val="18"/>
        </w:rPr>
        <w:t xml:space="preserve">Polly must provide evidence on the ‘balance of probabilities’ that she was indeed suffering from an ‘abnormality of mental functioning’ (R v Byrne) which has arisen from a ‘recognised medical condition’.  </w:t>
      </w:r>
    </w:p>
    <w:p w14:paraId="7D59200D" w14:textId="2C460975" w:rsidR="00A50B1F" w:rsidRDefault="00D9590D" w:rsidP="0025607C">
      <w:pPr>
        <w:jc w:val="both"/>
        <w:rPr>
          <w:rFonts w:asciiTheme="majorHAnsi" w:hAnsiTheme="majorHAnsi" w:cstheme="majorHAnsi"/>
          <w:sz w:val="18"/>
          <w:szCs w:val="18"/>
        </w:rPr>
      </w:pPr>
      <w:r>
        <w:rPr>
          <w:rFonts w:asciiTheme="majorHAnsi" w:hAnsiTheme="majorHAnsi" w:cstheme="majorHAnsi"/>
          <w:sz w:val="18"/>
          <w:szCs w:val="18"/>
        </w:rPr>
        <w:t xml:space="preserve">Polly </w:t>
      </w:r>
      <w:r w:rsidR="00A50B1F">
        <w:rPr>
          <w:rFonts w:asciiTheme="majorHAnsi" w:hAnsiTheme="majorHAnsi" w:cstheme="majorHAnsi"/>
          <w:sz w:val="18"/>
          <w:szCs w:val="18"/>
        </w:rPr>
        <w:t xml:space="preserve">could also plead </w:t>
      </w:r>
      <w:r>
        <w:rPr>
          <w:rFonts w:asciiTheme="majorHAnsi" w:hAnsiTheme="majorHAnsi" w:cstheme="majorHAnsi"/>
          <w:sz w:val="18"/>
          <w:szCs w:val="18"/>
        </w:rPr>
        <w:t>a defence called Loss of Control; a defence that has three components within Section 54 (1) (a) (b) and (c) of the Coroners and Justice Act (2009). These are categorically viewed as; a loss of control, a qualifying trigger and an objective test</w:t>
      </w:r>
      <w:r w:rsidR="00A50B1F">
        <w:rPr>
          <w:rFonts w:asciiTheme="majorHAnsi" w:hAnsiTheme="majorHAnsi" w:cstheme="majorHAnsi"/>
          <w:sz w:val="18"/>
          <w:szCs w:val="18"/>
        </w:rPr>
        <w:t xml:space="preserve"> (where an </w:t>
      </w:r>
      <w:r w:rsidR="00A50B1F" w:rsidRPr="00A50B1F">
        <w:rPr>
          <w:rFonts w:asciiTheme="majorHAnsi" w:hAnsiTheme="majorHAnsi" w:cstheme="majorHAnsi"/>
          <w:sz w:val="18"/>
          <w:szCs w:val="18"/>
        </w:rPr>
        <w:t>individual of the defendant's age and gender with a typical level of tolerance and self-control would have reacted similarly</w:t>
      </w:r>
      <w:r w:rsidR="00A50B1F">
        <w:rPr>
          <w:rFonts w:asciiTheme="majorHAnsi" w:hAnsiTheme="majorHAnsi" w:cstheme="majorHAnsi"/>
          <w:sz w:val="18"/>
          <w:szCs w:val="18"/>
        </w:rPr>
        <w:t xml:space="preserve">).  </w:t>
      </w:r>
    </w:p>
    <w:p w14:paraId="2111AB2E" w14:textId="24ED0FC6" w:rsidR="0025607C" w:rsidRDefault="00A50B1F" w:rsidP="0025607C">
      <w:pPr>
        <w:jc w:val="both"/>
        <w:rPr>
          <w:rFonts w:asciiTheme="majorHAnsi" w:hAnsiTheme="majorHAnsi" w:cstheme="majorHAnsi"/>
          <w:sz w:val="18"/>
          <w:szCs w:val="18"/>
        </w:rPr>
      </w:pPr>
      <w:r>
        <w:rPr>
          <w:rFonts w:asciiTheme="majorHAnsi" w:hAnsiTheme="majorHAnsi" w:cstheme="majorHAnsi"/>
          <w:sz w:val="18"/>
          <w:szCs w:val="18"/>
        </w:rPr>
        <w:t xml:space="preserve">The defendant must lose self-control for this defence to be liable. If the evidence demonstrates that the attack was </w:t>
      </w:r>
      <w:r w:rsidR="004B3BDD">
        <w:rPr>
          <w:rFonts w:asciiTheme="majorHAnsi" w:hAnsiTheme="majorHAnsi" w:cstheme="majorHAnsi"/>
          <w:sz w:val="18"/>
          <w:szCs w:val="18"/>
        </w:rPr>
        <w:t>pre-thought-out</w:t>
      </w:r>
      <w:r>
        <w:rPr>
          <w:rFonts w:asciiTheme="majorHAnsi" w:hAnsiTheme="majorHAnsi" w:cstheme="majorHAnsi"/>
          <w:sz w:val="18"/>
          <w:szCs w:val="18"/>
        </w:rPr>
        <w:t xml:space="preserve">, then Polly </w:t>
      </w:r>
      <w:r w:rsidR="004B3BDD">
        <w:rPr>
          <w:rFonts w:asciiTheme="majorHAnsi" w:hAnsiTheme="majorHAnsi" w:cstheme="majorHAnsi"/>
          <w:sz w:val="18"/>
          <w:szCs w:val="18"/>
        </w:rPr>
        <w:t xml:space="preserve">is </w:t>
      </w:r>
      <w:r>
        <w:rPr>
          <w:rFonts w:asciiTheme="majorHAnsi" w:hAnsiTheme="majorHAnsi" w:cstheme="majorHAnsi"/>
          <w:sz w:val="18"/>
          <w:szCs w:val="18"/>
        </w:rPr>
        <w:t xml:space="preserve">unlikely to rely on this argument. Section 54 of the Coroners and Justice Act (2009) mentions that if the act was executed through </w:t>
      </w:r>
      <w:r w:rsidR="00C52F32">
        <w:rPr>
          <w:rFonts w:asciiTheme="majorHAnsi" w:hAnsiTheme="majorHAnsi" w:cstheme="majorHAnsi"/>
          <w:sz w:val="18"/>
          <w:szCs w:val="18"/>
        </w:rPr>
        <w:t>revenge,</w:t>
      </w:r>
      <w:r>
        <w:rPr>
          <w:rFonts w:asciiTheme="majorHAnsi" w:hAnsiTheme="majorHAnsi" w:cstheme="majorHAnsi"/>
          <w:sz w:val="18"/>
          <w:szCs w:val="18"/>
        </w:rPr>
        <w:t xml:space="preserve"> then one cannot use the defence of loss of control. </w:t>
      </w:r>
    </w:p>
    <w:p w14:paraId="685B3468" w14:textId="7AAC74DA" w:rsidR="00C52F32" w:rsidRDefault="00C52F32" w:rsidP="00C52F32">
      <w:pPr>
        <w:jc w:val="both"/>
        <w:rPr>
          <w:rFonts w:asciiTheme="majorHAnsi" w:hAnsiTheme="majorHAnsi" w:cstheme="majorHAnsi"/>
          <w:sz w:val="18"/>
          <w:szCs w:val="18"/>
        </w:rPr>
      </w:pPr>
      <w:r>
        <w:rPr>
          <w:rFonts w:asciiTheme="majorHAnsi" w:hAnsiTheme="majorHAnsi" w:cstheme="majorHAnsi"/>
          <w:sz w:val="18"/>
          <w:szCs w:val="18"/>
        </w:rPr>
        <w:t xml:space="preserve">It is evident that Polly perhaps lost her temper as a result of Mohammad confessing his love for Roxanne. This is </w:t>
      </w:r>
      <w:proofErr w:type="gramStart"/>
      <w:r>
        <w:rPr>
          <w:rFonts w:asciiTheme="majorHAnsi" w:hAnsiTheme="majorHAnsi" w:cstheme="majorHAnsi"/>
          <w:sz w:val="18"/>
          <w:szCs w:val="18"/>
        </w:rPr>
        <w:t>similar to</w:t>
      </w:r>
      <w:proofErr w:type="gramEnd"/>
      <w:r>
        <w:rPr>
          <w:rFonts w:asciiTheme="majorHAnsi" w:hAnsiTheme="majorHAnsi" w:cstheme="majorHAnsi"/>
          <w:sz w:val="18"/>
          <w:szCs w:val="18"/>
        </w:rPr>
        <w:t xml:space="preserve"> the case of R v </w:t>
      </w:r>
      <w:proofErr w:type="spellStart"/>
      <w:r>
        <w:rPr>
          <w:rFonts w:asciiTheme="majorHAnsi" w:hAnsiTheme="majorHAnsi" w:cstheme="majorHAnsi"/>
          <w:sz w:val="18"/>
          <w:szCs w:val="18"/>
        </w:rPr>
        <w:t>Woollin</w:t>
      </w:r>
      <w:proofErr w:type="spellEnd"/>
      <w:r>
        <w:rPr>
          <w:rFonts w:asciiTheme="majorHAnsi" w:hAnsiTheme="majorHAnsi" w:cstheme="majorHAnsi"/>
          <w:sz w:val="18"/>
          <w:szCs w:val="18"/>
        </w:rPr>
        <w:t xml:space="preserve"> (1998). The defendant, here, lost his temper with his three-month-old child and threw him against a hard surface. When charged with murder, the defendant progressed to argue that he had not intended </w:t>
      </w:r>
      <w:r>
        <w:rPr>
          <w:rFonts w:asciiTheme="majorHAnsi" w:hAnsiTheme="majorHAnsi" w:cstheme="majorHAnsi"/>
          <w:sz w:val="18"/>
          <w:szCs w:val="18"/>
        </w:rPr>
        <w:t>to cause his child any harm.</w:t>
      </w:r>
    </w:p>
    <w:p w14:paraId="708514C8" w14:textId="77777777" w:rsidR="00C52F32" w:rsidRDefault="00C52F32" w:rsidP="00C52F32">
      <w:pPr>
        <w:jc w:val="both"/>
        <w:rPr>
          <w:rFonts w:asciiTheme="majorHAnsi" w:hAnsiTheme="majorHAnsi" w:cstheme="majorHAnsi"/>
          <w:sz w:val="18"/>
          <w:szCs w:val="18"/>
        </w:rPr>
      </w:pPr>
    </w:p>
    <w:p w14:paraId="6FE67EF6" w14:textId="77777777" w:rsidR="00C52F32" w:rsidRDefault="00C52F32" w:rsidP="0025607C">
      <w:pPr>
        <w:jc w:val="both"/>
        <w:rPr>
          <w:rFonts w:asciiTheme="majorHAnsi" w:hAnsiTheme="majorHAnsi" w:cstheme="majorHAnsi"/>
          <w:sz w:val="18"/>
          <w:szCs w:val="18"/>
        </w:rPr>
      </w:pPr>
    </w:p>
    <w:p w14:paraId="7BBC98AD" w14:textId="630F7ABA" w:rsidR="00C52F32" w:rsidRDefault="00C52F32" w:rsidP="0025607C">
      <w:pPr>
        <w:jc w:val="both"/>
        <w:rPr>
          <w:rFonts w:asciiTheme="majorHAnsi" w:hAnsiTheme="majorHAnsi" w:cstheme="majorHAnsi"/>
          <w:sz w:val="15"/>
          <w:szCs w:val="15"/>
        </w:rPr>
      </w:pPr>
    </w:p>
    <w:p w14:paraId="70D4FEA0" w14:textId="77777777" w:rsidR="0025607C" w:rsidRDefault="0025607C" w:rsidP="0025607C">
      <w:pPr>
        <w:jc w:val="both"/>
        <w:rPr>
          <w:rFonts w:asciiTheme="majorHAnsi" w:hAnsiTheme="majorHAnsi" w:cstheme="majorHAnsi"/>
          <w:sz w:val="15"/>
          <w:szCs w:val="15"/>
        </w:rPr>
      </w:pPr>
    </w:p>
    <w:p w14:paraId="4A0D0ECD" w14:textId="77777777" w:rsidR="0025607C" w:rsidRDefault="0025607C" w:rsidP="0025607C">
      <w:pPr>
        <w:jc w:val="both"/>
        <w:rPr>
          <w:rFonts w:asciiTheme="majorHAnsi" w:hAnsiTheme="majorHAnsi" w:cstheme="majorHAnsi"/>
          <w:sz w:val="15"/>
          <w:szCs w:val="15"/>
        </w:rPr>
      </w:pPr>
    </w:p>
    <w:p w14:paraId="2C3A2AB5" w14:textId="77777777" w:rsidR="0025607C" w:rsidRDefault="0025607C" w:rsidP="0025607C">
      <w:pPr>
        <w:jc w:val="both"/>
        <w:rPr>
          <w:rFonts w:asciiTheme="majorHAnsi" w:hAnsiTheme="majorHAnsi" w:cstheme="majorHAnsi"/>
          <w:sz w:val="15"/>
          <w:szCs w:val="15"/>
        </w:rPr>
      </w:pPr>
    </w:p>
    <w:p w14:paraId="684C07E3" w14:textId="77777777" w:rsidR="0025607C" w:rsidRDefault="0025607C" w:rsidP="0025607C">
      <w:pPr>
        <w:jc w:val="both"/>
        <w:rPr>
          <w:rFonts w:asciiTheme="majorHAnsi" w:hAnsiTheme="majorHAnsi" w:cstheme="majorHAnsi"/>
          <w:sz w:val="15"/>
          <w:szCs w:val="15"/>
        </w:rPr>
      </w:pPr>
    </w:p>
    <w:p w14:paraId="339E2592" w14:textId="77777777" w:rsidR="0025607C" w:rsidRDefault="0025607C" w:rsidP="0025607C">
      <w:pPr>
        <w:jc w:val="both"/>
        <w:rPr>
          <w:rFonts w:asciiTheme="majorHAnsi" w:hAnsiTheme="majorHAnsi" w:cstheme="majorHAnsi"/>
          <w:sz w:val="15"/>
          <w:szCs w:val="15"/>
        </w:rPr>
      </w:pPr>
    </w:p>
    <w:p w14:paraId="7FC7C0B8" w14:textId="77777777" w:rsidR="0025607C" w:rsidRDefault="0025607C" w:rsidP="0025607C">
      <w:pPr>
        <w:jc w:val="both"/>
        <w:rPr>
          <w:rFonts w:asciiTheme="majorHAnsi" w:hAnsiTheme="majorHAnsi" w:cstheme="majorHAnsi"/>
          <w:sz w:val="15"/>
          <w:szCs w:val="15"/>
        </w:rPr>
      </w:pPr>
    </w:p>
    <w:p w14:paraId="0C41F8F4" w14:textId="77777777" w:rsidR="0025607C" w:rsidRDefault="0025607C" w:rsidP="0025607C">
      <w:pPr>
        <w:jc w:val="both"/>
        <w:rPr>
          <w:rFonts w:asciiTheme="majorHAnsi" w:hAnsiTheme="majorHAnsi" w:cstheme="majorHAnsi"/>
          <w:sz w:val="15"/>
          <w:szCs w:val="15"/>
        </w:rPr>
      </w:pPr>
    </w:p>
    <w:p w14:paraId="285D17C9" w14:textId="77777777" w:rsidR="0025607C" w:rsidRDefault="0025607C" w:rsidP="0025607C">
      <w:pPr>
        <w:jc w:val="both"/>
        <w:rPr>
          <w:rFonts w:asciiTheme="majorHAnsi" w:hAnsiTheme="majorHAnsi" w:cstheme="majorHAnsi"/>
          <w:sz w:val="15"/>
          <w:szCs w:val="15"/>
        </w:rPr>
      </w:pPr>
    </w:p>
    <w:p w14:paraId="6EC00FB0" w14:textId="36390496" w:rsidR="0025607C" w:rsidRPr="008F2F67" w:rsidRDefault="008F2F67" w:rsidP="0025607C">
      <w:pPr>
        <w:jc w:val="both"/>
        <w:rPr>
          <w:rFonts w:asciiTheme="majorHAnsi" w:hAnsiTheme="majorHAnsi" w:cstheme="majorHAnsi"/>
          <w:sz w:val="18"/>
          <w:szCs w:val="18"/>
          <w:u w:val="single"/>
        </w:rPr>
      </w:pPr>
      <w:r w:rsidRPr="008F2F67">
        <w:rPr>
          <w:rFonts w:asciiTheme="majorHAnsi" w:hAnsiTheme="majorHAnsi" w:cstheme="majorHAnsi"/>
          <w:sz w:val="18"/>
          <w:szCs w:val="18"/>
          <w:u w:val="single"/>
        </w:rPr>
        <w:t xml:space="preserve">Reference List </w:t>
      </w:r>
    </w:p>
    <w:p w14:paraId="059100CA" w14:textId="77777777" w:rsidR="00C52F32" w:rsidRPr="00C52F32" w:rsidRDefault="00C52F32" w:rsidP="00C52F32">
      <w:pPr>
        <w:pStyle w:val="NormalWeb"/>
        <w:ind w:left="567" w:hanging="567"/>
        <w:rPr>
          <w:rFonts w:asciiTheme="majorHAnsi" w:hAnsiTheme="majorHAnsi" w:cstheme="majorHAnsi"/>
          <w:color w:val="000000"/>
          <w:sz w:val="18"/>
          <w:szCs w:val="18"/>
        </w:rPr>
      </w:pPr>
      <w:r w:rsidRPr="00C52F32">
        <w:rPr>
          <w:rFonts w:asciiTheme="majorHAnsi" w:hAnsiTheme="majorHAnsi" w:cstheme="majorHAnsi"/>
          <w:color w:val="000000"/>
          <w:sz w:val="18"/>
          <w:szCs w:val="18"/>
        </w:rPr>
        <w:t>Offences against the person, incorporating the charging standard</w:t>
      </w:r>
      <w:r w:rsidRPr="00C52F32">
        <w:rPr>
          <w:rStyle w:val="apple-converted-space"/>
          <w:rFonts w:asciiTheme="majorHAnsi" w:hAnsiTheme="majorHAnsi" w:cstheme="majorHAnsi"/>
          <w:color w:val="000000"/>
          <w:sz w:val="18"/>
          <w:szCs w:val="18"/>
        </w:rPr>
        <w:t> </w:t>
      </w:r>
      <w:r w:rsidRPr="00C52F32">
        <w:rPr>
          <w:rFonts w:asciiTheme="majorHAnsi" w:hAnsiTheme="majorHAnsi" w:cstheme="majorHAnsi"/>
          <w:color w:val="000000"/>
          <w:sz w:val="18"/>
          <w:szCs w:val="18"/>
        </w:rPr>
        <w:t>(no date)</w:t>
      </w:r>
      <w:r w:rsidRPr="00C52F32">
        <w:rPr>
          <w:rStyle w:val="apple-converted-space"/>
          <w:rFonts w:asciiTheme="majorHAnsi" w:hAnsiTheme="majorHAnsi" w:cstheme="majorHAnsi"/>
          <w:color w:val="000000"/>
          <w:sz w:val="18"/>
          <w:szCs w:val="18"/>
        </w:rPr>
        <w:t> </w:t>
      </w:r>
      <w:r w:rsidRPr="00C52F32">
        <w:rPr>
          <w:rFonts w:asciiTheme="majorHAnsi" w:hAnsiTheme="majorHAnsi" w:cstheme="majorHAnsi"/>
          <w:color w:val="000000"/>
          <w:sz w:val="18"/>
          <w:szCs w:val="18"/>
        </w:rPr>
        <w:t>Offences against the Person, incorporating the Charging Standard | The Crown Prosecution Service. Available at: https://www.cps.gov.uk/legal-guidance/offences-against-person-incorporating-charging-standard (Accessed: May 5, 2023).</w:t>
      </w:r>
      <w:r w:rsidRPr="00C52F32">
        <w:rPr>
          <w:rStyle w:val="apple-converted-space"/>
          <w:rFonts w:asciiTheme="majorHAnsi" w:hAnsiTheme="majorHAnsi" w:cstheme="majorHAnsi"/>
          <w:color w:val="000000"/>
          <w:sz w:val="18"/>
          <w:szCs w:val="18"/>
        </w:rPr>
        <w:t> </w:t>
      </w:r>
    </w:p>
    <w:p w14:paraId="786C5389" w14:textId="77777777" w:rsidR="008F2F67" w:rsidRPr="008F2F67" w:rsidRDefault="008F2F67" w:rsidP="008F2F67">
      <w:pPr>
        <w:pStyle w:val="NormalWeb"/>
        <w:ind w:left="567" w:hanging="567"/>
        <w:rPr>
          <w:rFonts w:asciiTheme="majorHAnsi" w:hAnsiTheme="majorHAnsi" w:cstheme="majorHAnsi"/>
          <w:color w:val="000000"/>
          <w:sz w:val="18"/>
          <w:szCs w:val="18"/>
        </w:rPr>
      </w:pPr>
      <w:r w:rsidRPr="008F2F67">
        <w:rPr>
          <w:rFonts w:asciiTheme="majorHAnsi" w:hAnsiTheme="majorHAnsi" w:cstheme="majorHAnsi"/>
          <w:color w:val="000000"/>
          <w:sz w:val="18"/>
          <w:szCs w:val="18"/>
        </w:rPr>
        <w:t>Participation, E. (1978)</w:t>
      </w:r>
      <w:r w:rsidRPr="008F2F67">
        <w:rPr>
          <w:rStyle w:val="apple-converted-space"/>
          <w:rFonts w:asciiTheme="majorHAnsi" w:hAnsiTheme="majorHAnsi" w:cstheme="majorHAnsi"/>
          <w:color w:val="000000"/>
          <w:sz w:val="18"/>
          <w:szCs w:val="18"/>
        </w:rPr>
        <w:t> </w:t>
      </w:r>
      <w:r w:rsidRPr="008F2F67">
        <w:rPr>
          <w:rFonts w:asciiTheme="majorHAnsi" w:hAnsiTheme="majorHAnsi" w:cstheme="majorHAnsi"/>
          <w:i/>
          <w:iCs/>
          <w:color w:val="000000"/>
          <w:sz w:val="18"/>
          <w:szCs w:val="18"/>
        </w:rPr>
        <w:t>Criminal damage act 1971</w:t>
      </w:r>
      <w:r w:rsidRPr="008F2F67">
        <w:rPr>
          <w:rFonts w:asciiTheme="majorHAnsi" w:hAnsiTheme="majorHAnsi" w:cstheme="majorHAnsi"/>
          <w:color w:val="000000"/>
          <w:sz w:val="18"/>
          <w:szCs w:val="18"/>
        </w:rPr>
        <w:t>,</w:t>
      </w:r>
      <w:r w:rsidRPr="008F2F67">
        <w:rPr>
          <w:rStyle w:val="apple-converted-space"/>
          <w:rFonts w:asciiTheme="majorHAnsi" w:hAnsiTheme="majorHAnsi" w:cstheme="majorHAnsi"/>
          <w:color w:val="000000"/>
          <w:sz w:val="18"/>
          <w:szCs w:val="18"/>
        </w:rPr>
        <w:t> </w:t>
      </w:r>
      <w:r w:rsidRPr="008F2F67">
        <w:rPr>
          <w:rFonts w:asciiTheme="majorHAnsi" w:hAnsiTheme="majorHAnsi" w:cstheme="majorHAnsi"/>
          <w:i/>
          <w:iCs/>
          <w:color w:val="000000"/>
          <w:sz w:val="18"/>
          <w:szCs w:val="18"/>
        </w:rPr>
        <w:t>Legislation.gov.uk</w:t>
      </w:r>
      <w:r w:rsidRPr="008F2F67">
        <w:rPr>
          <w:rFonts w:asciiTheme="majorHAnsi" w:hAnsiTheme="majorHAnsi" w:cstheme="majorHAnsi"/>
          <w:color w:val="000000"/>
          <w:sz w:val="18"/>
          <w:szCs w:val="18"/>
        </w:rPr>
        <w:t>. Statute Law Database. Available at: https://www.legislation.gov.uk/ukpga/1971/48 (Accessed: May 5, 2023).</w:t>
      </w:r>
      <w:r w:rsidRPr="008F2F67">
        <w:rPr>
          <w:rStyle w:val="apple-converted-space"/>
          <w:rFonts w:asciiTheme="majorHAnsi" w:hAnsiTheme="majorHAnsi" w:cstheme="majorHAnsi"/>
          <w:color w:val="000000"/>
          <w:sz w:val="18"/>
          <w:szCs w:val="18"/>
        </w:rPr>
        <w:t> </w:t>
      </w:r>
    </w:p>
    <w:p w14:paraId="299AD305" w14:textId="77777777" w:rsidR="00C52F32" w:rsidRPr="0025607C" w:rsidRDefault="00C52F32" w:rsidP="0025607C">
      <w:pPr>
        <w:jc w:val="both"/>
        <w:rPr>
          <w:rFonts w:asciiTheme="majorHAnsi" w:hAnsiTheme="majorHAnsi" w:cstheme="majorHAnsi"/>
          <w:sz w:val="15"/>
          <w:szCs w:val="15"/>
        </w:rPr>
      </w:pPr>
    </w:p>
    <w:sectPr w:rsidR="00C52F32" w:rsidRPr="002560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8E2F33"/>
    <w:multiLevelType w:val="multilevel"/>
    <w:tmpl w:val="0A7A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52144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07C"/>
    <w:rsid w:val="00037303"/>
    <w:rsid w:val="0025607C"/>
    <w:rsid w:val="004B3BDD"/>
    <w:rsid w:val="00512640"/>
    <w:rsid w:val="005D6B85"/>
    <w:rsid w:val="00877BAC"/>
    <w:rsid w:val="0089609A"/>
    <w:rsid w:val="008D3C28"/>
    <w:rsid w:val="008F2F67"/>
    <w:rsid w:val="009932D1"/>
    <w:rsid w:val="00A50B1F"/>
    <w:rsid w:val="00BD3FEF"/>
    <w:rsid w:val="00C23874"/>
    <w:rsid w:val="00C52F32"/>
    <w:rsid w:val="00D9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F97AF"/>
  <w15:chartTrackingRefBased/>
  <w15:docId w15:val="{5F5CA5E3-F5AC-4C46-B563-D31215715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607C"/>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5607C"/>
  </w:style>
  <w:style w:type="character" w:styleId="Hyperlink">
    <w:name w:val="Hyperlink"/>
    <w:basedOn w:val="DefaultParagraphFont"/>
    <w:uiPriority w:val="99"/>
    <w:unhideWhenUsed/>
    <w:rsid w:val="0025607C"/>
    <w:rPr>
      <w:color w:val="0000FF"/>
      <w:u w:val="single"/>
    </w:rPr>
  </w:style>
  <w:style w:type="character" w:styleId="Emphasis">
    <w:name w:val="Emphasis"/>
    <w:basedOn w:val="DefaultParagraphFont"/>
    <w:uiPriority w:val="20"/>
    <w:qFormat/>
    <w:rsid w:val="0025607C"/>
    <w:rPr>
      <w:i/>
      <w:iCs/>
    </w:rPr>
  </w:style>
  <w:style w:type="character" w:styleId="UnresolvedMention">
    <w:name w:val="Unresolved Mention"/>
    <w:basedOn w:val="DefaultParagraphFont"/>
    <w:uiPriority w:val="99"/>
    <w:semiHidden/>
    <w:unhideWhenUsed/>
    <w:rsid w:val="005126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850925">
      <w:bodyDiv w:val="1"/>
      <w:marLeft w:val="0"/>
      <w:marRight w:val="0"/>
      <w:marTop w:val="0"/>
      <w:marBottom w:val="0"/>
      <w:divBdr>
        <w:top w:val="none" w:sz="0" w:space="0" w:color="auto"/>
        <w:left w:val="none" w:sz="0" w:space="0" w:color="auto"/>
        <w:bottom w:val="none" w:sz="0" w:space="0" w:color="auto"/>
        <w:right w:val="none" w:sz="0" w:space="0" w:color="auto"/>
      </w:divBdr>
    </w:div>
    <w:div w:id="989746668">
      <w:bodyDiv w:val="1"/>
      <w:marLeft w:val="0"/>
      <w:marRight w:val="0"/>
      <w:marTop w:val="0"/>
      <w:marBottom w:val="0"/>
      <w:divBdr>
        <w:top w:val="none" w:sz="0" w:space="0" w:color="auto"/>
        <w:left w:val="none" w:sz="0" w:space="0" w:color="auto"/>
        <w:bottom w:val="none" w:sz="0" w:space="0" w:color="auto"/>
        <w:right w:val="none" w:sz="0" w:space="0" w:color="auto"/>
      </w:divBdr>
    </w:div>
    <w:div w:id="2002536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245</TotalTime>
  <Pages>2</Pages>
  <Words>1003</Words>
  <Characters>5718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Prothero</dc:creator>
  <cp:keywords/>
  <dc:description/>
  <cp:lastModifiedBy>Emily Prothero</cp:lastModifiedBy>
  <cp:revision>6</cp:revision>
  <dcterms:created xsi:type="dcterms:W3CDTF">2023-05-04T11:07:00Z</dcterms:created>
  <dcterms:modified xsi:type="dcterms:W3CDTF">2023-05-05T15:59:00Z</dcterms:modified>
</cp:coreProperties>
</file>