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888F9" w14:textId="77777777" w:rsidR="00A32DCD" w:rsidRDefault="00A32DCD">
      <w:pPr>
        <w:rPr>
          <w:b/>
          <w:bCs/>
          <w:sz w:val="32"/>
          <w:szCs w:val="32"/>
        </w:rPr>
      </w:pPr>
      <w:r>
        <w:rPr>
          <w:b/>
          <w:bCs/>
          <w:sz w:val="32"/>
          <w:szCs w:val="32"/>
        </w:rPr>
        <w:t xml:space="preserve">Student Name: Nafia Tasnim Rinbi </w:t>
      </w:r>
    </w:p>
    <w:p w14:paraId="1A2003F7" w14:textId="77777777" w:rsidR="00A32DCD" w:rsidRDefault="00A32DCD">
      <w:pPr>
        <w:rPr>
          <w:b/>
          <w:bCs/>
          <w:sz w:val="32"/>
          <w:szCs w:val="32"/>
        </w:rPr>
      </w:pPr>
      <w:r>
        <w:rPr>
          <w:b/>
          <w:bCs/>
          <w:sz w:val="32"/>
          <w:szCs w:val="32"/>
        </w:rPr>
        <w:t xml:space="preserve">Student id : 2409141 </w:t>
      </w:r>
    </w:p>
    <w:p w14:paraId="2FC110D5" w14:textId="495F3B76" w:rsidR="00D45855" w:rsidRDefault="00D45855">
      <w:pPr>
        <w:rPr>
          <w:b/>
          <w:bCs/>
          <w:sz w:val="32"/>
          <w:szCs w:val="32"/>
        </w:rPr>
      </w:pPr>
      <w:r>
        <w:rPr>
          <w:b/>
          <w:bCs/>
          <w:sz w:val="32"/>
          <w:szCs w:val="32"/>
        </w:rPr>
        <w:t>Module Name:</w:t>
      </w:r>
      <w:r w:rsidR="00A32DCD">
        <w:rPr>
          <w:b/>
          <w:bCs/>
          <w:sz w:val="32"/>
          <w:szCs w:val="32"/>
        </w:rPr>
        <w:t xml:space="preserve"> Principal of Health and Social Care Practice </w:t>
      </w:r>
    </w:p>
    <w:p w14:paraId="6BDAD6E6" w14:textId="4A04CCB0" w:rsidR="00A32DCD" w:rsidRDefault="00A32DCD">
      <w:pPr>
        <w:rPr>
          <w:b/>
          <w:bCs/>
          <w:sz w:val="32"/>
          <w:szCs w:val="32"/>
        </w:rPr>
      </w:pPr>
      <w:r>
        <w:rPr>
          <w:b/>
          <w:bCs/>
          <w:sz w:val="32"/>
          <w:szCs w:val="32"/>
        </w:rPr>
        <w:t>Module Code: BMHP5016</w:t>
      </w:r>
    </w:p>
    <w:p w14:paraId="27ED1436" w14:textId="37F943CB" w:rsidR="00A32DCD" w:rsidRDefault="00A32DCD">
      <w:pPr>
        <w:rPr>
          <w:b/>
          <w:bCs/>
          <w:sz w:val="32"/>
          <w:szCs w:val="32"/>
        </w:rPr>
      </w:pPr>
      <w:r>
        <w:rPr>
          <w:b/>
          <w:bCs/>
          <w:sz w:val="32"/>
          <w:szCs w:val="32"/>
        </w:rPr>
        <w:t>Date: 24/10/2025</w:t>
      </w:r>
    </w:p>
    <w:p w14:paraId="48FB2763" w14:textId="0188148F" w:rsidR="00D45855" w:rsidRDefault="00D45855">
      <w:pPr>
        <w:rPr>
          <w:b/>
          <w:bCs/>
          <w:sz w:val="32"/>
          <w:szCs w:val="32"/>
        </w:rPr>
      </w:pPr>
      <w:r>
        <w:rPr>
          <w:b/>
          <w:bCs/>
          <w:sz w:val="32"/>
          <w:szCs w:val="32"/>
        </w:rPr>
        <w:t xml:space="preserve">                                                       </w:t>
      </w:r>
    </w:p>
    <w:p w14:paraId="0C36EDB0" w14:textId="46217BC7" w:rsidR="00D45855" w:rsidRPr="00D45855" w:rsidRDefault="00D45855">
      <w:pPr>
        <w:rPr>
          <w:sz w:val="28"/>
          <w:szCs w:val="28"/>
        </w:rPr>
      </w:pPr>
      <w:r>
        <w:rPr>
          <w:b/>
          <w:bCs/>
          <w:sz w:val="32"/>
          <w:szCs w:val="32"/>
        </w:rPr>
        <w:t xml:space="preserve">                            </w:t>
      </w:r>
    </w:p>
    <w:p w14:paraId="55BA03FB" w14:textId="77777777" w:rsidR="003A69BB" w:rsidRDefault="003A69BB"/>
    <w:p w14:paraId="510E7DDD" w14:textId="77777777" w:rsidR="00D45855" w:rsidRDefault="00D45855" w:rsidP="00D4585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ACD114C" w14:textId="77777777" w:rsidR="00D45855" w:rsidRDefault="00D45855" w:rsidP="00D4585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1B7AFC6" w14:textId="33FF78E1" w:rsidR="00D45855" w:rsidRPr="003B1A7B" w:rsidRDefault="00D45855" w:rsidP="00D4585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B1A7B">
        <w:rPr>
          <w:rFonts w:ascii="Times New Roman" w:eastAsia="Times New Roman" w:hAnsi="Times New Roman" w:cs="Times New Roman"/>
          <w:b/>
          <w:bCs/>
          <w:kern w:val="36"/>
          <w:sz w:val="48"/>
          <w:szCs w:val="48"/>
          <w:lang w:eastAsia="en-GB"/>
          <w14:ligatures w14:val="none"/>
        </w:rPr>
        <w:t>Reflective Report on Health and Social Care Principles in UK Practic</w:t>
      </w:r>
      <w:r>
        <w:rPr>
          <w:rFonts w:ascii="Times New Roman" w:eastAsia="Times New Roman" w:hAnsi="Times New Roman" w:cs="Times New Roman"/>
          <w:b/>
          <w:bCs/>
          <w:kern w:val="36"/>
          <w:sz w:val="48"/>
          <w:szCs w:val="48"/>
          <w:lang w:eastAsia="en-GB"/>
          <w14:ligatures w14:val="none"/>
        </w:rPr>
        <w:t>e</w:t>
      </w:r>
    </w:p>
    <w:p w14:paraId="5E6F3E63" w14:textId="77777777" w:rsidR="003A69BB" w:rsidRDefault="003A69BB"/>
    <w:p w14:paraId="1B90AC23" w14:textId="77777777" w:rsidR="003A69BB" w:rsidRDefault="003A69BB"/>
    <w:p w14:paraId="61C7A318" w14:textId="77777777" w:rsidR="003A69BB" w:rsidRDefault="003A69BB"/>
    <w:p w14:paraId="2717E4E2" w14:textId="77777777" w:rsidR="003A69BB" w:rsidRDefault="003A69BB"/>
    <w:p w14:paraId="56D4A2FD" w14:textId="77777777" w:rsidR="003A69BB" w:rsidRDefault="003A69BB"/>
    <w:p w14:paraId="0B0B6C95" w14:textId="77777777" w:rsidR="003A69BB" w:rsidRDefault="003A69BB"/>
    <w:p w14:paraId="5919DD4A" w14:textId="77777777" w:rsidR="003A69BB" w:rsidRDefault="003A69BB"/>
    <w:p w14:paraId="2E84C275" w14:textId="77777777"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Introduction</w:t>
      </w:r>
    </w:p>
    <w:p w14:paraId="3624C6B1"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Health and social care in the United Kingdom is underpinned by a set of key principles that ensure the delivery of safe, effective, and compassionate support to individuals. Central to these principles are </w:t>
      </w:r>
      <w:r w:rsidRPr="003A69BB">
        <w:rPr>
          <w:rFonts w:ascii="Times New Roman" w:eastAsia="Times New Roman" w:hAnsi="Times New Roman" w:cs="Times New Roman"/>
          <w:i/>
          <w:iCs/>
          <w:kern w:val="0"/>
          <w:lang w:eastAsia="en-GB"/>
          <w14:ligatures w14:val="none"/>
        </w:rPr>
        <w:t>person-centred care</w:t>
      </w:r>
      <w:r w:rsidRPr="003A69BB">
        <w:rPr>
          <w:rFonts w:ascii="Times New Roman" w:eastAsia="Times New Roman" w:hAnsi="Times New Roman" w:cs="Times New Roman"/>
          <w:kern w:val="0"/>
          <w:lang w:eastAsia="en-GB"/>
          <w14:ligatures w14:val="none"/>
        </w:rPr>
        <w:t xml:space="preserve">, </w:t>
      </w:r>
      <w:r w:rsidRPr="003A69BB">
        <w:rPr>
          <w:rFonts w:ascii="Times New Roman" w:eastAsia="Times New Roman" w:hAnsi="Times New Roman" w:cs="Times New Roman"/>
          <w:i/>
          <w:iCs/>
          <w:kern w:val="0"/>
          <w:lang w:eastAsia="en-GB"/>
          <w14:ligatures w14:val="none"/>
        </w:rPr>
        <w:t>partnership working</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ethical practice</w:t>
      </w:r>
      <w:r w:rsidRPr="003A69BB">
        <w:rPr>
          <w:rFonts w:ascii="Times New Roman" w:eastAsia="Times New Roman" w:hAnsi="Times New Roman" w:cs="Times New Roman"/>
          <w:kern w:val="0"/>
          <w:lang w:eastAsia="en-GB"/>
          <w14:ligatures w14:val="none"/>
        </w:rPr>
        <w:t xml:space="preserve">, which together shape how professionals provide high-quality, equitable care. These principles are embedded within national legislation and frameworks such as the </w:t>
      </w:r>
      <w:r w:rsidRPr="003A69BB">
        <w:rPr>
          <w:rFonts w:ascii="Times New Roman" w:eastAsia="Times New Roman" w:hAnsi="Times New Roman" w:cs="Times New Roman"/>
          <w:i/>
          <w:iCs/>
          <w:kern w:val="0"/>
          <w:lang w:eastAsia="en-GB"/>
          <w14:ligatures w14:val="none"/>
        </w:rPr>
        <w:t>Care Act 2014</w:t>
      </w:r>
      <w:r w:rsidRPr="003A69BB">
        <w:rPr>
          <w:rFonts w:ascii="Times New Roman" w:eastAsia="Times New Roman" w:hAnsi="Times New Roman" w:cs="Times New Roman"/>
          <w:kern w:val="0"/>
          <w:lang w:eastAsia="en-GB"/>
          <w14:ligatures w14:val="none"/>
        </w:rPr>
        <w:t xml:space="preserve">, the </w:t>
      </w:r>
      <w:r w:rsidRPr="003A69BB">
        <w:rPr>
          <w:rFonts w:ascii="Times New Roman" w:eastAsia="Times New Roman" w:hAnsi="Times New Roman" w:cs="Times New Roman"/>
          <w:i/>
          <w:iCs/>
          <w:kern w:val="0"/>
          <w:lang w:eastAsia="en-GB"/>
          <w14:ligatures w14:val="none"/>
        </w:rPr>
        <w:t>Health and Social Care Act 2012</w:t>
      </w:r>
      <w:r w:rsidRPr="003A69BB">
        <w:rPr>
          <w:rFonts w:ascii="Times New Roman" w:eastAsia="Times New Roman" w:hAnsi="Times New Roman" w:cs="Times New Roman"/>
          <w:kern w:val="0"/>
          <w:lang w:eastAsia="en-GB"/>
          <w14:ligatures w14:val="none"/>
        </w:rPr>
        <w:t xml:space="preserve">, and the </w:t>
      </w:r>
      <w:r w:rsidRPr="003A69BB">
        <w:rPr>
          <w:rFonts w:ascii="Times New Roman" w:eastAsia="Times New Roman" w:hAnsi="Times New Roman" w:cs="Times New Roman"/>
          <w:i/>
          <w:iCs/>
          <w:kern w:val="0"/>
          <w:lang w:eastAsia="en-GB"/>
          <w14:ligatures w14:val="none"/>
        </w:rPr>
        <w:t>NHS Constitution (2021)</w:t>
      </w:r>
      <w:r w:rsidRPr="003A69BB">
        <w:rPr>
          <w:rFonts w:ascii="Times New Roman" w:eastAsia="Times New Roman" w:hAnsi="Times New Roman" w:cs="Times New Roman"/>
          <w:kern w:val="0"/>
          <w:lang w:eastAsia="en-GB"/>
          <w14:ligatures w14:val="none"/>
        </w:rPr>
        <w:t xml:space="preserve">, which emphasise dignity, </w:t>
      </w:r>
      <w:r w:rsidRPr="003A69BB">
        <w:rPr>
          <w:rFonts w:ascii="Times New Roman" w:eastAsia="Times New Roman" w:hAnsi="Times New Roman" w:cs="Times New Roman"/>
          <w:kern w:val="0"/>
          <w:lang w:eastAsia="en-GB"/>
          <w14:ligatures w14:val="none"/>
        </w:rPr>
        <w:lastRenderedPageBreak/>
        <w:t>respect, and shared decision-making. Reflecting on these values enables health and social care professionals to recognise how their own practice contributes to improving outcomes for individuals and communities. This reflective report will explore the significance of these three principles, apply them to a real-life case study of Robyn—a woman living with spinal injury—and finally, evaluate how these principles influence my own professional development. Through this reflection, I aim to demonstrate how adopting these approaches promotes empowerment, equality, and person-centred outcomes in contemporary UK health and social care.</w:t>
      </w:r>
    </w:p>
    <w:p w14:paraId="55BE0BC1" w14:textId="77777777"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Task 1: Reflection on the Importance of Principles of Health and Social Care</w:t>
      </w:r>
    </w:p>
    <w:p w14:paraId="76D5D822"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The principles of health and social care provide the moral and professional foundation for high-quality, compassionate, and equitable care. Among these, </w:t>
      </w:r>
      <w:r w:rsidRPr="003A69BB">
        <w:rPr>
          <w:rFonts w:ascii="Times New Roman" w:eastAsia="Times New Roman" w:hAnsi="Times New Roman" w:cs="Times New Roman"/>
          <w:i/>
          <w:iCs/>
          <w:kern w:val="0"/>
          <w:lang w:eastAsia="en-GB"/>
          <w14:ligatures w14:val="none"/>
        </w:rPr>
        <w:t>person-centred care</w:t>
      </w:r>
      <w:r w:rsidRPr="003A69BB">
        <w:rPr>
          <w:rFonts w:ascii="Times New Roman" w:eastAsia="Times New Roman" w:hAnsi="Times New Roman" w:cs="Times New Roman"/>
          <w:kern w:val="0"/>
          <w:lang w:eastAsia="en-GB"/>
          <w14:ligatures w14:val="none"/>
        </w:rPr>
        <w:t xml:space="preserve">, </w:t>
      </w:r>
      <w:r w:rsidRPr="003A69BB">
        <w:rPr>
          <w:rFonts w:ascii="Times New Roman" w:eastAsia="Times New Roman" w:hAnsi="Times New Roman" w:cs="Times New Roman"/>
          <w:i/>
          <w:iCs/>
          <w:kern w:val="0"/>
          <w:lang w:eastAsia="en-GB"/>
          <w14:ligatures w14:val="none"/>
        </w:rPr>
        <w:t>partnership working</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ethical practice</w:t>
      </w:r>
      <w:r w:rsidRPr="003A69BB">
        <w:rPr>
          <w:rFonts w:ascii="Times New Roman" w:eastAsia="Times New Roman" w:hAnsi="Times New Roman" w:cs="Times New Roman"/>
          <w:kern w:val="0"/>
          <w:lang w:eastAsia="en-GB"/>
          <w14:ligatures w14:val="none"/>
        </w:rPr>
        <w:t xml:space="preserve"> are crucial in ensuring that individuals’ needs, preferences, and rights remain at the heart of service delivery. Reflecting on these principles allows professionals to evaluate how their actions influence the well-being, autonomy, and dignity of those they support.</w:t>
      </w:r>
    </w:p>
    <w:p w14:paraId="04D18C36"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b/>
          <w:bCs/>
          <w:kern w:val="0"/>
          <w:lang w:eastAsia="en-GB"/>
          <w14:ligatures w14:val="none"/>
        </w:rPr>
        <w:t>Person-centred care</w:t>
      </w:r>
      <w:r w:rsidRPr="003A69BB">
        <w:rPr>
          <w:rFonts w:ascii="Times New Roman" w:eastAsia="Times New Roman" w:hAnsi="Times New Roman" w:cs="Times New Roman"/>
          <w:kern w:val="0"/>
          <w:lang w:eastAsia="en-GB"/>
          <w14:ligatures w14:val="none"/>
        </w:rPr>
        <w:t xml:space="preserve"> is based on recognising each individual as a unique person with their own life experiences, goals, and values. According to the </w:t>
      </w:r>
      <w:r w:rsidRPr="003A69BB">
        <w:rPr>
          <w:rFonts w:ascii="Times New Roman" w:eastAsia="Times New Roman" w:hAnsi="Times New Roman" w:cs="Times New Roman"/>
          <w:i/>
          <w:iCs/>
          <w:kern w:val="0"/>
          <w:lang w:eastAsia="en-GB"/>
          <w14:ligatures w14:val="none"/>
        </w:rPr>
        <w:t>Health Foundation (2016)</w:t>
      </w:r>
      <w:r w:rsidRPr="003A69BB">
        <w:rPr>
          <w:rFonts w:ascii="Times New Roman" w:eastAsia="Times New Roman" w:hAnsi="Times New Roman" w:cs="Times New Roman"/>
          <w:kern w:val="0"/>
          <w:lang w:eastAsia="en-GB"/>
          <w14:ligatures w14:val="none"/>
        </w:rPr>
        <w:t xml:space="preserve">, person-centred care means treating people with respect, involving them in decisions, and supporting them to live the life they choose. It aligns with the </w:t>
      </w:r>
      <w:r w:rsidRPr="003A69BB">
        <w:rPr>
          <w:rFonts w:ascii="Times New Roman" w:eastAsia="Times New Roman" w:hAnsi="Times New Roman" w:cs="Times New Roman"/>
          <w:i/>
          <w:iCs/>
          <w:kern w:val="0"/>
          <w:lang w:eastAsia="en-GB"/>
          <w14:ligatures w14:val="none"/>
        </w:rPr>
        <w:t>Care Act 2014</w:t>
      </w:r>
      <w:r w:rsidRPr="003A69BB">
        <w:rPr>
          <w:rFonts w:ascii="Times New Roman" w:eastAsia="Times New Roman" w:hAnsi="Times New Roman" w:cs="Times New Roman"/>
          <w:kern w:val="0"/>
          <w:lang w:eastAsia="en-GB"/>
          <w14:ligatures w14:val="none"/>
        </w:rPr>
        <w:t xml:space="preserve">, which requires professionals to promote individual well-being and empower people to make informed choices. The </w:t>
      </w:r>
      <w:r w:rsidRPr="003A69BB">
        <w:rPr>
          <w:rFonts w:ascii="Times New Roman" w:eastAsia="Times New Roman" w:hAnsi="Times New Roman" w:cs="Times New Roman"/>
          <w:i/>
          <w:iCs/>
          <w:kern w:val="0"/>
          <w:lang w:eastAsia="en-GB"/>
          <w14:ligatures w14:val="none"/>
        </w:rPr>
        <w:t>NHS Long Term Plan (2019)</w:t>
      </w:r>
      <w:r w:rsidRPr="003A69BB">
        <w:rPr>
          <w:rFonts w:ascii="Times New Roman" w:eastAsia="Times New Roman" w:hAnsi="Times New Roman" w:cs="Times New Roman"/>
          <w:kern w:val="0"/>
          <w:lang w:eastAsia="en-GB"/>
          <w14:ligatures w14:val="none"/>
        </w:rPr>
        <w:t xml:space="preserve"> also emphasises that personalised care is central to improving health outcomes and satisfaction. From a reflective perspective, adopting a person-centred approach encourages professionals to move away from “task-focused” care towards relationship-based support that values individuality and inclusion. Theories such as </w:t>
      </w:r>
      <w:r w:rsidRPr="003A69BB">
        <w:rPr>
          <w:rFonts w:ascii="Times New Roman" w:eastAsia="Times New Roman" w:hAnsi="Times New Roman" w:cs="Times New Roman"/>
          <w:i/>
          <w:iCs/>
          <w:kern w:val="0"/>
          <w:lang w:eastAsia="en-GB"/>
          <w14:ligatures w14:val="none"/>
        </w:rPr>
        <w:t>Carl Rogers’ person-centred approach</w:t>
      </w:r>
      <w:r w:rsidRPr="003A69BB">
        <w:rPr>
          <w:rFonts w:ascii="Times New Roman" w:eastAsia="Times New Roman" w:hAnsi="Times New Roman" w:cs="Times New Roman"/>
          <w:kern w:val="0"/>
          <w:lang w:eastAsia="en-GB"/>
          <w14:ligatures w14:val="none"/>
        </w:rPr>
        <w:t xml:space="preserve"> highlight the importance of empathy, unconditional positive regard, and genuineness, which are essential when building trust and understanding in care relationships.</w:t>
      </w:r>
    </w:p>
    <w:p w14:paraId="75FCB0D5"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b/>
          <w:bCs/>
          <w:kern w:val="0"/>
          <w:lang w:eastAsia="en-GB"/>
          <w14:ligatures w14:val="none"/>
        </w:rPr>
        <w:t>Partnership working</w:t>
      </w:r>
      <w:r w:rsidRPr="003A69BB">
        <w:rPr>
          <w:rFonts w:ascii="Times New Roman" w:eastAsia="Times New Roman" w:hAnsi="Times New Roman" w:cs="Times New Roman"/>
          <w:kern w:val="0"/>
          <w:lang w:eastAsia="en-GB"/>
          <w14:ligatures w14:val="none"/>
        </w:rPr>
        <w:t xml:space="preserve"> is another key principle that supports the delivery of holistic and coordinated care. The </w:t>
      </w:r>
      <w:r w:rsidRPr="003A69BB">
        <w:rPr>
          <w:rFonts w:ascii="Times New Roman" w:eastAsia="Times New Roman" w:hAnsi="Times New Roman" w:cs="Times New Roman"/>
          <w:i/>
          <w:iCs/>
          <w:kern w:val="0"/>
          <w:lang w:eastAsia="en-GB"/>
          <w14:ligatures w14:val="none"/>
        </w:rPr>
        <w:t>Health and Social Care Act 2012</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Integrated Care Systems (ICS)</w:t>
      </w:r>
      <w:r w:rsidRPr="003A69BB">
        <w:rPr>
          <w:rFonts w:ascii="Times New Roman" w:eastAsia="Times New Roman" w:hAnsi="Times New Roman" w:cs="Times New Roman"/>
          <w:kern w:val="0"/>
          <w:lang w:eastAsia="en-GB"/>
          <w14:ligatures w14:val="none"/>
        </w:rPr>
        <w:t xml:space="preserve"> framework promote collaboration between health, social care, voluntary, and community sectors to meet complex needs. Effective partnership working ensures that care is not fragmented but coordinated, allowing professionals to share expertise, resources, and accountability. Theories such as </w:t>
      </w:r>
      <w:r w:rsidRPr="003A69BB">
        <w:rPr>
          <w:rFonts w:ascii="Times New Roman" w:eastAsia="Times New Roman" w:hAnsi="Times New Roman" w:cs="Times New Roman"/>
          <w:i/>
          <w:iCs/>
          <w:kern w:val="0"/>
          <w:lang w:eastAsia="en-GB"/>
          <w14:ligatures w14:val="none"/>
        </w:rPr>
        <w:t>Tuckman’s model of team development</w:t>
      </w:r>
      <w:r w:rsidRPr="003A69BB">
        <w:rPr>
          <w:rFonts w:ascii="Times New Roman" w:eastAsia="Times New Roman" w:hAnsi="Times New Roman" w:cs="Times New Roman"/>
          <w:kern w:val="0"/>
          <w:lang w:eastAsia="en-GB"/>
          <w14:ligatures w14:val="none"/>
        </w:rPr>
        <w:t xml:space="preserve"> (1965) illustrate that trust, communication, and clearly defined roles are vital for successful teamwork. Reflecting on practice, when professionals work in partnership with individuals and their families, they can better understand the person’s circumstances and provide support that promotes independence, safety, and empowerment.</w:t>
      </w:r>
    </w:p>
    <w:p w14:paraId="7A18C493"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b/>
          <w:bCs/>
          <w:kern w:val="0"/>
          <w:lang w:eastAsia="en-GB"/>
          <w14:ligatures w14:val="none"/>
        </w:rPr>
        <w:t>Ethical practice</w:t>
      </w:r>
      <w:r w:rsidRPr="003A69BB">
        <w:rPr>
          <w:rFonts w:ascii="Times New Roman" w:eastAsia="Times New Roman" w:hAnsi="Times New Roman" w:cs="Times New Roman"/>
          <w:kern w:val="0"/>
          <w:lang w:eastAsia="en-GB"/>
          <w14:ligatures w14:val="none"/>
        </w:rPr>
        <w:t xml:space="preserve"> underpins all care interactions and decision-making processes. Health and social care professionals frequently encounter ethical dilemmas—such as balancing autonomy with safety or maintaining confidentiality while safeguarding vulnerable individuals. Ethical frameworks such as </w:t>
      </w:r>
      <w:r w:rsidRPr="003A69BB">
        <w:rPr>
          <w:rFonts w:ascii="Times New Roman" w:eastAsia="Times New Roman" w:hAnsi="Times New Roman" w:cs="Times New Roman"/>
          <w:i/>
          <w:iCs/>
          <w:kern w:val="0"/>
          <w:lang w:eastAsia="en-GB"/>
          <w14:ligatures w14:val="none"/>
        </w:rPr>
        <w:t>Beauchamp and Childress’ (2013)</w:t>
      </w:r>
      <w:r w:rsidRPr="003A69BB">
        <w:rPr>
          <w:rFonts w:ascii="Times New Roman" w:eastAsia="Times New Roman" w:hAnsi="Times New Roman" w:cs="Times New Roman"/>
          <w:kern w:val="0"/>
          <w:lang w:eastAsia="en-GB"/>
          <w14:ligatures w14:val="none"/>
        </w:rPr>
        <w:t xml:space="preserve"> four principles—autonomy, beneficence, non-maleficence, and justice—guide professionals in making fair and morally sound decisions. The </w:t>
      </w:r>
      <w:r w:rsidRPr="003A69BB">
        <w:rPr>
          <w:rFonts w:ascii="Times New Roman" w:eastAsia="Times New Roman" w:hAnsi="Times New Roman" w:cs="Times New Roman"/>
          <w:i/>
          <w:iCs/>
          <w:kern w:val="0"/>
          <w:lang w:eastAsia="en-GB"/>
          <w14:ligatures w14:val="none"/>
        </w:rPr>
        <w:t>NMC Code (2018)</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HCPC Standards of Conduct (2023)</w:t>
      </w:r>
      <w:r w:rsidRPr="003A69BB">
        <w:rPr>
          <w:rFonts w:ascii="Times New Roman" w:eastAsia="Times New Roman" w:hAnsi="Times New Roman" w:cs="Times New Roman"/>
          <w:kern w:val="0"/>
          <w:lang w:eastAsia="en-GB"/>
          <w14:ligatures w14:val="none"/>
        </w:rPr>
        <w:t xml:space="preserve"> further emphasise the duty to act with honesty, integrity, and respect. Reflectively, ethics </w:t>
      </w:r>
      <w:r w:rsidRPr="003A69BB">
        <w:rPr>
          <w:rFonts w:ascii="Times New Roman" w:eastAsia="Times New Roman" w:hAnsi="Times New Roman" w:cs="Times New Roman"/>
          <w:kern w:val="0"/>
          <w:lang w:eastAsia="en-GB"/>
          <w14:ligatures w14:val="none"/>
        </w:rPr>
        <w:lastRenderedPageBreak/>
        <w:t>ensure that professionals remain accountable and that care decisions prioritise the person’s best interests while respecting their rights and diversity.</w:t>
      </w:r>
    </w:p>
    <w:p w14:paraId="233A3C82"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In conclusion, the principles of person-centred care, partnership working, and ethics are interlinked and essential in maintaining the quality and integrity of UK health and social care. Together, they promote dignity, safety, equality, and empowerment—ensuring that individuals are treated as active participants rather than passive recipients of care. Reflecting on these principles encourages professionals to continuously evaluate their values, behaviours, and actions, leading to more compassionate and effective practice.</w:t>
      </w:r>
    </w:p>
    <w:p w14:paraId="36F89EAE" w14:textId="77777777"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Task 2: Practical Examples of Concepts in Practice</w:t>
      </w:r>
    </w:p>
    <w:p w14:paraId="7AEC4509"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The case study of Robyn demonstrates the transformative impact of person-centred care, partnership working, and ethical practice in real-world health and social care. Robyn, who became tetraplegic following a spinal injury, initially experienced inconsistent and impersonal care from a home care agency. Her experience highlights the importance of putting the individual at the centre of decision-making and ensuring collaborative, ethical practice in supporting complex needs.</w:t>
      </w:r>
    </w:p>
    <w:p w14:paraId="55216394"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Initially, Robyn’s care was focused primarily on meeting her </w:t>
      </w:r>
      <w:r w:rsidRPr="003A69BB">
        <w:rPr>
          <w:rFonts w:ascii="Times New Roman" w:eastAsia="Times New Roman" w:hAnsi="Times New Roman" w:cs="Times New Roman"/>
          <w:i/>
          <w:iCs/>
          <w:kern w:val="0"/>
          <w:lang w:eastAsia="en-GB"/>
          <w14:ligatures w14:val="none"/>
        </w:rPr>
        <w:t>basic physical needs</w:t>
      </w:r>
      <w:r w:rsidRPr="003A69BB">
        <w:rPr>
          <w:rFonts w:ascii="Times New Roman" w:eastAsia="Times New Roman" w:hAnsi="Times New Roman" w:cs="Times New Roman"/>
          <w:kern w:val="0"/>
          <w:lang w:eastAsia="en-GB"/>
          <w14:ligatures w14:val="none"/>
        </w:rPr>
        <w:t xml:space="preserve"> rather than promoting her overall well-being. This approach conflicted with the principles of </w:t>
      </w:r>
      <w:r w:rsidRPr="003A69BB">
        <w:rPr>
          <w:rFonts w:ascii="Times New Roman" w:eastAsia="Times New Roman" w:hAnsi="Times New Roman" w:cs="Times New Roman"/>
          <w:i/>
          <w:iCs/>
          <w:kern w:val="0"/>
          <w:lang w:eastAsia="en-GB"/>
          <w14:ligatures w14:val="none"/>
        </w:rPr>
        <w:t>person-centred care</w:t>
      </w:r>
      <w:r w:rsidRPr="003A69BB">
        <w:rPr>
          <w:rFonts w:ascii="Times New Roman" w:eastAsia="Times New Roman" w:hAnsi="Times New Roman" w:cs="Times New Roman"/>
          <w:kern w:val="0"/>
          <w:lang w:eastAsia="en-GB"/>
          <w14:ligatures w14:val="none"/>
        </w:rPr>
        <w:t xml:space="preserve"> outlined in the </w:t>
      </w:r>
      <w:r w:rsidRPr="003A69BB">
        <w:rPr>
          <w:rFonts w:ascii="Times New Roman" w:eastAsia="Times New Roman" w:hAnsi="Times New Roman" w:cs="Times New Roman"/>
          <w:i/>
          <w:iCs/>
          <w:kern w:val="0"/>
          <w:lang w:eastAsia="en-GB"/>
          <w14:ligatures w14:val="none"/>
        </w:rPr>
        <w:t>Care Act 2014</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NICE guidelines (2021)</w:t>
      </w:r>
      <w:r w:rsidRPr="003A69BB">
        <w:rPr>
          <w:rFonts w:ascii="Times New Roman" w:eastAsia="Times New Roman" w:hAnsi="Times New Roman" w:cs="Times New Roman"/>
          <w:kern w:val="0"/>
          <w:lang w:eastAsia="en-GB"/>
          <w14:ligatures w14:val="none"/>
        </w:rPr>
        <w:t xml:space="preserve">, which stress the importance of promoting choice, control, and dignity. The lack of continuity and poor planning undermined Robyn’s independence and quality of life. When she transitioned to a </w:t>
      </w:r>
      <w:r w:rsidRPr="003A69BB">
        <w:rPr>
          <w:rFonts w:ascii="Times New Roman" w:eastAsia="Times New Roman" w:hAnsi="Times New Roman" w:cs="Times New Roman"/>
          <w:i/>
          <w:iCs/>
          <w:kern w:val="0"/>
          <w:lang w:eastAsia="en-GB"/>
          <w14:ligatures w14:val="none"/>
        </w:rPr>
        <w:t>Personal Health Budget (PHB)</w:t>
      </w:r>
      <w:r w:rsidRPr="003A69BB">
        <w:rPr>
          <w:rFonts w:ascii="Times New Roman" w:eastAsia="Times New Roman" w:hAnsi="Times New Roman" w:cs="Times New Roman"/>
          <w:kern w:val="0"/>
          <w:lang w:eastAsia="en-GB"/>
          <w14:ligatures w14:val="none"/>
        </w:rPr>
        <w:t xml:space="preserve">, supported by </w:t>
      </w:r>
      <w:r w:rsidRPr="003A69BB">
        <w:rPr>
          <w:rFonts w:ascii="Times New Roman" w:eastAsia="Times New Roman" w:hAnsi="Times New Roman" w:cs="Times New Roman"/>
          <w:i/>
          <w:iCs/>
          <w:kern w:val="0"/>
          <w:lang w:eastAsia="en-GB"/>
          <w14:ligatures w14:val="none"/>
        </w:rPr>
        <w:t>NHS England’s Personalised Care Framework (2021)</w:t>
      </w:r>
      <w:r w:rsidRPr="003A69BB">
        <w:rPr>
          <w:rFonts w:ascii="Times New Roman" w:eastAsia="Times New Roman" w:hAnsi="Times New Roman" w:cs="Times New Roman"/>
          <w:kern w:val="0"/>
          <w:lang w:eastAsia="en-GB"/>
          <w14:ligatures w14:val="none"/>
        </w:rPr>
        <w:t xml:space="preserve">, her care became truly person-centred. She was able to choose her own personal assistants (PAs), plan her routines, and actively participate in decisions affecting her care. This reflects the </w:t>
      </w:r>
      <w:r w:rsidRPr="003A69BB">
        <w:rPr>
          <w:rFonts w:ascii="Times New Roman" w:eastAsia="Times New Roman" w:hAnsi="Times New Roman" w:cs="Times New Roman"/>
          <w:i/>
          <w:iCs/>
          <w:kern w:val="0"/>
          <w:lang w:eastAsia="en-GB"/>
          <w14:ligatures w14:val="none"/>
        </w:rPr>
        <w:t>Health Foundation’s (2016)</w:t>
      </w:r>
      <w:r w:rsidRPr="003A69BB">
        <w:rPr>
          <w:rFonts w:ascii="Times New Roman" w:eastAsia="Times New Roman" w:hAnsi="Times New Roman" w:cs="Times New Roman"/>
          <w:kern w:val="0"/>
          <w:lang w:eastAsia="en-GB"/>
          <w14:ligatures w14:val="none"/>
        </w:rPr>
        <w:t xml:space="preserve"> definition of person-centred care as care that “is built around the person, not the system.” Empowering Robyn to recruit and manage her own PAs respected her autonomy and enabled her to reclaim control over her life and identity.</w:t>
      </w:r>
    </w:p>
    <w:p w14:paraId="7CF60199"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b/>
          <w:bCs/>
          <w:kern w:val="0"/>
          <w:lang w:eastAsia="en-GB"/>
          <w14:ligatures w14:val="none"/>
        </w:rPr>
        <w:t>Partnership working</w:t>
      </w:r>
      <w:r w:rsidRPr="003A69BB">
        <w:rPr>
          <w:rFonts w:ascii="Times New Roman" w:eastAsia="Times New Roman" w:hAnsi="Times New Roman" w:cs="Times New Roman"/>
          <w:kern w:val="0"/>
          <w:lang w:eastAsia="en-GB"/>
          <w14:ligatures w14:val="none"/>
        </w:rPr>
        <w:t xml:space="preserve"> played a vital role in improving Robyn’s care outcomes. The collaboration between her </w:t>
      </w:r>
      <w:r w:rsidRPr="003A69BB">
        <w:rPr>
          <w:rFonts w:ascii="Times New Roman" w:eastAsia="Times New Roman" w:hAnsi="Times New Roman" w:cs="Times New Roman"/>
          <w:i/>
          <w:iCs/>
          <w:kern w:val="0"/>
          <w:lang w:eastAsia="en-GB"/>
          <w14:ligatures w14:val="none"/>
        </w:rPr>
        <w:t>Continuing Healthcare (CHC)</w:t>
      </w:r>
      <w:r w:rsidRPr="003A69BB">
        <w:rPr>
          <w:rFonts w:ascii="Times New Roman" w:eastAsia="Times New Roman" w:hAnsi="Times New Roman" w:cs="Times New Roman"/>
          <w:kern w:val="0"/>
          <w:lang w:eastAsia="en-GB"/>
          <w14:ligatures w14:val="none"/>
        </w:rPr>
        <w:t xml:space="preserve"> team, social services, and the </w:t>
      </w:r>
      <w:r w:rsidRPr="003A69BB">
        <w:rPr>
          <w:rFonts w:ascii="Times New Roman" w:eastAsia="Times New Roman" w:hAnsi="Times New Roman" w:cs="Times New Roman"/>
          <w:i/>
          <w:iCs/>
          <w:kern w:val="0"/>
          <w:lang w:eastAsia="en-GB"/>
          <w14:ligatures w14:val="none"/>
        </w:rPr>
        <w:t>Personal Budget Support Service (PBSS)</w:t>
      </w:r>
      <w:r w:rsidRPr="003A69BB">
        <w:rPr>
          <w:rFonts w:ascii="Times New Roman" w:eastAsia="Times New Roman" w:hAnsi="Times New Roman" w:cs="Times New Roman"/>
          <w:kern w:val="0"/>
          <w:lang w:eastAsia="en-GB"/>
          <w14:ligatures w14:val="none"/>
        </w:rPr>
        <w:t xml:space="preserve"> demonstrates the importance of multi-agency cooperation in care planning. According to the </w:t>
      </w:r>
      <w:r w:rsidRPr="003A69BB">
        <w:rPr>
          <w:rFonts w:ascii="Times New Roman" w:eastAsia="Times New Roman" w:hAnsi="Times New Roman" w:cs="Times New Roman"/>
          <w:i/>
          <w:iCs/>
          <w:kern w:val="0"/>
          <w:lang w:eastAsia="en-GB"/>
          <w14:ligatures w14:val="none"/>
        </w:rPr>
        <w:t>Health and Social Care Act 2012</w:t>
      </w:r>
      <w:r w:rsidRPr="003A69BB">
        <w:rPr>
          <w:rFonts w:ascii="Times New Roman" w:eastAsia="Times New Roman" w:hAnsi="Times New Roman" w:cs="Times New Roman"/>
          <w:kern w:val="0"/>
          <w:lang w:eastAsia="en-GB"/>
          <w14:ligatures w14:val="none"/>
        </w:rPr>
        <w:t xml:space="preserve"> and the establishment of </w:t>
      </w:r>
      <w:r w:rsidRPr="003A69BB">
        <w:rPr>
          <w:rFonts w:ascii="Times New Roman" w:eastAsia="Times New Roman" w:hAnsi="Times New Roman" w:cs="Times New Roman"/>
          <w:i/>
          <w:iCs/>
          <w:kern w:val="0"/>
          <w:lang w:eastAsia="en-GB"/>
          <w14:ligatures w14:val="none"/>
        </w:rPr>
        <w:t>Integrated Care Systems (ICS)</w:t>
      </w:r>
      <w:r w:rsidRPr="003A69BB">
        <w:rPr>
          <w:rFonts w:ascii="Times New Roman" w:eastAsia="Times New Roman" w:hAnsi="Times New Roman" w:cs="Times New Roman"/>
          <w:kern w:val="0"/>
          <w:lang w:eastAsia="en-GB"/>
          <w14:ligatures w14:val="none"/>
        </w:rPr>
        <w:t xml:space="preserve">, partnership working is essential to ensure that care is coordinated and responsive to individuals’ needs. Robyn’s experience shows that when professionals work in partnership with service users, they can design support plans that reflect the person’s goals and lifestyle. Her later ability to co-produce services with NHS England further exemplifies how partnership working can extend beyond care delivery to include service design and policy development. This aligns with the </w:t>
      </w:r>
      <w:r w:rsidRPr="003A69BB">
        <w:rPr>
          <w:rFonts w:ascii="Times New Roman" w:eastAsia="Times New Roman" w:hAnsi="Times New Roman" w:cs="Times New Roman"/>
          <w:i/>
          <w:iCs/>
          <w:kern w:val="0"/>
          <w:lang w:eastAsia="en-GB"/>
          <w14:ligatures w14:val="none"/>
        </w:rPr>
        <w:t>SCIE (2020)</w:t>
      </w:r>
      <w:r w:rsidRPr="003A69BB">
        <w:rPr>
          <w:rFonts w:ascii="Times New Roman" w:eastAsia="Times New Roman" w:hAnsi="Times New Roman" w:cs="Times New Roman"/>
          <w:kern w:val="0"/>
          <w:lang w:eastAsia="en-GB"/>
          <w14:ligatures w14:val="none"/>
        </w:rPr>
        <w:t xml:space="preserve"> model of co-production, where people with lived experience contribute as equal partners in shaping care systems.</w:t>
      </w:r>
    </w:p>
    <w:p w14:paraId="04A84CD0"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b/>
          <w:bCs/>
          <w:kern w:val="0"/>
          <w:lang w:eastAsia="en-GB"/>
          <w14:ligatures w14:val="none"/>
        </w:rPr>
        <w:t>Ethical practice</w:t>
      </w:r>
      <w:r w:rsidRPr="003A69BB">
        <w:rPr>
          <w:rFonts w:ascii="Times New Roman" w:eastAsia="Times New Roman" w:hAnsi="Times New Roman" w:cs="Times New Roman"/>
          <w:kern w:val="0"/>
          <w:lang w:eastAsia="en-GB"/>
          <w14:ligatures w14:val="none"/>
        </w:rPr>
        <w:t xml:space="preserve"> was central to the decision-making throughout Robyn’s care journey. Initially, the agency’s prioritisation of staffing convenience over her personal needs raised ethical concerns about </w:t>
      </w:r>
      <w:r w:rsidRPr="003A69BB">
        <w:rPr>
          <w:rFonts w:ascii="Times New Roman" w:eastAsia="Times New Roman" w:hAnsi="Times New Roman" w:cs="Times New Roman"/>
          <w:i/>
          <w:iCs/>
          <w:kern w:val="0"/>
          <w:lang w:eastAsia="en-GB"/>
          <w14:ligatures w14:val="none"/>
        </w:rPr>
        <w:t>justice</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autonomy</w:t>
      </w:r>
      <w:r w:rsidRPr="003A69BB">
        <w:rPr>
          <w:rFonts w:ascii="Times New Roman" w:eastAsia="Times New Roman" w:hAnsi="Times New Roman" w:cs="Times New Roman"/>
          <w:kern w:val="0"/>
          <w:lang w:eastAsia="en-GB"/>
          <w14:ligatures w14:val="none"/>
        </w:rPr>
        <w:t xml:space="preserve">. Ethical principles, as outlined by </w:t>
      </w:r>
      <w:r w:rsidRPr="003A69BB">
        <w:rPr>
          <w:rFonts w:ascii="Times New Roman" w:eastAsia="Times New Roman" w:hAnsi="Times New Roman" w:cs="Times New Roman"/>
          <w:i/>
          <w:iCs/>
          <w:kern w:val="0"/>
          <w:lang w:eastAsia="en-GB"/>
          <w14:ligatures w14:val="none"/>
        </w:rPr>
        <w:t>Beauchamp and Childress (2013)</w:t>
      </w:r>
      <w:r w:rsidRPr="003A69BB">
        <w:rPr>
          <w:rFonts w:ascii="Times New Roman" w:eastAsia="Times New Roman" w:hAnsi="Times New Roman" w:cs="Times New Roman"/>
          <w:kern w:val="0"/>
          <w:lang w:eastAsia="en-GB"/>
          <w14:ligatures w14:val="none"/>
        </w:rPr>
        <w:t xml:space="preserve">, were not being upheld—particularly autonomy (the right to self-determination) and beneficence (acting in the person’s best interest). Transitioning to a PHB addressed these ethical gaps by empowering Robyn to make informed choices, exercise </w:t>
      </w:r>
      <w:r w:rsidRPr="003A69BB">
        <w:rPr>
          <w:rFonts w:ascii="Times New Roman" w:eastAsia="Times New Roman" w:hAnsi="Times New Roman" w:cs="Times New Roman"/>
          <w:kern w:val="0"/>
          <w:lang w:eastAsia="en-GB"/>
          <w14:ligatures w14:val="none"/>
        </w:rPr>
        <w:lastRenderedPageBreak/>
        <w:t xml:space="preserve">control, and receive consistent, respectful care. This also reflects the ethical duty of professionals, under the </w:t>
      </w:r>
      <w:r w:rsidRPr="003A69BB">
        <w:rPr>
          <w:rFonts w:ascii="Times New Roman" w:eastAsia="Times New Roman" w:hAnsi="Times New Roman" w:cs="Times New Roman"/>
          <w:i/>
          <w:iCs/>
          <w:kern w:val="0"/>
          <w:lang w:eastAsia="en-GB"/>
          <w14:ligatures w14:val="none"/>
        </w:rPr>
        <w:t>NMC Code (2018)</w:t>
      </w:r>
      <w:r w:rsidRPr="003A69BB">
        <w:rPr>
          <w:rFonts w:ascii="Times New Roman" w:eastAsia="Times New Roman" w:hAnsi="Times New Roman" w:cs="Times New Roman"/>
          <w:kern w:val="0"/>
          <w:lang w:eastAsia="en-GB"/>
          <w14:ligatures w14:val="none"/>
        </w:rPr>
        <w:t>, to “prioritise people” and “practise effectively.”</w:t>
      </w:r>
    </w:p>
    <w:p w14:paraId="47976F59"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In summary, Robyn’s story highlights how person-centred care, partnership working, and ethics intertwine to deliver high-quality, empowering care. Her transformation—from dependency and frustration to independence and fulfilment—illustrates the power of personalised, collaborative, and ethical approaches in modern UK health and social care. Effective implementation of these principles not only enhances quality of life but also promotes trust, equality, and empowerment for service users and professionals alike.</w:t>
      </w:r>
    </w:p>
    <w:p w14:paraId="56FF3827" w14:textId="77777777"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Task 3: Self-Reflection as a Health and Social Care Professional</w:t>
      </w:r>
    </w:p>
    <w:p w14:paraId="181A1F84"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As a health and social care student, reflecting on the principles of person-centred care, partnership working, and ethics has helped me to better understand my professional responsibilities and how my actions impact the lives of the people I support. Reflection allows me to evaluate my strengths, identify areas for development, and continuously improve my practice. Using </w:t>
      </w:r>
      <w:r w:rsidRPr="003A69BB">
        <w:rPr>
          <w:rFonts w:ascii="Times New Roman" w:eastAsia="Times New Roman" w:hAnsi="Times New Roman" w:cs="Times New Roman"/>
          <w:i/>
          <w:iCs/>
          <w:kern w:val="0"/>
          <w:lang w:eastAsia="en-GB"/>
          <w14:ligatures w14:val="none"/>
        </w:rPr>
        <w:t>Gibbs’ Reflective Cycle (1988)</w:t>
      </w:r>
      <w:r w:rsidRPr="003A69BB">
        <w:rPr>
          <w:rFonts w:ascii="Times New Roman" w:eastAsia="Times New Roman" w:hAnsi="Times New Roman" w:cs="Times New Roman"/>
          <w:kern w:val="0"/>
          <w:lang w:eastAsia="en-GB"/>
          <w14:ligatures w14:val="none"/>
        </w:rPr>
        <w:t>, I have considered how these principles influence my day-to-day interactions and professional growth.</w:t>
      </w:r>
    </w:p>
    <w:p w14:paraId="3D37BB48"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t>Person-Centred Care in My Practice</w:t>
      </w:r>
    </w:p>
    <w:p w14:paraId="1E189911"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In my current role within health and social care, I aim to place the individual at the centre of all decisions and care planning. I recognise that person-centred care is not simply about meeting physical needs, but about understanding a person’s preferences, values, and aspirations. The </w:t>
      </w:r>
      <w:r w:rsidRPr="003A69BB">
        <w:rPr>
          <w:rFonts w:ascii="Times New Roman" w:eastAsia="Times New Roman" w:hAnsi="Times New Roman" w:cs="Times New Roman"/>
          <w:i/>
          <w:iCs/>
          <w:kern w:val="0"/>
          <w:lang w:eastAsia="en-GB"/>
          <w14:ligatures w14:val="none"/>
        </w:rPr>
        <w:t>Care Act 2014</w:t>
      </w:r>
      <w:r w:rsidRPr="003A69BB">
        <w:rPr>
          <w:rFonts w:ascii="Times New Roman" w:eastAsia="Times New Roman" w:hAnsi="Times New Roman" w:cs="Times New Roman"/>
          <w:kern w:val="0"/>
          <w:lang w:eastAsia="en-GB"/>
          <w14:ligatures w14:val="none"/>
        </w:rPr>
        <w:t xml:space="preserve"> emphasises well-being, dignity, and independence as core outcomes, while </w:t>
      </w:r>
      <w:r w:rsidRPr="003A69BB">
        <w:rPr>
          <w:rFonts w:ascii="Times New Roman" w:eastAsia="Times New Roman" w:hAnsi="Times New Roman" w:cs="Times New Roman"/>
          <w:i/>
          <w:iCs/>
          <w:kern w:val="0"/>
          <w:lang w:eastAsia="en-GB"/>
          <w14:ligatures w14:val="none"/>
        </w:rPr>
        <w:t>NICE (2021)</w:t>
      </w:r>
      <w:r w:rsidRPr="003A69BB">
        <w:rPr>
          <w:rFonts w:ascii="Times New Roman" w:eastAsia="Times New Roman" w:hAnsi="Times New Roman" w:cs="Times New Roman"/>
          <w:kern w:val="0"/>
          <w:lang w:eastAsia="en-GB"/>
          <w14:ligatures w14:val="none"/>
        </w:rPr>
        <w:t xml:space="preserve"> recommends involving individuals as active partners in their care. I try to apply these principles by listening actively to service users and encouraging them to express their wishes. For example, when supporting an individual with mobility challenges, I involve them in choosing the times and ways they receive assistance, promoting their autonomy and control.</w:t>
      </w:r>
    </w:p>
    <w:p w14:paraId="30B4E7D6"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Through reflection, I have realised that person-centred care requires not only empathy but also effective communication and cultural sensitivity. I have encountered situations where individuals had communication difficulties or lacked confidence in expressing their needs. In these moments, I have learned the importance of patience, using non-verbal cues, and adapting communication to each person’s abilities. According to </w:t>
      </w:r>
      <w:r w:rsidRPr="003A69BB">
        <w:rPr>
          <w:rFonts w:ascii="Times New Roman" w:eastAsia="Times New Roman" w:hAnsi="Times New Roman" w:cs="Times New Roman"/>
          <w:i/>
          <w:iCs/>
          <w:kern w:val="0"/>
          <w:lang w:eastAsia="en-GB"/>
          <w14:ligatures w14:val="none"/>
        </w:rPr>
        <w:t>Carl Rogers’ person-centred theory</w:t>
      </w:r>
      <w:r w:rsidRPr="003A69BB">
        <w:rPr>
          <w:rFonts w:ascii="Times New Roman" w:eastAsia="Times New Roman" w:hAnsi="Times New Roman" w:cs="Times New Roman"/>
          <w:kern w:val="0"/>
          <w:lang w:eastAsia="en-GB"/>
          <w14:ligatures w14:val="none"/>
        </w:rPr>
        <w:t>, empathy and unconditional positive regard are essential to building trust and helping individuals feel valued. I strive to embody these qualities in every interaction, ensuring that care is respectful and tailored to the person’s identity, background, and preferences.</w:t>
      </w:r>
    </w:p>
    <w:p w14:paraId="272EBB3C"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However, I recognise that time pressures and staff shortages can sometimes make it challenging to provide fully person-centred care. Reflecting on this has encouraged me to improve my time management and prioritisation skills, ensuring that even in busy environments, I maintain dignity and respect in my approach. Moving forward, I aim to strengthen my understanding of personalised care planning and co-production by completing training through </w:t>
      </w:r>
      <w:r w:rsidRPr="003A69BB">
        <w:rPr>
          <w:rFonts w:ascii="Times New Roman" w:eastAsia="Times New Roman" w:hAnsi="Times New Roman" w:cs="Times New Roman"/>
          <w:i/>
          <w:iCs/>
          <w:kern w:val="0"/>
          <w:lang w:eastAsia="en-GB"/>
          <w14:ligatures w14:val="none"/>
        </w:rPr>
        <w:t>NHS England’s Personalised Care Institute</w:t>
      </w:r>
      <w:r w:rsidRPr="003A69BB">
        <w:rPr>
          <w:rFonts w:ascii="Times New Roman" w:eastAsia="Times New Roman" w:hAnsi="Times New Roman" w:cs="Times New Roman"/>
          <w:kern w:val="0"/>
          <w:lang w:eastAsia="en-GB"/>
          <w14:ligatures w14:val="none"/>
        </w:rPr>
        <w:t>.</w:t>
      </w:r>
    </w:p>
    <w:p w14:paraId="46D1B301"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t>Partnership Working in Practice</w:t>
      </w:r>
    </w:p>
    <w:p w14:paraId="75CD0EC4"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lastRenderedPageBreak/>
        <w:t xml:space="preserve">Effective partnership working is vital in achieving holistic care outcomes. In my experience, collaboration between professionals, service users, and families ensures that care plans are comprehensive and aligned with the person’s needs. The </w:t>
      </w:r>
      <w:r w:rsidRPr="003A69BB">
        <w:rPr>
          <w:rFonts w:ascii="Times New Roman" w:eastAsia="Times New Roman" w:hAnsi="Times New Roman" w:cs="Times New Roman"/>
          <w:i/>
          <w:iCs/>
          <w:kern w:val="0"/>
          <w:lang w:eastAsia="en-GB"/>
          <w14:ligatures w14:val="none"/>
        </w:rPr>
        <w:t>Health and Social Care Act 2012</w:t>
      </w:r>
      <w:r w:rsidRPr="003A69BB">
        <w:rPr>
          <w:rFonts w:ascii="Times New Roman" w:eastAsia="Times New Roman" w:hAnsi="Times New Roman" w:cs="Times New Roman"/>
          <w:kern w:val="0"/>
          <w:lang w:eastAsia="en-GB"/>
          <w14:ligatures w14:val="none"/>
        </w:rPr>
        <w:t xml:space="preserve"> and the development of </w:t>
      </w:r>
      <w:r w:rsidRPr="003A69BB">
        <w:rPr>
          <w:rFonts w:ascii="Times New Roman" w:eastAsia="Times New Roman" w:hAnsi="Times New Roman" w:cs="Times New Roman"/>
          <w:i/>
          <w:iCs/>
          <w:kern w:val="0"/>
          <w:lang w:eastAsia="en-GB"/>
          <w14:ligatures w14:val="none"/>
        </w:rPr>
        <w:t>Integrated Care Systems (ICS)</w:t>
      </w:r>
      <w:r w:rsidRPr="003A69BB">
        <w:rPr>
          <w:rFonts w:ascii="Times New Roman" w:eastAsia="Times New Roman" w:hAnsi="Times New Roman" w:cs="Times New Roman"/>
          <w:kern w:val="0"/>
          <w:lang w:eastAsia="en-GB"/>
          <w14:ligatures w14:val="none"/>
        </w:rPr>
        <w:t xml:space="preserve"> highlight the importance of professionals working together to deliver joined-up services. I have seen this in practice when multidisciplinary teams—such as nurses, occupational therapists, and social workers—coordinate to support individuals with complex needs.</w:t>
      </w:r>
    </w:p>
    <w:p w14:paraId="56BC7A80"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Through reflection, I have learned that good partnership working depends on open communication, mutual respect, and understanding of each professional’s role. I have sometimes found it challenging to speak up in team meetings, especially when more experienced staff are present. However, I now understand that my perspective as a student is still valuable, as partnership working thrives on shared insights and collaboration. The </w:t>
      </w:r>
      <w:r w:rsidRPr="003A69BB">
        <w:rPr>
          <w:rFonts w:ascii="Times New Roman" w:eastAsia="Times New Roman" w:hAnsi="Times New Roman" w:cs="Times New Roman"/>
          <w:i/>
          <w:iCs/>
          <w:kern w:val="0"/>
          <w:lang w:eastAsia="en-GB"/>
          <w14:ligatures w14:val="none"/>
        </w:rPr>
        <w:t>SCIE (2020)</w:t>
      </w:r>
      <w:r w:rsidRPr="003A69BB">
        <w:rPr>
          <w:rFonts w:ascii="Times New Roman" w:eastAsia="Times New Roman" w:hAnsi="Times New Roman" w:cs="Times New Roman"/>
          <w:kern w:val="0"/>
          <w:lang w:eastAsia="en-GB"/>
          <w14:ligatures w14:val="none"/>
        </w:rPr>
        <w:t xml:space="preserve"> guidance on co-production reminds me that all voices—including those of service users and junior staff—should be heard and respected in decision-making processes.</w:t>
      </w:r>
    </w:p>
    <w:p w14:paraId="17B45FBD"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Working in partnership with service users also empowers them to take an active role in their care. For instance, I supported an individual transitioning from hospital to community care by collaborating with their family, GP, and social worker to ensure a smooth discharge process. This collaborative approach aligns with the </w:t>
      </w:r>
      <w:r w:rsidRPr="003A69BB">
        <w:rPr>
          <w:rFonts w:ascii="Times New Roman" w:eastAsia="Times New Roman" w:hAnsi="Times New Roman" w:cs="Times New Roman"/>
          <w:i/>
          <w:iCs/>
          <w:kern w:val="0"/>
          <w:lang w:eastAsia="en-GB"/>
          <w14:ligatures w14:val="none"/>
        </w:rPr>
        <w:t>NHS Constitution (2021)</w:t>
      </w:r>
      <w:r w:rsidRPr="003A69BB">
        <w:rPr>
          <w:rFonts w:ascii="Times New Roman" w:eastAsia="Times New Roman" w:hAnsi="Times New Roman" w:cs="Times New Roman"/>
          <w:kern w:val="0"/>
          <w:lang w:eastAsia="en-GB"/>
          <w14:ligatures w14:val="none"/>
        </w:rPr>
        <w:t xml:space="preserve"> principle of shared decision-making. It also mirrors Robyn’s case study, where partnership between Robyn, the CHC team, and the PBSS improved her quality of life. Reflecting on such experiences has deepened my appreciation of teamwork and the positive impact of effective communication on care quality.</w:t>
      </w:r>
    </w:p>
    <w:p w14:paraId="7DC983F6"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t>Ethical Practice and Professional Conduct</w:t>
      </w:r>
    </w:p>
    <w:p w14:paraId="36D87E50"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Ethical principles underpin every aspect of health and social care practice. I often encounter ethical dilemmas—such as balancing an individual’s right to make choices with the need to ensure their safety. The ethical framework proposed by </w:t>
      </w:r>
      <w:r w:rsidRPr="003A69BB">
        <w:rPr>
          <w:rFonts w:ascii="Times New Roman" w:eastAsia="Times New Roman" w:hAnsi="Times New Roman" w:cs="Times New Roman"/>
          <w:i/>
          <w:iCs/>
          <w:kern w:val="0"/>
          <w:lang w:eastAsia="en-GB"/>
          <w14:ligatures w14:val="none"/>
        </w:rPr>
        <w:t>Beauchamp and Childress (2013)</w:t>
      </w:r>
      <w:r w:rsidRPr="003A69BB">
        <w:rPr>
          <w:rFonts w:ascii="Times New Roman" w:eastAsia="Times New Roman" w:hAnsi="Times New Roman" w:cs="Times New Roman"/>
          <w:kern w:val="0"/>
          <w:lang w:eastAsia="en-GB"/>
          <w14:ligatures w14:val="none"/>
        </w:rPr>
        <w:t>—autonomy, beneficence, non-maleficence, and justice—guides me in addressing these challenges. For example, when supporting an individual who refused medication, I respected their autonomy but also provided information about the potential risks. By documenting the discussion and seeking advice from senior colleagues, I ensured that my actions were transparent and ethically sound.</w:t>
      </w:r>
    </w:p>
    <w:p w14:paraId="2A7285FA"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The </w:t>
      </w:r>
      <w:r w:rsidRPr="003A69BB">
        <w:rPr>
          <w:rFonts w:ascii="Times New Roman" w:eastAsia="Times New Roman" w:hAnsi="Times New Roman" w:cs="Times New Roman"/>
          <w:i/>
          <w:iCs/>
          <w:kern w:val="0"/>
          <w:lang w:eastAsia="en-GB"/>
          <w14:ligatures w14:val="none"/>
        </w:rPr>
        <w:t>NMC Code (2018)</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HCPC Standards of Conduct (2023)</w:t>
      </w:r>
      <w:r w:rsidRPr="003A69BB">
        <w:rPr>
          <w:rFonts w:ascii="Times New Roman" w:eastAsia="Times New Roman" w:hAnsi="Times New Roman" w:cs="Times New Roman"/>
          <w:kern w:val="0"/>
          <w:lang w:eastAsia="en-GB"/>
          <w14:ligatures w14:val="none"/>
        </w:rPr>
        <w:t xml:space="preserve"> both emphasise accountability, confidentiality, and respect for people’s rights. I strive to follow these codes by maintaining professional boundaries and safeguarding confidentiality at all times. However, I recognise that ethical decisions can be complex, especially when confidentiality conflicts with safeguarding responsibilities. In one instance, I had to report concerns about a vulnerable adult despite their wish for privacy. Reflecting on this experience, I felt uncomfortable initially but later understood that acting to prevent harm aligns with the principle of </w:t>
      </w:r>
      <w:r w:rsidRPr="003A69BB">
        <w:rPr>
          <w:rFonts w:ascii="Times New Roman" w:eastAsia="Times New Roman" w:hAnsi="Times New Roman" w:cs="Times New Roman"/>
          <w:i/>
          <w:iCs/>
          <w:kern w:val="0"/>
          <w:lang w:eastAsia="en-GB"/>
          <w14:ligatures w14:val="none"/>
        </w:rPr>
        <w:t>non-maleficence</w:t>
      </w:r>
      <w:r w:rsidRPr="003A69BB">
        <w:rPr>
          <w:rFonts w:ascii="Times New Roman" w:eastAsia="Times New Roman" w:hAnsi="Times New Roman" w:cs="Times New Roman"/>
          <w:kern w:val="0"/>
          <w:lang w:eastAsia="en-GB"/>
          <w14:ligatures w14:val="none"/>
        </w:rPr>
        <w:t xml:space="preserve"> and my duty of care.</w:t>
      </w:r>
    </w:p>
    <w:p w14:paraId="068A832B"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Ethical reflection has taught me that doing what is “right” may not always feel easy, but it is essential for protecting individuals’ well-being and maintaining professional integrity. I plan to enhance my knowledge of ethical decision-making by engaging in supervision, ethics workshops, and continuous professional development (CPD).</w:t>
      </w:r>
    </w:p>
    <w:p w14:paraId="0AD6B6B5"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lastRenderedPageBreak/>
        <w:t>My Strengths and Areas for Improvement</w:t>
      </w:r>
    </w:p>
    <w:p w14:paraId="6A2BE610"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Through reflection, I have identified several personal strengths. I am empathetic, compassionate, and committed to treating people with dignity and respect. I communicate effectively with individuals from diverse backgrounds and work collaboratively with colleagues. However, I also recognise areas for development. I sometimes lack confidence in challenging poor practice or voicing my opinions in team settings. To improve, I intend to develop assertiveness and advocacy skills through reflective supervision and communication training. Additionally, I would like to strengthen my knowledge of legislation—such as the </w:t>
      </w:r>
      <w:r w:rsidRPr="003A69BB">
        <w:rPr>
          <w:rFonts w:ascii="Times New Roman" w:eastAsia="Times New Roman" w:hAnsi="Times New Roman" w:cs="Times New Roman"/>
          <w:i/>
          <w:iCs/>
          <w:kern w:val="0"/>
          <w:lang w:eastAsia="en-GB"/>
          <w14:ligatures w14:val="none"/>
        </w:rPr>
        <w:t>Mental Capacity Act 2005</w:t>
      </w:r>
      <w:r w:rsidRPr="003A69BB">
        <w:rPr>
          <w:rFonts w:ascii="Times New Roman" w:eastAsia="Times New Roman" w:hAnsi="Times New Roman" w:cs="Times New Roman"/>
          <w:kern w:val="0"/>
          <w:lang w:eastAsia="en-GB"/>
          <w14:ligatures w14:val="none"/>
        </w:rPr>
        <w:t xml:space="preserve"> and </w:t>
      </w:r>
      <w:r w:rsidRPr="003A69BB">
        <w:rPr>
          <w:rFonts w:ascii="Times New Roman" w:eastAsia="Times New Roman" w:hAnsi="Times New Roman" w:cs="Times New Roman"/>
          <w:i/>
          <w:iCs/>
          <w:kern w:val="0"/>
          <w:lang w:eastAsia="en-GB"/>
          <w14:ligatures w14:val="none"/>
        </w:rPr>
        <w:t>Care Act 2014</w:t>
      </w:r>
      <w:r w:rsidRPr="003A69BB">
        <w:rPr>
          <w:rFonts w:ascii="Times New Roman" w:eastAsia="Times New Roman" w:hAnsi="Times New Roman" w:cs="Times New Roman"/>
          <w:kern w:val="0"/>
          <w:lang w:eastAsia="en-GB"/>
          <w14:ligatures w14:val="none"/>
        </w:rPr>
        <w:t>—to ensure that my practice remains legally and ethically sound.</w:t>
      </w:r>
    </w:p>
    <w:p w14:paraId="3125E960"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t>Future Professional Development</w:t>
      </w:r>
    </w:p>
    <w:p w14:paraId="1676E17E"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Looking ahead, I aim to continue building my competence in person-centred and ethical care through continuous learning. I plan to engage in reflective journaling, peer discussions, and professional mentoring to enhance self-awareness. I will also pursue additional qualifications in safeguarding and equality, diversity, and inclusion to ensure my practice aligns with </w:t>
      </w:r>
      <w:r w:rsidRPr="003A69BB">
        <w:rPr>
          <w:rFonts w:ascii="Times New Roman" w:eastAsia="Times New Roman" w:hAnsi="Times New Roman" w:cs="Times New Roman"/>
          <w:i/>
          <w:iCs/>
          <w:kern w:val="0"/>
          <w:lang w:eastAsia="en-GB"/>
          <w14:ligatures w14:val="none"/>
        </w:rPr>
        <w:t>CQC (2023)</w:t>
      </w:r>
      <w:r w:rsidRPr="003A69BB">
        <w:rPr>
          <w:rFonts w:ascii="Times New Roman" w:eastAsia="Times New Roman" w:hAnsi="Times New Roman" w:cs="Times New Roman"/>
          <w:kern w:val="0"/>
          <w:lang w:eastAsia="en-GB"/>
          <w14:ligatures w14:val="none"/>
        </w:rPr>
        <w:t xml:space="preserve"> standards of compassionate and inclusive care. By applying reflection and evidence-based practice, I can ensure that my work promotes empowerment, independence, and positive outcomes for individuals.</w:t>
      </w:r>
    </w:p>
    <w:p w14:paraId="69B55B8A" w14:textId="77777777" w:rsidR="003A69BB" w:rsidRPr="003A69BB" w:rsidRDefault="003A69BB" w:rsidP="003A69BB">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3A69BB">
        <w:rPr>
          <w:rFonts w:ascii="Times New Roman" w:eastAsia="Times New Roman" w:hAnsi="Times New Roman" w:cs="Times New Roman"/>
          <w:b/>
          <w:bCs/>
          <w:kern w:val="0"/>
          <w:lang w:eastAsia="en-GB"/>
          <w14:ligatures w14:val="none"/>
        </w:rPr>
        <w:t>Conclusion of Reflection</w:t>
      </w:r>
    </w:p>
    <w:p w14:paraId="6D85A2E2" w14:textId="77777777" w:rsid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Reflecting on my learning has helped me appreciate that person-centred care, partnership working, and ethical practice are not isolated principles but interconnected values that define effective care. These principles guide me to act with compassion, integrity, and respect, ensuring that individuals receive care that truly meets their needs. As I continue to develop professionally, I will use reflection as a tool to maintain accountability, improve my practice, and contribute to delivering safe, ethical, and person-centred care within the UK health and social care system.</w:t>
      </w:r>
    </w:p>
    <w:p w14:paraId="3C6D265C" w14:textId="77777777" w:rsid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D7D6FD" w14:textId="77777777"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Conclusion</w:t>
      </w:r>
    </w:p>
    <w:p w14:paraId="785F8531"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Reflecting on the principles of person-centred care, partnership working, and ethical practice has deepened my understanding of what it means to deliver compassionate, safe, and effective care within the UK health and social care system. These principles are not separate components but interconnected foundations that guide professional behaviour and decision-making. Person-centred care ensures that individuals are valued, respected, and actively involved in shaping their support. Partnership working promotes collaboration and communication between professionals, service users, and families, leading to coordinated and holistic care. Ethical practice ensures that care is delivered with integrity, fairness, and respect for individuals’ rights.</w:t>
      </w:r>
    </w:p>
    <w:p w14:paraId="565F2DAD" w14:textId="30EA8E0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69BB">
        <w:rPr>
          <w:rFonts w:ascii="Times New Roman" w:eastAsia="Times New Roman" w:hAnsi="Times New Roman" w:cs="Times New Roman"/>
          <w:kern w:val="0"/>
          <w:lang w:eastAsia="en-GB"/>
          <w14:ligatures w14:val="none"/>
        </w:rPr>
        <w:t xml:space="preserve">Through the case of Robyn, it became clear that when these principles are effectively applied, they can transform lives—empowering individuals to regain control, independence, and dignity. From my own reflections, I recognise that embodying these principles in daily practice requires empathy, strong communication, and a commitment to lifelong learning. </w:t>
      </w:r>
      <w:r w:rsidRPr="003A69BB">
        <w:rPr>
          <w:rFonts w:ascii="Times New Roman" w:eastAsia="Times New Roman" w:hAnsi="Times New Roman" w:cs="Times New Roman"/>
          <w:kern w:val="0"/>
          <w:lang w:eastAsia="en-GB"/>
          <w14:ligatures w14:val="none"/>
        </w:rPr>
        <w:lastRenderedPageBreak/>
        <w:t>Moving forward, I will continue to use reflection to develop my skills, challenge poor practice, and uphold the values that underpin person-centred, ethical, and collaborative care. Ultimately, these principles not only enhance individual outcomes but also strengthen the integrity and compassion of the entire health and social care profession.</w:t>
      </w:r>
    </w:p>
    <w:p w14:paraId="1C682F6D" w14:textId="20337DBF" w:rsidR="003A69BB" w:rsidRPr="003A69BB" w:rsidRDefault="003A69BB" w:rsidP="003A69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A69BB">
        <w:rPr>
          <w:rFonts w:ascii="Times New Roman" w:eastAsia="Times New Roman" w:hAnsi="Times New Roman" w:cs="Times New Roman"/>
          <w:b/>
          <w:bCs/>
          <w:kern w:val="0"/>
          <w:sz w:val="27"/>
          <w:szCs w:val="27"/>
          <w:lang w:eastAsia="en-GB"/>
          <w14:ligatures w14:val="none"/>
        </w:rPr>
        <w:t>References</w:t>
      </w:r>
    </w:p>
    <w:p w14:paraId="4BA510B0" w14:textId="77777777" w:rsidR="00D45855" w:rsidRDefault="00D45855" w:rsidP="00D45855">
      <w:pPr>
        <w:pStyle w:val="NormalWeb"/>
      </w:pPr>
      <w:r>
        <w:t xml:space="preserve">Beauchamp, T.L. and Childress, J.F. (2013) </w:t>
      </w:r>
      <w:r>
        <w:rPr>
          <w:rStyle w:val="Emphasis"/>
          <w:rFonts w:eastAsiaTheme="majorEastAsia"/>
        </w:rPr>
        <w:t>Principles of Biomedical Ethics</w:t>
      </w:r>
      <w:r>
        <w:t>. 7th ed. Oxford: Oxford University Press.</w:t>
      </w:r>
    </w:p>
    <w:p w14:paraId="167E05CF" w14:textId="77777777" w:rsidR="00D45855" w:rsidRDefault="00D45855" w:rsidP="00D45855">
      <w:pPr>
        <w:pStyle w:val="NormalWeb"/>
      </w:pPr>
      <w:r>
        <w:t xml:space="preserve">Care Act (2014) </w:t>
      </w:r>
      <w:r>
        <w:rPr>
          <w:rStyle w:val="Emphasis"/>
          <w:rFonts w:eastAsiaTheme="majorEastAsia"/>
        </w:rPr>
        <w:t>Care Act 2014</w:t>
      </w:r>
      <w:r>
        <w:t>. London: The Stationery Office. Available at: https://www.legislation.gov.uk/ukpga/2014/23/contents/enacted (Accessed: 24 October 2025).</w:t>
      </w:r>
    </w:p>
    <w:p w14:paraId="7BB18FD1" w14:textId="77777777" w:rsidR="00D45855" w:rsidRDefault="00D45855" w:rsidP="00D45855">
      <w:pPr>
        <w:pStyle w:val="NormalWeb"/>
      </w:pPr>
      <w:r>
        <w:t xml:space="preserve">Care Quality Commission (CQC) (2023) </w:t>
      </w:r>
      <w:r>
        <w:rPr>
          <w:rStyle w:val="Emphasis"/>
          <w:rFonts w:eastAsiaTheme="majorEastAsia"/>
        </w:rPr>
        <w:t>Assessing quality and safety: Key questions and framework</w:t>
      </w:r>
      <w:r>
        <w:t>. London: CQC. Available at: https://www.cqc.org.uk/what-we-do/how-we-inspect/inspection-methodology (Accessed: 24 October 2025).</w:t>
      </w:r>
    </w:p>
    <w:p w14:paraId="65E738EA" w14:textId="77777777" w:rsidR="00D45855" w:rsidRDefault="00D45855" w:rsidP="00D45855">
      <w:pPr>
        <w:pStyle w:val="NormalWeb"/>
      </w:pPr>
      <w:r>
        <w:t xml:space="preserve">Department of Health and Social Care (DHSC) (2021) </w:t>
      </w:r>
      <w:r>
        <w:rPr>
          <w:rStyle w:val="Emphasis"/>
          <w:rFonts w:eastAsiaTheme="majorEastAsia"/>
        </w:rPr>
        <w:t>The Health and Social Care Act 2012: Policy background</w:t>
      </w:r>
      <w:r>
        <w:t>. London: DHSC. Available at: https://www.gov.uk/government/publications/health-and-social-care-act-2012-policy-background (Accessed: 24 October 2025).</w:t>
      </w:r>
    </w:p>
    <w:p w14:paraId="727F49BD" w14:textId="77777777" w:rsidR="00D45855" w:rsidRDefault="00D45855" w:rsidP="00D45855">
      <w:pPr>
        <w:pStyle w:val="NormalWeb"/>
      </w:pPr>
      <w:r>
        <w:t xml:space="preserve">Gibbs, G. (1988) </w:t>
      </w:r>
      <w:r>
        <w:rPr>
          <w:rStyle w:val="Emphasis"/>
          <w:rFonts w:eastAsiaTheme="majorEastAsia"/>
        </w:rPr>
        <w:t>Learning by Doing: A Guide to Teaching and Learning Methods</w:t>
      </w:r>
      <w:r>
        <w:t>. Oxford: Oxford Polytechnic.</w:t>
      </w:r>
    </w:p>
    <w:p w14:paraId="183CC49C" w14:textId="77777777" w:rsidR="00D45855" w:rsidRDefault="00D45855" w:rsidP="00D45855">
      <w:pPr>
        <w:pStyle w:val="NormalWeb"/>
      </w:pPr>
      <w:r>
        <w:t xml:space="preserve">Health and Social Care Act (2012) </w:t>
      </w:r>
      <w:r>
        <w:rPr>
          <w:rStyle w:val="Emphasis"/>
          <w:rFonts w:eastAsiaTheme="majorEastAsia"/>
        </w:rPr>
        <w:t>Health and Social Care Act 2012</w:t>
      </w:r>
      <w:r>
        <w:t>. London: The Stationery Office. Available at: https://www.legislation.gov.uk/ukpga/2012/7/contents/enacted (Accessed: 24 October 2025).</w:t>
      </w:r>
    </w:p>
    <w:p w14:paraId="6E4F4C57" w14:textId="77777777" w:rsidR="00D45855" w:rsidRDefault="00D45855" w:rsidP="00D45855">
      <w:pPr>
        <w:pStyle w:val="NormalWeb"/>
      </w:pPr>
      <w:r>
        <w:t xml:space="preserve">Health Foundation (2016) </w:t>
      </w:r>
      <w:r>
        <w:rPr>
          <w:rStyle w:val="Emphasis"/>
          <w:rFonts w:eastAsiaTheme="majorEastAsia"/>
        </w:rPr>
        <w:t>Person-centred care made simple: What everyone should know about person-centred care</w:t>
      </w:r>
      <w:r>
        <w:t>. London: The Health Foundation. Available at: https://www.health.org.uk/publications/person-centred-care-made-simple (Accessed: 24 October 2025).</w:t>
      </w:r>
    </w:p>
    <w:p w14:paraId="7330A43B" w14:textId="77777777" w:rsidR="00D45855" w:rsidRDefault="00D45855" w:rsidP="00D45855">
      <w:pPr>
        <w:pStyle w:val="NormalWeb"/>
      </w:pPr>
      <w:r>
        <w:t xml:space="preserve">Mental Capacity Act (2005) </w:t>
      </w:r>
      <w:r>
        <w:rPr>
          <w:rStyle w:val="Emphasis"/>
          <w:rFonts w:eastAsiaTheme="majorEastAsia"/>
        </w:rPr>
        <w:t>Mental Capacity Act 2005</w:t>
      </w:r>
      <w:r>
        <w:t>. London: The Stationery Office. Available at: https://www.legislation.gov.uk/ukpga/2005/9/contents (Accessed: 24 October 2025).</w:t>
      </w:r>
    </w:p>
    <w:p w14:paraId="2C196ABD" w14:textId="77777777" w:rsidR="00D45855" w:rsidRDefault="00D45855" w:rsidP="00D45855">
      <w:pPr>
        <w:pStyle w:val="NormalWeb"/>
      </w:pPr>
      <w:r>
        <w:t xml:space="preserve">National Health Service (NHS) (2021) </w:t>
      </w:r>
      <w:r>
        <w:rPr>
          <w:rStyle w:val="Emphasis"/>
          <w:rFonts w:eastAsiaTheme="majorEastAsia"/>
        </w:rPr>
        <w:t>The NHS Constitution for England</w:t>
      </w:r>
      <w:r>
        <w:t>. London: NHS England. Available at: https://www.gov.uk/government/publications/the-nhs-constitution-for-england (Accessed: 24 October 2025).</w:t>
      </w:r>
    </w:p>
    <w:p w14:paraId="66209F83" w14:textId="77777777" w:rsidR="00D45855" w:rsidRDefault="00D45855" w:rsidP="00D45855">
      <w:pPr>
        <w:pStyle w:val="NormalWeb"/>
      </w:pPr>
      <w:r>
        <w:t xml:space="preserve">National Health Service England (2019) </w:t>
      </w:r>
      <w:r>
        <w:rPr>
          <w:rStyle w:val="Emphasis"/>
          <w:rFonts w:eastAsiaTheme="majorEastAsia"/>
        </w:rPr>
        <w:t>The NHS Long Term Plan</w:t>
      </w:r>
      <w:r>
        <w:t>. London: NHS England. Available at: https://www.longtermplan.nhs.uk/publication/nhs-long-term-plan/ (Accessed: 24 October 2025).</w:t>
      </w:r>
    </w:p>
    <w:p w14:paraId="0C94500A" w14:textId="77777777" w:rsidR="00D45855" w:rsidRDefault="00D45855" w:rsidP="00D45855">
      <w:pPr>
        <w:pStyle w:val="NormalWeb"/>
      </w:pPr>
      <w:r>
        <w:t xml:space="preserve">National Institute for Health and Care Excellence (NICE) (2021) </w:t>
      </w:r>
      <w:r>
        <w:rPr>
          <w:rStyle w:val="Emphasis"/>
          <w:rFonts w:eastAsiaTheme="majorEastAsia"/>
        </w:rPr>
        <w:t xml:space="preserve">People’s experience in adult social care services: Improving the experience of care and support for people using adult </w:t>
      </w:r>
      <w:r>
        <w:rPr>
          <w:rStyle w:val="Emphasis"/>
          <w:rFonts w:eastAsiaTheme="majorEastAsia"/>
        </w:rPr>
        <w:lastRenderedPageBreak/>
        <w:t>social care services</w:t>
      </w:r>
      <w:r>
        <w:t>. NICE Guideline [NG86]. London: NICE. Available at: https://www.nice.org.uk/guidance/ng86 (Accessed: 24 October 2025).</w:t>
      </w:r>
    </w:p>
    <w:p w14:paraId="30CF553E" w14:textId="77777777" w:rsidR="00D45855" w:rsidRDefault="00D45855" w:rsidP="00D45855">
      <w:pPr>
        <w:pStyle w:val="NormalWeb"/>
      </w:pPr>
      <w:r>
        <w:t xml:space="preserve">Nursing and Midwifery Council (NMC) (2018) </w:t>
      </w:r>
      <w:r>
        <w:rPr>
          <w:rStyle w:val="Emphasis"/>
          <w:rFonts w:eastAsiaTheme="majorEastAsia"/>
        </w:rPr>
        <w:t>The Code: Professional standards of practice and behaviour for nurses, midwives and nursing associates</w:t>
      </w:r>
      <w:r>
        <w:t>. London: NMC. Available at: https://www.nmc.org.uk/standards/code/ (Accessed: 24 October 2025).</w:t>
      </w:r>
    </w:p>
    <w:p w14:paraId="1D05FB8D" w14:textId="77777777" w:rsidR="00D45855" w:rsidRDefault="00D45855" w:rsidP="00D45855">
      <w:pPr>
        <w:pStyle w:val="NormalWeb"/>
      </w:pPr>
      <w:r>
        <w:t xml:space="preserve">Rogers, C. (1951) </w:t>
      </w:r>
      <w:r>
        <w:rPr>
          <w:rStyle w:val="Emphasis"/>
          <w:rFonts w:eastAsiaTheme="majorEastAsia"/>
        </w:rPr>
        <w:t>Client-Centered Therapy: Its Current Practice, Implications, and Theory</w:t>
      </w:r>
      <w:r>
        <w:t>. Boston: Houghton Mifflin.</w:t>
      </w:r>
    </w:p>
    <w:p w14:paraId="09900367" w14:textId="77777777" w:rsidR="00D45855" w:rsidRDefault="00D45855" w:rsidP="00D45855">
      <w:pPr>
        <w:pStyle w:val="NormalWeb"/>
      </w:pPr>
      <w:r>
        <w:t xml:space="preserve">Social Care Institute for Excellence (SCIE) (2020) </w:t>
      </w:r>
      <w:r>
        <w:rPr>
          <w:rStyle w:val="Emphasis"/>
          <w:rFonts w:eastAsiaTheme="majorEastAsia"/>
        </w:rPr>
        <w:t>Co-production: What it is and how to do it</w:t>
      </w:r>
      <w:r>
        <w:t>. London: SCIE. Available at: https://www.scie.org.uk/publications/guides/guide51/ (Accessed: 24 October 2025).</w:t>
      </w:r>
    </w:p>
    <w:p w14:paraId="74DF3C37" w14:textId="77777777" w:rsidR="00D45855" w:rsidRDefault="00D45855" w:rsidP="00D45855">
      <w:pPr>
        <w:pStyle w:val="NormalWeb"/>
      </w:pPr>
      <w:r>
        <w:t xml:space="preserve">Tuckman, B.W. (1965) ‘Developmental sequence in small groups’, </w:t>
      </w:r>
      <w:r>
        <w:rPr>
          <w:rStyle w:val="Emphasis"/>
          <w:rFonts w:eastAsiaTheme="majorEastAsia"/>
        </w:rPr>
        <w:t>Psychological Bulletin</w:t>
      </w:r>
      <w:r>
        <w:t>, 63(6), pp. 384–399.</w:t>
      </w:r>
    </w:p>
    <w:p w14:paraId="4A15993C" w14:textId="77777777" w:rsidR="003A69BB" w:rsidRPr="003A69BB" w:rsidRDefault="003A69BB" w:rsidP="003A69B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3F703D0" w14:textId="77777777" w:rsidR="003A69BB" w:rsidRDefault="003A69BB"/>
    <w:sectPr w:rsidR="003A69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9BB"/>
    <w:rsid w:val="003A69BB"/>
    <w:rsid w:val="00684CB3"/>
    <w:rsid w:val="00A32DCD"/>
    <w:rsid w:val="00A879A3"/>
    <w:rsid w:val="00D45855"/>
    <w:rsid w:val="00E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9757"/>
  <w15:chartTrackingRefBased/>
  <w15:docId w15:val="{B4526E06-0A29-470E-8ABD-E8C18755D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9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9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9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9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9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9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9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9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9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9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9BB"/>
    <w:rPr>
      <w:rFonts w:eastAsiaTheme="majorEastAsia" w:cstheme="majorBidi"/>
      <w:color w:val="272727" w:themeColor="text1" w:themeTint="D8"/>
    </w:rPr>
  </w:style>
  <w:style w:type="paragraph" w:styleId="Title">
    <w:name w:val="Title"/>
    <w:basedOn w:val="Normal"/>
    <w:next w:val="Normal"/>
    <w:link w:val="TitleChar"/>
    <w:uiPriority w:val="10"/>
    <w:qFormat/>
    <w:rsid w:val="003A6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9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9BB"/>
    <w:rPr>
      <w:i/>
      <w:iCs/>
      <w:color w:val="404040" w:themeColor="text1" w:themeTint="BF"/>
    </w:rPr>
  </w:style>
  <w:style w:type="paragraph" w:styleId="ListParagraph">
    <w:name w:val="List Paragraph"/>
    <w:basedOn w:val="Normal"/>
    <w:uiPriority w:val="34"/>
    <w:qFormat/>
    <w:rsid w:val="003A69BB"/>
    <w:pPr>
      <w:ind w:left="720"/>
      <w:contextualSpacing/>
    </w:pPr>
  </w:style>
  <w:style w:type="character" w:styleId="IntenseEmphasis">
    <w:name w:val="Intense Emphasis"/>
    <w:basedOn w:val="DefaultParagraphFont"/>
    <w:uiPriority w:val="21"/>
    <w:qFormat/>
    <w:rsid w:val="003A69BB"/>
    <w:rPr>
      <w:i/>
      <w:iCs/>
      <w:color w:val="0F4761" w:themeColor="accent1" w:themeShade="BF"/>
    </w:rPr>
  </w:style>
  <w:style w:type="paragraph" w:styleId="IntenseQuote">
    <w:name w:val="Intense Quote"/>
    <w:basedOn w:val="Normal"/>
    <w:next w:val="Normal"/>
    <w:link w:val="IntenseQuoteChar"/>
    <w:uiPriority w:val="30"/>
    <w:qFormat/>
    <w:rsid w:val="003A69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9BB"/>
    <w:rPr>
      <w:i/>
      <w:iCs/>
      <w:color w:val="0F4761" w:themeColor="accent1" w:themeShade="BF"/>
    </w:rPr>
  </w:style>
  <w:style w:type="character" w:styleId="IntenseReference">
    <w:name w:val="Intense Reference"/>
    <w:basedOn w:val="DefaultParagraphFont"/>
    <w:uiPriority w:val="32"/>
    <w:qFormat/>
    <w:rsid w:val="003A69BB"/>
    <w:rPr>
      <w:b/>
      <w:bCs/>
      <w:smallCaps/>
      <w:color w:val="0F4761" w:themeColor="accent1" w:themeShade="BF"/>
      <w:spacing w:val="5"/>
    </w:rPr>
  </w:style>
  <w:style w:type="paragraph" w:styleId="NormalWeb">
    <w:name w:val="Normal (Web)"/>
    <w:basedOn w:val="Normal"/>
    <w:uiPriority w:val="99"/>
    <w:semiHidden/>
    <w:unhideWhenUsed/>
    <w:rsid w:val="00D458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458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8</Pages>
  <Words>3201</Words>
  <Characters>18247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Rinbi</dc:creator>
  <cp:keywords/>
  <dc:description/>
  <cp:lastModifiedBy>Nafia Rinbi</cp:lastModifiedBy>
  <cp:revision>1</cp:revision>
  <dcterms:created xsi:type="dcterms:W3CDTF">2025-10-24T20:49:00Z</dcterms:created>
  <dcterms:modified xsi:type="dcterms:W3CDTF">2025-10-24T21:15:00Z</dcterms:modified>
</cp:coreProperties>
</file>