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4DECDF" w:rsidP="5E4DECDF" w:rsidRDefault="5E4DECDF" w14:paraId="721BFE1F" w14:textId="77AF8BBB">
      <w:pPr>
        <w:spacing w:line="360" w:lineRule="auto"/>
        <w:jc w:val="center"/>
      </w:pPr>
      <w:r w:rsidRPr="5E4DECDF" w:rsidR="5E4DECDF">
        <w:rPr>
          <w:rFonts w:ascii="Arial" w:hAnsi="Arial" w:eastAsia="Arial" w:cs="Arial"/>
          <w:noProof w:val="0"/>
          <w:sz w:val="28"/>
          <w:szCs w:val="28"/>
          <w:u w:val="single"/>
          <w:lang w:val="en-US"/>
        </w:rPr>
        <w:t xml:space="preserve">“A bunch of weirdos”? </w:t>
      </w:r>
    </w:p>
    <w:p w:rsidR="5E4DECDF" w:rsidP="5E4DECDF" w:rsidRDefault="5E4DECDF" w14:paraId="67560536" w14:textId="0A21968D">
      <w:pPr>
        <w:spacing w:line="360" w:lineRule="auto"/>
        <w:jc w:val="center"/>
      </w:pPr>
      <w:r w:rsidRPr="5E4DECDF" w:rsidR="5E4DECDF">
        <w:rPr>
          <w:rFonts w:ascii="Arial" w:hAnsi="Arial" w:eastAsia="Arial" w:cs="Arial"/>
          <w:noProof w:val="0"/>
          <w:sz w:val="28"/>
          <w:szCs w:val="28"/>
          <w:u w:val="single"/>
          <w:lang w:val="en-US"/>
        </w:rPr>
        <w:t>Exploring community identity in the Ashram community of Skanda Vale</w:t>
      </w:r>
    </w:p>
    <w:p w:rsidR="5E4DECDF" w:rsidP="5E4DECDF" w:rsidRDefault="5E4DECDF" w14:paraId="3F92214D" w14:textId="5740BD78">
      <w:pPr>
        <w:spacing w:line="360" w:lineRule="auto"/>
      </w:pPr>
      <w:r w:rsidRPr="5E4DECDF" w:rsidR="5E4DECDF">
        <w:rPr>
          <w:rFonts w:ascii="Arial" w:hAnsi="Arial" w:eastAsia="Arial" w:cs="Arial"/>
          <w:noProof w:val="0"/>
          <w:sz w:val="28"/>
          <w:szCs w:val="28"/>
          <w:lang w:val="en-US"/>
        </w:rPr>
        <w:t xml:space="preserve">In this small-scale case study of the Ashram community of Skanda Vale I aim to </w:t>
      </w:r>
      <w:proofErr w:type="gramStart"/>
      <w:r w:rsidRPr="5E4DECDF" w:rsidR="5E4DECDF">
        <w:rPr>
          <w:rFonts w:ascii="Arial" w:hAnsi="Arial" w:eastAsia="Arial" w:cs="Arial"/>
          <w:noProof w:val="0"/>
          <w:sz w:val="28"/>
          <w:szCs w:val="28"/>
          <w:lang w:val="en-US"/>
        </w:rPr>
        <w:t>look into</w:t>
      </w:r>
      <w:proofErr w:type="gramEnd"/>
      <w:r w:rsidRPr="5E4DECDF" w:rsidR="5E4DECDF">
        <w:rPr>
          <w:rFonts w:ascii="Arial" w:hAnsi="Arial" w:eastAsia="Arial" w:cs="Arial"/>
          <w:noProof w:val="0"/>
          <w:sz w:val="28"/>
          <w:szCs w:val="28"/>
          <w:lang w:val="en-US"/>
        </w:rPr>
        <w:t xml:space="preserve"> the way a community identifies itself using a mixture of participant observation and interview techniques. Findings suggest that perhaps community is not the concrete term it often seems, and its identification is possibly more in the cultural decisions of its members than in any specific features. </w:t>
      </w:r>
    </w:p>
    <w:p w:rsidR="5E4DECDF" w:rsidP="5E4DECDF" w:rsidRDefault="5E4DECDF" w14:paraId="2A6D3B42" w14:textId="093BD9D6">
      <w:pPr>
        <w:spacing w:line="360" w:lineRule="auto"/>
      </w:pPr>
    </w:p>
    <w:p w:rsidR="5E4DECDF" w:rsidP="5E4DECDF" w:rsidRDefault="5E4DECDF" w14:paraId="65E52579" w14:textId="73AE5C9B">
      <w:pPr>
        <w:spacing w:line="360" w:lineRule="auto"/>
      </w:pPr>
      <w:r w:rsidRPr="5E4DECDF" w:rsidR="5E4DECDF">
        <w:rPr>
          <w:rFonts w:ascii="Arial" w:hAnsi="Arial" w:eastAsia="Arial" w:cs="Arial"/>
          <w:b w:val="1"/>
          <w:bCs w:val="1"/>
          <w:noProof w:val="0"/>
          <w:sz w:val="28"/>
          <w:szCs w:val="28"/>
          <w:lang w:val="en-US"/>
        </w:rPr>
        <w:t>Introduction</w:t>
      </w:r>
    </w:p>
    <w:p w:rsidR="5E4DECDF" w:rsidP="5E4DECDF" w:rsidRDefault="5E4DECDF" w14:paraId="05897B82" w14:textId="524B46CA">
      <w:pPr>
        <w:spacing w:line="360" w:lineRule="auto"/>
      </w:pPr>
      <w:r w:rsidRPr="5E4DECDF" w:rsidR="5E4DECDF">
        <w:rPr>
          <w:rFonts w:ascii="Arial" w:hAnsi="Arial" w:eastAsia="Arial" w:cs="Arial"/>
          <w:noProof w:val="0"/>
          <w:sz w:val="28"/>
          <w:szCs w:val="28"/>
          <w:lang w:val="en-US"/>
        </w:rPr>
        <w:t xml:space="preserve">What does community mean to the people within it? How do we identify a community? Anthropologists frequently use the word community. “An indigenous community”, “The academic community”, “The community I worked with.” It seems to have a huge variety of contexts. When I went to the Ashram community of Skanda Vale, a group who, on their own website, label themselves “the community” (Skanda Vale, n.d.), I wanted to know what this term means to the people it describes. </w:t>
      </w:r>
    </w:p>
    <w:p w:rsidR="5E4DECDF" w:rsidP="5E4DECDF" w:rsidRDefault="5E4DECDF" w14:paraId="69E3EF3A" w14:textId="2DFAD730">
      <w:pPr>
        <w:spacing w:line="360" w:lineRule="auto"/>
      </w:pPr>
    </w:p>
    <w:p w:rsidR="5E4DECDF" w:rsidP="5E4DECDF" w:rsidRDefault="5E4DECDF" w14:paraId="6664DB5C" w14:textId="6977D864">
      <w:pPr>
        <w:spacing w:line="360" w:lineRule="auto"/>
      </w:pPr>
      <w:r w:rsidRPr="5E4DECDF" w:rsidR="5E4DECDF">
        <w:rPr>
          <w:rFonts w:ascii="Arial" w:hAnsi="Arial" w:eastAsia="Arial" w:cs="Arial"/>
          <w:noProof w:val="0"/>
          <w:sz w:val="28"/>
          <w:szCs w:val="28"/>
          <w:lang w:val="en-US"/>
        </w:rPr>
        <w:t xml:space="preserve">One theory about community identity is the “communities of practice” theory (Wenger and Lave, 1991) explaining how a community can form around shared passions, practice and learning. Although elsewhere, Lave (1988) cautions against </w:t>
      </w:r>
      <w:proofErr w:type="spellStart"/>
      <w:r w:rsidRPr="5E4DECDF" w:rsidR="5E4DECDF">
        <w:rPr>
          <w:rFonts w:ascii="Arial" w:hAnsi="Arial" w:eastAsia="Arial" w:cs="Arial"/>
          <w:noProof w:val="0"/>
          <w:sz w:val="28"/>
          <w:szCs w:val="28"/>
          <w:lang w:val="en-US"/>
        </w:rPr>
        <w:t>analysing</w:t>
      </w:r>
      <w:proofErr w:type="spellEnd"/>
      <w:r w:rsidRPr="5E4DECDF" w:rsidR="5E4DECDF">
        <w:rPr>
          <w:rFonts w:ascii="Arial" w:hAnsi="Arial" w:eastAsia="Arial" w:cs="Arial"/>
          <w:noProof w:val="0"/>
          <w:sz w:val="28"/>
          <w:szCs w:val="28"/>
          <w:lang w:val="en-US"/>
        </w:rPr>
        <w:t xml:space="preserve"> only communities as a whole without respect for the individuals involved, which seemed an important point as “Existence is not an individual affair” (Barad, 2007, </w:t>
      </w:r>
      <w:proofErr w:type="spellStart"/>
      <w:r w:rsidRPr="5E4DECDF" w:rsidR="5E4DECDF">
        <w:rPr>
          <w:rFonts w:ascii="Arial" w:hAnsi="Arial" w:eastAsia="Arial" w:cs="Arial"/>
          <w:noProof w:val="0"/>
          <w:sz w:val="28"/>
          <w:szCs w:val="28"/>
          <w:lang w:val="en-US"/>
        </w:rPr>
        <w:t>P.ix</w:t>
      </w:r>
      <w:proofErr w:type="spellEnd"/>
      <w:r w:rsidRPr="5E4DECDF" w:rsidR="5E4DECDF">
        <w:rPr>
          <w:rFonts w:ascii="Arial" w:hAnsi="Arial" w:eastAsia="Arial" w:cs="Arial"/>
          <w:noProof w:val="0"/>
          <w:sz w:val="28"/>
          <w:szCs w:val="28"/>
          <w:lang w:val="en-US"/>
        </w:rPr>
        <w:t xml:space="preserve">)  but is seen through a personal lens. Another, less anthropocentric, way to </w:t>
      </w:r>
      <w:proofErr w:type="spellStart"/>
      <w:r w:rsidRPr="5E4DECDF" w:rsidR="5E4DECDF">
        <w:rPr>
          <w:rFonts w:ascii="Arial" w:hAnsi="Arial" w:eastAsia="Arial" w:cs="Arial"/>
          <w:noProof w:val="0"/>
          <w:sz w:val="28"/>
          <w:szCs w:val="28"/>
          <w:lang w:val="en-US"/>
        </w:rPr>
        <w:t>analyse</w:t>
      </w:r>
      <w:proofErr w:type="spellEnd"/>
      <w:r w:rsidRPr="5E4DECDF" w:rsidR="5E4DECDF">
        <w:rPr>
          <w:rFonts w:ascii="Arial" w:hAnsi="Arial" w:eastAsia="Arial" w:cs="Arial"/>
          <w:noProof w:val="0"/>
          <w:sz w:val="28"/>
          <w:szCs w:val="28"/>
          <w:lang w:val="en-US"/>
        </w:rPr>
        <w:t xml:space="preserve"> a group’s identity would be to look at it from a new </w:t>
      </w:r>
      <w:proofErr w:type="spellStart"/>
      <w:r w:rsidRPr="5E4DECDF" w:rsidR="5E4DECDF">
        <w:rPr>
          <w:rFonts w:ascii="Arial" w:hAnsi="Arial" w:eastAsia="Arial" w:cs="Arial"/>
          <w:noProof w:val="0"/>
          <w:sz w:val="28"/>
          <w:szCs w:val="28"/>
          <w:lang w:val="en-US"/>
        </w:rPr>
        <w:t>materialities</w:t>
      </w:r>
      <w:proofErr w:type="spellEnd"/>
      <w:r w:rsidRPr="5E4DECDF" w:rsidR="5E4DECDF">
        <w:rPr>
          <w:rFonts w:ascii="Arial" w:hAnsi="Arial" w:eastAsia="Arial" w:cs="Arial"/>
          <w:noProof w:val="0"/>
          <w:sz w:val="28"/>
          <w:szCs w:val="28"/>
          <w:lang w:val="en-US"/>
        </w:rPr>
        <w:t xml:space="preserve"> perspective </w:t>
      </w:r>
      <w:r w:rsidRPr="5E4DECDF" w:rsidR="5E4DECDF">
        <w:rPr>
          <w:rFonts w:ascii="Calibri" w:hAnsi="Calibri" w:eastAsia="Calibri" w:cs="Calibri"/>
          <w:noProof w:val="0"/>
          <w:sz w:val="28"/>
          <w:szCs w:val="28"/>
          <w:lang w:val="en-US"/>
        </w:rPr>
        <w:t>(See, Ingold 2010 , Barad 2003 , Latour 2005 and others)</w:t>
      </w:r>
      <w:r w:rsidRPr="5E4DECDF" w:rsidR="5E4DECDF">
        <w:rPr>
          <w:rFonts w:ascii="Arial" w:hAnsi="Arial" w:eastAsia="Arial" w:cs="Arial"/>
          <w:noProof w:val="0"/>
          <w:sz w:val="28"/>
          <w:szCs w:val="28"/>
          <w:lang w:val="en-US"/>
        </w:rPr>
        <w:t xml:space="preserve">, acknowledging that humans are not alone in having agency in life and thus </w:t>
      </w:r>
      <w:proofErr w:type="spellStart"/>
      <w:r w:rsidRPr="5E4DECDF" w:rsidR="5E4DECDF">
        <w:rPr>
          <w:rFonts w:ascii="Arial" w:hAnsi="Arial" w:eastAsia="Arial" w:cs="Arial"/>
          <w:noProof w:val="0"/>
          <w:sz w:val="28"/>
          <w:szCs w:val="28"/>
          <w:lang w:val="en-US"/>
        </w:rPr>
        <w:t>analysing</w:t>
      </w:r>
      <w:proofErr w:type="spellEnd"/>
      <w:r w:rsidRPr="5E4DECDF" w:rsidR="5E4DECDF">
        <w:rPr>
          <w:rFonts w:ascii="Arial" w:hAnsi="Arial" w:eastAsia="Arial" w:cs="Arial"/>
          <w:noProof w:val="0"/>
          <w:sz w:val="28"/>
          <w:szCs w:val="28"/>
          <w:lang w:val="en-US"/>
        </w:rPr>
        <w:t xml:space="preserve"> the role of human interactions with nonhuman forms in their social relations. </w:t>
      </w:r>
    </w:p>
    <w:p w:rsidR="5E4DECDF" w:rsidP="5E4DECDF" w:rsidRDefault="5E4DECDF" w14:paraId="34D07A7D" w14:textId="09E86587">
      <w:pPr>
        <w:spacing w:line="360" w:lineRule="auto"/>
      </w:pPr>
    </w:p>
    <w:p w:rsidR="5E4DECDF" w:rsidP="5E4DECDF" w:rsidRDefault="5E4DECDF" w14:paraId="24E550E7" w14:textId="28CE8ACD">
      <w:pPr>
        <w:spacing w:line="360" w:lineRule="auto"/>
      </w:pPr>
      <w:r w:rsidRPr="5E4DECDF" w:rsidR="5E4DECDF">
        <w:rPr>
          <w:rFonts w:ascii="Arial" w:hAnsi="Arial" w:eastAsia="Arial" w:cs="Arial"/>
          <w:noProof w:val="0"/>
          <w:sz w:val="28"/>
          <w:szCs w:val="28"/>
          <w:lang w:val="en-US"/>
        </w:rPr>
        <w:t xml:space="preserve">With the current problems that humanity faces causing more and more </w:t>
      </w:r>
      <w:r w:rsidRPr="5E4DECDF" w:rsidR="5E4DECDF">
        <w:rPr>
          <w:rFonts w:ascii="Arial" w:hAnsi="Arial" w:eastAsia="Arial" w:cs="Arial"/>
          <w:noProof w:val="0"/>
          <w:sz w:val="28"/>
          <w:szCs w:val="28"/>
          <w:lang w:val="en-US"/>
        </w:rPr>
        <w:t>political and</w:t>
      </w:r>
      <w:r w:rsidRPr="5E4DECDF" w:rsidR="5E4DECDF">
        <w:rPr>
          <w:rFonts w:ascii="Arial" w:hAnsi="Arial" w:eastAsia="Arial" w:cs="Arial"/>
          <w:noProof w:val="0"/>
          <w:sz w:val="28"/>
          <w:szCs w:val="28"/>
          <w:lang w:val="en-US"/>
        </w:rPr>
        <w:t xml:space="preserve"> social groups to form and more and more “collective action” (Taylor and Vaughan, 2018) to be called for. Not to mention the huge power of the internet to create communities that never would have existed without it (Peterson and Wilson, 2002) research on community, no matter what the scale, seems timely. </w:t>
      </w:r>
    </w:p>
    <w:p w:rsidR="5E4DECDF" w:rsidP="5E4DECDF" w:rsidRDefault="5E4DECDF" w14:paraId="7230B3DB" w14:textId="5F5BE445">
      <w:pPr>
        <w:spacing w:line="360" w:lineRule="auto"/>
      </w:pPr>
    </w:p>
    <w:p w:rsidR="5E4DECDF" w:rsidP="5E4DECDF" w:rsidRDefault="5E4DECDF" w14:paraId="24463AE0" w14:textId="3D60BAE9">
      <w:pPr>
        <w:spacing w:line="360" w:lineRule="auto"/>
      </w:pPr>
      <w:r w:rsidRPr="5E4DECDF" w:rsidR="5E4DECDF">
        <w:rPr>
          <w:rFonts w:ascii="Arial" w:hAnsi="Arial" w:eastAsia="Arial" w:cs="Arial"/>
          <w:b w:val="1"/>
          <w:bCs w:val="1"/>
          <w:noProof w:val="0"/>
          <w:sz w:val="28"/>
          <w:szCs w:val="28"/>
          <w:lang w:val="en-US"/>
        </w:rPr>
        <w:t>Methodology</w:t>
      </w:r>
    </w:p>
    <w:p w:rsidR="5E4DECDF" w:rsidP="5E4DECDF" w:rsidRDefault="5E4DECDF" w14:paraId="3B884409" w14:textId="3715BD70">
      <w:pPr>
        <w:spacing w:line="360" w:lineRule="auto"/>
      </w:pPr>
      <w:r w:rsidRPr="5E4DECDF" w:rsidR="5E4DECDF">
        <w:rPr>
          <w:rFonts w:ascii="Arial" w:hAnsi="Arial" w:eastAsia="Arial" w:cs="Arial"/>
          <w:noProof w:val="0"/>
          <w:sz w:val="28"/>
          <w:szCs w:val="28"/>
          <w:lang w:val="en-US"/>
        </w:rPr>
        <w:t xml:space="preserve">Our class of eight were given the opportunity to spend a full day at Skanda Vale doing participant observation and conducting interviews. </w:t>
      </w:r>
    </w:p>
    <w:p w:rsidR="5E4DECDF" w:rsidP="5E4DECDF" w:rsidRDefault="5E4DECDF" w14:paraId="503C88C9" w14:textId="7E5A4280">
      <w:pPr>
        <w:spacing w:line="360" w:lineRule="auto"/>
      </w:pPr>
      <w:r w:rsidRPr="5E4DECDF" w:rsidR="5E4DECDF">
        <w:rPr>
          <w:rFonts w:ascii="Arial" w:hAnsi="Arial" w:eastAsia="Arial" w:cs="Arial"/>
          <w:noProof w:val="0"/>
          <w:sz w:val="28"/>
          <w:szCs w:val="28"/>
          <w:lang w:val="en-US"/>
        </w:rPr>
        <w:t>The method of participant observation is invaluable to anthropologists because “participation through shared action brings vital insights and instrumental acceptance’’ (</w:t>
      </w:r>
      <w:proofErr w:type="spellStart"/>
      <w:r w:rsidRPr="5E4DECDF" w:rsidR="5E4DECDF">
        <w:rPr>
          <w:rFonts w:ascii="Arial" w:hAnsi="Arial" w:eastAsia="Arial" w:cs="Arial"/>
          <w:noProof w:val="0"/>
          <w:sz w:val="28"/>
          <w:szCs w:val="28"/>
          <w:lang w:val="en-US"/>
        </w:rPr>
        <w:t>Okely</w:t>
      </w:r>
      <w:proofErr w:type="spellEnd"/>
      <w:r w:rsidRPr="5E4DECDF" w:rsidR="5E4DECDF">
        <w:rPr>
          <w:rFonts w:ascii="Arial" w:hAnsi="Arial" w:eastAsia="Arial" w:cs="Arial"/>
          <w:noProof w:val="0"/>
          <w:sz w:val="28"/>
          <w:szCs w:val="28"/>
          <w:lang w:val="en-US"/>
        </w:rPr>
        <w:t>, 1983, P.77). I took notes of what I observed and later interpreted them, which helped me remember what I had observed, although interpreting them after the research was over might have caused me to cast judgement “upon them [the experiences] through a retrospective conversion of the learning” (Ingold, 2014, P.386)</w:t>
      </w:r>
    </w:p>
    <w:p w:rsidR="5E4DECDF" w:rsidP="5E4DECDF" w:rsidRDefault="5E4DECDF" w14:paraId="45636884" w14:textId="29BAB871">
      <w:pPr>
        <w:spacing w:line="360" w:lineRule="auto"/>
      </w:pPr>
    </w:p>
    <w:p w:rsidR="5E4DECDF" w:rsidP="5E4DECDF" w:rsidRDefault="5E4DECDF" w14:paraId="289A8D5D" w14:textId="08927F58">
      <w:pPr>
        <w:spacing w:line="360" w:lineRule="auto"/>
      </w:pPr>
      <w:r w:rsidRPr="5E4DECDF" w:rsidR="5E4DECDF">
        <w:rPr>
          <w:rFonts w:ascii="Arial" w:hAnsi="Arial" w:eastAsia="Arial" w:cs="Arial"/>
          <w:noProof w:val="0"/>
          <w:sz w:val="28"/>
          <w:szCs w:val="28"/>
          <w:lang w:val="en-US"/>
        </w:rPr>
        <w:t xml:space="preserve">Alongside this, I used interviews to “work with informants to produce a cultural description” (Spradley, 1979, P.25). These interviews were mostly semi structured with me having a list of question ideas but also allowing the interviewee to direct the conversation as they chose to. I felt that this was a good method to have some similarity of topic in my results but also to allow for the difference in </w:t>
      </w:r>
      <w:r w:rsidRPr="5E4DECDF" w:rsidR="5E4DECDF">
        <w:rPr>
          <w:rFonts w:ascii="Arial" w:hAnsi="Arial" w:eastAsia="Arial" w:cs="Arial"/>
          <w:noProof w:val="0"/>
          <w:sz w:val="28"/>
          <w:szCs w:val="28"/>
          <w:lang w:val="en-US"/>
        </w:rPr>
        <w:t>each individual’s</w:t>
      </w:r>
      <w:r w:rsidRPr="5E4DECDF" w:rsidR="5E4DECDF">
        <w:rPr>
          <w:rFonts w:ascii="Arial" w:hAnsi="Arial" w:eastAsia="Arial" w:cs="Arial"/>
          <w:noProof w:val="0"/>
          <w:sz w:val="28"/>
          <w:szCs w:val="28"/>
          <w:lang w:val="en-US"/>
        </w:rPr>
        <w:t xml:space="preserve"> experience. I asked all my interviewees for informed consent and offered them all anonymity as recommended in the ASA ethics guidelines (2018).  </w:t>
      </w:r>
    </w:p>
    <w:p w:rsidR="5E4DECDF" w:rsidP="5E4DECDF" w:rsidRDefault="5E4DECDF" w14:paraId="3B9EA181" w14:textId="6C695787">
      <w:pPr>
        <w:spacing w:line="360" w:lineRule="auto"/>
      </w:pPr>
      <w:r>
        <w:br/>
      </w:r>
      <w:r w:rsidRPr="5E4DECDF" w:rsidR="5E4DECDF">
        <w:rPr>
          <w:rFonts w:ascii="Arial" w:hAnsi="Arial" w:eastAsia="Arial" w:cs="Arial"/>
          <w:noProof w:val="0"/>
          <w:sz w:val="28"/>
          <w:szCs w:val="28"/>
          <w:lang w:val="en-US"/>
        </w:rPr>
        <w:t>I also kept a reflexive journal during in order to, work “with the notion of creating transparency” (</w:t>
      </w:r>
      <w:proofErr w:type="spellStart"/>
      <w:r w:rsidRPr="5E4DECDF" w:rsidR="5E4DECDF">
        <w:rPr>
          <w:rFonts w:ascii="Arial" w:hAnsi="Arial" w:eastAsia="Arial" w:cs="Arial"/>
          <w:noProof w:val="0"/>
          <w:sz w:val="28"/>
          <w:szCs w:val="28"/>
          <w:lang w:val="en-US"/>
        </w:rPr>
        <w:t>Ortlipp</w:t>
      </w:r>
      <w:proofErr w:type="spellEnd"/>
      <w:r w:rsidRPr="5E4DECDF" w:rsidR="5E4DECDF">
        <w:rPr>
          <w:rFonts w:ascii="Arial" w:hAnsi="Arial" w:eastAsia="Arial" w:cs="Arial"/>
          <w:noProof w:val="0"/>
          <w:sz w:val="28"/>
          <w:szCs w:val="28"/>
          <w:lang w:val="en-US"/>
        </w:rPr>
        <w:t>, 2008, P.695). This has become important due to what has been called the “interpretive crisis” in anthropology (</w:t>
      </w:r>
      <w:r w:rsidRPr="5E4DECDF" w:rsidR="5E4DECDF">
        <w:rPr>
          <w:rFonts w:ascii="Arial" w:hAnsi="Arial" w:eastAsia="Arial" w:cs="Arial"/>
          <w:noProof w:val="0"/>
          <w:color w:val="121212"/>
          <w:sz w:val="28"/>
          <w:szCs w:val="28"/>
          <w:lang w:val="en-US"/>
        </w:rPr>
        <w:t xml:space="preserve">Denzin, 1994, cited in </w:t>
      </w:r>
      <w:proofErr w:type="spellStart"/>
      <w:r w:rsidRPr="5E4DECDF" w:rsidR="5E4DECDF">
        <w:rPr>
          <w:rFonts w:ascii="Arial" w:hAnsi="Arial" w:eastAsia="Arial" w:cs="Arial"/>
          <w:noProof w:val="0"/>
          <w:color w:val="121212"/>
          <w:sz w:val="28"/>
          <w:szCs w:val="28"/>
          <w:lang w:val="en-US"/>
        </w:rPr>
        <w:t>Ortlipp</w:t>
      </w:r>
      <w:proofErr w:type="spellEnd"/>
      <w:r w:rsidRPr="5E4DECDF" w:rsidR="5E4DECDF">
        <w:rPr>
          <w:rFonts w:ascii="Arial" w:hAnsi="Arial" w:eastAsia="Arial" w:cs="Arial"/>
          <w:noProof w:val="0"/>
          <w:color w:val="121212"/>
          <w:sz w:val="28"/>
          <w:szCs w:val="28"/>
          <w:lang w:val="en-US"/>
        </w:rPr>
        <w:t>, 2008, P.695)</w:t>
      </w:r>
      <w:r w:rsidRPr="5E4DECDF" w:rsidR="5E4DECDF">
        <w:rPr>
          <w:rFonts w:ascii="Arial" w:hAnsi="Arial" w:eastAsia="Arial" w:cs="Arial"/>
          <w:noProof w:val="0"/>
          <w:sz w:val="28"/>
          <w:szCs w:val="28"/>
          <w:lang w:val="en-US"/>
        </w:rPr>
        <w:t>. Behind this, is the idea that a researcher brings with them certain “baggage” (past experiences, values, etc.) that might affect their research but would not normally be visible to the audience of their work. It is also a tool for making the researcher more aware of what they’re bringing into the field with them in the hopes that it might have less of an effect on their research.</w:t>
      </w:r>
    </w:p>
    <w:p w:rsidR="5E4DECDF" w:rsidP="5E4DECDF" w:rsidRDefault="5E4DECDF" w14:paraId="4947FB77" w14:textId="7B0F1747">
      <w:pPr>
        <w:pStyle w:val="Normal"/>
        <w:spacing w:line="360" w:lineRule="auto"/>
        <w:rPr>
          <w:rFonts w:ascii="Arial" w:hAnsi="Arial" w:eastAsia="Arial" w:cs="Arial"/>
          <w:noProof w:val="0"/>
          <w:sz w:val="28"/>
          <w:szCs w:val="28"/>
          <w:lang w:val="en-US"/>
        </w:rPr>
      </w:pPr>
    </w:p>
    <w:p w:rsidR="5E4DECDF" w:rsidP="5E4DECDF" w:rsidRDefault="5E4DECDF" w14:paraId="7D9B3CF2" w14:textId="1C247B8A">
      <w:pPr>
        <w:spacing w:line="360" w:lineRule="auto"/>
      </w:pPr>
      <w:r w:rsidRPr="5E4DECDF" w:rsidR="5E4DECDF">
        <w:rPr>
          <w:rFonts w:ascii="Arial" w:hAnsi="Arial" w:eastAsia="Arial" w:cs="Arial"/>
          <w:noProof w:val="0"/>
          <w:sz w:val="28"/>
          <w:szCs w:val="28"/>
          <w:lang w:val="en-US"/>
        </w:rPr>
        <w:t xml:space="preserve">As the fieldwork trip was only a day long, I would argue that we didn’t time to build a strong relationship with the people at Skanda Vale and so I do not feel that I can make definitive statements in answer to my questions because fieldwork experiences are “mediated by and constituted through the fieldworker’s relationships” (Amit, 2000, P.1). However, I will use theories and observations to get some ideas about how we might be able to describe community. This means that I also feel uncomfortable using the word “data” in relation to my research findings due to its correlation to facts, which I certainly cannot say that I have found. Thus, I will discuss only research findings, theories and ideas. </w:t>
      </w:r>
    </w:p>
    <w:p w:rsidR="5E4DECDF" w:rsidP="5E4DECDF" w:rsidRDefault="5E4DECDF" w14:paraId="4A0317BC" w14:textId="326AFF08">
      <w:pPr>
        <w:spacing w:line="360" w:lineRule="auto"/>
      </w:pPr>
    </w:p>
    <w:p w:rsidR="5E4DECDF" w:rsidP="5E4DECDF" w:rsidRDefault="5E4DECDF" w14:paraId="70AAC799" w14:textId="4E359CC2">
      <w:pPr>
        <w:spacing w:line="360" w:lineRule="auto"/>
      </w:pPr>
      <w:r w:rsidRPr="5E4DECDF" w:rsidR="5E4DECDF">
        <w:rPr>
          <w:rFonts w:ascii="Arial" w:hAnsi="Arial" w:eastAsia="Arial" w:cs="Arial"/>
          <w:b w:val="1"/>
          <w:bCs w:val="1"/>
          <w:noProof w:val="0"/>
          <w:sz w:val="28"/>
          <w:szCs w:val="28"/>
          <w:lang w:val="en-US"/>
        </w:rPr>
        <w:t>My “findings”</w:t>
      </w:r>
    </w:p>
    <w:p w:rsidR="5E4DECDF" w:rsidP="5E4DECDF" w:rsidRDefault="5E4DECDF" w14:paraId="2F3EBA9A" w14:textId="4035E1B5">
      <w:pPr>
        <w:spacing w:line="360" w:lineRule="auto"/>
      </w:pPr>
      <w:r w:rsidRPr="5E4DECDF" w:rsidR="5E4DECDF">
        <w:rPr>
          <w:rFonts w:ascii="Arial" w:hAnsi="Arial" w:eastAsia="Arial" w:cs="Arial"/>
          <w:noProof w:val="0"/>
          <w:sz w:val="28"/>
          <w:szCs w:val="28"/>
          <w:lang w:val="en-US"/>
        </w:rPr>
        <w:t>Through my observation and interviews I developed a few different perceptions of the community at Skanda Vale. Here I will discuss these different ideas.</w:t>
      </w:r>
    </w:p>
    <w:p w:rsidR="5E4DECDF" w:rsidP="5E4DECDF" w:rsidRDefault="5E4DECDF" w14:paraId="05149105" w14:textId="46908497">
      <w:pPr>
        <w:spacing w:line="360" w:lineRule="auto"/>
        <w:rPr>
          <w:rFonts w:ascii="Arial" w:hAnsi="Arial" w:eastAsia="Arial" w:cs="Arial"/>
          <w:noProof w:val="0"/>
          <w:sz w:val="28"/>
          <w:szCs w:val="28"/>
          <w:lang w:val="en-US"/>
        </w:rPr>
      </w:pPr>
    </w:p>
    <w:p w:rsidR="5E4DECDF" w:rsidP="5E4DECDF" w:rsidRDefault="5E4DECDF" w14:paraId="6374352C" w14:textId="3AEABF34">
      <w:pPr>
        <w:spacing w:line="360" w:lineRule="auto"/>
      </w:pPr>
      <w:r w:rsidRPr="5E4DECDF" w:rsidR="5E4DECDF">
        <w:rPr>
          <w:rFonts w:ascii="Arial" w:hAnsi="Arial" w:eastAsia="Arial" w:cs="Arial"/>
          <w:noProof w:val="0"/>
          <w:sz w:val="28"/>
          <w:szCs w:val="28"/>
          <w:lang w:val="en-US"/>
        </w:rPr>
        <w:t>A community of crossed paths.</w:t>
      </w:r>
    </w:p>
    <w:p w:rsidR="5E4DECDF" w:rsidP="5E4DECDF" w:rsidRDefault="5E4DECDF" w14:paraId="02A0B8CF" w14:textId="2BEF296F">
      <w:pPr>
        <w:spacing w:line="360" w:lineRule="auto"/>
      </w:pPr>
      <w:r w:rsidRPr="5E4DECDF" w:rsidR="5E4DECDF">
        <w:rPr>
          <w:rFonts w:ascii="Arial" w:hAnsi="Arial" w:eastAsia="Arial" w:cs="Arial"/>
          <w:noProof w:val="0"/>
          <w:sz w:val="28"/>
          <w:szCs w:val="28"/>
          <w:lang w:val="en-US"/>
        </w:rPr>
        <w:t xml:space="preserve">One of the first things that struck me about Skanda Vale was how it was a meeting place between different communities. The residents of the Ashram are mostly European, but most of their worship is from Sadhana which is an element of Hinduism originating in India. They live in rural west Wales where most of the locals are farmers and have a hospice serving this local group which they set up using money from mostly Hindu pilgrims and national lottery grants (which means that the money came through the hands of the huge amount of people who buy lottery tickets all over Britain) (The National lottery community fund, 2014). For me, this seemed like an example of actor network theory (Latour, 2005) in that it demonstrates the way that the culture Skanda Vale is “assembled” by a huge network of people, objects and cultures. </w:t>
      </w:r>
    </w:p>
    <w:p w:rsidR="5E4DECDF" w:rsidP="5E4DECDF" w:rsidRDefault="5E4DECDF" w14:paraId="304BD71C" w14:textId="7C9FA25A">
      <w:pPr>
        <w:spacing w:line="360" w:lineRule="auto"/>
      </w:pPr>
      <w:r w:rsidRPr="5E4DECDF" w:rsidR="5E4DECDF">
        <w:rPr>
          <w:rFonts w:ascii="Arial" w:hAnsi="Arial" w:eastAsia="Arial" w:cs="Arial"/>
          <w:noProof w:val="0"/>
          <w:sz w:val="28"/>
          <w:szCs w:val="28"/>
          <w:lang w:val="en-US"/>
        </w:rPr>
        <w:t xml:space="preserve">Although generally the idea of Skanda Vale seems out of place, not fitting in particularly with locals or surroundings (a temple with golden spheres on top seems particularly odd in the Welsh Valley), it doesn’t seem, like Mary Douglas’ “matter out of place” (1966, P.36), dirty or out of order. One of the monks, when talking about relations with the locals, said that the Skanda Vale community were “a bunch of weirdos” (Field notes, 27/03/2019) clearly stating that they were out of place, and yet it seemed to me to be in its place. This suggests to me that perhaps they perform their culture (Butler, 1988) in a way that just about fits with multiple groups and thus are never quite “matter out of place” in another community but neither are they matter in its rightful place. </w:t>
      </w:r>
    </w:p>
    <w:p w:rsidR="5E4DECDF" w:rsidP="5E4DECDF" w:rsidRDefault="5E4DECDF" w14:paraId="52CA0309" w14:textId="4E3A4D01">
      <w:pPr>
        <w:spacing w:line="360" w:lineRule="auto"/>
        <w:rPr>
          <w:rFonts w:ascii="Arial" w:hAnsi="Arial" w:eastAsia="Arial" w:cs="Arial"/>
          <w:noProof w:val="0"/>
          <w:sz w:val="28"/>
          <w:szCs w:val="28"/>
          <w:lang w:val="en-US"/>
        </w:rPr>
      </w:pPr>
    </w:p>
    <w:p w:rsidR="5E4DECDF" w:rsidP="5E4DECDF" w:rsidRDefault="5E4DECDF" w14:paraId="4563DEC5" w14:textId="30F7AFED">
      <w:pPr>
        <w:spacing w:line="360" w:lineRule="auto"/>
      </w:pPr>
      <w:r w:rsidRPr="5E4DECDF" w:rsidR="5E4DECDF">
        <w:rPr>
          <w:rFonts w:ascii="Arial" w:hAnsi="Arial" w:eastAsia="Arial" w:cs="Arial"/>
          <w:noProof w:val="0"/>
          <w:sz w:val="28"/>
          <w:szCs w:val="28"/>
          <w:lang w:val="en-US"/>
        </w:rPr>
        <w:t>A community of substance.</w:t>
      </w:r>
    </w:p>
    <w:p w:rsidR="5E4DECDF" w:rsidP="5E4DECDF" w:rsidRDefault="5E4DECDF" w14:paraId="6B298739" w14:textId="7F119845">
      <w:pPr>
        <w:spacing w:line="360" w:lineRule="auto"/>
      </w:pPr>
      <w:r w:rsidRPr="5E4DECDF" w:rsidR="5E4DECDF">
        <w:rPr>
          <w:rFonts w:ascii="Arial" w:hAnsi="Arial" w:eastAsia="Arial" w:cs="Arial"/>
          <w:noProof w:val="0"/>
          <w:sz w:val="28"/>
          <w:szCs w:val="28"/>
          <w:lang w:val="en-US"/>
        </w:rPr>
        <w:t xml:space="preserve">Another thing that seemed to bring the community of Skanda Vale together is that they are made up of the same substances. They are in the same environment, experiencing the same people, breathing in the same air and eating the same food. The theory that eating brings people together is called commensality. It states that Individuals who share meals “are thus made – both socially and corporeally – as kin, even though they may not share the other substance more commonly associated with kinship, blood.” (Abbots, 2017, P.35). I found the idea of commensality interesting in relation to Skanda Vale for two reasons. The first is that all food is blessed in the </w:t>
      </w:r>
      <w:r w:rsidRPr="5E4DECDF" w:rsidR="5E4DECDF">
        <w:rPr>
          <w:rFonts w:ascii="Arial" w:hAnsi="Arial" w:eastAsia="Arial" w:cs="Arial"/>
          <w:i w:val="1"/>
          <w:iCs w:val="1"/>
          <w:noProof w:val="0"/>
          <w:sz w:val="28"/>
          <w:szCs w:val="28"/>
          <w:lang w:val="en-US"/>
        </w:rPr>
        <w:t xml:space="preserve">Prasad Puja </w:t>
      </w:r>
      <w:r w:rsidRPr="5E4DECDF" w:rsidR="5E4DECDF">
        <w:rPr>
          <w:rFonts w:ascii="Arial" w:hAnsi="Arial" w:eastAsia="Arial" w:cs="Arial"/>
          <w:noProof w:val="0"/>
          <w:sz w:val="28"/>
          <w:szCs w:val="28"/>
          <w:lang w:val="en-US"/>
        </w:rPr>
        <w:t xml:space="preserve">which “raises its vibrations” (Field notes, 27/03/2019) and also acknowledges that the sustenance was given to them by God and thus that by eating it they are eating the divine and are thus made of the divine. This relates to ideas expressed in new materialist ethnographies of eating that “the bodies of eaters materially bind with the bodies they ingest” (Attala, 2019, P.48). </w:t>
      </w:r>
    </w:p>
    <w:p w:rsidR="5E4DECDF" w:rsidP="5E4DECDF" w:rsidRDefault="5E4DECDF" w14:paraId="212E2260" w14:textId="1B502E51">
      <w:pPr>
        <w:spacing w:line="360" w:lineRule="auto"/>
      </w:pPr>
      <w:r w:rsidRPr="5E4DECDF" w:rsidR="5E4DECDF">
        <w:rPr>
          <w:rFonts w:ascii="Arial" w:hAnsi="Arial" w:eastAsia="Arial" w:cs="Arial"/>
          <w:noProof w:val="0"/>
          <w:sz w:val="28"/>
          <w:szCs w:val="28"/>
          <w:lang w:val="en-US"/>
        </w:rPr>
        <w:t>Thus, as I wrote in my journal:</w:t>
      </w:r>
    </w:p>
    <w:p w:rsidR="5E4DECDF" w:rsidP="5E4DECDF" w:rsidRDefault="5E4DECDF" w14:paraId="3E5DE4AD" w14:textId="3720E015">
      <w:pPr>
        <w:spacing w:line="360" w:lineRule="auto"/>
      </w:pPr>
      <w:r w:rsidRPr="5E4DECDF" w:rsidR="5E4DECDF">
        <w:rPr>
          <w:rFonts w:ascii="Arial" w:hAnsi="Arial" w:eastAsia="Arial" w:cs="Arial"/>
          <w:noProof w:val="0"/>
          <w:sz w:val="28"/>
          <w:szCs w:val="28"/>
          <w:lang w:val="en-US"/>
        </w:rPr>
        <w:t xml:space="preserve">If you are living in a world which is entirely made of the divine then eating means you are connected to the divine in a physical way, not just in a spiritual way. (Research journal, 30/03/2019) </w:t>
      </w:r>
    </w:p>
    <w:p w:rsidR="5E4DECDF" w:rsidP="5E4DECDF" w:rsidRDefault="5E4DECDF" w14:paraId="65FE8B23" w14:textId="781D81E0">
      <w:pPr>
        <w:pStyle w:val="Normal"/>
        <w:spacing w:line="360" w:lineRule="auto"/>
        <w:rPr>
          <w:rFonts w:ascii="Arial" w:hAnsi="Arial" w:eastAsia="Arial" w:cs="Arial"/>
          <w:noProof w:val="0"/>
          <w:sz w:val="28"/>
          <w:szCs w:val="28"/>
          <w:lang w:val="en-US"/>
        </w:rPr>
      </w:pPr>
    </w:p>
    <w:p w:rsidR="5E4DECDF" w:rsidP="5E4DECDF" w:rsidRDefault="5E4DECDF" w14:paraId="0D34514C" w14:textId="36E2089F">
      <w:pPr>
        <w:spacing w:line="360" w:lineRule="auto"/>
      </w:pPr>
      <w:r w:rsidRPr="5E4DECDF" w:rsidR="5E4DECDF">
        <w:rPr>
          <w:rFonts w:ascii="Arial" w:hAnsi="Arial" w:eastAsia="Arial" w:cs="Arial"/>
          <w:noProof w:val="0"/>
          <w:sz w:val="28"/>
          <w:szCs w:val="28"/>
          <w:lang w:val="en-US"/>
        </w:rPr>
        <w:t xml:space="preserve">The other way that food sharing was interesting is that it showed me a bit about the relationships between the community and the pilgrims that come in and out of it which interested me a lot as can be seen in my research journal. </w:t>
      </w:r>
    </w:p>
    <w:p w:rsidR="5E4DECDF" w:rsidP="5E4DECDF" w:rsidRDefault="5E4DECDF" w14:paraId="4B9D35C7" w14:textId="6AA99B00">
      <w:pPr>
        <w:spacing w:line="360" w:lineRule="auto"/>
      </w:pPr>
      <w:r w:rsidRPr="5E4DECDF" w:rsidR="5E4DECDF">
        <w:rPr>
          <w:rFonts w:ascii="Arial" w:hAnsi="Arial" w:eastAsia="Arial" w:cs="Arial"/>
          <w:noProof w:val="0"/>
          <w:sz w:val="28"/>
          <w:szCs w:val="28"/>
          <w:lang w:val="en-US"/>
        </w:rPr>
        <w:t>I noticed that the Monastic community did not, however, eat with the visitors and pilgrims, to me this made it seem, that perhaps corporeally and spiritually pilgrims could be a part of this community, but socially they were not kin to the residents. (Research journal, 30/03/2019)</w:t>
      </w:r>
    </w:p>
    <w:p w:rsidR="5E4DECDF" w:rsidP="5E4DECDF" w:rsidRDefault="5E4DECDF" w14:paraId="5D5D78A6" w14:textId="04F7697A">
      <w:pPr>
        <w:spacing w:line="360" w:lineRule="auto"/>
      </w:pPr>
      <w:r>
        <w:br/>
      </w:r>
    </w:p>
    <w:p w:rsidR="5E4DECDF" w:rsidP="5E4DECDF" w:rsidRDefault="5E4DECDF" w14:paraId="21CD9702" w14:textId="2FA3FE89">
      <w:pPr>
        <w:spacing w:line="360" w:lineRule="auto"/>
      </w:pPr>
      <w:r w:rsidRPr="5E4DECDF" w:rsidR="5E4DECDF">
        <w:rPr>
          <w:rFonts w:ascii="Arial" w:hAnsi="Arial" w:eastAsia="Arial" w:cs="Arial"/>
          <w:noProof w:val="0"/>
          <w:sz w:val="28"/>
          <w:szCs w:val="28"/>
          <w:lang w:val="en-US"/>
        </w:rPr>
        <w:t>A community of Spiritual practice.</w:t>
      </w:r>
    </w:p>
    <w:p w:rsidR="5E4DECDF" w:rsidP="5E4DECDF" w:rsidRDefault="5E4DECDF" w14:paraId="5BE8B3F9" w14:textId="3045F08A">
      <w:pPr>
        <w:spacing w:line="360" w:lineRule="auto"/>
      </w:pPr>
      <w:r w:rsidRPr="5E4DECDF" w:rsidR="5E4DECDF">
        <w:rPr>
          <w:rFonts w:ascii="Arial" w:hAnsi="Arial" w:eastAsia="Arial" w:cs="Arial"/>
          <w:noProof w:val="0"/>
          <w:sz w:val="28"/>
          <w:szCs w:val="28"/>
          <w:lang w:val="en-US"/>
        </w:rPr>
        <w:t>Having read the theory about communities of practice I could apply aspects of this to the way Skanda Vale approaches its spirituality. There were the newer members (and to some extent the pilgrims) who were less central, learning from the more central members in their shared spiritual practice. So, in a sense, there were “newcomers and old-timers” (Lave and Wenger, 1991, P.29) learning in a shared “community of knowledge and practice” (Lave and Wenger, 1991, P.29).</w:t>
      </w:r>
    </w:p>
    <w:p w:rsidR="5E4DECDF" w:rsidP="5E4DECDF" w:rsidRDefault="5E4DECDF" w14:paraId="38E20FA4" w14:textId="63F7E4F8">
      <w:pPr>
        <w:spacing w:line="360" w:lineRule="auto"/>
      </w:pPr>
      <w:r w:rsidRPr="5E4DECDF" w:rsidR="5E4DECDF">
        <w:rPr>
          <w:rFonts w:ascii="Arial" w:hAnsi="Arial" w:eastAsia="Arial" w:cs="Arial"/>
          <w:noProof w:val="0"/>
          <w:sz w:val="28"/>
          <w:szCs w:val="28"/>
          <w:lang w:val="en-US"/>
        </w:rPr>
        <w:t xml:space="preserve">However, I would say that the community at Skanda Vale is more than a community of practice because they not only share spiritual </w:t>
      </w:r>
      <w:proofErr w:type="gramStart"/>
      <w:r w:rsidRPr="5E4DECDF" w:rsidR="5E4DECDF">
        <w:rPr>
          <w:rFonts w:ascii="Arial" w:hAnsi="Arial" w:eastAsia="Arial" w:cs="Arial"/>
          <w:noProof w:val="0"/>
          <w:sz w:val="28"/>
          <w:szCs w:val="28"/>
          <w:lang w:val="en-US"/>
        </w:rPr>
        <w:t>practice</w:t>
      </w:r>
      <w:proofErr w:type="gramEnd"/>
      <w:r w:rsidRPr="5E4DECDF" w:rsidR="5E4DECDF">
        <w:rPr>
          <w:rFonts w:ascii="Arial" w:hAnsi="Arial" w:eastAsia="Arial" w:cs="Arial"/>
          <w:noProof w:val="0"/>
          <w:sz w:val="28"/>
          <w:szCs w:val="28"/>
          <w:lang w:val="en-US"/>
        </w:rPr>
        <w:t xml:space="preserve"> but they live together. One </w:t>
      </w:r>
      <w:r w:rsidRPr="5E4DECDF" w:rsidR="5E4DECDF">
        <w:rPr>
          <w:rFonts w:ascii="Arial" w:hAnsi="Arial" w:eastAsia="Arial" w:cs="Arial"/>
          <w:i w:val="1"/>
          <w:iCs w:val="1"/>
          <w:noProof w:val="0"/>
          <w:sz w:val="28"/>
          <w:szCs w:val="28"/>
          <w:lang w:val="en-US"/>
        </w:rPr>
        <w:t xml:space="preserve">Swami </w:t>
      </w:r>
      <w:r w:rsidRPr="5E4DECDF" w:rsidR="5E4DECDF">
        <w:rPr>
          <w:rFonts w:ascii="Arial" w:hAnsi="Arial" w:eastAsia="Arial" w:cs="Arial"/>
          <w:noProof w:val="0"/>
          <w:sz w:val="28"/>
          <w:szCs w:val="28"/>
          <w:lang w:val="en-US"/>
        </w:rPr>
        <w:t>(the spiritual leaders of the community) described it as “a family who want to serve higher human values” (Field notes, 27/03/2019) which is more than just sharing an activity or even a belief system.</w:t>
      </w:r>
    </w:p>
    <w:p w:rsidR="5E4DECDF" w:rsidP="5E4DECDF" w:rsidRDefault="5E4DECDF" w14:paraId="608751AE" w14:textId="0222639C">
      <w:pPr>
        <w:spacing w:line="360" w:lineRule="auto"/>
      </w:pPr>
      <w:r>
        <w:br/>
      </w:r>
    </w:p>
    <w:p w:rsidR="5E4DECDF" w:rsidP="5E4DECDF" w:rsidRDefault="5E4DECDF" w14:paraId="3E226169" w14:textId="56349E7F">
      <w:pPr>
        <w:spacing w:line="360" w:lineRule="auto"/>
      </w:pPr>
      <w:r w:rsidRPr="5E4DECDF" w:rsidR="5E4DECDF">
        <w:rPr>
          <w:rFonts w:ascii="Arial" w:hAnsi="Arial" w:eastAsia="Arial" w:cs="Arial"/>
          <w:noProof w:val="0"/>
          <w:sz w:val="28"/>
          <w:szCs w:val="28"/>
          <w:lang w:val="en-US"/>
        </w:rPr>
        <w:t>A community that wanted to be there.</w:t>
      </w:r>
    </w:p>
    <w:p w:rsidR="5E4DECDF" w:rsidP="5E4DECDF" w:rsidRDefault="5E4DECDF" w14:paraId="2B0F357E" w14:textId="39DBCD59">
      <w:pPr>
        <w:spacing w:line="360" w:lineRule="auto"/>
      </w:pPr>
      <w:r w:rsidRPr="5E4DECDF" w:rsidR="5E4DECDF">
        <w:rPr>
          <w:rFonts w:ascii="Arial" w:hAnsi="Arial" w:eastAsia="Arial" w:cs="Arial"/>
          <w:noProof w:val="0"/>
          <w:sz w:val="28"/>
          <w:szCs w:val="28"/>
          <w:lang w:val="en-US"/>
        </w:rPr>
        <w:t xml:space="preserve">Another thing I noticed about Skanda Vale was that the place had intention. It is a place “for people to experience God” and “a place of pilgrimage” as I wrote in my research journal. It was a place which many of my interviewees said that they “fell in love with”. This seems to give the place and intentions a sort of agency in the formation of the community because it attracts people to it (Bennett, 2004). </w:t>
      </w:r>
    </w:p>
    <w:p w:rsidR="5E4DECDF" w:rsidP="5E4DECDF" w:rsidRDefault="5E4DECDF" w14:paraId="0671B82C" w14:textId="606343B4">
      <w:pPr>
        <w:spacing w:line="360" w:lineRule="auto"/>
      </w:pPr>
      <w:r w:rsidRPr="5E4DECDF" w:rsidR="5E4DECDF">
        <w:rPr>
          <w:rFonts w:ascii="Arial" w:hAnsi="Arial" w:eastAsia="Arial" w:cs="Arial"/>
          <w:noProof w:val="0"/>
          <w:sz w:val="28"/>
          <w:szCs w:val="28"/>
          <w:lang w:val="en-US"/>
        </w:rPr>
        <w:t xml:space="preserve">Perhaps the nature of Skanda Vale was not just about the interactions between different people and animals but also between the inhabitants and their home (with its physical and spiritual aspects), between it and the rest of the world. It seemed to me, that community could be a sort of </w:t>
      </w:r>
      <w:proofErr w:type="spellStart"/>
      <w:r w:rsidRPr="5E4DECDF" w:rsidR="5E4DECDF">
        <w:rPr>
          <w:rFonts w:ascii="Arial" w:hAnsi="Arial" w:eastAsia="Arial" w:cs="Arial"/>
          <w:noProof w:val="0"/>
          <w:sz w:val="28"/>
          <w:szCs w:val="28"/>
          <w:lang w:val="en-US"/>
        </w:rPr>
        <w:t>hyperobject</w:t>
      </w:r>
      <w:proofErr w:type="spellEnd"/>
      <w:r w:rsidRPr="5E4DECDF" w:rsidR="5E4DECDF">
        <w:rPr>
          <w:rFonts w:ascii="Arial" w:hAnsi="Arial" w:eastAsia="Arial" w:cs="Arial"/>
          <w:noProof w:val="0"/>
          <w:sz w:val="28"/>
          <w:szCs w:val="28"/>
          <w:lang w:val="en-US"/>
        </w:rPr>
        <w:t xml:space="preserve">: something we can think about and study but can’t really define or see (Morton, 2015). There were so many aspects that made up Skanda Vale and I don’t believe any one of them is “the community” itself.  </w:t>
      </w:r>
    </w:p>
    <w:p w:rsidR="5E4DECDF" w:rsidP="5E4DECDF" w:rsidRDefault="5E4DECDF" w14:paraId="3169804F" w14:textId="194C317B">
      <w:pPr>
        <w:pStyle w:val="Normal"/>
        <w:spacing w:line="360" w:lineRule="auto"/>
        <w:rPr>
          <w:rFonts w:ascii="Arial" w:hAnsi="Arial" w:eastAsia="Arial" w:cs="Arial"/>
          <w:noProof w:val="0"/>
          <w:sz w:val="28"/>
          <w:szCs w:val="28"/>
          <w:lang w:val="en-US"/>
        </w:rPr>
      </w:pPr>
    </w:p>
    <w:p w:rsidR="5E4DECDF" w:rsidP="5E4DECDF" w:rsidRDefault="5E4DECDF" w14:paraId="4AFA3F7B" w14:textId="76680AF6">
      <w:pPr>
        <w:spacing w:line="360" w:lineRule="auto"/>
      </w:pPr>
      <w:r w:rsidRPr="5E4DECDF" w:rsidR="5E4DECDF">
        <w:rPr>
          <w:rFonts w:ascii="Arial" w:hAnsi="Arial" w:eastAsia="Arial" w:cs="Arial"/>
          <w:noProof w:val="0"/>
          <w:sz w:val="28"/>
          <w:szCs w:val="28"/>
          <w:lang w:val="en-US"/>
        </w:rPr>
        <w:t xml:space="preserve">To conclude, the identity of community that I found at Skanda Vale was mismatched and could be seen in many different lights. Haynes states that “In essence community only exists when it is imagined </w:t>
      </w:r>
      <w:r w:rsidRPr="5E4DECDF" w:rsidR="5E4DECDF">
        <w:rPr>
          <w:rFonts w:ascii="Arial" w:hAnsi="Arial" w:eastAsia="Arial" w:cs="Arial"/>
          <w:noProof w:val="0"/>
          <w:sz w:val="28"/>
          <w:szCs w:val="28"/>
          <w:lang w:val="en-US"/>
        </w:rPr>
        <w:t>to exist</w:t>
      </w:r>
      <w:r w:rsidRPr="5E4DECDF" w:rsidR="5E4DECDF">
        <w:rPr>
          <w:rFonts w:ascii="Arial" w:hAnsi="Arial" w:eastAsia="Arial" w:cs="Arial"/>
          <w:noProof w:val="0"/>
          <w:sz w:val="28"/>
          <w:szCs w:val="28"/>
          <w:lang w:val="en-US"/>
        </w:rPr>
        <w:t xml:space="preserve"> by those who want to belong to it.” (2016, P.152) and my research findings seem to agree, whether the people fall in love with the place and want to belong there, whether they find divinity and spirituality that give them more meaning in life, for whatever reason, the people at Skanda Vale want to be and belong there and that is what I really saw. </w:t>
      </w:r>
    </w:p>
    <w:p w:rsidR="5E4DECDF" w:rsidRDefault="5E4DECDF" w14:paraId="5383ADA9" w14:textId="0A9914BA">
      <w:r>
        <w:br/>
      </w:r>
    </w:p>
    <w:p w:rsidR="5E4DECDF" w:rsidRDefault="5E4DECDF" w14:paraId="1832BA9F" w14:textId="105268E6">
      <w:r w:rsidRPr="5E4DECDF" w:rsidR="5E4DECDF">
        <w:rPr>
          <w:rFonts w:ascii="Arial" w:hAnsi="Arial" w:eastAsia="Arial" w:cs="Arial"/>
          <w:b w:val="1"/>
          <w:bCs w:val="1"/>
          <w:noProof w:val="0"/>
          <w:sz w:val="28"/>
          <w:szCs w:val="28"/>
          <w:lang w:val="en-US"/>
        </w:rPr>
        <w:t>References:</w:t>
      </w:r>
    </w:p>
    <w:p w:rsidR="5E4DECDF" w:rsidP="5E4DECDF" w:rsidRDefault="5E4DECDF" w14:paraId="782672E7" w14:textId="54E85A58">
      <w:pPr>
        <w:spacing w:line="360" w:lineRule="auto"/>
      </w:pPr>
      <w:r w:rsidRPr="5E4DECDF" w:rsidR="5E4DECDF">
        <w:rPr>
          <w:rFonts w:ascii="Arial" w:hAnsi="Arial" w:eastAsia="Arial" w:cs="Arial"/>
          <w:noProof w:val="0"/>
          <w:sz w:val="28"/>
          <w:szCs w:val="28"/>
          <w:lang w:val="en-US"/>
        </w:rPr>
        <w:t xml:space="preserve">Abbots, E.J., (2017), </w:t>
      </w:r>
      <w:r w:rsidRPr="5E4DECDF" w:rsidR="5E4DECDF">
        <w:rPr>
          <w:rFonts w:ascii="Arial" w:hAnsi="Arial" w:eastAsia="Arial" w:cs="Arial"/>
          <w:i w:val="1"/>
          <w:iCs w:val="1"/>
          <w:noProof w:val="0"/>
          <w:sz w:val="28"/>
          <w:szCs w:val="28"/>
          <w:lang w:val="en-US"/>
        </w:rPr>
        <w:t xml:space="preserve">The agency of eating: mediation, food and the body, </w:t>
      </w:r>
      <w:r w:rsidRPr="5E4DECDF" w:rsidR="5E4DECDF">
        <w:rPr>
          <w:rFonts w:ascii="Arial" w:hAnsi="Arial" w:eastAsia="Arial" w:cs="Arial"/>
          <w:noProof w:val="0"/>
          <w:sz w:val="28"/>
          <w:szCs w:val="28"/>
          <w:lang w:val="en-US"/>
        </w:rPr>
        <w:t xml:space="preserve">Bloomsbury, London </w:t>
      </w:r>
    </w:p>
    <w:p w:rsidR="5E4DECDF" w:rsidP="5E4DECDF" w:rsidRDefault="5E4DECDF" w14:paraId="3D9AB0F1" w14:textId="19F44075">
      <w:pPr>
        <w:spacing w:line="360" w:lineRule="auto"/>
      </w:pPr>
      <w:r w:rsidRPr="5E4DECDF" w:rsidR="5E4DECDF">
        <w:rPr>
          <w:rFonts w:ascii="Arial" w:hAnsi="Arial" w:eastAsia="Arial" w:cs="Arial"/>
          <w:noProof w:val="0"/>
          <w:sz w:val="28"/>
          <w:szCs w:val="28"/>
          <w:lang w:val="en-US"/>
        </w:rPr>
        <w:t xml:space="preserve">Amit, V., (2000), </w:t>
      </w:r>
      <w:r w:rsidRPr="5E4DECDF" w:rsidR="5E4DECDF">
        <w:rPr>
          <w:rFonts w:ascii="Arial" w:hAnsi="Arial" w:eastAsia="Arial" w:cs="Arial"/>
          <w:i w:val="1"/>
          <w:iCs w:val="1"/>
          <w:noProof w:val="0"/>
          <w:sz w:val="28"/>
          <w:szCs w:val="28"/>
          <w:lang w:val="en-US"/>
        </w:rPr>
        <w:t>Constructing the field: ethnographic fieldwork in the contemporary world</w:t>
      </w:r>
      <w:r w:rsidRPr="5E4DECDF" w:rsidR="5E4DECDF">
        <w:rPr>
          <w:rFonts w:ascii="Arial" w:hAnsi="Arial" w:eastAsia="Arial" w:cs="Arial"/>
          <w:noProof w:val="0"/>
          <w:sz w:val="28"/>
          <w:szCs w:val="28"/>
          <w:lang w:val="en-US"/>
        </w:rPr>
        <w:t>, London, Routledge</w:t>
      </w:r>
    </w:p>
    <w:p w:rsidR="5E4DECDF" w:rsidP="5E4DECDF" w:rsidRDefault="5E4DECDF" w14:paraId="3EC30158" w14:textId="200FCD90">
      <w:pPr>
        <w:spacing w:line="360" w:lineRule="auto"/>
      </w:pPr>
      <w:r w:rsidRPr="5E4DECDF" w:rsidR="5E4DECDF">
        <w:rPr>
          <w:rFonts w:ascii="Arial" w:hAnsi="Arial" w:eastAsia="Arial" w:cs="Arial"/>
          <w:noProof w:val="0"/>
          <w:sz w:val="28"/>
          <w:szCs w:val="28"/>
          <w:lang w:val="en-US"/>
        </w:rPr>
        <w:t xml:space="preserve">ASA, (2018), </w:t>
      </w:r>
      <w:r w:rsidRPr="5E4DECDF" w:rsidR="5E4DECDF">
        <w:rPr>
          <w:rFonts w:ascii="Arial" w:hAnsi="Arial" w:eastAsia="Arial" w:cs="Arial"/>
          <w:i w:val="1"/>
          <w:iCs w:val="1"/>
          <w:noProof w:val="0"/>
          <w:sz w:val="28"/>
          <w:szCs w:val="28"/>
          <w:lang w:val="en-US"/>
        </w:rPr>
        <w:t xml:space="preserve">Ethical guidelines, </w:t>
      </w:r>
      <w:r w:rsidRPr="5E4DECDF" w:rsidR="5E4DECDF">
        <w:rPr>
          <w:rFonts w:ascii="Arial" w:hAnsi="Arial" w:eastAsia="Arial" w:cs="Arial"/>
          <w:noProof w:val="0"/>
          <w:sz w:val="28"/>
          <w:szCs w:val="28"/>
          <w:lang w:val="en-US"/>
        </w:rPr>
        <w:t xml:space="preserve">[online], Available at: </w:t>
      </w:r>
      <w:hyperlink r:id="R88daf7f19a354982">
        <w:r w:rsidRPr="5E4DECDF" w:rsidR="5E4DECDF">
          <w:rPr>
            <w:rStyle w:val="Hyperlink"/>
            <w:rFonts w:ascii="Arial" w:hAnsi="Arial" w:eastAsia="Arial" w:cs="Arial"/>
            <w:noProof w:val="0"/>
            <w:color w:val="1155CC"/>
            <w:sz w:val="28"/>
            <w:szCs w:val="28"/>
            <w:lang w:val="en-US"/>
          </w:rPr>
          <w:t>https://www.theasa.org/ethics/guidelines.shtml</w:t>
        </w:r>
      </w:hyperlink>
      <w:r w:rsidRPr="5E4DECDF" w:rsidR="5E4DECDF">
        <w:rPr>
          <w:rFonts w:ascii="Arial" w:hAnsi="Arial" w:eastAsia="Arial" w:cs="Arial"/>
          <w:noProof w:val="0"/>
          <w:color w:val="1155CC"/>
          <w:sz w:val="28"/>
          <w:szCs w:val="28"/>
          <w:lang w:val="en-US"/>
        </w:rPr>
        <w:t xml:space="preserve"> [Accessed: 11/04/2019]</w:t>
      </w:r>
    </w:p>
    <w:p w:rsidR="5E4DECDF" w:rsidP="5E4DECDF" w:rsidRDefault="5E4DECDF" w14:paraId="1ADE2F5A" w14:textId="7E55FC97">
      <w:pPr>
        <w:spacing w:line="360" w:lineRule="auto"/>
      </w:pPr>
      <w:r w:rsidRPr="5E4DECDF" w:rsidR="5E4DECDF">
        <w:rPr>
          <w:rFonts w:ascii="Arial" w:hAnsi="Arial" w:eastAsia="Arial" w:cs="Arial"/>
          <w:noProof w:val="0"/>
          <w:sz w:val="28"/>
          <w:szCs w:val="28"/>
          <w:lang w:val="en-US"/>
        </w:rPr>
        <w:t>Attala, L. (2019), ‘‘I am Apple’: relationships of the flesh. Exploring the corporeal entanglements of eating plants in the Amazon’, In Attala, L. and Steel, L. Body Matters, Cardiff: University of Wales Press</w:t>
      </w:r>
    </w:p>
    <w:p w:rsidR="5E4DECDF" w:rsidP="5E4DECDF" w:rsidRDefault="5E4DECDF" w14:paraId="2354A3B1" w14:textId="11E5017B">
      <w:pPr>
        <w:spacing w:line="360" w:lineRule="auto"/>
      </w:pPr>
      <w:r w:rsidRPr="5E4DECDF" w:rsidR="5E4DECDF">
        <w:rPr>
          <w:rFonts w:ascii="Arial" w:hAnsi="Arial" w:eastAsia="Arial" w:cs="Arial"/>
          <w:noProof w:val="0"/>
          <w:color w:val="121212"/>
          <w:sz w:val="28"/>
          <w:szCs w:val="28"/>
          <w:lang w:val="en-US"/>
        </w:rPr>
        <w:t>Barad, K. (2003), ‘</w:t>
      </w:r>
      <w:proofErr w:type="spellStart"/>
      <w:r w:rsidRPr="5E4DECDF" w:rsidR="5E4DECDF">
        <w:rPr>
          <w:rFonts w:ascii="Arial" w:hAnsi="Arial" w:eastAsia="Arial" w:cs="Arial"/>
          <w:noProof w:val="0"/>
          <w:color w:val="121212"/>
          <w:sz w:val="28"/>
          <w:szCs w:val="28"/>
          <w:lang w:val="en-US"/>
        </w:rPr>
        <w:t>Posthumanist</w:t>
      </w:r>
      <w:proofErr w:type="spellEnd"/>
      <w:r w:rsidRPr="5E4DECDF" w:rsidR="5E4DECDF">
        <w:rPr>
          <w:rFonts w:ascii="Arial" w:hAnsi="Arial" w:eastAsia="Arial" w:cs="Arial"/>
          <w:noProof w:val="0"/>
          <w:color w:val="121212"/>
          <w:sz w:val="28"/>
          <w:szCs w:val="28"/>
          <w:lang w:val="en-US"/>
        </w:rPr>
        <w:t xml:space="preserve"> performativity: toward an understanding of how matter comes to matter’, </w:t>
      </w:r>
      <w:r w:rsidRPr="5E4DECDF" w:rsidR="5E4DECDF">
        <w:rPr>
          <w:rFonts w:ascii="Arial" w:hAnsi="Arial" w:eastAsia="Arial" w:cs="Arial"/>
          <w:i w:val="1"/>
          <w:iCs w:val="1"/>
          <w:noProof w:val="0"/>
          <w:color w:val="121212"/>
          <w:sz w:val="28"/>
          <w:szCs w:val="28"/>
          <w:lang w:val="en-US"/>
        </w:rPr>
        <w:t xml:space="preserve">Signs, </w:t>
      </w:r>
      <w:r w:rsidRPr="5E4DECDF" w:rsidR="5E4DECDF">
        <w:rPr>
          <w:rFonts w:ascii="Arial" w:hAnsi="Arial" w:eastAsia="Arial" w:cs="Arial"/>
          <w:noProof w:val="0"/>
          <w:color w:val="121212"/>
          <w:sz w:val="28"/>
          <w:szCs w:val="28"/>
          <w:lang w:val="en-US"/>
        </w:rPr>
        <w:t>Spring 2003, pp.801-831</w:t>
      </w:r>
    </w:p>
    <w:p w:rsidR="5E4DECDF" w:rsidP="5E4DECDF" w:rsidRDefault="5E4DECDF" w14:paraId="33501B08" w14:textId="300E7FD8">
      <w:pPr>
        <w:spacing w:line="360" w:lineRule="auto"/>
        <w:rPr>
          <w:rFonts w:ascii="Arial" w:hAnsi="Arial" w:eastAsia="Arial" w:cs="Arial"/>
          <w:noProof w:val="0"/>
          <w:color w:val="111111"/>
          <w:sz w:val="28"/>
          <w:szCs w:val="28"/>
          <w:lang w:val="en-US"/>
        </w:rPr>
      </w:pPr>
      <w:r w:rsidRPr="5E4DECDF" w:rsidR="5E4DECDF">
        <w:rPr>
          <w:rFonts w:ascii="Arial" w:hAnsi="Arial" w:eastAsia="Arial" w:cs="Arial"/>
          <w:noProof w:val="0"/>
          <w:color w:val="121212"/>
          <w:sz w:val="28"/>
          <w:szCs w:val="28"/>
          <w:lang w:val="en-US"/>
        </w:rPr>
        <w:t xml:space="preserve">Barad, K. (2007), </w:t>
      </w:r>
      <w:r w:rsidRPr="5E4DECDF" w:rsidR="5E4DECDF">
        <w:rPr>
          <w:rFonts w:ascii="Arial" w:hAnsi="Arial" w:eastAsia="Arial" w:cs="Arial"/>
          <w:i w:val="1"/>
          <w:iCs w:val="1"/>
          <w:noProof w:val="0"/>
          <w:color w:val="111111"/>
          <w:sz w:val="28"/>
          <w:szCs w:val="28"/>
          <w:lang w:val="en-US"/>
        </w:rPr>
        <w:t xml:space="preserve">Meeting the universe halfway: quantum physics and the entanglement of matter and meaning, </w:t>
      </w:r>
      <w:r w:rsidRPr="5E4DECDF" w:rsidR="5E4DECDF">
        <w:rPr>
          <w:rFonts w:ascii="Arial" w:hAnsi="Arial" w:eastAsia="Arial" w:cs="Arial"/>
          <w:noProof w:val="0"/>
          <w:color w:val="111111"/>
          <w:sz w:val="28"/>
          <w:szCs w:val="28"/>
          <w:lang w:val="en-US"/>
        </w:rPr>
        <w:t>London, Duke University Press</w:t>
      </w:r>
    </w:p>
    <w:p w:rsidR="5E4DECDF" w:rsidP="5E4DECDF" w:rsidRDefault="5E4DECDF" w14:paraId="35D0910F" w14:textId="49AD009B">
      <w:pPr>
        <w:spacing w:line="360" w:lineRule="auto"/>
      </w:pPr>
      <w:r w:rsidRPr="5E4DECDF" w:rsidR="5E4DECDF">
        <w:rPr>
          <w:rFonts w:ascii="Arial" w:hAnsi="Arial" w:eastAsia="Arial" w:cs="Arial"/>
          <w:noProof w:val="0"/>
          <w:sz w:val="28"/>
          <w:szCs w:val="28"/>
          <w:lang w:val="en-US"/>
        </w:rPr>
        <w:t>Bennett, J. (2004), ‘The force of things: steps toward an ecology of matter’</w:t>
      </w:r>
      <w:r w:rsidRPr="5E4DECDF" w:rsidR="5E4DECDF">
        <w:rPr>
          <w:rFonts w:ascii="Arial" w:hAnsi="Arial" w:eastAsia="Arial" w:cs="Arial"/>
          <w:i w:val="1"/>
          <w:iCs w:val="1"/>
          <w:noProof w:val="0"/>
          <w:sz w:val="28"/>
          <w:szCs w:val="28"/>
          <w:lang w:val="en-US"/>
        </w:rPr>
        <w:t>,</w:t>
      </w:r>
      <w:r w:rsidRPr="5E4DECDF" w:rsidR="5E4DECDF">
        <w:rPr>
          <w:rFonts w:ascii="Arial" w:hAnsi="Arial" w:eastAsia="Arial" w:cs="Arial"/>
          <w:noProof w:val="0"/>
          <w:sz w:val="28"/>
          <w:szCs w:val="28"/>
          <w:lang w:val="en-US"/>
        </w:rPr>
        <w:t xml:space="preserve"> </w:t>
      </w:r>
      <w:r w:rsidRPr="5E4DECDF" w:rsidR="5E4DECDF">
        <w:rPr>
          <w:rFonts w:ascii="Arial" w:hAnsi="Arial" w:eastAsia="Arial" w:cs="Arial"/>
          <w:i w:val="1"/>
          <w:iCs w:val="1"/>
          <w:noProof w:val="0"/>
          <w:sz w:val="28"/>
          <w:szCs w:val="28"/>
          <w:lang w:val="en-US"/>
        </w:rPr>
        <w:t xml:space="preserve">Political </w:t>
      </w:r>
      <w:r w:rsidRPr="5E4DECDF" w:rsidR="5E4DECDF">
        <w:rPr>
          <w:rFonts w:ascii="Arial" w:hAnsi="Arial" w:eastAsia="Arial" w:cs="Arial"/>
          <w:i w:val="1"/>
          <w:iCs w:val="1"/>
          <w:noProof w:val="0"/>
          <w:sz w:val="28"/>
          <w:szCs w:val="28"/>
          <w:lang w:val="en-US"/>
        </w:rPr>
        <w:t xml:space="preserve">theory, </w:t>
      </w:r>
      <w:r w:rsidRPr="5E4DECDF" w:rsidR="5E4DECDF">
        <w:rPr>
          <w:rFonts w:ascii="Arial" w:hAnsi="Arial" w:eastAsia="Arial" w:cs="Arial"/>
          <w:noProof w:val="0"/>
          <w:sz w:val="28"/>
          <w:szCs w:val="28"/>
          <w:lang w:val="en-US"/>
        </w:rPr>
        <w:t>vol.</w:t>
      </w:r>
      <w:r w:rsidRPr="5E4DECDF" w:rsidR="5E4DECDF">
        <w:rPr>
          <w:rFonts w:ascii="Arial" w:hAnsi="Arial" w:eastAsia="Arial" w:cs="Arial"/>
          <w:noProof w:val="0"/>
          <w:sz w:val="28"/>
          <w:szCs w:val="28"/>
          <w:lang w:val="en-US"/>
        </w:rPr>
        <w:t>32, no.3, pp.347-372</w:t>
      </w:r>
      <w:r w:rsidRPr="5E4DECDF" w:rsidR="5E4DECDF">
        <w:rPr>
          <w:rFonts w:ascii="Arial" w:hAnsi="Arial" w:eastAsia="Arial" w:cs="Arial"/>
          <w:i w:val="1"/>
          <w:iCs w:val="1"/>
          <w:noProof w:val="0"/>
          <w:sz w:val="28"/>
          <w:szCs w:val="28"/>
          <w:lang w:val="en-US"/>
        </w:rPr>
        <w:t xml:space="preserve"> </w:t>
      </w:r>
    </w:p>
    <w:p w:rsidR="5E4DECDF" w:rsidP="5E4DECDF" w:rsidRDefault="5E4DECDF" w14:paraId="17559989" w14:textId="6FED3C52">
      <w:pPr>
        <w:spacing w:line="360" w:lineRule="auto"/>
      </w:pPr>
      <w:r w:rsidRPr="5E4DECDF" w:rsidR="5E4DECDF">
        <w:rPr>
          <w:rFonts w:ascii="Arial" w:hAnsi="Arial" w:eastAsia="Arial" w:cs="Arial"/>
          <w:noProof w:val="0"/>
          <w:color w:val="111111"/>
          <w:sz w:val="28"/>
          <w:szCs w:val="28"/>
          <w:lang w:val="en-US"/>
        </w:rPr>
        <w:t xml:space="preserve">Butler, J. (1988), ‘Performative acts and gender constitution: an essay in phenomenology and feminist theory’, </w:t>
      </w:r>
      <w:r w:rsidRPr="5E4DECDF" w:rsidR="5E4DECDF">
        <w:rPr>
          <w:rFonts w:ascii="Arial" w:hAnsi="Arial" w:eastAsia="Arial" w:cs="Arial"/>
          <w:i w:val="1"/>
          <w:iCs w:val="1"/>
          <w:noProof w:val="0"/>
          <w:color w:val="111111"/>
          <w:sz w:val="28"/>
          <w:szCs w:val="28"/>
          <w:lang w:val="en-US"/>
        </w:rPr>
        <w:t xml:space="preserve">Theatre journal, </w:t>
      </w:r>
      <w:r w:rsidRPr="5E4DECDF" w:rsidR="5E4DECDF">
        <w:rPr>
          <w:rFonts w:ascii="Arial" w:hAnsi="Arial" w:eastAsia="Arial" w:cs="Arial"/>
          <w:noProof w:val="0"/>
          <w:color w:val="111111"/>
          <w:sz w:val="28"/>
          <w:szCs w:val="28"/>
          <w:lang w:val="en-US"/>
        </w:rPr>
        <w:t>vol.40, no.4, pp.519- 531</w:t>
      </w:r>
    </w:p>
    <w:p w:rsidR="5E4DECDF" w:rsidP="5E4DECDF" w:rsidRDefault="5E4DECDF" w14:paraId="63310457" w14:textId="4E728A2A">
      <w:pPr>
        <w:spacing w:line="360" w:lineRule="auto"/>
      </w:pPr>
      <w:r w:rsidRPr="5E4DECDF" w:rsidR="5E4DECDF">
        <w:rPr>
          <w:rFonts w:ascii="Arial" w:hAnsi="Arial" w:eastAsia="Arial" w:cs="Arial"/>
          <w:noProof w:val="0"/>
          <w:sz w:val="28"/>
          <w:szCs w:val="28"/>
          <w:lang w:val="en-US"/>
        </w:rPr>
        <w:t xml:space="preserve">Douglas, M. (1966), </w:t>
      </w:r>
      <w:r w:rsidRPr="5E4DECDF" w:rsidR="5E4DECDF">
        <w:rPr>
          <w:rFonts w:ascii="Arial" w:hAnsi="Arial" w:eastAsia="Arial" w:cs="Arial"/>
          <w:i w:val="1"/>
          <w:iCs w:val="1"/>
          <w:noProof w:val="0"/>
          <w:sz w:val="28"/>
          <w:szCs w:val="28"/>
          <w:lang w:val="en-US"/>
        </w:rPr>
        <w:t xml:space="preserve">Purity and danger, </w:t>
      </w:r>
      <w:r w:rsidRPr="5E4DECDF" w:rsidR="5E4DECDF">
        <w:rPr>
          <w:rFonts w:ascii="Arial" w:hAnsi="Arial" w:eastAsia="Arial" w:cs="Arial"/>
          <w:noProof w:val="0"/>
          <w:sz w:val="28"/>
          <w:szCs w:val="28"/>
          <w:lang w:val="en-US"/>
        </w:rPr>
        <w:t>London, Routledge</w:t>
      </w:r>
    </w:p>
    <w:p w:rsidR="5E4DECDF" w:rsidP="5E4DECDF" w:rsidRDefault="5E4DECDF" w14:paraId="6BA08FF6" w14:textId="7A33606F">
      <w:pPr>
        <w:spacing w:line="360" w:lineRule="auto"/>
      </w:pPr>
      <w:r w:rsidRPr="5E4DECDF" w:rsidR="5E4DECDF">
        <w:rPr>
          <w:rFonts w:ascii="Arial" w:hAnsi="Arial" w:eastAsia="Arial" w:cs="Arial"/>
          <w:noProof w:val="0"/>
          <w:sz w:val="28"/>
          <w:szCs w:val="28"/>
          <w:lang w:val="en-US"/>
        </w:rPr>
        <w:t xml:space="preserve">Haynes, N. (2016), </w:t>
      </w:r>
      <w:r w:rsidRPr="5E4DECDF" w:rsidR="5E4DECDF">
        <w:rPr>
          <w:rFonts w:ascii="Arial" w:hAnsi="Arial" w:eastAsia="Arial" w:cs="Arial"/>
          <w:i w:val="1"/>
          <w:iCs w:val="1"/>
          <w:noProof w:val="0"/>
          <w:sz w:val="28"/>
          <w:szCs w:val="28"/>
          <w:lang w:val="en-US"/>
        </w:rPr>
        <w:t xml:space="preserve">Social media in Northern Chile, </w:t>
      </w:r>
      <w:r w:rsidRPr="5E4DECDF" w:rsidR="5E4DECDF">
        <w:rPr>
          <w:rFonts w:ascii="Arial" w:hAnsi="Arial" w:eastAsia="Arial" w:cs="Arial"/>
          <w:noProof w:val="0"/>
          <w:sz w:val="28"/>
          <w:szCs w:val="28"/>
          <w:lang w:val="en-US"/>
        </w:rPr>
        <w:t>London, UCL Press</w:t>
      </w:r>
    </w:p>
    <w:p w:rsidR="5E4DECDF" w:rsidP="5E4DECDF" w:rsidRDefault="5E4DECDF" w14:paraId="5C0824F1" w14:textId="52F02349">
      <w:pPr>
        <w:spacing w:line="360" w:lineRule="auto"/>
      </w:pPr>
      <w:r w:rsidRPr="5E4DECDF" w:rsidR="5E4DECDF">
        <w:rPr>
          <w:rFonts w:ascii="Arial" w:hAnsi="Arial" w:eastAsia="Arial" w:cs="Arial"/>
          <w:noProof w:val="0"/>
          <w:sz w:val="28"/>
          <w:szCs w:val="28"/>
          <w:lang w:val="en-US"/>
        </w:rPr>
        <w:t xml:space="preserve">Ingold, T. (2010), ‘Bringing things to life: creative entanglements in a world of materials’, </w:t>
      </w:r>
      <w:r w:rsidRPr="5E4DECDF" w:rsidR="5E4DECDF">
        <w:rPr>
          <w:rFonts w:ascii="Arial" w:hAnsi="Arial" w:eastAsia="Arial" w:cs="Arial"/>
          <w:i w:val="1"/>
          <w:iCs w:val="1"/>
          <w:noProof w:val="0"/>
          <w:sz w:val="28"/>
          <w:szCs w:val="28"/>
          <w:lang w:val="en-US"/>
        </w:rPr>
        <w:t xml:space="preserve">ESRC National Centre for Research Methods NCRM Working Paper Series, </w:t>
      </w:r>
      <w:r w:rsidRPr="5E4DECDF" w:rsidR="5E4DECDF">
        <w:rPr>
          <w:rFonts w:ascii="Arial" w:hAnsi="Arial" w:eastAsia="Arial" w:cs="Arial"/>
          <w:noProof w:val="0"/>
          <w:sz w:val="28"/>
          <w:szCs w:val="28"/>
          <w:lang w:val="en-US"/>
        </w:rPr>
        <w:t>No.15</w:t>
      </w:r>
    </w:p>
    <w:p w:rsidR="5E4DECDF" w:rsidP="5E4DECDF" w:rsidRDefault="5E4DECDF" w14:paraId="16230C12" w14:textId="48C91148">
      <w:pPr>
        <w:spacing w:line="360" w:lineRule="auto"/>
      </w:pPr>
      <w:r w:rsidRPr="5E4DECDF" w:rsidR="5E4DECDF">
        <w:rPr>
          <w:rFonts w:ascii="Arial" w:hAnsi="Arial" w:eastAsia="Arial" w:cs="Arial"/>
          <w:noProof w:val="0"/>
          <w:sz w:val="28"/>
          <w:szCs w:val="28"/>
          <w:lang w:val="en-US"/>
        </w:rPr>
        <w:t xml:space="preserve">Ingold, T., (2014), ‘That’s enough about ethnography!’, </w:t>
      </w:r>
      <w:proofErr w:type="spellStart"/>
      <w:r w:rsidRPr="5E4DECDF" w:rsidR="5E4DECDF">
        <w:rPr>
          <w:rFonts w:ascii="Arial" w:hAnsi="Arial" w:eastAsia="Arial" w:cs="Arial"/>
          <w:i w:val="1"/>
          <w:iCs w:val="1"/>
          <w:noProof w:val="0"/>
          <w:sz w:val="28"/>
          <w:szCs w:val="28"/>
          <w:lang w:val="en-US"/>
        </w:rPr>
        <w:t>Hau</w:t>
      </w:r>
      <w:proofErr w:type="spellEnd"/>
      <w:r w:rsidRPr="5E4DECDF" w:rsidR="5E4DECDF">
        <w:rPr>
          <w:rFonts w:ascii="Arial" w:hAnsi="Arial" w:eastAsia="Arial" w:cs="Arial"/>
          <w:i w:val="1"/>
          <w:iCs w:val="1"/>
          <w:noProof w:val="0"/>
          <w:sz w:val="28"/>
          <w:szCs w:val="28"/>
          <w:lang w:val="en-US"/>
        </w:rPr>
        <w:t xml:space="preserve">: journal of ethnographic theory, </w:t>
      </w:r>
      <w:r w:rsidRPr="5E4DECDF" w:rsidR="5E4DECDF">
        <w:rPr>
          <w:rFonts w:ascii="Arial" w:hAnsi="Arial" w:eastAsia="Arial" w:cs="Arial"/>
          <w:noProof w:val="0"/>
          <w:sz w:val="28"/>
          <w:szCs w:val="28"/>
          <w:lang w:val="en-US"/>
        </w:rPr>
        <w:t>vol.4, no.1, pp.383-395</w:t>
      </w:r>
    </w:p>
    <w:p w:rsidR="5E4DECDF" w:rsidP="5E4DECDF" w:rsidRDefault="5E4DECDF" w14:paraId="54DEE66D" w14:textId="3E3999B4">
      <w:pPr>
        <w:spacing w:line="360" w:lineRule="auto"/>
      </w:pPr>
      <w:r w:rsidRPr="5E4DECDF" w:rsidR="5E4DECDF">
        <w:rPr>
          <w:rFonts w:ascii="Arial" w:hAnsi="Arial" w:eastAsia="Arial" w:cs="Arial"/>
          <w:noProof w:val="0"/>
          <w:sz w:val="28"/>
          <w:szCs w:val="28"/>
          <w:lang w:val="en-US"/>
        </w:rPr>
        <w:t xml:space="preserve">Grady, J. (2019), </w:t>
      </w:r>
      <w:r w:rsidRPr="5E4DECDF" w:rsidR="5E4DECDF">
        <w:rPr>
          <w:rFonts w:ascii="Arial" w:hAnsi="Arial" w:eastAsia="Arial" w:cs="Arial"/>
          <w:i w:val="1"/>
          <w:iCs w:val="1"/>
          <w:noProof w:val="0"/>
          <w:sz w:val="28"/>
          <w:szCs w:val="28"/>
          <w:lang w:val="en-US"/>
        </w:rPr>
        <w:t xml:space="preserve">Field notes, </w:t>
      </w:r>
      <w:r w:rsidRPr="5E4DECDF" w:rsidR="5E4DECDF">
        <w:rPr>
          <w:rFonts w:ascii="Arial" w:hAnsi="Arial" w:eastAsia="Arial" w:cs="Arial"/>
          <w:noProof w:val="0"/>
          <w:sz w:val="28"/>
          <w:szCs w:val="28"/>
          <w:lang w:val="en-US"/>
        </w:rPr>
        <w:t>Unpublished research notes, UWTSD</w:t>
      </w:r>
    </w:p>
    <w:p w:rsidR="5E4DECDF" w:rsidP="5E4DECDF" w:rsidRDefault="5E4DECDF" w14:paraId="107A2EE1" w14:textId="5FEEFF2B">
      <w:pPr>
        <w:spacing w:line="360" w:lineRule="auto"/>
      </w:pPr>
      <w:r w:rsidRPr="5E4DECDF" w:rsidR="5E4DECDF">
        <w:rPr>
          <w:rFonts w:ascii="Arial" w:hAnsi="Arial" w:eastAsia="Arial" w:cs="Arial"/>
          <w:noProof w:val="0"/>
          <w:sz w:val="28"/>
          <w:szCs w:val="28"/>
          <w:lang w:val="en-US"/>
        </w:rPr>
        <w:t xml:space="preserve">Grady, J. (2019), </w:t>
      </w:r>
      <w:r w:rsidRPr="5E4DECDF" w:rsidR="5E4DECDF">
        <w:rPr>
          <w:rFonts w:ascii="Arial" w:hAnsi="Arial" w:eastAsia="Arial" w:cs="Arial"/>
          <w:i w:val="1"/>
          <w:iCs w:val="1"/>
          <w:noProof w:val="0"/>
          <w:sz w:val="28"/>
          <w:szCs w:val="28"/>
          <w:lang w:val="en-US"/>
        </w:rPr>
        <w:t xml:space="preserve">Reflexive journal for a visit to Skanda Vala, </w:t>
      </w:r>
      <w:r w:rsidRPr="5E4DECDF" w:rsidR="5E4DECDF">
        <w:rPr>
          <w:rFonts w:ascii="Arial" w:hAnsi="Arial" w:eastAsia="Arial" w:cs="Arial"/>
          <w:noProof w:val="0"/>
          <w:sz w:val="28"/>
          <w:szCs w:val="28"/>
          <w:lang w:val="en-US"/>
        </w:rPr>
        <w:t xml:space="preserve">Unpublished research journal, UWTSD </w:t>
      </w:r>
    </w:p>
    <w:p w:rsidR="5E4DECDF" w:rsidP="5E4DECDF" w:rsidRDefault="5E4DECDF" w14:paraId="5E42826A" w14:textId="5C0CBEF0">
      <w:pPr>
        <w:spacing w:line="360" w:lineRule="auto"/>
        <w:rPr>
          <w:rFonts w:ascii="Arial" w:hAnsi="Arial" w:eastAsia="Arial" w:cs="Arial"/>
          <w:noProof w:val="0"/>
          <w:sz w:val="28"/>
          <w:szCs w:val="28"/>
          <w:lang w:val="en-US"/>
        </w:rPr>
      </w:pPr>
      <w:r w:rsidRPr="5E4DECDF" w:rsidR="5E4DECDF">
        <w:rPr>
          <w:rFonts w:ascii="Arial" w:hAnsi="Arial" w:eastAsia="Arial" w:cs="Arial"/>
          <w:noProof w:val="0"/>
          <w:sz w:val="28"/>
          <w:szCs w:val="28"/>
          <w:lang w:val="en-US"/>
        </w:rPr>
        <w:t xml:space="preserve">Latour, B., (2005), </w:t>
      </w:r>
      <w:r w:rsidRPr="5E4DECDF" w:rsidR="5E4DECDF">
        <w:rPr>
          <w:rFonts w:ascii="Arial" w:hAnsi="Arial" w:eastAsia="Arial" w:cs="Arial"/>
          <w:i w:val="1"/>
          <w:iCs w:val="1"/>
          <w:noProof w:val="0"/>
          <w:sz w:val="28"/>
          <w:szCs w:val="28"/>
          <w:lang w:val="en-US"/>
        </w:rPr>
        <w:t xml:space="preserve">Reassembling the social: an introduction to actor network theory, </w:t>
      </w:r>
      <w:r w:rsidRPr="5E4DECDF" w:rsidR="5E4DECDF">
        <w:rPr>
          <w:rFonts w:ascii="Arial" w:hAnsi="Arial" w:eastAsia="Arial" w:cs="Arial"/>
          <w:noProof w:val="0"/>
          <w:sz w:val="28"/>
          <w:szCs w:val="28"/>
          <w:lang w:val="en-US"/>
        </w:rPr>
        <w:t>Oxford, Oxford university press</w:t>
      </w:r>
    </w:p>
    <w:p w:rsidR="5E4DECDF" w:rsidP="5E4DECDF" w:rsidRDefault="5E4DECDF" w14:paraId="3478AB96" w14:textId="42A9AD40">
      <w:pPr>
        <w:spacing w:line="360" w:lineRule="auto"/>
      </w:pPr>
      <w:r w:rsidRPr="5E4DECDF" w:rsidR="5E4DECDF">
        <w:rPr>
          <w:rFonts w:ascii="Arial" w:hAnsi="Arial" w:eastAsia="Arial" w:cs="Arial"/>
          <w:noProof w:val="0"/>
          <w:sz w:val="28"/>
          <w:szCs w:val="28"/>
          <w:lang w:val="en-US"/>
        </w:rPr>
        <w:t xml:space="preserve">Lave, J. (1988), </w:t>
      </w:r>
      <w:r w:rsidRPr="5E4DECDF" w:rsidR="5E4DECDF">
        <w:rPr>
          <w:rFonts w:ascii="Arial" w:hAnsi="Arial" w:eastAsia="Arial" w:cs="Arial"/>
          <w:i w:val="1"/>
          <w:iCs w:val="1"/>
          <w:noProof w:val="0"/>
          <w:sz w:val="28"/>
          <w:szCs w:val="28"/>
          <w:lang w:val="en-US"/>
        </w:rPr>
        <w:t>Cognition in practice</w:t>
      </w:r>
      <w:r w:rsidRPr="5E4DECDF" w:rsidR="5E4DECDF">
        <w:rPr>
          <w:rFonts w:ascii="Arial" w:hAnsi="Arial" w:eastAsia="Arial" w:cs="Arial"/>
          <w:noProof w:val="0"/>
          <w:sz w:val="28"/>
          <w:szCs w:val="28"/>
          <w:lang w:val="en-US"/>
        </w:rPr>
        <w:t>, Cambridge, Cambridge University Press.</w:t>
      </w:r>
    </w:p>
    <w:p w:rsidR="5E4DECDF" w:rsidP="5E4DECDF" w:rsidRDefault="5E4DECDF" w14:paraId="528F9A8F" w14:textId="69A394B4">
      <w:pPr>
        <w:spacing w:line="360" w:lineRule="auto"/>
      </w:pPr>
      <w:r w:rsidRPr="5E4DECDF" w:rsidR="5E4DECDF">
        <w:rPr>
          <w:rFonts w:ascii="Arial" w:hAnsi="Arial" w:eastAsia="Arial" w:cs="Arial"/>
          <w:noProof w:val="0"/>
          <w:sz w:val="28"/>
          <w:szCs w:val="28"/>
          <w:lang w:val="en-US"/>
        </w:rPr>
        <w:t xml:space="preserve">Lave, J. and Wenger, E., (1991), </w:t>
      </w:r>
      <w:r w:rsidRPr="5E4DECDF" w:rsidR="5E4DECDF">
        <w:rPr>
          <w:rFonts w:ascii="Arial" w:hAnsi="Arial" w:eastAsia="Arial" w:cs="Arial"/>
          <w:i w:val="1"/>
          <w:iCs w:val="1"/>
          <w:noProof w:val="0"/>
          <w:sz w:val="28"/>
          <w:szCs w:val="28"/>
          <w:lang w:val="en-US"/>
        </w:rPr>
        <w:t xml:space="preserve">Situated learning: legitimate peripheral participation, </w:t>
      </w:r>
      <w:r w:rsidRPr="5E4DECDF" w:rsidR="5E4DECDF">
        <w:rPr>
          <w:rFonts w:ascii="Arial" w:hAnsi="Arial" w:eastAsia="Arial" w:cs="Arial"/>
          <w:noProof w:val="0"/>
          <w:sz w:val="28"/>
          <w:szCs w:val="28"/>
          <w:lang w:val="en-US"/>
        </w:rPr>
        <w:t>New York, Cambridge University Press</w:t>
      </w:r>
    </w:p>
    <w:p w:rsidR="5E4DECDF" w:rsidP="5E4DECDF" w:rsidRDefault="5E4DECDF" w14:paraId="010CFE46" w14:textId="18CD3C5F">
      <w:pPr>
        <w:spacing w:line="360" w:lineRule="auto"/>
      </w:pPr>
      <w:r w:rsidRPr="5E4DECDF" w:rsidR="5E4DECDF">
        <w:rPr>
          <w:rFonts w:ascii="Arial" w:hAnsi="Arial" w:eastAsia="Arial" w:cs="Arial"/>
          <w:noProof w:val="0"/>
          <w:sz w:val="28"/>
          <w:szCs w:val="28"/>
          <w:lang w:val="en-US"/>
        </w:rPr>
        <w:t>Morton, T. (2015), ‘Introducing the idea of “</w:t>
      </w:r>
      <w:proofErr w:type="spellStart"/>
      <w:r w:rsidRPr="5E4DECDF" w:rsidR="5E4DECDF">
        <w:rPr>
          <w:rFonts w:ascii="Arial" w:hAnsi="Arial" w:eastAsia="Arial" w:cs="Arial"/>
          <w:noProof w:val="0"/>
          <w:sz w:val="28"/>
          <w:szCs w:val="28"/>
          <w:lang w:val="en-US"/>
        </w:rPr>
        <w:t>hyperobjects</w:t>
      </w:r>
      <w:proofErr w:type="spellEnd"/>
      <w:r w:rsidRPr="5E4DECDF" w:rsidR="5E4DECDF">
        <w:rPr>
          <w:rFonts w:ascii="Arial" w:hAnsi="Arial" w:eastAsia="Arial" w:cs="Arial"/>
          <w:noProof w:val="0"/>
          <w:sz w:val="28"/>
          <w:szCs w:val="28"/>
          <w:lang w:val="en-US"/>
        </w:rPr>
        <w:t xml:space="preserve">’, </w:t>
      </w:r>
      <w:r w:rsidRPr="5E4DECDF" w:rsidR="5E4DECDF">
        <w:rPr>
          <w:rFonts w:ascii="Arial" w:hAnsi="Arial" w:eastAsia="Arial" w:cs="Arial"/>
          <w:i w:val="1"/>
          <w:iCs w:val="1"/>
          <w:noProof w:val="0"/>
          <w:sz w:val="28"/>
          <w:szCs w:val="28"/>
          <w:lang w:val="en-US"/>
        </w:rPr>
        <w:t xml:space="preserve">High Country News, </w:t>
      </w:r>
      <w:r w:rsidRPr="5E4DECDF" w:rsidR="5E4DECDF">
        <w:rPr>
          <w:rFonts w:ascii="Arial" w:hAnsi="Arial" w:eastAsia="Arial" w:cs="Arial"/>
          <w:noProof w:val="0"/>
          <w:sz w:val="28"/>
          <w:szCs w:val="28"/>
          <w:lang w:val="en-US"/>
        </w:rPr>
        <w:t xml:space="preserve">[Online], Available at: </w:t>
      </w:r>
      <w:hyperlink r:id="Raf8614cc7a2d4c7e">
        <w:r w:rsidRPr="5E4DECDF" w:rsidR="5E4DECDF">
          <w:rPr>
            <w:rStyle w:val="Hyperlink"/>
            <w:rFonts w:ascii="Arial" w:hAnsi="Arial" w:eastAsia="Arial" w:cs="Arial"/>
            <w:noProof w:val="0"/>
            <w:color w:val="1155CC"/>
            <w:sz w:val="28"/>
            <w:szCs w:val="28"/>
            <w:lang w:val="en-US"/>
          </w:rPr>
          <w:t>https://www.hcn.org/issues/47.1/introducing-the-idea-of-hyperobjects</w:t>
        </w:r>
      </w:hyperlink>
      <w:r w:rsidRPr="5E4DECDF" w:rsidR="5E4DECDF">
        <w:rPr>
          <w:rFonts w:ascii="Arial" w:hAnsi="Arial" w:eastAsia="Arial" w:cs="Arial"/>
          <w:noProof w:val="0"/>
          <w:color w:val="1155CC"/>
          <w:sz w:val="28"/>
          <w:szCs w:val="28"/>
          <w:lang w:val="en-US"/>
        </w:rPr>
        <w:t xml:space="preserve"> [Accessed: 12/04/2019]</w:t>
      </w:r>
    </w:p>
    <w:p w:rsidR="5E4DECDF" w:rsidP="5E4DECDF" w:rsidRDefault="5E4DECDF" w14:paraId="6B5059F0" w14:textId="7CC72465">
      <w:pPr>
        <w:spacing w:line="360" w:lineRule="auto"/>
      </w:pPr>
      <w:proofErr w:type="spellStart"/>
      <w:r w:rsidRPr="5E4DECDF" w:rsidR="5E4DECDF">
        <w:rPr>
          <w:rFonts w:ascii="Arial" w:hAnsi="Arial" w:eastAsia="Arial" w:cs="Arial"/>
          <w:noProof w:val="0"/>
          <w:sz w:val="28"/>
          <w:szCs w:val="28"/>
          <w:lang w:val="en-US"/>
        </w:rPr>
        <w:t>Okely</w:t>
      </w:r>
      <w:proofErr w:type="spellEnd"/>
      <w:r w:rsidRPr="5E4DECDF" w:rsidR="5E4DECDF">
        <w:rPr>
          <w:rFonts w:ascii="Arial" w:hAnsi="Arial" w:eastAsia="Arial" w:cs="Arial"/>
          <w:noProof w:val="0"/>
          <w:sz w:val="28"/>
          <w:szCs w:val="28"/>
          <w:lang w:val="en-US"/>
        </w:rPr>
        <w:t xml:space="preserve">, J. (1983), </w:t>
      </w:r>
      <w:r w:rsidRPr="5E4DECDF" w:rsidR="5E4DECDF">
        <w:rPr>
          <w:rFonts w:ascii="Arial" w:hAnsi="Arial" w:eastAsia="Arial" w:cs="Arial"/>
          <w:i w:val="1"/>
          <w:iCs w:val="1"/>
          <w:noProof w:val="0"/>
          <w:sz w:val="28"/>
          <w:szCs w:val="28"/>
          <w:lang w:val="en-US"/>
        </w:rPr>
        <w:t xml:space="preserve">The </w:t>
      </w:r>
      <w:proofErr w:type="spellStart"/>
      <w:r w:rsidRPr="5E4DECDF" w:rsidR="5E4DECDF">
        <w:rPr>
          <w:rFonts w:ascii="Arial" w:hAnsi="Arial" w:eastAsia="Arial" w:cs="Arial"/>
          <w:i w:val="1"/>
          <w:iCs w:val="1"/>
          <w:noProof w:val="0"/>
          <w:sz w:val="28"/>
          <w:szCs w:val="28"/>
          <w:lang w:val="en-US"/>
        </w:rPr>
        <w:t>Traveller</w:t>
      </w:r>
      <w:proofErr w:type="spellEnd"/>
      <w:r w:rsidRPr="5E4DECDF" w:rsidR="5E4DECDF">
        <w:rPr>
          <w:rFonts w:ascii="Arial" w:hAnsi="Arial" w:eastAsia="Arial" w:cs="Arial"/>
          <w:i w:val="1"/>
          <w:iCs w:val="1"/>
          <w:noProof w:val="0"/>
          <w:sz w:val="28"/>
          <w:szCs w:val="28"/>
          <w:lang w:val="en-US"/>
        </w:rPr>
        <w:t>-Gypsies,</w:t>
      </w:r>
      <w:r w:rsidRPr="5E4DECDF" w:rsidR="5E4DECDF">
        <w:rPr>
          <w:rFonts w:ascii="Arial" w:hAnsi="Arial" w:eastAsia="Arial" w:cs="Arial"/>
          <w:noProof w:val="0"/>
          <w:sz w:val="28"/>
          <w:szCs w:val="28"/>
          <w:lang w:val="en-US"/>
        </w:rPr>
        <w:t xml:space="preserve"> Cambridge: Cambridge University Press</w:t>
      </w:r>
    </w:p>
    <w:p w:rsidR="5E4DECDF" w:rsidP="5E4DECDF" w:rsidRDefault="5E4DECDF" w14:paraId="41C62F26" w14:textId="3B1C000F">
      <w:pPr>
        <w:spacing w:line="360" w:lineRule="auto"/>
      </w:pPr>
      <w:proofErr w:type="spellStart"/>
      <w:r w:rsidRPr="5E4DECDF" w:rsidR="5E4DECDF">
        <w:rPr>
          <w:rFonts w:ascii="Arial" w:hAnsi="Arial" w:eastAsia="Arial" w:cs="Arial"/>
          <w:noProof w:val="0"/>
          <w:sz w:val="28"/>
          <w:szCs w:val="28"/>
          <w:lang w:val="en-US"/>
        </w:rPr>
        <w:t>Ortlipp</w:t>
      </w:r>
      <w:proofErr w:type="spellEnd"/>
      <w:r w:rsidRPr="5E4DECDF" w:rsidR="5E4DECDF">
        <w:rPr>
          <w:rFonts w:ascii="Arial" w:hAnsi="Arial" w:eastAsia="Arial" w:cs="Arial"/>
          <w:noProof w:val="0"/>
          <w:sz w:val="28"/>
          <w:szCs w:val="28"/>
          <w:lang w:val="en-US"/>
        </w:rPr>
        <w:t xml:space="preserve">, M. (2008), ‘Keeping and using reflective journals in the qualitative research process’, </w:t>
      </w:r>
      <w:r w:rsidRPr="5E4DECDF" w:rsidR="5E4DECDF">
        <w:rPr>
          <w:rFonts w:ascii="Arial" w:hAnsi="Arial" w:eastAsia="Arial" w:cs="Arial"/>
          <w:i w:val="1"/>
          <w:iCs w:val="1"/>
          <w:noProof w:val="0"/>
          <w:sz w:val="28"/>
          <w:szCs w:val="28"/>
          <w:lang w:val="en-US"/>
        </w:rPr>
        <w:t xml:space="preserve">The qualitative report, </w:t>
      </w:r>
      <w:r w:rsidRPr="5E4DECDF" w:rsidR="5E4DECDF">
        <w:rPr>
          <w:rFonts w:ascii="Arial" w:hAnsi="Arial" w:eastAsia="Arial" w:cs="Arial"/>
          <w:noProof w:val="0"/>
          <w:sz w:val="28"/>
          <w:szCs w:val="28"/>
          <w:lang w:val="en-US"/>
        </w:rPr>
        <w:t>vol.13, no.4, pp.695-705</w:t>
      </w:r>
    </w:p>
    <w:p w:rsidR="5E4DECDF" w:rsidP="5E4DECDF" w:rsidRDefault="5E4DECDF" w14:paraId="6D2B7207" w14:textId="13CA7D58">
      <w:pPr>
        <w:spacing w:line="360" w:lineRule="auto"/>
      </w:pPr>
      <w:r w:rsidRPr="5E4DECDF" w:rsidR="5E4DECDF">
        <w:rPr>
          <w:rFonts w:ascii="Arial" w:hAnsi="Arial" w:eastAsia="Arial" w:cs="Arial"/>
          <w:noProof w:val="0"/>
          <w:sz w:val="28"/>
          <w:szCs w:val="28"/>
          <w:lang w:val="en-US"/>
        </w:rPr>
        <w:t xml:space="preserve">Peterson, L.C. and Wilson, S.M., (2002), ‘The anthropology of online communities’, </w:t>
      </w:r>
      <w:r w:rsidRPr="5E4DECDF" w:rsidR="5E4DECDF">
        <w:rPr>
          <w:rFonts w:ascii="Arial" w:hAnsi="Arial" w:eastAsia="Arial" w:cs="Arial"/>
          <w:i w:val="1"/>
          <w:iCs w:val="1"/>
          <w:noProof w:val="0"/>
          <w:sz w:val="28"/>
          <w:szCs w:val="28"/>
          <w:lang w:val="en-US"/>
        </w:rPr>
        <w:t xml:space="preserve">Annual review of anthropology, </w:t>
      </w:r>
      <w:r w:rsidRPr="5E4DECDF" w:rsidR="5E4DECDF">
        <w:rPr>
          <w:rFonts w:ascii="Arial" w:hAnsi="Arial" w:eastAsia="Arial" w:cs="Arial"/>
          <w:noProof w:val="0"/>
          <w:sz w:val="28"/>
          <w:szCs w:val="28"/>
          <w:lang w:val="en-US"/>
        </w:rPr>
        <w:t>Vol.31, pp.449-467</w:t>
      </w:r>
    </w:p>
    <w:p w:rsidR="5E4DECDF" w:rsidP="5E4DECDF" w:rsidRDefault="5E4DECDF" w14:paraId="5AB1988B" w14:textId="29A106CF">
      <w:pPr>
        <w:spacing w:line="360" w:lineRule="auto"/>
      </w:pPr>
      <w:r w:rsidRPr="5E4DECDF" w:rsidR="5E4DECDF">
        <w:rPr>
          <w:rFonts w:ascii="Arial" w:hAnsi="Arial" w:eastAsia="Arial" w:cs="Arial"/>
          <w:noProof w:val="0"/>
          <w:sz w:val="28"/>
          <w:szCs w:val="28"/>
          <w:lang w:val="en-US"/>
        </w:rPr>
        <w:t xml:space="preserve">Skanda Vale, (n.d.), </w:t>
      </w:r>
      <w:r w:rsidRPr="5E4DECDF" w:rsidR="5E4DECDF">
        <w:rPr>
          <w:rFonts w:ascii="Arial" w:hAnsi="Arial" w:eastAsia="Arial" w:cs="Arial"/>
          <w:i w:val="1"/>
          <w:iCs w:val="1"/>
          <w:noProof w:val="0"/>
          <w:sz w:val="28"/>
          <w:szCs w:val="28"/>
          <w:lang w:val="en-US"/>
        </w:rPr>
        <w:t xml:space="preserve">Our history, </w:t>
      </w:r>
      <w:r w:rsidRPr="5E4DECDF" w:rsidR="5E4DECDF">
        <w:rPr>
          <w:rFonts w:ascii="Arial" w:hAnsi="Arial" w:eastAsia="Arial" w:cs="Arial"/>
          <w:noProof w:val="0"/>
          <w:sz w:val="28"/>
          <w:szCs w:val="28"/>
          <w:lang w:val="en-US"/>
        </w:rPr>
        <w:t xml:space="preserve">[online], Available at: </w:t>
      </w:r>
      <w:hyperlink r:id="R63f952bd2ce84855">
        <w:r w:rsidRPr="5E4DECDF" w:rsidR="5E4DECDF">
          <w:rPr>
            <w:rStyle w:val="Hyperlink"/>
            <w:rFonts w:ascii="Arial" w:hAnsi="Arial" w:eastAsia="Arial" w:cs="Arial"/>
            <w:noProof w:val="0"/>
            <w:color w:val="1155CC"/>
            <w:sz w:val="28"/>
            <w:szCs w:val="28"/>
            <w:lang w:val="en-US"/>
          </w:rPr>
          <w:t>https://www.skandavale.org/history/</w:t>
        </w:r>
      </w:hyperlink>
      <w:r w:rsidRPr="5E4DECDF" w:rsidR="5E4DECDF">
        <w:rPr>
          <w:rFonts w:ascii="Arial" w:hAnsi="Arial" w:eastAsia="Arial" w:cs="Arial"/>
          <w:noProof w:val="0"/>
          <w:color w:val="1155CC"/>
          <w:sz w:val="28"/>
          <w:szCs w:val="28"/>
          <w:lang w:val="en-US"/>
        </w:rPr>
        <w:t xml:space="preserve"> [Accessed: 05/03/2019]</w:t>
      </w:r>
    </w:p>
    <w:p w:rsidR="5E4DECDF" w:rsidP="5E4DECDF" w:rsidRDefault="5E4DECDF" w14:paraId="7F0F30C9" w14:textId="2543B9F1">
      <w:pPr>
        <w:spacing w:line="360" w:lineRule="auto"/>
      </w:pPr>
      <w:r w:rsidRPr="5E4DECDF" w:rsidR="5E4DECDF">
        <w:rPr>
          <w:rFonts w:ascii="Arial" w:hAnsi="Arial" w:eastAsia="Arial" w:cs="Arial"/>
          <w:noProof w:val="0"/>
          <w:sz w:val="28"/>
          <w:szCs w:val="28"/>
          <w:lang w:val="en-US"/>
        </w:rPr>
        <w:t xml:space="preserve">Spradley, J. (1979), </w:t>
      </w:r>
      <w:r w:rsidRPr="5E4DECDF" w:rsidR="5E4DECDF">
        <w:rPr>
          <w:rFonts w:ascii="Arial" w:hAnsi="Arial" w:eastAsia="Arial" w:cs="Arial"/>
          <w:i w:val="1"/>
          <w:iCs w:val="1"/>
          <w:noProof w:val="0"/>
          <w:sz w:val="28"/>
          <w:szCs w:val="28"/>
          <w:lang w:val="en-US"/>
        </w:rPr>
        <w:t xml:space="preserve">The ethnographic interview, </w:t>
      </w:r>
      <w:r w:rsidRPr="5E4DECDF" w:rsidR="5E4DECDF">
        <w:rPr>
          <w:rFonts w:ascii="Arial" w:hAnsi="Arial" w:eastAsia="Arial" w:cs="Arial"/>
          <w:noProof w:val="0"/>
          <w:sz w:val="28"/>
          <w:szCs w:val="28"/>
          <w:lang w:val="en-US"/>
        </w:rPr>
        <w:t>New York, Holt, Rinehart and Winston</w:t>
      </w:r>
    </w:p>
    <w:p w:rsidR="5E4DECDF" w:rsidP="5E4DECDF" w:rsidRDefault="5E4DECDF" w14:paraId="7051E523" w14:textId="37F4DB7F">
      <w:pPr>
        <w:spacing w:line="360" w:lineRule="auto"/>
      </w:pPr>
      <w:r w:rsidRPr="5E4DECDF" w:rsidR="5E4DECDF">
        <w:rPr>
          <w:rFonts w:ascii="Arial" w:hAnsi="Arial" w:eastAsia="Arial" w:cs="Arial"/>
          <w:noProof w:val="0"/>
          <w:sz w:val="28"/>
          <w:szCs w:val="28"/>
          <w:lang w:val="en-US"/>
        </w:rPr>
        <w:t xml:space="preserve">Taylor, M. and Vaughan, A., (2018), ‘Overwhelmed by climate change? Here’s what you can do’, </w:t>
      </w:r>
      <w:r w:rsidRPr="5E4DECDF" w:rsidR="5E4DECDF">
        <w:rPr>
          <w:rFonts w:ascii="Arial" w:hAnsi="Arial" w:eastAsia="Arial" w:cs="Arial"/>
          <w:i w:val="1"/>
          <w:iCs w:val="1"/>
          <w:noProof w:val="0"/>
          <w:sz w:val="28"/>
          <w:szCs w:val="28"/>
          <w:lang w:val="en-US"/>
        </w:rPr>
        <w:t xml:space="preserve">The Guardian, </w:t>
      </w:r>
      <w:r w:rsidRPr="5E4DECDF" w:rsidR="5E4DECDF">
        <w:rPr>
          <w:rFonts w:ascii="Arial" w:hAnsi="Arial" w:eastAsia="Arial" w:cs="Arial"/>
          <w:noProof w:val="0"/>
          <w:sz w:val="28"/>
          <w:szCs w:val="28"/>
          <w:lang w:val="en-US"/>
        </w:rPr>
        <w:t xml:space="preserve">[online], Available at: </w:t>
      </w:r>
      <w:hyperlink r:id="R3c3e1f5086f3459c">
        <w:r w:rsidRPr="5E4DECDF" w:rsidR="5E4DECDF">
          <w:rPr>
            <w:rStyle w:val="Hyperlink"/>
            <w:rFonts w:ascii="Arial" w:hAnsi="Arial" w:eastAsia="Arial" w:cs="Arial"/>
            <w:noProof w:val="0"/>
            <w:color w:val="1155CC"/>
            <w:sz w:val="28"/>
            <w:szCs w:val="28"/>
            <w:lang w:val="en-US"/>
          </w:rPr>
          <w:t>https://www.theguardian.com/environment/2018/oct/08/climate-change-what-you-can-do-campaigning-installing-insulation-solar-panels</w:t>
        </w:r>
      </w:hyperlink>
      <w:r w:rsidRPr="5E4DECDF" w:rsidR="5E4DECDF">
        <w:rPr>
          <w:rFonts w:ascii="Arial" w:hAnsi="Arial" w:eastAsia="Arial" w:cs="Arial"/>
          <w:noProof w:val="0"/>
          <w:color w:val="1155CC"/>
          <w:sz w:val="28"/>
          <w:szCs w:val="28"/>
          <w:lang w:val="en-US"/>
        </w:rPr>
        <w:t xml:space="preserve"> [Accessed: 10/04/2019]</w:t>
      </w:r>
      <w:r>
        <w:br/>
      </w:r>
      <w:r w:rsidRPr="5E4DECDF" w:rsidR="5E4DECDF">
        <w:rPr>
          <w:rFonts w:ascii="Arial" w:hAnsi="Arial" w:eastAsia="Arial" w:cs="Arial"/>
          <w:noProof w:val="0"/>
          <w:sz w:val="28"/>
          <w:szCs w:val="28"/>
          <w:lang w:val="en-US"/>
        </w:rPr>
        <w:t xml:space="preserve">The National Lottery Community Fund, (2014), </w:t>
      </w:r>
      <w:r w:rsidRPr="5E4DECDF" w:rsidR="5E4DECDF">
        <w:rPr>
          <w:rFonts w:ascii="Arial" w:hAnsi="Arial" w:eastAsia="Arial" w:cs="Arial"/>
          <w:i w:val="1"/>
          <w:iCs w:val="1"/>
          <w:noProof w:val="0"/>
          <w:sz w:val="28"/>
          <w:szCs w:val="28"/>
          <w:lang w:val="en-US"/>
        </w:rPr>
        <w:t>Skanda Vale Hospice in-care service development,</w:t>
      </w:r>
      <w:r w:rsidRPr="5E4DECDF" w:rsidR="5E4DECDF">
        <w:rPr>
          <w:rFonts w:ascii="Arial" w:hAnsi="Arial" w:eastAsia="Arial" w:cs="Arial"/>
          <w:i w:val="1"/>
          <w:iCs w:val="1"/>
          <w:noProof w:val="0"/>
          <w:color w:val="333333"/>
          <w:sz w:val="28"/>
          <w:szCs w:val="28"/>
          <w:lang w:val="en-US"/>
        </w:rPr>
        <w:t xml:space="preserve"> </w:t>
      </w:r>
      <w:r w:rsidRPr="5E4DECDF" w:rsidR="5E4DECDF">
        <w:rPr>
          <w:rFonts w:ascii="Arial" w:hAnsi="Arial" w:eastAsia="Arial" w:cs="Arial"/>
          <w:noProof w:val="0"/>
          <w:sz w:val="28"/>
          <w:szCs w:val="28"/>
          <w:lang w:val="en-US"/>
        </w:rPr>
        <w:t xml:space="preserve">[online], Available at: </w:t>
      </w:r>
      <w:hyperlink r:id="R9c1a718aa5904eed">
        <w:r w:rsidRPr="5E4DECDF" w:rsidR="5E4DECDF">
          <w:rPr>
            <w:rStyle w:val="Hyperlink"/>
            <w:rFonts w:ascii="Arial" w:hAnsi="Arial" w:eastAsia="Arial" w:cs="Arial"/>
            <w:noProof w:val="0"/>
            <w:color w:val="1155CC"/>
            <w:sz w:val="28"/>
            <w:szCs w:val="28"/>
            <w:lang w:val="en-US"/>
          </w:rPr>
          <w:t>https://www.tnlcommunityfund.org.uk/funding/grants/0031006159</w:t>
        </w:r>
      </w:hyperlink>
      <w:r w:rsidRPr="5E4DECDF" w:rsidR="5E4DECDF">
        <w:rPr>
          <w:rFonts w:ascii="Arial" w:hAnsi="Arial" w:eastAsia="Arial" w:cs="Arial"/>
          <w:noProof w:val="0"/>
          <w:color w:val="1155CC"/>
          <w:sz w:val="28"/>
          <w:szCs w:val="28"/>
          <w:lang w:val="en-US"/>
        </w:rPr>
        <w:t xml:space="preserve"> [Accessed: 12/04/2019]</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1EA8EB5"/>
  <w15:docId w15:val="{4102affd-2750-46a8-960a-b0d3886187ff}"/>
  <w:rsids>
    <w:rsidRoot w:val="61EA8EB5"/>
    <w:rsid w:val="5E4DECDF"/>
    <w:rsid w:val="61EA8EB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asa.org/ethics/guidelines.shtml" TargetMode="External" Id="R88daf7f19a354982" /><Relationship Type="http://schemas.openxmlformats.org/officeDocument/2006/relationships/hyperlink" Target="https://www.hcn.org/issues/47.1/introducing-the-idea-of-hyperobjects" TargetMode="External" Id="Raf8614cc7a2d4c7e" /><Relationship Type="http://schemas.openxmlformats.org/officeDocument/2006/relationships/hyperlink" Target="https://www.skandavale.org/history/" TargetMode="External" Id="R63f952bd2ce84855" /><Relationship Type="http://schemas.openxmlformats.org/officeDocument/2006/relationships/hyperlink" Target="https://www.theguardian.com/environment/2018/oct/08/climate-change-what-you-can-do-campaigning-installing-insulation-solar-panels" TargetMode="External" Id="R3c3e1f5086f3459c" /><Relationship Type="http://schemas.openxmlformats.org/officeDocument/2006/relationships/hyperlink" Target="https://www.tnlcommunityfund.org.uk/funding/grants/0031006159" TargetMode="External" Id="R9c1a718aa5904e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2019-04-12T14:40:25.8210535Z</dcterms:created>
  <dcterms:modified xsi:type="dcterms:W3CDTF">2019-04-12T14:47:31.5637316Z</dcterms:modified>
  <dc:creator>Jaya Grady (1802718)</dc:creator>
  <lastModifiedBy>Jaya Grady (1802718)</lastModifiedBy>
</coreProperties>
</file>