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670FC" w14:textId="77777777" w:rsidR="009544C5" w:rsidRDefault="009544C5" w:rsidP="009544C5">
      <w:r>
        <w:t xml:space="preserve">AC1.1 </w:t>
      </w:r>
    </w:p>
    <w:p w14:paraId="6AF93196" w14:textId="77777777" w:rsidR="009544C5" w:rsidRDefault="009544C5" w:rsidP="009544C5">
      <w:r>
        <w:t xml:space="preserve">Labour laws protect workers' rights, promote fair practices, control behaviour, shield from harm, provide benefits, and assist collective bargaining. The Employment Rights Act 1996, for example, provides protection from unfair dismissal, redundancy, and establishes maternity leave (UK Government, 1996). </w:t>
      </w:r>
    </w:p>
    <w:p w14:paraId="74F0309D" w14:textId="77777777" w:rsidR="009544C5" w:rsidRDefault="009544C5" w:rsidP="009544C5">
      <w:r>
        <w:t>Without legal protections, employees could face risks such as unjust termination, exploitation at work, or hazardous conditions. (GOV.UK, 2022)</w:t>
      </w:r>
    </w:p>
    <w:p w14:paraId="3D85F13E" w14:textId="77777777" w:rsidR="009544C5" w:rsidRDefault="009544C5" w:rsidP="009544C5">
      <w:r>
        <w:t>In Mr. V. Rumbold v Jaguar Land Rover, key issues included unfair dismissal, disability discrimination, and failure to make reasonable adjustments. Despite 808 missed shifts over 20 years, the tribunal found Jaguar Land Rover's dismissal procedure unfair. The Equality Act 2010 was central, especially regarding reasonable adjustments for Mr. Rumbold's disability.</w:t>
      </w:r>
    </w:p>
    <w:p w14:paraId="5684BB40" w14:textId="77777777" w:rsidR="009544C5" w:rsidRDefault="009544C5" w:rsidP="009544C5">
      <w:r>
        <w:t>The regulations play a vital role in establishing a fair and balanced workplace, protecting workers from exploitation and discrimination, and advancing social justice and equality. Well-implemented employment legislation boosts employee well-being and financial stability while fostering a more productive and positive work environment, benefiting both employees and employers alike. (ACAS, 2019)</w:t>
      </w:r>
    </w:p>
    <w:p w14:paraId="3D107D63" w14:textId="77777777" w:rsidR="009544C5" w:rsidRDefault="009544C5" w:rsidP="009544C5">
      <w:r>
        <w:t>Regulations provide a structured means of addressing grievances, disciplinary action, and workplace disputes. While the procedures are lengthy, they prevent costly legal battles and maintain a culture of openness and fairness. (ACAS, 2015)</w:t>
      </w:r>
    </w:p>
    <w:p w14:paraId="3CA71176" w14:textId="77777777" w:rsidR="009544C5" w:rsidRDefault="009544C5" w:rsidP="009544C5">
      <w:r>
        <w:t>The Trade Union Congress (TUC) holds a unique viewpoint on employment legislation, focusing on safeguarding and strengthening workers' rights. However they do not write legislation (Chief, 2019)</w:t>
      </w:r>
    </w:p>
    <w:p w14:paraId="7055B52E" w14:textId="77777777" w:rsidR="009544C5" w:rsidRDefault="009544C5" w:rsidP="009544C5">
      <w:r>
        <w:t xml:space="preserve">The TUC firmly advocates for collective bargaining as a way to enhance wages and working conditions. </w:t>
      </w:r>
    </w:p>
    <w:p w14:paraId="23149355" w14:textId="77777777" w:rsidR="009544C5" w:rsidRDefault="009544C5" w:rsidP="009544C5">
      <w:r>
        <w:t>Employment law is at the forefront of employees' rights, and it brings equality of treatment, job security, and a safe working environment. It protects against discrimination, harassment, unfair pay, and overwork. Key central legislation like the Equality Act 2010 and Employment Rights Act 1996 are at the heart of fairness and security in employment.</w:t>
      </w:r>
    </w:p>
    <w:p w14:paraId="6764F3D3" w14:textId="77777777" w:rsidR="009544C5" w:rsidRDefault="009544C5" w:rsidP="009544C5">
      <w:r>
        <w:t>While it may seem that dealing with employment regulations takes away from more productive activities, it's important to recognise that these regulations are foundational to a positive employment experience by ensuring fairness, safety, and inclusivity in the workplace.</w:t>
      </w:r>
    </w:p>
    <w:p w14:paraId="26EADE97" w14:textId="77777777" w:rsidR="009544C5" w:rsidRDefault="009544C5" w:rsidP="009544C5">
      <w:r>
        <w:lastRenderedPageBreak/>
        <w:t>Adhering to employment laws builds trust between the employer and employees. When employees feel protected and valued, they are more likely to be engaged and productive.</w:t>
      </w:r>
    </w:p>
    <w:p w14:paraId="1B6A00C7" w14:textId="77777777" w:rsidR="009544C5" w:rsidRDefault="009544C5" w:rsidP="009544C5">
      <w:r>
        <w:t xml:space="preserve">AC1.2 </w:t>
      </w:r>
    </w:p>
    <w:p w14:paraId="4CAC956E" w14:textId="77777777" w:rsidR="009544C5" w:rsidRDefault="009544C5" w:rsidP="009544C5">
      <w:r>
        <w:t>The UK was a member of the EU between 1973 and 2020, and during this time, the European Court of Justice (ECJ) had supremacy in interpreting EU law. UK courts were therefore obliged to adhere to ECJ rulings on issues relating to the EU for this time.</w:t>
      </w:r>
    </w:p>
    <w:p w14:paraId="13ED6D36" w14:textId="77777777" w:rsidR="009544C5" w:rsidRDefault="009544C5" w:rsidP="009544C5">
      <w:r>
        <w:t>In December 2020, the UK and EU signed the Brexit Trade and Cooperation Agreement (TCA) to regulate their future relationship. Article 6.2 demanded a "non-regression clause," binding the two sides to 2020 levels of labour and social protection unless changes do not negatively impact trade or investment. (Coleman and Newson, 2021)</w:t>
      </w:r>
    </w:p>
    <w:p w14:paraId="168378B3" w14:textId="77777777" w:rsidR="009544C5" w:rsidRDefault="009544C5" w:rsidP="009544C5">
      <w:r>
        <w:t xml:space="preserve"> The agreement maintained the UK's 2020 labour protections but did not require the UK to adopt future EU law or adhere to ECJ rulings, except for some Northern Ireland cases. The UK could change its internal laws, but significant deregulation might lead to trade disputes or EU tariffs. (Morgan LaRoche, 2025)</w:t>
      </w:r>
    </w:p>
    <w:p w14:paraId="4CBA3AD3" w14:textId="77777777" w:rsidR="009544C5" w:rsidRDefault="009544C5" w:rsidP="009544C5">
      <w:r>
        <w:t>After January 1, 2021, the ECJ lost constitutional authority in the UK, except for Northern Ireland. The UK Supreme Court now has full jurisdiction over UK laws, including labour laws. This shift allowed the UK to develop its own legal framework, free from future ECJ influence.</w:t>
      </w:r>
    </w:p>
    <w:p w14:paraId="1F6F9BA7" w14:textId="77777777" w:rsidR="009544C5" w:rsidRDefault="009544C5" w:rsidP="009544C5">
      <w:r>
        <w:t>Despite leaving the EU, pre-Brexit ECJ rulings made before January 31, 2020, remain legally binding on UK courts unless they are expressly repealed or modified by UK legislation or overturned by the UK Supreme Court or the Court of Appeal. However, any ECJ rulings made after December 31, 2020, no longer hold binding authority in the UK but may be treated as persuasive authority if they are deemed relevant to a particular case. This means UK courts have the discretion to consider post-Brexit ECJ judgments but are not obligated to apply them. Therefore, they are still considered "good law" and must be followed unless overridden by new UK legislation. (Daniels, 2024)</w:t>
      </w:r>
    </w:p>
    <w:p w14:paraId="17B317D5" w14:textId="77777777" w:rsidR="009544C5" w:rsidRDefault="009544C5" w:rsidP="009544C5">
      <w:r>
        <w:t>Pre-Brexit ECJ judgments, like in Walker v Innospec Limited, remain binding on UK courts as retained EU law, ensuring non-discrimination in pension benefits for same-sex spouses.</w:t>
      </w:r>
    </w:p>
    <w:p w14:paraId="4CA608C4" w14:textId="77777777" w:rsidR="009544C5" w:rsidRDefault="009544C5" w:rsidP="009544C5">
      <w:r>
        <w:t>The Retained EU Law (Revocation and Reform) Act 2023 (RUEL) preserves most of the EU-source labour laws on the UK statute book unless revised by future administrations. Provisions include working time records, rolled-up holiday pay, holiday pay as 12.07% of hours worked, reform to TUPE group consultation, carryover leave provisions, and normal pay definition in statutory leave. This allows the UK to retain vital employment protections but reserve the right to reform or diverge from EU law in the future. (Legislation.gov.uk, 2023)</w:t>
      </w:r>
    </w:p>
    <w:p w14:paraId="18AB1E7F" w14:textId="77777777" w:rsidR="009544C5" w:rsidRDefault="009544C5" w:rsidP="009544C5"/>
    <w:p w14:paraId="77BDB910" w14:textId="77777777" w:rsidR="009544C5" w:rsidRDefault="009544C5" w:rsidP="009544C5">
      <w:r>
        <w:t>AC2.1</w:t>
      </w:r>
    </w:p>
    <w:p w14:paraId="44718D3A" w14:textId="77777777" w:rsidR="009544C5" w:rsidRDefault="009544C5" w:rsidP="009544C5">
      <w:r>
        <w:t>I understand you have questions about when it is appropriate to insist that a job be done by a man or a woman. Below is some guidance on this query, in the context of the central principles of discrimination law on recruitment and selection.</w:t>
      </w:r>
    </w:p>
    <w:p w14:paraId="5343D1FF" w14:textId="77777777" w:rsidR="009544C5" w:rsidRDefault="009544C5" w:rsidP="009544C5">
      <w:r>
        <w:t>Under the Equality Act 2010, you can specify Genuine Occupational Qualifications when a particular quality is essential for the job. It is legally permissible to require a job to be held by a person of a specific sex, provided this requirement is a proportionate means of achieving a legitimate aim. (CIPD, 2024)</w:t>
      </w:r>
    </w:p>
    <w:p w14:paraId="6BDBFB00" w14:textId="77777777" w:rsidR="009544C5" w:rsidRDefault="009544C5" w:rsidP="009544C5">
      <w:r>
        <w:t>A job may be restricted to a man or woman in certain circumstances when there is a need for a specific gender in the job. This applies to jobs requiring privacy and decency, such as a female care worker who must be female, where intimate bodily care or monitoring is necessary. Therefore, authenticity of performance can be a basis for gender-specific requirements, for example, casting a male to act out a male role in a stage performance. Roles in support services might also need a particular gender to meet particular requirements of service users, i.e., a female working in a women's refuge. (www.acas.org.uk, n.d.)</w:t>
      </w:r>
    </w:p>
    <w:p w14:paraId="71392742" w14:textId="77777777" w:rsidR="009544C5" w:rsidRDefault="009544C5" w:rsidP="009544C5">
      <w:r>
        <w:t>A job cannot be restricted to a single sex if the position does not require it for the sake of essential job performance. This includes general job titles where an individual's sex does not have a direct influence on his or her ability to perform the job. Further, any requirement that indirectly discriminates against an individual for no valid and proportionate reason would be unlawful because it may unjustifiably bias particular groups without a reasonable cause. (Acas, 2025)</w:t>
      </w:r>
    </w:p>
    <w:p w14:paraId="38A3FD59" w14:textId="77777777" w:rsidR="009544C5" w:rsidRDefault="009544C5" w:rsidP="009544C5">
      <w:r>
        <w:t>Under the Equality Act 2010, direct discrimination occurs when a candidate is treated less favourably due to a protected characteristic, such as refusing a job to a disabled applicant despite them being capable with reasonable adjustments.</w:t>
      </w:r>
    </w:p>
    <w:p w14:paraId="063B083E" w14:textId="77777777" w:rsidR="009544C5" w:rsidRDefault="009544C5" w:rsidP="009544C5">
      <w:r>
        <w:t>Indirect discrimination is where a policy or practice, although applied to everyone, has a disproportionate impact on a particular group. For instance, asking every employee to work full-time will be unfair to women since they are likely to have care-giving duties.</w:t>
      </w:r>
    </w:p>
    <w:p w14:paraId="21B7DBE3" w14:textId="77777777" w:rsidR="009544C5" w:rsidRDefault="009544C5" w:rsidP="009544C5">
      <w:r>
        <w:t xml:space="preserve">You must take positive action in the favour of disadvantage or underrepresented groups, such as running targeted recruitment campaigns to bring in more female applicants in traditionally male areas. Job advertisements must not discriminate against any protected characteristic, for example “recent graduate" may only be used if they are necessary job requirements to avoid age discrimination. </w:t>
      </w:r>
    </w:p>
    <w:p w14:paraId="257B5122" w14:textId="77777777" w:rsidR="009544C5" w:rsidRDefault="009544C5" w:rsidP="009544C5">
      <w:r>
        <w:t>In conclusion occupational requirements must be objectively justified, necessary, and proportionate. This means that the requirement must be essential for the job, serve a legitimate aim, and be a proportionate means of achieving that aim.</w:t>
      </w:r>
    </w:p>
    <w:p w14:paraId="06E44BA3" w14:textId="77777777" w:rsidR="009544C5" w:rsidRDefault="009544C5" w:rsidP="009544C5">
      <w:r>
        <w:lastRenderedPageBreak/>
        <w:t>Mr. S. Donnelly v. PQ (Case No. 2402650/2022), the Employment Tribunal examined issues of sex discrimination and the application of occupational requirements.</w:t>
      </w:r>
    </w:p>
    <w:p w14:paraId="7F366E39" w14:textId="77777777" w:rsidR="009544C5" w:rsidRDefault="009544C5" w:rsidP="009544C5">
      <w:r>
        <w:t>This case highlights that although employers may have valid justifications for certain occupational requirements, any discriminatory actions taken to fulfil these objectives must be reasonable and balanced, with consideration given to less discriminatory alternatives.</w:t>
      </w:r>
    </w:p>
    <w:p w14:paraId="662F81E2" w14:textId="77777777" w:rsidR="009544C5" w:rsidRDefault="009544C5" w:rsidP="009544C5"/>
    <w:p w14:paraId="47969AA3" w14:textId="77777777" w:rsidR="009544C5" w:rsidRDefault="009544C5" w:rsidP="009544C5">
      <w:r>
        <w:t>AC 2.2</w:t>
      </w:r>
    </w:p>
    <w:p w14:paraId="77B72964" w14:textId="77777777" w:rsidR="009544C5" w:rsidRDefault="009544C5" w:rsidP="009544C5">
      <w:r>
        <w:t>When considering advancing two male HCAs from A to B grade using spare research funds, the Equality Act 2010 must be considered. It enforces equal pay for equal work, ensuring men and women in equivalent roles receive equal pay and benefits unless differences are objectively justified.. (Equality Act 2010)</w:t>
      </w:r>
    </w:p>
    <w:p w14:paraId="48BBDAC9" w14:textId="77777777" w:rsidR="009544C5" w:rsidRDefault="009544C5" w:rsidP="009544C5">
      <w:r>
        <w:t>If 80% of HCAs in your Trust are female and promotion is given only to two male HCAs, it would certainly lead to sex-based pay discrimination claims, unless you can provide objective explanation for the decision, showing that promotions were awarded on grounds of neutral criteria such as merit, experience, qualifications, or performance and not gender. In addition, you would need to show that no female applicants who were equally or better qualified were passed over due to their gender.</w:t>
      </w:r>
    </w:p>
    <w:p w14:paraId="69C53BCA" w14:textId="77777777" w:rsidR="009544C5" w:rsidRDefault="009544C5" w:rsidP="009544C5">
      <w:r>
        <w:t>Under the Equality Act 2010, employees can compare their pay with an opposite-sex employee who performs similar or the same work, a comparator. Women HCAs, if they can demonstrate that they are performing the same job as the upgraded male HCAs but at a lower grade, can claim equal pay. (CIPD, 2024)</w:t>
      </w:r>
    </w:p>
    <w:p w14:paraId="4E93AE5E" w14:textId="77777777" w:rsidR="009544C5" w:rsidRDefault="009544C5" w:rsidP="009544C5">
      <w:r>
        <w:t>It is critical that any differential pay is based upon a factor not related to sex, for instance, experience, qualifications, or performance. Otherwise, the Trust can potentially face legal and reputational sanctions. (ACAS, 2024)</w:t>
      </w:r>
    </w:p>
    <w:p w14:paraId="12951AE7" w14:textId="77777777" w:rsidR="009544C5" w:rsidRDefault="009544C5" w:rsidP="009544C5">
      <w:r>
        <w:t xml:space="preserve">In an effort not to breach equal pay law, you will be required to be able to give objective justification for rewarding the two male HCAs with promotion. This could involve demonstrating that the promoted posts have significantly different duties warranting a higher grade, that the research project created a specific need for higher skilled work warranting a B grade, and that the selection was made on merit, experience, or performance and not gender. You can be rendered legally responsible by the Equality Act 2010 if you do not provide good and objective explanation in case of any complaint against pay discrimination on part of the female HCAs. </w:t>
      </w:r>
    </w:p>
    <w:p w14:paraId="7D35BFB8" w14:textId="77777777" w:rsidR="009544C5" w:rsidRDefault="009544C5" w:rsidP="009544C5">
      <w:r>
        <w:t xml:space="preserve">I recommend you take into account the rationale for the promotion of the two male HCAs and whether other HCAs, particularly female staff, could claim equal pay for equal work under the single status principle. If there is a solid business case, it must be adequately documented with a non-discriminatory reason. In lieu of this, the surplus </w:t>
      </w:r>
      <w:r>
        <w:lastRenderedPageBreak/>
        <w:t>money could be used for development opportunities or role enhancements of all HCAs to avoid any gender bias complaints. Adhering to the Equality Act 2010 will help reduce the legal risks and promote fair and transparent employment strategies.</w:t>
      </w:r>
    </w:p>
    <w:p w14:paraId="1208F1B4" w14:textId="77777777" w:rsidR="009544C5" w:rsidRDefault="009544C5" w:rsidP="009544C5"/>
    <w:p w14:paraId="7C2D439B" w14:textId="77777777" w:rsidR="009544C5" w:rsidRDefault="009544C5" w:rsidP="009544C5">
      <w:r>
        <w:t>AC 3.1</w:t>
      </w:r>
    </w:p>
    <w:p w14:paraId="6F877A81" w14:textId="77777777" w:rsidR="009544C5" w:rsidRDefault="009544C5" w:rsidP="009544C5">
      <w:r>
        <w:t>Constructive dismissal arises when an employee quits because their employer's actions have made it impossible for them to remain. If the alteration of the radiographer's working hours was drastic and carried out without permission, it can lead to a case of constructive dismissal. The employee would need to demonstrate that this alteration was a breach of their contract of employment. (Daniels, 2024)</w:t>
      </w:r>
    </w:p>
    <w:p w14:paraId="3B73A7F7" w14:textId="77777777" w:rsidR="009544C5" w:rsidRDefault="009544C5" w:rsidP="009544C5">
      <w:r>
        <w:t>Constructive dismissal can occur where the behaviour of an employer makes it impossible for an employee to continue at work. If there was a fundamental change to the working hours of the radiographer without their consent, it would be a breach of the employment contract in a fundamental manner. This would be especially the case if the contract specified certain hours or patterns. In addition, since the trust did not consult with the employee and inform them why they were doing so, this would also be conducive to a constructive dismissal claim. The radiographer can argue that the change rendered the working environment unbearable, causing personal hardship or interfering with their duties. To claim constructive dismissal, the employee must resign in response to the breach within a reasonable time as continued employment might indicate acceptance of the variations. (GOV.UK, 2024)</w:t>
      </w:r>
    </w:p>
    <w:p w14:paraId="5EFF875E" w14:textId="77777777" w:rsidR="009544C5" w:rsidRDefault="009544C5" w:rsidP="009544C5">
      <w:r>
        <w:t>West Sussex County Council v Mr F Austin: UKEAT/0034/14/JOJ This case set the principle that an employee is entitled to resign in response to a fundamental breach of contract, although the breach is not necessarily one of repudiation but a unilateral variation of essential terms.</w:t>
      </w:r>
    </w:p>
    <w:p w14:paraId="0BF91CC9" w14:textId="77777777" w:rsidR="009544C5" w:rsidRDefault="009544C5" w:rsidP="009544C5">
      <w:r>
        <w:t>The radiographer has three months from resignation to file a constructive dismissal claim with the Employment Tribunal, providing they have worked for the trust for 2 years. (Acas, 2024)</w:t>
      </w:r>
    </w:p>
    <w:p w14:paraId="6ED1F341" w14:textId="77777777" w:rsidR="009544C5" w:rsidRDefault="009544C5" w:rsidP="009544C5">
      <w:r>
        <w:t>My advice is for the Trust to look at the radiographer’s contract and check if there are specific conditions in working hours or flexibility, and if the alteration contravenes these conditions. If the trust has made the change without the consultation of the radiographer or due cause, then the case of constructive dismissal becomes stronger. Employment Tribunals require concrete evidence of breach of contract and the unreasonable behaviour of the employer. If the radiographer continued to work for quite some time thereafter, it may render their grievance invalid.</w:t>
      </w:r>
    </w:p>
    <w:p w14:paraId="076DF336" w14:textId="77777777" w:rsidR="009544C5" w:rsidRDefault="009544C5" w:rsidP="009544C5">
      <w:r>
        <w:t>Employment Rights Act 1996 defines constructive dismissal and the grounds for such a claim. (Legislation.gov.uk, 2009)</w:t>
      </w:r>
    </w:p>
    <w:p w14:paraId="201815FE" w14:textId="77777777" w:rsidR="009544C5" w:rsidRDefault="009544C5" w:rsidP="009544C5"/>
    <w:p w14:paraId="57106DAA" w14:textId="77777777" w:rsidR="009544C5" w:rsidRDefault="009544C5" w:rsidP="009544C5">
      <w:r>
        <w:t>AC 3.2</w:t>
      </w:r>
    </w:p>
    <w:p w14:paraId="2C4BFC09" w14:textId="77777777" w:rsidR="009544C5" w:rsidRDefault="009544C5" w:rsidP="009544C5">
      <w:r>
        <w:t>Redundancy happens when a job or function is no longer needed due to business closure, reduced demand for labour, or company reorganisation. Section 139 of the Employment Rights Act 1996 defines redundancy as the closure of a business or workplace, or a reduced need for specific work. A fair redundancy process must include consulting affected employees and offering alternative employment where possible. (CIPD, 2022)</w:t>
      </w:r>
    </w:p>
    <w:p w14:paraId="7A10A09C" w14:textId="77777777" w:rsidR="009544C5" w:rsidRDefault="009544C5" w:rsidP="009544C5">
      <w:r>
        <w:t>While I understand your urgency, it's essential to follow legal requirements and best practices to ensure fairness and compliance with UK employment law.</w:t>
      </w:r>
    </w:p>
    <w:p w14:paraId="6AEE7B7A" w14:textId="77777777" w:rsidR="009544C5" w:rsidRDefault="009544C5" w:rsidP="009544C5">
      <w:r>
        <w:t>Employees to be made redundant should be chosen fairly, using objective criteria such as skills, performance, and experience. Choice based on protected grounds such as age, gender, disability, or pregnancy is discrimination and can lead to claims for unfair dismissal. We have a statutory obligation to consult seriously with employees to be made redundant before making a final decision. As this effects 50 employees I advise a collective consultation as there is a responsibility on our organisation to consult with trade union representatives and our employees. (ACAS, 2020)</w:t>
      </w:r>
    </w:p>
    <w:p w14:paraId="5A03EC6F" w14:textId="77777777" w:rsidR="009544C5" w:rsidRDefault="009544C5" w:rsidP="009544C5">
      <w:r>
        <w:t>While I appreciate your desire to move quickly is understandable, it's important to balance speed with compliance to avoid legal pitfalls. I recommend planning and schedule consultations efficiently as well as ensuring that employees are well-informed about the reasons for the redundancies and the steps involved in the process, maintaining clear and open communication throughout. Prepare all required documents in advance, such as redundancy notices, records of consultations, and calculations for redundancy pay. (Acas, 2023)</w:t>
      </w:r>
    </w:p>
    <w:p w14:paraId="63923491" w14:textId="77777777" w:rsidR="009544C5" w:rsidRDefault="009544C5" w:rsidP="009544C5">
      <w:r>
        <w:t>Mrs S Mogane v 1) Bradford Teaching Hospitals NHS Foundation Trust 2) Karen Regan: [2022] EAT 139 found that the Trust acted unfairly by not consulting on the redundancy selection criteria.</w:t>
      </w:r>
    </w:p>
    <w:p w14:paraId="7AF77B22" w14:textId="77777777" w:rsidR="009544C5" w:rsidRDefault="009544C5" w:rsidP="009544C5">
      <w:r>
        <w:t>If you are going to make 20 or more workers redundant in 90 days, you have to inform the Redundancy Payments Service of the Insolvency Service on the HR1 form. This enables the government to assist the redundant employees. (GOV.UK, n.d.)</w:t>
      </w:r>
    </w:p>
    <w:p w14:paraId="033BCD1A" w14:textId="77777777" w:rsidR="009544C5" w:rsidRDefault="009544C5" w:rsidP="009544C5">
      <w:r>
        <w:t>Staff must receive notice based on service length,  7 days for under 2 years and 1 week per year for 2+ years. Those with 2+ years’ service also get statutory redundancy pay, based on age, service, and weekly pay. (ACAS 2020)</w:t>
      </w:r>
    </w:p>
    <w:p w14:paraId="28381AC4" w14:textId="77777777" w:rsidR="009544C5" w:rsidRDefault="009544C5" w:rsidP="009544C5">
      <w:r>
        <w:t xml:space="preserve">My advice for an effective redundancy consultation is a question of effective communication from the outset, briefing employees on potential redundancies and the reasons why they are being confronted with it. You must facilitate ongoing dialogue, allowing staff to contest their marks and present alternatives such as voluntary </w:t>
      </w:r>
      <w:r>
        <w:lastRenderedPageBreak/>
        <w:t>redundancies, redeployment, job shares, flexible shifts, sabbaticals, secondments, and voluntary career breaks. Employees must be given adequate time to consider the data and provide input, which must be seriously considered, with acceptable explanations, if possible, options cannot be met. Communicating with staff regarding redundancy fosters trust, reduces anxiety, maintains morale, ensures legal compliance, and provides support, enhancing overall employee well-being.</w:t>
      </w:r>
    </w:p>
    <w:p w14:paraId="0B678D27" w14:textId="77777777" w:rsidR="009544C5" w:rsidRDefault="009544C5" w:rsidP="009544C5">
      <w:r>
        <w:t>The consequences for not following the above advice can give rise to unfair dismissal claims, against which employees can receive compensation in the shape of a basic award and a compensatory award for money loss, capped at 52 weeks' pay. Where the process is discriminatory, the employee is also entitled to claim an award for injury to feelings of £900 to £45,000. In collective redundancies, failure to consult can lead to a protective award of up to 90 days' pay per employee, with serious financial consequences for the employer. ( Mugford v Midland Bank Plc | [1997] IRLR 208)</w:t>
      </w:r>
    </w:p>
    <w:p w14:paraId="1E9EC146" w14:textId="77777777" w:rsidR="009544C5" w:rsidRDefault="009544C5" w:rsidP="009544C5"/>
    <w:p w14:paraId="4B69656F" w14:textId="77777777" w:rsidR="009544C5" w:rsidRDefault="009544C5" w:rsidP="009544C5">
      <w:r>
        <w:t>AC 3.3</w:t>
      </w:r>
    </w:p>
    <w:p w14:paraId="25652659" w14:textId="77777777" w:rsidR="009544C5" w:rsidRDefault="009544C5" w:rsidP="009544C5">
      <w:r>
        <w:t>Under the Transfer of Undertakings (Protection of Employment) Regulations 2006 and its amendment in 2014 (TUPE), workers who are to be affected by a merger have certain key rights to protect their terms and conditions of employment. If there is a merger to go ahead, there will be TUPE implications as there will be a change of service provision, transferring personnel from the neighbouring Trust to your Trust. (CIPD, 2023)</w:t>
      </w:r>
    </w:p>
    <w:p w14:paraId="347CE1B3" w14:textId="77777777" w:rsidR="009544C5" w:rsidRDefault="009544C5" w:rsidP="009544C5">
      <w:r>
        <w:t>Employees have the right to transfer to the new employer on their existing terms and conditions of employment, including pay, holiday pay, bonuses, pension contributions, and length of service. Any dismissal on the basis of the transfer alone and lacking an economic, technical, or organisational (ETO) basis would be automatic unfair dismissal. The new employer must also consult with employee representatives or trade unions before the transfer to explain how it will impact staff. Moreover, there is a right to continuity of employment, with their previous length of service preserved. (ACAS, 2024)</w:t>
      </w:r>
    </w:p>
    <w:p w14:paraId="35EB60CD" w14:textId="77777777" w:rsidR="009544C5" w:rsidRDefault="009544C5" w:rsidP="009544C5">
      <w:r>
        <w:t xml:space="preserve">If the new employer wants to vary the terms of employment subsequent to the transfer, any variation has to be on a proper ETO reason linked with the transfer; otherwise, they would be ineffectual. The employees may decline the transfer, but it would be considered as a resignation, forfeiting redundancy pay. </w:t>
      </w:r>
    </w:p>
    <w:p w14:paraId="21ED6AF9" w14:textId="77777777" w:rsidR="009544C5" w:rsidRDefault="009544C5" w:rsidP="009544C5">
      <w:r>
        <w:t>Taylor v Connex Southeastern Ltd (2000) is UK labour law case concerning the Transfer of Undertakings (Protection of Employment) (TUPE) Regulations. (Daniels, 2024)</w:t>
      </w:r>
    </w:p>
    <w:p w14:paraId="2C2D8569" w14:textId="77777777" w:rsidR="009544C5" w:rsidRDefault="009544C5" w:rsidP="009544C5">
      <w:r>
        <w:t>The case highlights the significance of complying with TUPE regulations during business transfers and the safeguards they provide to employees against unfair dismissal linked to these transfers.</w:t>
      </w:r>
    </w:p>
    <w:p w14:paraId="6963D466" w14:textId="77777777" w:rsidR="009544C5" w:rsidRDefault="009544C5" w:rsidP="009544C5">
      <w:r>
        <w:lastRenderedPageBreak/>
        <w:t>Maintaining fair and meaningful consultation and protection of employee rights under TUPE is highly critical to avoid subsequent claims for unfair dismissal or breach of contract. (CIPD, 2023)</w:t>
      </w:r>
    </w:p>
    <w:p w14:paraId="35D8434B" w14:textId="77777777" w:rsidR="009544C5" w:rsidRDefault="009544C5" w:rsidP="009544C5">
      <w:r>
        <w:t>AC 4.1</w:t>
      </w:r>
    </w:p>
    <w:p w14:paraId="449A5FD9" w14:textId="77777777" w:rsidR="009544C5" w:rsidRDefault="009544C5" w:rsidP="009544C5">
      <w:r>
        <w:t>In terms of the statutory provisions of holiday pay calculation for new staff members, I will explain the fundamental principles set out by The Working Time Regulations 1998 (WTR) and their extension to various categories of workers, including temporary and casual workers. (Gov.uk, 1998)</w:t>
      </w:r>
    </w:p>
    <w:p w14:paraId="715BEC3C" w14:textId="77777777" w:rsidR="009544C5" w:rsidRDefault="009544C5" w:rsidP="009544C5">
      <w:r>
        <w:t>Under the Working Time Regulations 1998, every employee is entitled to 28 days of paid leave a year on the assumption of a 5-day working week. Where someone works part-time or casually, their entitlement is proportionately reduced in line with the days or hours that they work.</w:t>
      </w:r>
    </w:p>
    <w:p w14:paraId="6E82A2EB" w14:textId="77777777" w:rsidR="009544C5" w:rsidRDefault="009544C5" w:rsidP="009544C5">
      <w:r>
        <w:t>My guidance sets out the changes to the Working Time Regulations which the government introduced on 1 January 2024.</w:t>
      </w:r>
    </w:p>
    <w:p w14:paraId="24B10B95" w14:textId="77777777" w:rsidR="009544C5" w:rsidRDefault="009544C5" w:rsidP="009544C5">
      <w:r>
        <w:t>Holiday entitlement in the case of casual employees is calculated by taking the number of hours worked over a year, multiplying this with 5.6 weeks, and dividing this result by the number of hours worked in a year to achieve the actual entitlement.</w:t>
      </w:r>
    </w:p>
    <w:p w14:paraId="3716107F" w14:textId="77777777" w:rsidR="009544C5" w:rsidRDefault="009544C5" w:rsidP="009544C5">
      <w:r>
        <w:t>For bank staff, the 12.07% enhancement method is often applied to work out holiday pay. This is where 12.07% of their hourly rate per working hour is included for holiday entitlement. (GOV.UK, 2024)</w:t>
      </w:r>
    </w:p>
    <w:p w14:paraId="6483A8E8" w14:textId="77777777" w:rsidR="009544C5" w:rsidRDefault="009544C5" w:rsidP="009544C5">
      <w:r>
        <w:t>For example, one of your bank staff employees works 10 hours at £15 per hour, the holiday pay for the 10 hours would be as follows: £15 x 10 hours x 12.07% = £18.11. This is a fair method of calculating holiday entitlement without the necessity of recording individual holiday accrual for each worker.</w:t>
      </w:r>
    </w:p>
    <w:p w14:paraId="29F3C524" w14:textId="77777777" w:rsidR="009544C5" w:rsidRDefault="009544C5" w:rsidP="009544C5">
      <w:r>
        <w:t xml:space="preserve">In the case of casual employees, overtime and bonuses are generally included in their average pay when holiday pay is calculated, as long as these payments are regular and part of their usual remuneration. Overtime pay is generally considered part of an employee's usual pay if it is a regular and expected component of the job. For instance, if casual employees habitually do overtime in addition to their regular shifts, the overtime payments must be factored into holiday pay calculations. (Lock v British Gas Trading Limited [2014] CJEU C-539/12) </w:t>
      </w:r>
    </w:p>
    <w:p w14:paraId="07DECF65" w14:textId="77777777" w:rsidR="009544C5" w:rsidRDefault="009544C5" w:rsidP="009544C5">
      <w:r>
        <w:t>The ruling highlighted that workers should not face any disadvantage when taking holiday leave, and their holiday pay must be calculated based on the earnings they would typically receive if they were working.</w:t>
      </w:r>
    </w:p>
    <w:p w14:paraId="09C71CF4" w14:textId="77777777" w:rsidR="009544C5" w:rsidRDefault="009544C5" w:rsidP="009544C5">
      <w:r>
        <w:t xml:space="preserve">The usual practice is to include any payment for overtime in the average hourly rate (or average pay for the last 12 weeks worked). Where a casual worker works a mixture of </w:t>
      </w:r>
      <w:r>
        <w:lastRenderedPageBreak/>
        <w:t>normal and overtime hours, the total of both should be averaged to arrive at holiday pay. Bonuses are also included in the casual worker's normal pay if they are a regular and predictable source of income. For example, where casual workers receive bonuses (e.g., performance or attendance bonuses) as part of their contract or usual practice, these will need to be included in the calculation of holiday pay. (Ayling and Suff, 2024)</w:t>
      </w:r>
    </w:p>
    <w:p w14:paraId="36AE6627" w14:textId="77777777" w:rsidR="009544C5" w:rsidRDefault="009544C5" w:rsidP="009544C5"/>
    <w:p w14:paraId="5B91B1C5" w14:textId="77777777" w:rsidR="009544C5" w:rsidRDefault="009544C5" w:rsidP="009544C5">
      <w:r>
        <w:t>AC 4.2</w:t>
      </w:r>
    </w:p>
    <w:p w14:paraId="7F5DB6F7" w14:textId="77777777" w:rsidR="009544C5" w:rsidRDefault="009544C5" w:rsidP="009544C5">
      <w:r>
        <w:t>Maternity leave and Shared Parental Leave (SPL) are essential parental rights, yet they are significantly distinct. Maternity leave in the UK is governed by the Equality Act 2010. (CIPD, 2024)</w:t>
      </w:r>
    </w:p>
    <w:p w14:paraId="49413138" w14:textId="77777777" w:rsidR="009544C5" w:rsidRDefault="009544C5" w:rsidP="009544C5">
      <w:r>
        <w:t xml:space="preserve">I have outlined below how they both differ for your consideration: </w:t>
      </w:r>
    </w:p>
    <w:p w14:paraId="650A0530" w14:textId="77777777" w:rsidR="009544C5" w:rsidRDefault="009544C5" w:rsidP="009544C5">
      <w:r>
        <w:t>Maternity leave is directly for expectant female employees who have worked with their employer continuously for at least 26 weeks by the 15th week prior to the expected due date. It provides a total of 52 weeks of leave, divided between 26 weeks of Ordinary Maternity Leave (OML) and 26 weeks of Additional Maternity Leave (AML), with the first 39 weeks being paid for and the final 13 weeks unpaid.  (ACAS, 2023)</w:t>
      </w:r>
    </w:p>
    <w:p w14:paraId="4C75E617" w14:textId="77777777" w:rsidR="009544C5" w:rsidRDefault="009544C5" w:rsidP="009544C5">
      <w:r>
        <w:t xml:space="preserve">Statutory Maternity Pay (SMP) makes payment of 90% average weekly earnings (AWE) for the first 6 weeks, followed by £172.48 per week or 90% AWE for the remaining 33 weeks. </w:t>
      </w:r>
    </w:p>
    <w:p w14:paraId="6208F085" w14:textId="77777777" w:rsidR="009544C5" w:rsidRDefault="009544C5" w:rsidP="009544C5">
      <w:r>
        <w:t>On the other hand, Shared Parental Leave allows both parents to share up to 50 weeks of leave, 37 of which are paid, with more flexibility. Pay for SPL is similar to SMP, shared by both parents, and can be taken in blocks or consecutively over the first year after the child is born. Shared Parental Leave (SPL) is regulated by the Shared Parental Leave Regulations 2014.</w:t>
      </w:r>
    </w:p>
    <w:p w14:paraId="0C001B4D" w14:textId="77777777" w:rsidR="009544C5" w:rsidRDefault="009544C5" w:rsidP="009544C5">
      <w:r>
        <w:t>In the Mr A Hextall v 1) Chief Constable of Leicestershire Police UKEAT/0139/17/DA case, it was examined whether it amounts to sex discrimination for an employer to provide a man on shared parental leave with less pay than a woman on maternity leave. (Courts, 2018)</w:t>
      </w:r>
    </w:p>
    <w:p w14:paraId="7B240B8C" w14:textId="77777777" w:rsidR="009544C5" w:rsidRDefault="009544C5" w:rsidP="009544C5">
      <w:r>
        <w:t>Employers are not required to provide enhanced SPL pay simply because they offer enhanced maternity pay. (Daniels, 2024)</w:t>
      </w:r>
    </w:p>
    <w:p w14:paraId="30DBEB01" w14:textId="77777777" w:rsidR="009544C5" w:rsidRDefault="009544C5" w:rsidP="009544C5">
      <w:r>
        <w:t>Maternity leave and SPL both ensure the right to return to the same or similar job, but SPL requires careful planning to divide the leave in the best possible way. While maternity leave is fixed and specific to the mother, SPL enables both parents to balance work and family care and is a flexible option depending on individual situations and preferences. (GOV.UK, 2014)</w:t>
      </w:r>
    </w:p>
    <w:p w14:paraId="7FD343A0" w14:textId="77777777" w:rsidR="009544C5" w:rsidRDefault="009544C5" w:rsidP="009544C5">
      <w:r>
        <w:lastRenderedPageBreak/>
        <w:t>Maternity leave must be taken in a single, uninterrupted block, apart from return-to-work trials. Shared parental leave is more flexible, and leave can be taken in blocks. This means that parents can return to work and then restart leave. Both parents also have the option of taking leave at the same time or separately. (ACAS, 2022)</w:t>
      </w:r>
    </w:p>
    <w:p w14:paraId="66D64F27" w14:textId="77777777" w:rsidR="009544C5" w:rsidRDefault="009544C5" w:rsidP="009544C5">
      <w:r>
        <w:t>Maternity leave suits mothers returning to work early, while Shared Parental Leave allows both parents to share childcare and balance work with family.</w:t>
      </w:r>
    </w:p>
    <w:p w14:paraId="46A77916" w14:textId="77777777" w:rsidR="009544C5" w:rsidRDefault="009544C5" w:rsidP="009544C5">
      <w:r>
        <w:t xml:space="preserve">I hope my advice and guidance supports you with your decision. </w:t>
      </w:r>
    </w:p>
    <w:p w14:paraId="21DD2CBE" w14:textId="77777777" w:rsidR="009544C5" w:rsidRDefault="009544C5" w:rsidP="009544C5"/>
    <w:p w14:paraId="3D0A3024" w14:textId="77777777" w:rsidR="009544C5" w:rsidRDefault="009544C5" w:rsidP="009544C5">
      <w:r>
        <w:t>AC 4.3</w:t>
      </w:r>
    </w:p>
    <w:p w14:paraId="4AE5BAFB" w14:textId="77777777" w:rsidR="009544C5" w:rsidRDefault="009544C5" w:rsidP="009544C5">
      <w:r>
        <w:t>Thank you for your email. Under the Employment Rights Act 1996, amended by the Flexible Working Regulations 2014, employees could request flexible working after 26 weeks of continuous employment.</w:t>
      </w:r>
    </w:p>
    <w:p w14:paraId="6A430A38" w14:textId="77777777" w:rsidR="009544C5" w:rsidRDefault="009544C5" w:rsidP="009544C5">
      <w:r>
        <w:t>According to Quilliam (2023), the Employment Relations (Flexible Working) Act 2023 brought significant changes.</w:t>
      </w:r>
    </w:p>
    <w:p w14:paraId="28EBFAC9" w14:textId="77777777" w:rsidR="009544C5" w:rsidRDefault="009544C5" w:rsidP="009544C5">
      <w:r>
        <w:t>However, from April 6, 2024, all employees have the statutory right to request flexible working from day one of employment. Employees can now submit two flexible working requests in any 12-month period, and employers must respond within two months instead of three. You must also consult with employees before denying a request, promoting openness and compromise. (Daniels, 2024)</w:t>
      </w:r>
    </w:p>
    <w:p w14:paraId="0000AED7" w14:textId="77777777" w:rsidR="009544C5" w:rsidRDefault="009544C5" w:rsidP="009544C5">
      <w:r>
        <w:t>Once the employee has made a written application, and it must be taken into account and replied to in writing. You are required to take the request into account and provide good business reasons when they deny the request. The request must not be denied unless there are adequate reasons.</w:t>
      </w:r>
    </w:p>
    <w:p w14:paraId="35401BF6" w14:textId="77777777" w:rsidR="009544C5" w:rsidRDefault="009544C5" w:rsidP="009544C5">
      <w:r>
        <w:t>You may refuse a flexible working request for valid business reasons, such as increased costs, impact on customer demand, difficulty reorganising work, or reduced work quality or performance. It can also be declined if the proposed hours don’t meet business needs or there’s insufficient work at those times. (ACAS, 2024)</w:t>
      </w:r>
    </w:p>
    <w:p w14:paraId="777D8C80" w14:textId="77777777" w:rsidR="009544C5" w:rsidRDefault="009544C5" w:rsidP="009544C5">
      <w:r>
        <w:t>Where considering a flexible working request application, you must ensure that you are not unlawfully discriminating against the employee in terms of a protected characteristic defined within the Equality Act 2010, e.g., any information disclosed in the course of the application. (ACAS,2024)</w:t>
      </w:r>
    </w:p>
    <w:p w14:paraId="2683F3DA" w14:textId="77777777" w:rsidR="009544C5" w:rsidRDefault="009544C5" w:rsidP="009544C5">
      <w:r>
        <w:t>In the Commotion Ltd v Rutty (2006) ICR 290 case , the EAT ruled that employers must properly consider flexible working requests and provide a valid business reason for refusal. If they don't do so, it can constitute indirect sex discrimination under the Equality Act 2010 if it disproportionately affects women with childcare responsibilities.</w:t>
      </w:r>
    </w:p>
    <w:p w14:paraId="2F2EB4A8" w14:textId="77777777" w:rsidR="009544C5" w:rsidRDefault="009544C5" w:rsidP="009544C5">
      <w:r>
        <w:lastRenderedPageBreak/>
        <w:t>My advice when responding, assess the viability and impact on the team and department. Determine if the task can be done remotely or if in-person presence is required for customer service and coordination. Consider whether service quality or performance could be affected. If the request is partially valid, a compromise, like one or two days of remote work, may be considered. Provide a formal written response within three months, clearly explaining the reasons for approval or rejection. If rejected, specify the impact on service quality or operations to avoid ambiguity.</w:t>
      </w:r>
    </w:p>
    <w:p w14:paraId="10FF23DC" w14:textId="2DD56F4B" w:rsidR="009544C5" w:rsidRDefault="009544C5" w:rsidP="009544C5">
      <w:r>
        <w:t>The risk when overlooking or mismanaging a flexible working request legally under the Employment Relations (Flexible Working) Act 2023 can lead to claims of unfair treatment or indirect discrimination under the Equality Act 2010. We could stand to lose tribunal proceedings, reputation, and monetary penalties if we fail to consult or provide reasonable business reasons. (Citizens Advice, 2024)</w:t>
      </w:r>
    </w:p>
    <w:sectPr w:rsidR="009544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4C5"/>
    <w:rsid w:val="009544C5"/>
    <w:rsid w:val="00E21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B612"/>
  <w15:chartTrackingRefBased/>
  <w15:docId w15:val="{1DE3CA8F-C2AE-42CE-AC9F-D109D870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4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44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4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4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4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4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4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4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4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4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4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4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4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4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4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4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4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4C5"/>
    <w:rPr>
      <w:rFonts w:eastAsiaTheme="majorEastAsia" w:cstheme="majorBidi"/>
      <w:color w:val="272727" w:themeColor="text1" w:themeTint="D8"/>
    </w:rPr>
  </w:style>
  <w:style w:type="paragraph" w:styleId="Title">
    <w:name w:val="Title"/>
    <w:basedOn w:val="Normal"/>
    <w:next w:val="Normal"/>
    <w:link w:val="TitleChar"/>
    <w:uiPriority w:val="10"/>
    <w:qFormat/>
    <w:rsid w:val="009544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4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4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4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4C5"/>
    <w:pPr>
      <w:spacing w:before="160"/>
      <w:jc w:val="center"/>
    </w:pPr>
    <w:rPr>
      <w:i/>
      <w:iCs/>
      <w:color w:val="404040" w:themeColor="text1" w:themeTint="BF"/>
    </w:rPr>
  </w:style>
  <w:style w:type="character" w:customStyle="1" w:styleId="QuoteChar">
    <w:name w:val="Quote Char"/>
    <w:basedOn w:val="DefaultParagraphFont"/>
    <w:link w:val="Quote"/>
    <w:uiPriority w:val="29"/>
    <w:rsid w:val="009544C5"/>
    <w:rPr>
      <w:i/>
      <w:iCs/>
      <w:color w:val="404040" w:themeColor="text1" w:themeTint="BF"/>
    </w:rPr>
  </w:style>
  <w:style w:type="paragraph" w:styleId="ListParagraph">
    <w:name w:val="List Paragraph"/>
    <w:basedOn w:val="Normal"/>
    <w:uiPriority w:val="34"/>
    <w:qFormat/>
    <w:rsid w:val="009544C5"/>
    <w:pPr>
      <w:ind w:left="720"/>
      <w:contextualSpacing/>
    </w:pPr>
  </w:style>
  <w:style w:type="character" w:styleId="IntenseEmphasis">
    <w:name w:val="Intense Emphasis"/>
    <w:basedOn w:val="DefaultParagraphFont"/>
    <w:uiPriority w:val="21"/>
    <w:qFormat/>
    <w:rsid w:val="009544C5"/>
    <w:rPr>
      <w:i/>
      <w:iCs/>
      <w:color w:val="0F4761" w:themeColor="accent1" w:themeShade="BF"/>
    </w:rPr>
  </w:style>
  <w:style w:type="paragraph" w:styleId="IntenseQuote">
    <w:name w:val="Intense Quote"/>
    <w:basedOn w:val="Normal"/>
    <w:next w:val="Normal"/>
    <w:link w:val="IntenseQuoteChar"/>
    <w:uiPriority w:val="30"/>
    <w:qFormat/>
    <w:rsid w:val="009544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4C5"/>
    <w:rPr>
      <w:i/>
      <w:iCs/>
      <w:color w:val="0F4761" w:themeColor="accent1" w:themeShade="BF"/>
    </w:rPr>
  </w:style>
  <w:style w:type="character" w:styleId="IntenseReference">
    <w:name w:val="Intense Reference"/>
    <w:basedOn w:val="DefaultParagraphFont"/>
    <w:uiPriority w:val="32"/>
    <w:qFormat/>
    <w:rsid w:val="009544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4071</Words>
  <Characters>23206</Characters>
  <Application>Microsoft Office Word</Application>
  <DocSecurity>0</DocSecurity>
  <Lines>193</Lines>
  <Paragraphs>54</Paragraphs>
  <ScaleCrop>false</ScaleCrop>
  <Company/>
  <LinksUpToDate>false</LinksUpToDate>
  <CharactersWithSpaces>27223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Jermin Rees</dc:creator>
  <cp:keywords/>
  <dc:description/>
  <cp:lastModifiedBy>Sheree Jermin Rees</cp:lastModifiedBy>
  <cp:revision>1</cp:revision>
  <dcterms:created xsi:type="dcterms:W3CDTF">2025-03-17T16:14:00Z</dcterms:created>
  <dcterms:modified xsi:type="dcterms:W3CDTF">2025-03-17T16:14:00Z</dcterms:modified>
</cp:coreProperties>
</file>